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UNITED STATES</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AND EXCHANGE COMMISSION</w:t>
      </w:r>
    </w:p>
    <w:p>
      <w:pPr>
        <w:spacing w:after="0" w:line="82" w:lineRule="exact"/>
        <w:rPr>
          <w:sz w:val="24"/>
          <w:szCs w:val="24"/>
          <w:color w:val="auto"/>
        </w:rPr>
      </w:pPr>
    </w:p>
    <w:p>
      <w:pPr>
        <w:ind w:left="4220"/>
        <w:spacing w:after="0"/>
        <w:rPr>
          <w:sz w:val="20"/>
          <w:szCs w:val="20"/>
          <w:color w:val="auto"/>
        </w:rPr>
      </w:pPr>
      <w:r>
        <w:rPr>
          <w:rFonts w:ascii="Arial" w:cs="Arial" w:eastAsia="Arial" w:hAnsi="Arial"/>
          <w:sz w:val="14"/>
          <w:szCs w:val="14"/>
          <w:b w:val="1"/>
          <w:bCs w:val="1"/>
          <w:color w:val="auto"/>
        </w:rPr>
        <w:t>Washington, D.C. 20549</w:t>
      </w:r>
    </w:p>
    <w:p>
      <w:pPr>
        <w:spacing w:after="0" w:line="82" w:lineRule="exact"/>
        <w:rPr>
          <w:sz w:val="24"/>
          <w:szCs w:val="24"/>
          <w:color w:val="auto"/>
        </w:rPr>
      </w:pPr>
    </w:p>
    <w:p>
      <w:pPr>
        <w:ind w:left="4580"/>
        <w:spacing w:after="0"/>
        <w:rPr>
          <w:sz w:val="20"/>
          <w:szCs w:val="20"/>
          <w:color w:val="auto"/>
        </w:rPr>
      </w:pPr>
      <w:r>
        <w:rPr>
          <w:rFonts w:ascii="Arial" w:cs="Arial" w:eastAsia="Arial" w:hAnsi="Arial"/>
          <w:sz w:val="14"/>
          <w:szCs w:val="14"/>
          <w:b w:val="1"/>
          <w:bCs w:val="1"/>
          <w:color w:val="auto"/>
        </w:rPr>
        <w:t>FORM 10-Q</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(Mark One)</w:t>
      </w:r>
    </w:p>
    <w:p>
      <w:pPr>
        <w:spacing w:after="0" w:line="82" w:lineRule="exact"/>
        <w:rPr>
          <w:sz w:val="24"/>
          <w:szCs w:val="24"/>
          <w:color w:val="auto"/>
        </w:rPr>
      </w:pPr>
    </w:p>
    <w:p>
      <w:pPr>
        <w:jc w:val="center"/>
        <w:ind w:left="3580" w:right="1480" w:hanging="2101"/>
        <w:spacing w:after="0" w:line="364" w:lineRule="auto"/>
        <w:tabs>
          <w:tab w:leader="none" w:pos="1657" w:val="left"/>
        </w:tabs>
        <w:numPr>
          <w:ilvl w:val="1"/>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UNDER SECTION 13 OR 15(d) OF THE SECURITIES EXCHANGE ACT OF 1934 For the quarterly period ended June 30, 2022</w:t>
      </w:r>
    </w:p>
    <w:p>
      <w:pPr>
        <w:spacing w:after="0" w:line="24" w:lineRule="exact"/>
        <w:rPr>
          <w:rFonts w:ascii="MS PGothic" w:cs="MS PGothic" w:eastAsia="MS PGothic" w:hAnsi="MS PGothic"/>
          <w:sz w:val="14"/>
          <w:szCs w:val="14"/>
          <w:color w:val="auto"/>
        </w:rPr>
      </w:pPr>
    </w:p>
    <w:p>
      <w:pPr>
        <w:ind w:left="1380" w:hanging="163"/>
        <w:spacing w:after="0"/>
        <w:tabs>
          <w:tab w:leader="none" w:pos="138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w:t>
      </w:r>
    </w:p>
    <w:p>
      <w:pPr>
        <w:spacing w:after="0" w:line="82" w:lineRule="exact"/>
        <w:rPr>
          <w:sz w:val="24"/>
          <w:szCs w:val="24"/>
          <w:color w:val="auto"/>
        </w:rPr>
      </w:pPr>
    </w:p>
    <w:p>
      <w:pPr>
        <w:ind w:left="3280"/>
        <w:spacing w:after="0"/>
        <w:tabs>
          <w:tab w:leader="none" w:pos="584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3281680</wp:posOffset>
            </wp:positionH>
            <wp:positionV relativeFrom="paragraph">
              <wp:posOffset>-1270</wp:posOffset>
            </wp:positionV>
            <wp:extent cx="9436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43610" cy="8255"/>
                    </a:xfrm>
                    <a:prstGeom prst="rect">
                      <a:avLst/>
                    </a:prstGeom>
                    <a:noFill/>
                  </pic:spPr>
                </pic:pic>
              </a:graphicData>
            </a:graphic>
          </wp:anchor>
        </w:drawing>
      </w:r>
    </w:p>
    <w:p>
      <w:pPr>
        <w:spacing w:after="0" w:line="6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001-40730</w:t>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CHARDAN NEXTECH ACQUISITION 2 CORP.</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80"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4060" w:type="dxa"/>
            <w:vAlign w:val="bottom"/>
            <w:tcBorders>
              <w:bottom w:val="single" w:sz="8" w:color="auto"/>
            </w:tcBorders>
          </w:tcPr>
          <w:p>
            <w:pPr>
              <w:jc w:val="center"/>
              <w:ind w:left="728"/>
              <w:spacing w:after="0"/>
              <w:rPr>
                <w:sz w:val="20"/>
                <w:szCs w:val="20"/>
                <w:color w:val="auto"/>
              </w:rPr>
            </w:pPr>
            <w:r>
              <w:rPr>
                <w:rFonts w:ascii="Arial" w:cs="Arial" w:eastAsia="Arial" w:hAnsi="Arial"/>
                <w:sz w:val="14"/>
                <w:szCs w:val="14"/>
                <w:b w:val="1"/>
                <w:bCs w:val="1"/>
                <w:color w:val="auto"/>
                <w:w w:val="94"/>
              </w:rPr>
              <w:t>Delaware</w:t>
            </w: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tcPr>
          <w:p>
            <w:pPr>
              <w:jc w:val="center"/>
              <w:ind w:right="1648"/>
              <w:spacing w:after="0"/>
              <w:rPr>
                <w:sz w:val="20"/>
                <w:szCs w:val="20"/>
                <w:color w:val="auto"/>
              </w:rPr>
            </w:pPr>
            <w:r>
              <w:rPr>
                <w:rFonts w:ascii="Arial" w:cs="Arial" w:eastAsia="Arial" w:hAnsi="Arial"/>
                <w:sz w:val="14"/>
                <w:szCs w:val="14"/>
                <w:b w:val="1"/>
                <w:bCs w:val="1"/>
                <w:color w:val="auto"/>
                <w:w w:val="93"/>
              </w:rPr>
              <w:t>85-1873463</w:t>
            </w:r>
          </w:p>
        </w:tc>
        <w:tc>
          <w:tcPr>
            <w:tcW w:w="0" w:type="dxa"/>
            <w:vAlign w:val="bottom"/>
          </w:tcPr>
          <w:p>
            <w:pPr>
              <w:spacing w:after="0"/>
              <w:rPr>
                <w:sz w:val="1"/>
                <w:szCs w:val="1"/>
                <w:color w:val="auto"/>
              </w:rPr>
            </w:pPr>
          </w:p>
        </w:tc>
      </w:tr>
      <w:tr>
        <w:trPr>
          <w:trHeight w:val="123"/>
        </w:trPr>
        <w:tc>
          <w:tcPr>
            <w:tcW w:w="4060" w:type="dxa"/>
            <w:vAlign w:val="bottom"/>
          </w:tcPr>
          <w:p>
            <w:pPr>
              <w:jc w:val="center"/>
              <w:ind w:left="728"/>
              <w:spacing w:after="0" w:line="123" w:lineRule="exact"/>
              <w:rPr>
                <w:sz w:val="20"/>
                <w:szCs w:val="20"/>
                <w:color w:val="auto"/>
              </w:rPr>
            </w:pPr>
            <w:r>
              <w:rPr>
                <w:rFonts w:ascii="Arial" w:cs="Arial" w:eastAsia="Arial" w:hAnsi="Arial"/>
                <w:sz w:val="14"/>
                <w:szCs w:val="14"/>
                <w:color w:val="auto"/>
                <w:w w:val="94"/>
              </w:rPr>
              <w:t>(State or other jurisdiction of</w:t>
            </w: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140" w:type="dxa"/>
            <w:vAlign w:val="bottom"/>
          </w:tcPr>
          <w:p>
            <w:pPr>
              <w:jc w:val="center"/>
              <w:ind w:right="1648"/>
              <w:spacing w:after="0" w:line="123" w:lineRule="exact"/>
              <w:rPr>
                <w:sz w:val="20"/>
                <w:szCs w:val="20"/>
                <w:color w:val="auto"/>
              </w:rPr>
            </w:pPr>
            <w:r>
              <w:rPr>
                <w:rFonts w:ascii="Arial" w:cs="Arial" w:eastAsia="Arial" w:hAnsi="Arial"/>
                <w:sz w:val="14"/>
                <w:szCs w:val="14"/>
                <w:color w:val="auto"/>
                <w:w w:val="94"/>
              </w:rPr>
              <w:t>(IRS Employer</w:t>
            </w:r>
          </w:p>
        </w:tc>
        <w:tc>
          <w:tcPr>
            <w:tcW w:w="0" w:type="dxa"/>
            <w:vAlign w:val="bottom"/>
          </w:tcPr>
          <w:p>
            <w:pPr>
              <w:spacing w:after="0"/>
              <w:rPr>
                <w:sz w:val="1"/>
                <w:szCs w:val="1"/>
                <w:color w:val="auto"/>
              </w:rPr>
            </w:pPr>
          </w:p>
        </w:tc>
      </w:tr>
      <w:tr>
        <w:trPr>
          <w:trHeight w:val="182"/>
        </w:trPr>
        <w:tc>
          <w:tcPr>
            <w:tcW w:w="4060" w:type="dxa"/>
            <w:vAlign w:val="bottom"/>
          </w:tcPr>
          <w:p>
            <w:pPr>
              <w:jc w:val="center"/>
              <w:ind w:left="728"/>
              <w:spacing w:after="0"/>
              <w:rPr>
                <w:sz w:val="20"/>
                <w:szCs w:val="20"/>
                <w:color w:val="auto"/>
              </w:rPr>
            </w:pPr>
            <w:r>
              <w:rPr>
                <w:rFonts w:ascii="Arial" w:cs="Arial" w:eastAsia="Arial" w:hAnsi="Arial"/>
                <w:sz w:val="14"/>
                <w:szCs w:val="14"/>
                <w:color w:val="auto"/>
                <w:w w:val="95"/>
              </w:rPr>
              <w:t>incorporation or organization)</w:t>
            </w: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140" w:type="dxa"/>
            <w:vAlign w:val="bottom"/>
          </w:tcPr>
          <w:p>
            <w:pPr>
              <w:jc w:val="center"/>
              <w:ind w:right="1688"/>
              <w:spacing w:after="0"/>
              <w:rPr>
                <w:sz w:val="20"/>
                <w:szCs w:val="20"/>
                <w:color w:val="auto"/>
              </w:rPr>
            </w:pPr>
            <w:r>
              <w:rPr>
                <w:rFonts w:ascii="Arial" w:cs="Arial" w:eastAsia="Arial" w:hAnsi="Arial"/>
                <w:sz w:val="14"/>
                <w:szCs w:val="14"/>
                <w:color w:val="auto"/>
                <w:w w:val="97"/>
              </w:rPr>
              <w:t>Identification No.)</w:t>
            </w:r>
          </w:p>
        </w:tc>
        <w:tc>
          <w:tcPr>
            <w:tcW w:w="0" w:type="dxa"/>
            <w:vAlign w:val="bottom"/>
          </w:tcPr>
          <w:p>
            <w:pPr>
              <w:spacing w:after="0"/>
              <w:rPr>
                <w:sz w:val="1"/>
                <w:szCs w:val="1"/>
                <w:color w:val="auto"/>
              </w:rPr>
            </w:pPr>
          </w:p>
        </w:tc>
      </w:tr>
      <w:tr>
        <w:trPr>
          <w:trHeight w:val="250"/>
        </w:trPr>
        <w:tc>
          <w:tcPr>
            <w:tcW w:w="4060" w:type="dxa"/>
            <w:vAlign w:val="bottom"/>
          </w:tcPr>
          <w:p>
            <w:pPr>
              <w:spacing w:after="0"/>
              <w:rPr>
                <w:sz w:val="21"/>
                <w:szCs w:val="21"/>
                <w:color w:val="auto"/>
              </w:rPr>
            </w:pPr>
          </w:p>
        </w:tc>
        <w:tc>
          <w:tcPr>
            <w:tcW w:w="2720" w:type="dxa"/>
            <w:vAlign w:val="bottom"/>
            <w:gridSpan w:val="6"/>
          </w:tcPr>
          <w:p>
            <w:pPr>
              <w:jc w:val="center"/>
              <w:ind w:right="900"/>
              <w:spacing w:after="0"/>
              <w:rPr>
                <w:sz w:val="20"/>
                <w:szCs w:val="20"/>
                <w:color w:val="auto"/>
              </w:rPr>
            </w:pPr>
            <w:r>
              <w:rPr>
                <w:rFonts w:ascii="Arial" w:cs="Arial" w:eastAsia="Arial" w:hAnsi="Arial"/>
                <w:sz w:val="14"/>
                <w:szCs w:val="14"/>
                <w:b w:val="1"/>
                <w:bCs w:val="1"/>
                <w:color w:val="auto"/>
                <w:w w:val="91"/>
              </w:rPr>
              <w:t>17 State Street, 21st Floor</w:t>
            </w:r>
          </w:p>
        </w:tc>
        <w:tc>
          <w:tcPr>
            <w:tcW w:w="3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060" w:type="dxa"/>
            <w:vAlign w:val="bottom"/>
          </w:tcPr>
          <w:p>
            <w:pPr>
              <w:spacing w:after="0"/>
              <w:rPr>
                <w:sz w:val="20"/>
                <w:szCs w:val="20"/>
                <w:color w:val="auto"/>
              </w:rPr>
            </w:pPr>
          </w:p>
        </w:tc>
        <w:tc>
          <w:tcPr>
            <w:tcW w:w="2720" w:type="dxa"/>
            <w:vAlign w:val="bottom"/>
            <w:gridSpan w:val="6"/>
          </w:tcPr>
          <w:p>
            <w:pPr>
              <w:jc w:val="center"/>
              <w:ind w:right="900"/>
              <w:spacing w:after="0"/>
              <w:rPr>
                <w:sz w:val="20"/>
                <w:szCs w:val="20"/>
                <w:color w:val="auto"/>
              </w:rPr>
            </w:pPr>
            <w:r>
              <w:rPr>
                <w:rFonts w:ascii="Arial" w:cs="Arial" w:eastAsia="Arial" w:hAnsi="Arial"/>
                <w:sz w:val="14"/>
                <w:szCs w:val="14"/>
                <w:b w:val="1"/>
                <w:bCs w:val="1"/>
                <w:color w:val="auto"/>
                <w:w w:val="97"/>
              </w:rPr>
              <w:t xml:space="preserve">New York, NY </w:t>
            </w:r>
            <w:r>
              <w:rPr>
                <w:rFonts w:ascii="Arial" w:cs="Arial" w:eastAsia="Arial" w:hAnsi="Arial"/>
                <w:sz w:val="17"/>
                <w:szCs w:val="17"/>
                <w:b w:val="1"/>
                <w:bCs w:val="1"/>
                <w:color w:val="auto"/>
                <w:w w:val="97"/>
              </w:rPr>
              <w:t>10004</w:t>
            </w:r>
          </w:p>
        </w:tc>
        <w:tc>
          <w:tcPr>
            <w:tcW w:w="3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6780" w:type="dxa"/>
            <w:vAlign w:val="bottom"/>
            <w:gridSpan w:val="7"/>
          </w:tcPr>
          <w:p>
            <w:pPr>
              <w:jc w:val="center"/>
              <w:ind w:left="3068"/>
              <w:spacing w:after="0"/>
              <w:rPr>
                <w:sz w:val="20"/>
                <w:szCs w:val="20"/>
                <w:color w:val="auto"/>
              </w:rPr>
            </w:pPr>
            <w:r>
              <w:rPr>
                <w:rFonts w:ascii="Arial" w:cs="Arial" w:eastAsia="Arial" w:hAnsi="Arial"/>
                <w:sz w:val="14"/>
                <w:szCs w:val="14"/>
                <w:color w:val="auto"/>
                <w:w w:val="94"/>
              </w:rPr>
              <w:t>(Address of principal executive offices and zip code)</w:t>
            </w:r>
          </w:p>
        </w:tc>
        <w:tc>
          <w:tcPr>
            <w:tcW w:w="3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060" w:type="dxa"/>
            <w:vAlign w:val="bottom"/>
          </w:tcPr>
          <w:p>
            <w:pPr>
              <w:spacing w:after="0"/>
              <w:rPr>
                <w:sz w:val="22"/>
                <w:szCs w:val="22"/>
                <w:color w:val="auto"/>
              </w:rPr>
            </w:pPr>
          </w:p>
        </w:tc>
        <w:tc>
          <w:tcPr>
            <w:tcW w:w="21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3"/>
              </w:rPr>
              <w:t>(646) 465-9000</w:t>
            </w: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6780" w:type="dxa"/>
            <w:vAlign w:val="bottom"/>
            <w:gridSpan w:val="7"/>
          </w:tcPr>
          <w:p>
            <w:pPr>
              <w:jc w:val="center"/>
              <w:ind w:left="3068"/>
              <w:spacing w:after="0"/>
              <w:rPr>
                <w:sz w:val="20"/>
                <w:szCs w:val="20"/>
                <w:color w:val="auto"/>
              </w:rPr>
            </w:pPr>
            <w:r>
              <w:rPr>
                <w:rFonts w:ascii="Arial" w:cs="Arial" w:eastAsia="Arial" w:hAnsi="Arial"/>
                <w:sz w:val="14"/>
                <w:szCs w:val="14"/>
                <w:color w:val="auto"/>
                <w:w w:val="92"/>
              </w:rPr>
              <w:t>(Registrant’s telephone number, including area code)</w:t>
            </w:r>
          </w:p>
        </w:tc>
        <w:tc>
          <w:tcPr>
            <w:tcW w:w="3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40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60" w:type="dxa"/>
            <w:vAlign w:val="bottom"/>
            <w:gridSpan w:val="5"/>
          </w:tcPr>
          <w:p>
            <w:pPr>
              <w:jc w:val="center"/>
              <w:ind w:right="1180"/>
              <w:spacing w:after="0"/>
              <w:rPr>
                <w:sz w:val="20"/>
                <w:szCs w:val="20"/>
                <w:color w:val="auto"/>
              </w:rPr>
            </w:pPr>
            <w:r>
              <w:rPr>
                <w:rFonts w:ascii="Arial" w:cs="Arial" w:eastAsia="Arial" w:hAnsi="Arial"/>
                <w:sz w:val="14"/>
                <w:szCs w:val="14"/>
                <w:b w:val="1"/>
                <w:bCs w:val="1"/>
                <w:color w:val="auto"/>
                <w:w w:val="99"/>
              </w:rPr>
              <w:t>N/A</w:t>
            </w:r>
          </w:p>
        </w:tc>
        <w:tc>
          <w:tcPr>
            <w:tcW w:w="3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9920" w:type="dxa"/>
            <w:vAlign w:val="bottom"/>
            <w:gridSpan w:val="8"/>
          </w:tcPr>
          <w:p>
            <w:pPr>
              <w:jc w:val="center"/>
              <w:spacing w:after="0"/>
              <w:rPr>
                <w:sz w:val="20"/>
                <w:szCs w:val="20"/>
                <w:color w:val="auto"/>
              </w:rPr>
            </w:pPr>
            <w:r>
              <w:rPr>
                <w:rFonts w:ascii="Arial" w:cs="Arial" w:eastAsia="Arial" w:hAnsi="Arial"/>
                <w:sz w:val="14"/>
                <w:szCs w:val="14"/>
                <w:color w:val="auto"/>
                <w:w w:val="92"/>
              </w:rPr>
              <w:t>(Former name, former address and former fiscal year, if changed since last report)</w:t>
            </w:r>
          </w:p>
        </w:tc>
        <w:tc>
          <w:tcPr>
            <w:tcW w:w="0" w:type="dxa"/>
            <w:vAlign w:val="bottom"/>
          </w:tcPr>
          <w:p>
            <w:pPr>
              <w:spacing w:after="0"/>
              <w:rPr>
                <w:sz w:val="1"/>
                <w:szCs w:val="1"/>
                <w:color w:val="auto"/>
              </w:rPr>
            </w:pPr>
          </w:p>
        </w:tc>
      </w:tr>
      <w:tr>
        <w:trPr>
          <w:trHeight w:val="216"/>
        </w:trPr>
        <w:tc>
          <w:tcPr>
            <w:tcW w:w="6780" w:type="dxa"/>
            <w:vAlign w:val="bottom"/>
            <w:gridSpan w:val="7"/>
          </w:tcPr>
          <w:p>
            <w:pPr>
              <w:jc w:val="center"/>
              <w:ind w:left="3068"/>
              <w:spacing w:after="0"/>
              <w:rPr>
                <w:sz w:val="20"/>
                <w:szCs w:val="20"/>
                <w:color w:val="auto"/>
              </w:rPr>
            </w:pPr>
            <w:r>
              <w:rPr>
                <w:rFonts w:ascii="Arial" w:cs="Arial" w:eastAsia="Arial" w:hAnsi="Arial"/>
                <w:sz w:val="14"/>
                <w:szCs w:val="14"/>
                <w:color w:val="auto"/>
                <w:w w:val="93"/>
              </w:rPr>
              <w:t>Securities registered pursuant to Section 12(b) of the Act:</w:t>
            </w:r>
          </w:p>
        </w:tc>
        <w:tc>
          <w:tcPr>
            <w:tcW w:w="3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260" w:type="dxa"/>
            <w:vAlign w:val="bottom"/>
          </w:tcPr>
          <w:p>
            <w:pPr>
              <w:spacing w:after="0"/>
              <w:rPr>
                <w:sz w:val="20"/>
                <w:szCs w:val="20"/>
                <w:color w:val="auto"/>
              </w:rPr>
            </w:pPr>
          </w:p>
        </w:tc>
        <w:tc>
          <w:tcPr>
            <w:tcW w:w="2460" w:type="dxa"/>
            <w:vAlign w:val="bottom"/>
            <w:gridSpan w:val="5"/>
            <w:vMerge w:val="restart"/>
          </w:tcPr>
          <w:p>
            <w:pPr>
              <w:jc w:val="center"/>
              <w:ind w:right="600"/>
              <w:spacing w:after="0"/>
              <w:rPr>
                <w:sz w:val="20"/>
                <w:szCs w:val="20"/>
                <w:color w:val="auto"/>
              </w:rPr>
            </w:pPr>
            <w:r>
              <w:rPr>
                <w:rFonts w:ascii="Arial" w:cs="Arial" w:eastAsia="Arial" w:hAnsi="Arial"/>
                <w:sz w:val="14"/>
                <w:szCs w:val="14"/>
                <w:b w:val="1"/>
                <w:bCs w:val="1"/>
                <w:color w:val="auto"/>
                <w:w w:val="92"/>
              </w:rPr>
              <w:t>Trading Symbol(s)</w:t>
            </w:r>
          </w:p>
        </w:tc>
        <w:tc>
          <w:tcPr>
            <w:tcW w:w="3140" w:type="dxa"/>
            <w:vAlign w:val="bottom"/>
          </w:tcPr>
          <w:p>
            <w:pPr>
              <w:jc w:val="center"/>
              <w:ind w:right="288"/>
              <w:spacing w:after="0"/>
              <w:rPr>
                <w:sz w:val="20"/>
                <w:szCs w:val="20"/>
                <w:color w:val="auto"/>
              </w:rPr>
            </w:pPr>
            <w:r>
              <w:rPr>
                <w:rFonts w:ascii="Arial" w:cs="Arial" w:eastAsia="Arial" w:hAnsi="Arial"/>
                <w:sz w:val="14"/>
                <w:szCs w:val="14"/>
                <w:b w:val="1"/>
                <w:bCs w:val="1"/>
                <w:color w:val="auto"/>
                <w:w w:val="89"/>
              </w:rPr>
              <w:t>Name of each exchange on</w:t>
            </w:r>
          </w:p>
        </w:tc>
        <w:tc>
          <w:tcPr>
            <w:tcW w:w="0" w:type="dxa"/>
            <w:vAlign w:val="bottom"/>
          </w:tcPr>
          <w:p>
            <w:pPr>
              <w:spacing w:after="0"/>
              <w:rPr>
                <w:sz w:val="1"/>
                <w:szCs w:val="1"/>
                <w:color w:val="auto"/>
              </w:rPr>
            </w:pPr>
          </w:p>
        </w:tc>
      </w:tr>
      <w:tr>
        <w:trPr>
          <w:trHeight w:val="171"/>
        </w:trPr>
        <w:tc>
          <w:tcPr>
            <w:tcW w:w="40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460" w:type="dxa"/>
            <w:vAlign w:val="bottom"/>
            <w:gridSpan w:val="5"/>
            <w:vMerge w:val="continue"/>
          </w:tcPr>
          <w:p>
            <w:pPr>
              <w:spacing w:after="0"/>
              <w:rPr>
                <w:sz w:val="14"/>
                <w:szCs w:val="14"/>
                <w:color w:val="auto"/>
              </w:rPr>
            </w:pPr>
          </w:p>
        </w:tc>
        <w:tc>
          <w:tcPr>
            <w:tcW w:w="3140" w:type="dxa"/>
            <w:vAlign w:val="bottom"/>
          </w:tcPr>
          <w:p>
            <w:pPr>
              <w:jc w:val="center"/>
              <w:ind w:right="268"/>
              <w:spacing w:after="0"/>
              <w:rPr>
                <w:sz w:val="20"/>
                <w:szCs w:val="20"/>
                <w:color w:val="auto"/>
              </w:rPr>
            </w:pPr>
            <w:r>
              <w:rPr>
                <w:rFonts w:ascii="Arial" w:cs="Arial" w:eastAsia="Arial" w:hAnsi="Arial"/>
                <w:sz w:val="14"/>
                <w:szCs w:val="14"/>
                <w:b w:val="1"/>
                <w:bCs w:val="1"/>
                <w:color w:val="auto"/>
                <w:w w:val="89"/>
              </w:rPr>
              <w:t>which registered</w:t>
            </w:r>
          </w:p>
        </w:tc>
        <w:tc>
          <w:tcPr>
            <w:tcW w:w="0" w:type="dxa"/>
            <w:vAlign w:val="bottom"/>
          </w:tcPr>
          <w:p>
            <w:pPr>
              <w:spacing w:after="0"/>
              <w:rPr>
                <w:sz w:val="1"/>
                <w:szCs w:val="1"/>
                <w:color w:val="auto"/>
              </w:rPr>
            </w:pPr>
          </w:p>
        </w:tc>
      </w:tr>
      <w:tr>
        <w:trPr>
          <w:trHeight w:val="123"/>
        </w:trPr>
        <w:tc>
          <w:tcPr>
            <w:tcW w:w="406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3"/>
              </w:rPr>
              <w:t>Units, consisting of one share of Common Stock, par value $0.0001</w:t>
            </w:r>
          </w:p>
        </w:tc>
        <w:tc>
          <w:tcPr>
            <w:tcW w:w="26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2"/>
          </w:tcPr>
          <w:p>
            <w:pPr>
              <w:jc w:val="center"/>
              <w:ind w:right="520"/>
              <w:spacing w:after="0" w:line="123" w:lineRule="exact"/>
              <w:rPr>
                <w:sz w:val="20"/>
                <w:szCs w:val="20"/>
                <w:color w:val="auto"/>
              </w:rPr>
            </w:pPr>
            <w:r>
              <w:rPr>
                <w:rFonts w:ascii="Arial" w:cs="Arial" w:eastAsia="Arial" w:hAnsi="Arial"/>
                <w:sz w:val="14"/>
                <w:szCs w:val="14"/>
                <w:color w:val="auto"/>
              </w:rPr>
              <w:t>CNTQU</w:t>
            </w:r>
          </w:p>
        </w:tc>
        <w:tc>
          <w:tcPr>
            <w:tcW w:w="28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3140" w:type="dxa"/>
            <w:vAlign w:val="bottom"/>
            <w:tcBorders>
              <w:top w:val="single" w:sz="8" w:color="auto"/>
            </w:tcBorders>
          </w:tcPr>
          <w:p>
            <w:pPr>
              <w:jc w:val="center"/>
              <w:ind w:right="268"/>
              <w:spacing w:after="0" w:line="123" w:lineRule="exact"/>
              <w:rPr>
                <w:sz w:val="20"/>
                <w:szCs w:val="20"/>
                <w:color w:val="auto"/>
              </w:rPr>
            </w:pPr>
            <w:r>
              <w:rPr>
                <w:rFonts w:ascii="Arial" w:cs="Arial" w:eastAsia="Arial" w:hAnsi="Arial"/>
                <w:sz w:val="14"/>
                <w:szCs w:val="14"/>
                <w:color w:val="auto"/>
                <w:w w:val="94"/>
              </w:rPr>
              <w:t>The Nasdaq Stock Market LLC</w:t>
            </w:r>
          </w:p>
        </w:tc>
        <w:tc>
          <w:tcPr>
            <w:tcW w:w="0" w:type="dxa"/>
            <w:vAlign w:val="bottom"/>
          </w:tcPr>
          <w:p>
            <w:pPr>
              <w:spacing w:after="0"/>
              <w:rPr>
                <w:sz w:val="1"/>
                <w:szCs w:val="1"/>
                <w:color w:val="auto"/>
              </w:rPr>
            </w:pPr>
          </w:p>
        </w:tc>
      </w:tr>
      <w:tr>
        <w:trPr>
          <w:trHeight w:val="148"/>
        </w:trPr>
        <w:tc>
          <w:tcPr>
            <w:tcW w:w="4060" w:type="dxa"/>
            <w:vAlign w:val="bottom"/>
          </w:tcPr>
          <w:p>
            <w:pPr>
              <w:jc w:val="center"/>
              <w:spacing w:after="0" w:line="149" w:lineRule="exact"/>
              <w:rPr>
                <w:sz w:val="20"/>
                <w:szCs w:val="20"/>
                <w:color w:val="auto"/>
              </w:rPr>
            </w:pPr>
            <w:r>
              <w:rPr>
                <w:rFonts w:ascii="Arial" w:cs="Arial" w:eastAsia="Arial" w:hAnsi="Arial"/>
                <w:sz w:val="14"/>
                <w:szCs w:val="14"/>
                <w:color w:val="auto"/>
                <w:w w:val="90"/>
              </w:rPr>
              <w:t>per share, and three-quarters of one Redeemable Warrant</w:t>
            </w: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60" w:type="dxa"/>
            <w:vAlign w:val="bottom"/>
          </w:tcPr>
          <w:p>
            <w:pPr>
              <w:jc w:val="center"/>
              <w:spacing w:after="0" w:line="149" w:lineRule="exact"/>
              <w:rPr>
                <w:sz w:val="20"/>
                <w:szCs w:val="20"/>
                <w:color w:val="auto"/>
              </w:rPr>
            </w:pPr>
            <w:r>
              <w:rPr>
                <w:rFonts w:ascii="Arial" w:cs="Arial" w:eastAsia="Arial" w:hAnsi="Arial"/>
                <w:sz w:val="14"/>
                <w:szCs w:val="14"/>
                <w:color w:val="auto"/>
                <w:w w:val="92"/>
              </w:rPr>
              <w:t>Common Stock, par value $0.0001 per share, included as part of the</w:t>
            </w: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920" w:type="dxa"/>
            <w:vAlign w:val="bottom"/>
            <w:gridSpan w:val="4"/>
          </w:tcPr>
          <w:p>
            <w:pPr>
              <w:jc w:val="center"/>
              <w:ind w:right="1140"/>
              <w:spacing w:after="0" w:line="149" w:lineRule="exact"/>
              <w:rPr>
                <w:sz w:val="20"/>
                <w:szCs w:val="20"/>
                <w:color w:val="auto"/>
              </w:rPr>
            </w:pPr>
            <w:r>
              <w:rPr>
                <w:rFonts w:ascii="Arial" w:cs="Arial" w:eastAsia="Arial" w:hAnsi="Arial"/>
                <w:sz w:val="14"/>
                <w:szCs w:val="14"/>
                <w:color w:val="auto"/>
                <w:w w:val="95"/>
              </w:rPr>
              <w:t>CNTQ</w:t>
            </w:r>
          </w:p>
        </w:tc>
        <w:tc>
          <w:tcPr>
            <w:tcW w:w="3140" w:type="dxa"/>
            <w:vAlign w:val="bottom"/>
          </w:tcPr>
          <w:p>
            <w:pPr>
              <w:jc w:val="center"/>
              <w:ind w:right="268"/>
              <w:spacing w:after="0" w:line="149" w:lineRule="exact"/>
              <w:rPr>
                <w:sz w:val="20"/>
                <w:szCs w:val="20"/>
                <w:color w:val="auto"/>
              </w:rPr>
            </w:pPr>
            <w:r>
              <w:rPr>
                <w:rFonts w:ascii="Arial" w:cs="Arial" w:eastAsia="Arial" w:hAnsi="Arial"/>
                <w:sz w:val="14"/>
                <w:szCs w:val="14"/>
                <w:color w:val="auto"/>
                <w:w w:val="94"/>
              </w:rPr>
              <w:t>The Nasdaq Stock Market LLC</w:t>
            </w:r>
          </w:p>
        </w:tc>
        <w:tc>
          <w:tcPr>
            <w:tcW w:w="0" w:type="dxa"/>
            <w:vAlign w:val="bottom"/>
          </w:tcPr>
          <w:p>
            <w:pPr>
              <w:spacing w:after="0"/>
              <w:rPr>
                <w:sz w:val="1"/>
                <w:szCs w:val="1"/>
                <w:color w:val="auto"/>
              </w:rPr>
            </w:pPr>
          </w:p>
        </w:tc>
      </w:tr>
      <w:tr>
        <w:trPr>
          <w:trHeight w:val="148"/>
        </w:trPr>
        <w:tc>
          <w:tcPr>
            <w:tcW w:w="4060" w:type="dxa"/>
            <w:vAlign w:val="bottom"/>
          </w:tcPr>
          <w:p>
            <w:pPr>
              <w:jc w:val="center"/>
              <w:spacing w:after="0" w:line="149" w:lineRule="exact"/>
              <w:rPr>
                <w:sz w:val="20"/>
                <w:szCs w:val="20"/>
                <w:color w:val="auto"/>
              </w:rPr>
            </w:pPr>
            <w:r>
              <w:rPr>
                <w:rFonts w:ascii="Arial" w:cs="Arial" w:eastAsia="Arial" w:hAnsi="Arial"/>
                <w:sz w:val="14"/>
                <w:szCs w:val="14"/>
                <w:color w:val="auto"/>
              </w:rPr>
              <w:t>Units</w:t>
            </w: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60" w:type="dxa"/>
            <w:vAlign w:val="bottom"/>
          </w:tcPr>
          <w:p>
            <w:pPr>
              <w:jc w:val="center"/>
              <w:spacing w:after="0" w:line="149" w:lineRule="exact"/>
              <w:rPr>
                <w:sz w:val="20"/>
                <w:szCs w:val="20"/>
                <w:color w:val="auto"/>
              </w:rPr>
            </w:pPr>
            <w:r>
              <w:rPr>
                <w:rFonts w:ascii="Arial" w:cs="Arial" w:eastAsia="Arial" w:hAnsi="Arial"/>
                <w:sz w:val="14"/>
                <w:szCs w:val="14"/>
                <w:color w:val="auto"/>
                <w:w w:val="91"/>
              </w:rPr>
              <w:t>Redeemable Warrants included as part of the Units, each exercisable</w:t>
            </w: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920" w:type="dxa"/>
            <w:vAlign w:val="bottom"/>
            <w:gridSpan w:val="4"/>
          </w:tcPr>
          <w:p>
            <w:pPr>
              <w:jc w:val="center"/>
              <w:ind w:right="1140"/>
              <w:spacing w:after="0" w:line="149" w:lineRule="exact"/>
              <w:rPr>
                <w:sz w:val="20"/>
                <w:szCs w:val="20"/>
                <w:color w:val="auto"/>
              </w:rPr>
            </w:pPr>
            <w:r>
              <w:rPr>
                <w:rFonts w:ascii="Arial" w:cs="Arial" w:eastAsia="Arial" w:hAnsi="Arial"/>
                <w:sz w:val="14"/>
                <w:szCs w:val="14"/>
                <w:color w:val="auto"/>
              </w:rPr>
              <w:t>CNTQW</w:t>
            </w:r>
          </w:p>
        </w:tc>
        <w:tc>
          <w:tcPr>
            <w:tcW w:w="3140" w:type="dxa"/>
            <w:vAlign w:val="bottom"/>
          </w:tcPr>
          <w:p>
            <w:pPr>
              <w:jc w:val="center"/>
              <w:ind w:right="268"/>
              <w:spacing w:after="0" w:line="149" w:lineRule="exact"/>
              <w:rPr>
                <w:sz w:val="20"/>
                <w:szCs w:val="20"/>
                <w:color w:val="auto"/>
              </w:rPr>
            </w:pPr>
            <w:r>
              <w:rPr>
                <w:rFonts w:ascii="Arial" w:cs="Arial" w:eastAsia="Arial" w:hAnsi="Arial"/>
                <w:sz w:val="14"/>
                <w:szCs w:val="14"/>
                <w:color w:val="auto"/>
                <w:w w:val="94"/>
              </w:rPr>
              <w:t>The Nasdaq Stock Market LLC</w:t>
            </w:r>
          </w:p>
        </w:tc>
        <w:tc>
          <w:tcPr>
            <w:tcW w:w="0" w:type="dxa"/>
            <w:vAlign w:val="bottom"/>
          </w:tcPr>
          <w:p>
            <w:pPr>
              <w:spacing w:after="0"/>
              <w:rPr>
                <w:sz w:val="1"/>
                <w:szCs w:val="1"/>
                <w:color w:val="auto"/>
              </w:rPr>
            </w:pPr>
          </w:p>
        </w:tc>
      </w:tr>
      <w:tr>
        <w:trPr>
          <w:trHeight w:val="182"/>
        </w:trPr>
        <w:tc>
          <w:tcPr>
            <w:tcW w:w="4060" w:type="dxa"/>
            <w:vAlign w:val="bottom"/>
          </w:tcPr>
          <w:p>
            <w:pPr>
              <w:jc w:val="center"/>
              <w:spacing w:after="0"/>
              <w:rPr>
                <w:sz w:val="20"/>
                <w:szCs w:val="20"/>
                <w:color w:val="auto"/>
              </w:rPr>
            </w:pPr>
            <w:r>
              <w:rPr>
                <w:rFonts w:ascii="Arial" w:cs="Arial" w:eastAsia="Arial" w:hAnsi="Arial"/>
                <w:sz w:val="14"/>
                <w:szCs w:val="14"/>
                <w:color w:val="auto"/>
                <w:w w:val="92"/>
              </w:rPr>
              <w:t>for one share of Common Stock for $11.50 per share</w:t>
            </w: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47" w:lineRule="exact"/>
        <w:rPr>
          <w:sz w:val="24"/>
          <w:szCs w:val="24"/>
          <w:color w:val="auto"/>
        </w:rPr>
      </w:pPr>
    </w:p>
    <w:p>
      <w:pPr>
        <w:jc w:val="both"/>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5" w:lineRule="exact"/>
        <w:rPr>
          <w:sz w:val="24"/>
          <w:szCs w:val="24"/>
          <w:color w:val="auto"/>
        </w:rPr>
      </w:pPr>
    </w:p>
    <w:p>
      <w:pPr>
        <w:jc w:val="both"/>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(Section 232.405 of this chapter) during the preceding 12 months (or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5" w:lineRule="exact"/>
        <w:rPr>
          <w:sz w:val="24"/>
          <w:szCs w:val="24"/>
          <w:color w:val="auto"/>
        </w:rPr>
      </w:pPr>
    </w:p>
    <w:p>
      <w:pPr>
        <w:jc w:val="both"/>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20"/>
          </w:cols>
          <w:pgMar w:left="980" w:top="665" w:right="999" w:bottom="1440" w:gutter="0" w:footer="0" w:header="0"/>
        </w:sectPr>
      </w:pPr>
    </w:p>
    <w:p>
      <w:pPr>
        <w:spacing w:after="0" w:line="47"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76" w:lineRule="exact"/>
        <w:rPr>
          <w:sz w:val="24"/>
          <w:szCs w:val="24"/>
          <w:color w:val="auto"/>
        </w:rPr>
      </w:pPr>
    </w:p>
    <w:p>
      <w:pPr>
        <w:sectPr>
          <w:pgSz w:w="11900" w:h="16838" w:orient="portrait"/>
          <w:cols w:equalWidth="0" w:num="2">
            <w:col w:w="3760" w:space="720"/>
            <w:col w:w="5440"/>
          </w:cols>
          <w:pgMar w:left="980" w:top="665" w:right="999" w:bottom="1440" w:gutter="0" w:footer="0" w:header="0"/>
          <w:type w:val="continuous"/>
        </w:sectPr>
      </w:pPr>
    </w:p>
    <w:p>
      <w:pPr>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15"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82" w:lineRule="exact"/>
        <w:rPr>
          <w:sz w:val="24"/>
          <w:szCs w:val="24"/>
          <w:color w:val="auto"/>
        </w:rPr>
      </w:pPr>
    </w:p>
    <w:p>
      <w:pPr>
        <w:sectPr>
          <w:pgSz w:w="11900" w:h="16838" w:orient="portrait"/>
          <w:cols w:equalWidth="0" w:num="2">
            <w:col w:w="3760" w:space="720"/>
            <w:col w:w="5440"/>
          </w:cols>
          <w:pgMar w:left="980" w:top="665" w:right="999" w:bottom="1440" w:gutter="0" w:footer="0" w:header="0"/>
          <w:type w:val="continuous"/>
        </w:sectPr>
      </w:pPr>
    </w:p>
    <w:p>
      <w:pPr>
        <w:ind w:right="2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As of August 11, 2022, there were 15,812,500 shares of the registrant’s common stock, par value $0.0001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475615</wp:posOffset>
            </wp:positionV>
            <wp:extent cx="629221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55245</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89535</wp:posOffset>
            </wp:positionV>
            <wp:extent cx="629221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020" w:type="dxa"/>
            <w:vAlign w:val="bottom"/>
            <w:gridSpan w:val="27"/>
          </w:tcPr>
          <w:p>
            <w:pPr>
              <w:spacing w:after="0"/>
              <w:rPr>
                <w:sz w:val="20"/>
                <w:szCs w:val="20"/>
                <w:color w:val="auto"/>
              </w:rPr>
            </w:pPr>
            <w:r>
              <w:rPr>
                <w:rFonts w:ascii="Arial" w:cs="Arial" w:eastAsia="Arial" w:hAnsi="Arial"/>
                <w:sz w:val="18"/>
                <w:szCs w:val="18"/>
                <w:color w:val="0000EE"/>
              </w:rPr>
              <w:t>Table of Contents</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8"/>
        </w:trPr>
        <w:tc>
          <w:tcPr>
            <w:tcW w:w="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180" w:type="dxa"/>
            <w:vAlign w:val="bottom"/>
            <w:gridSpan w:val="13"/>
          </w:tcPr>
          <w:p>
            <w:pPr>
              <w:jc w:val="center"/>
              <w:ind w:right="1940"/>
              <w:spacing w:after="0"/>
              <w:rPr>
                <w:sz w:val="20"/>
                <w:szCs w:val="20"/>
                <w:color w:val="auto"/>
              </w:rPr>
            </w:pPr>
            <w:r>
              <w:rPr>
                <w:rFonts w:ascii="Arial" w:cs="Arial" w:eastAsia="Arial" w:hAnsi="Arial"/>
                <w:sz w:val="18"/>
                <w:szCs w:val="18"/>
                <w:b w:val="1"/>
                <w:bCs w:val="1"/>
                <w:color w:val="auto"/>
              </w:rPr>
              <w:t>CHARDAN NEXTECH ACQUISITION 2 CORP.</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580" w:type="dxa"/>
            <w:vAlign w:val="bottom"/>
            <w:gridSpan w:val="10"/>
          </w:tcPr>
          <w:p>
            <w:pPr>
              <w:jc w:val="center"/>
              <w:ind w:right="2540"/>
              <w:spacing w:after="0"/>
              <w:rPr>
                <w:sz w:val="20"/>
                <w:szCs w:val="20"/>
                <w:color w:val="auto"/>
              </w:rPr>
            </w:pPr>
            <w:r>
              <w:rPr>
                <w:rFonts w:ascii="Arial" w:cs="Arial" w:eastAsia="Arial" w:hAnsi="Arial"/>
                <w:sz w:val="18"/>
                <w:szCs w:val="18"/>
                <w:b w:val="1"/>
                <w:bCs w:val="1"/>
                <w:color w:val="auto"/>
                <w:w w:val="98"/>
              </w:rPr>
              <w:t>TABLE OF CONTENTS</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gridSpan w:val="2"/>
          </w:tcPr>
          <w:p>
            <w:pPr>
              <w:ind w:left="2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9000" w:type="dxa"/>
            <w:vAlign w:val="bottom"/>
            <w:tcBorders>
              <w:top w:val="single" w:sz="8" w:color="CCEEFF"/>
            </w:tcBorders>
            <w:gridSpan w:val="26"/>
            <w:shd w:val="clear" w:color="auto" w:fill="CCEEFF"/>
          </w:tcPr>
          <w:p>
            <w:pPr>
              <w:spacing w:after="0" w:line="169" w:lineRule="exact"/>
              <w:rPr>
                <w:sz w:val="20"/>
                <w:szCs w:val="20"/>
                <w:color w:val="auto"/>
              </w:rPr>
            </w:pPr>
            <w:r>
              <w:rPr>
                <w:rFonts w:ascii="Arial" w:cs="Arial" w:eastAsia="Arial" w:hAnsi="Arial"/>
                <w:sz w:val="18"/>
                <w:szCs w:val="18"/>
                <w:b w:val="1"/>
                <w:bCs w:val="1"/>
                <w:color w:val="0000EE"/>
              </w:rPr>
              <w:t>PART 1 - FINANCIAL INFORMATION</w:t>
            </w:r>
          </w:p>
        </w:tc>
        <w:tc>
          <w:tcPr>
            <w:tcW w:w="90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gridSpan w:val="2"/>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Item 1.</w:t>
            </w:r>
          </w:p>
        </w:tc>
        <w:tc>
          <w:tcPr>
            <w:tcW w:w="8280" w:type="dxa"/>
            <w:vAlign w:val="bottom"/>
            <w:gridSpan w:val="23"/>
            <w:shd w:val="clear" w:color="auto" w:fill="CCEEFF"/>
          </w:tcPr>
          <w:p>
            <w:pPr>
              <w:ind w:left="100"/>
              <w:spacing w:after="0" w:line="176" w:lineRule="exact"/>
              <w:rPr>
                <w:sz w:val="20"/>
                <w:szCs w:val="20"/>
                <w:color w:val="auto"/>
              </w:rPr>
            </w:pPr>
            <w:r>
              <w:rPr>
                <w:rFonts w:ascii="Arial" w:cs="Arial" w:eastAsia="Arial" w:hAnsi="Arial"/>
                <w:sz w:val="18"/>
                <w:szCs w:val="18"/>
                <w:color w:val="0000EE"/>
              </w:rPr>
              <w:t>CONDENSED FINANCIAL STATEMENTS (UNAUDITED)</w:t>
            </w:r>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gridSpan w:val="2"/>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80" w:type="dxa"/>
            <w:vAlign w:val="bottom"/>
            <w:gridSpan w:val="23"/>
            <w:shd w:val="clear" w:color="auto" w:fill="CCEEFF"/>
          </w:tcPr>
          <w:p>
            <w:pPr>
              <w:ind w:left="100"/>
              <w:spacing w:after="0" w:line="176" w:lineRule="exact"/>
              <w:rPr>
                <w:sz w:val="20"/>
                <w:szCs w:val="20"/>
                <w:color w:val="auto"/>
              </w:rPr>
            </w:pPr>
            <w:r>
              <w:rPr>
                <w:rFonts w:ascii="Arial" w:cs="Arial" w:eastAsia="Arial" w:hAnsi="Arial"/>
                <w:sz w:val="18"/>
                <w:szCs w:val="18"/>
                <w:color w:val="0000EE"/>
              </w:rPr>
              <w:t>Condensed Balance Sheets as of June 30, 2022 (unaudited) and December 31, 2021</w:t>
            </w: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gridSpan w:val="2"/>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80" w:type="dxa"/>
            <w:vAlign w:val="bottom"/>
            <w:gridSpan w:val="23"/>
            <w:shd w:val="clear" w:color="auto" w:fill="CCEEFF"/>
          </w:tcPr>
          <w:p>
            <w:pPr>
              <w:ind w:left="100"/>
              <w:spacing w:after="0" w:line="176" w:lineRule="exact"/>
              <w:rPr>
                <w:sz w:val="20"/>
                <w:szCs w:val="20"/>
                <w:color w:val="auto"/>
              </w:rPr>
            </w:pPr>
            <w:r>
              <w:rPr>
                <w:rFonts w:ascii="Arial" w:cs="Arial" w:eastAsia="Arial" w:hAnsi="Arial"/>
                <w:sz w:val="18"/>
                <w:szCs w:val="18"/>
                <w:color w:val="0000EE"/>
                <w:w w:val="93"/>
              </w:rPr>
              <w:t>Unaudited Condensed Statements of Operations for the three and six months ended June 30, 2022 and 2021</w:t>
            </w: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gridSpan w:val="2"/>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780" w:type="dxa"/>
            <w:vAlign w:val="bottom"/>
            <w:tcBorders>
              <w:bottom w:val="single" w:sz="8" w:color="0000EE"/>
            </w:tcBorders>
            <w:gridSpan w:val="21"/>
            <w:shd w:val="clear" w:color="auto" w:fill="CCEEFF"/>
          </w:tcPr>
          <w:p>
            <w:pPr>
              <w:spacing w:after="0" w:line="176" w:lineRule="exact"/>
              <w:rPr>
                <w:sz w:val="20"/>
                <w:szCs w:val="20"/>
                <w:color w:val="auto"/>
              </w:rPr>
            </w:pPr>
            <w:r>
              <w:rPr>
                <w:rFonts w:ascii="Arial" w:cs="Arial" w:eastAsia="Arial" w:hAnsi="Arial"/>
                <w:sz w:val="18"/>
                <w:szCs w:val="18"/>
                <w:color w:val="0000EE"/>
                <w:w w:val="90"/>
              </w:rPr>
              <w:t>Unaudited Condensed Statements of Changes in Stockholders’ (Deficit) Equity for the three and six months</w:t>
            </w:r>
          </w:p>
        </w:tc>
        <w:tc>
          <w:tcPr>
            <w:tcW w:w="4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180" w:type="dxa"/>
            <w:vAlign w:val="bottom"/>
            <w:gridSpan w:val="22"/>
            <w:shd w:val="clear" w:color="auto" w:fill="CCEEFF"/>
          </w:tcPr>
          <w:p>
            <w:pPr>
              <w:ind w:left="140"/>
              <w:spacing w:after="0" w:line="196" w:lineRule="exact"/>
              <w:rPr>
                <w:sz w:val="20"/>
                <w:szCs w:val="20"/>
                <w:color w:val="auto"/>
              </w:rPr>
            </w:pPr>
            <w:r>
              <w:rPr>
                <w:rFonts w:ascii="Arial" w:cs="Arial" w:eastAsia="Arial" w:hAnsi="Arial"/>
                <w:sz w:val="18"/>
                <w:szCs w:val="18"/>
                <w:color w:val="0000EE"/>
              </w:rPr>
              <w:t>ended June 30, 2022 and 2021</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gridSpan w:val="2"/>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80" w:type="dxa"/>
            <w:vAlign w:val="bottom"/>
            <w:gridSpan w:val="23"/>
            <w:shd w:val="clear" w:color="auto" w:fill="CCEEFF"/>
          </w:tcPr>
          <w:p>
            <w:pPr>
              <w:ind w:left="100"/>
              <w:spacing w:after="0" w:line="176" w:lineRule="exact"/>
              <w:rPr>
                <w:sz w:val="20"/>
                <w:szCs w:val="20"/>
                <w:color w:val="auto"/>
              </w:rPr>
            </w:pPr>
            <w:r>
              <w:rPr>
                <w:rFonts w:ascii="Arial" w:cs="Arial" w:eastAsia="Arial" w:hAnsi="Arial"/>
                <w:sz w:val="18"/>
                <w:szCs w:val="18"/>
                <w:color w:val="0000EE"/>
              </w:rPr>
              <w:t>Unaudited Condensed Statements of Cash Flows for the six months ended June 30, 2022 and 2021</w:t>
            </w: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gridSpan w:val="2"/>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80" w:type="dxa"/>
            <w:vAlign w:val="bottom"/>
            <w:gridSpan w:val="23"/>
            <w:shd w:val="clear" w:color="auto" w:fill="CCEEFF"/>
          </w:tcPr>
          <w:p>
            <w:pPr>
              <w:ind w:left="100"/>
              <w:spacing w:after="0" w:line="176" w:lineRule="exact"/>
              <w:rPr>
                <w:sz w:val="20"/>
                <w:szCs w:val="20"/>
                <w:color w:val="auto"/>
              </w:rPr>
            </w:pPr>
            <w:r>
              <w:rPr>
                <w:rFonts w:ascii="Arial" w:cs="Arial" w:eastAsia="Arial" w:hAnsi="Arial"/>
                <w:sz w:val="18"/>
                <w:szCs w:val="18"/>
                <w:color w:val="0000EE"/>
              </w:rPr>
              <w:t>Notes to Unaudited Condensed Financial Statements</w:t>
            </w: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gridSpan w:val="2"/>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tcBorders>
              <w:bottom w:val="single" w:sz="8" w:color="0000EE"/>
            </w:tcBorders>
            <w:shd w:val="clear" w:color="auto" w:fill="CCEEFF"/>
          </w:tcPr>
          <w:p>
            <w:pPr>
              <w:spacing w:after="0" w:line="176" w:lineRule="exact"/>
              <w:rPr>
                <w:sz w:val="20"/>
                <w:szCs w:val="20"/>
                <w:color w:val="auto"/>
              </w:rPr>
            </w:pPr>
            <w:r>
              <w:rPr>
                <w:rFonts w:ascii="Arial" w:cs="Arial" w:eastAsia="Arial" w:hAnsi="Arial"/>
                <w:sz w:val="18"/>
                <w:szCs w:val="18"/>
                <w:color w:val="0000EE"/>
                <w:w w:val="87"/>
              </w:rPr>
              <w:t>Item 2.</w:t>
            </w:r>
          </w:p>
        </w:tc>
        <w:tc>
          <w:tcPr>
            <w:tcW w:w="220" w:type="dxa"/>
            <w:vAlign w:val="bottom"/>
            <w:tcBorders>
              <w:bottom w:val="single" w:sz="8" w:color="CCEEFF"/>
            </w:tcBorders>
            <w:gridSpan w:val="2"/>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780" w:type="dxa"/>
            <w:vAlign w:val="bottom"/>
            <w:tcBorders>
              <w:bottom w:val="single" w:sz="8" w:color="0000EE"/>
            </w:tcBorders>
            <w:gridSpan w:val="21"/>
            <w:shd w:val="clear" w:color="auto" w:fill="CCEEFF"/>
          </w:tcPr>
          <w:p>
            <w:pPr>
              <w:spacing w:after="0" w:line="176" w:lineRule="exact"/>
              <w:rPr>
                <w:sz w:val="20"/>
                <w:szCs w:val="20"/>
                <w:color w:val="auto"/>
              </w:rPr>
            </w:pPr>
            <w:r>
              <w:rPr>
                <w:rFonts w:ascii="Arial" w:cs="Arial" w:eastAsia="Arial" w:hAnsi="Arial"/>
                <w:sz w:val="18"/>
                <w:szCs w:val="18"/>
                <w:color w:val="0000EE"/>
                <w:w w:val="97"/>
              </w:rPr>
              <w:t>MANAGEMENT’S DISCUSSION AND ANALYSIS OF FINANCIAL CONDITION AND RESULTS OF</w:t>
            </w:r>
          </w:p>
        </w:tc>
        <w:tc>
          <w:tcPr>
            <w:tcW w:w="4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180" w:type="dxa"/>
            <w:vAlign w:val="bottom"/>
            <w:gridSpan w:val="22"/>
            <w:shd w:val="clear" w:color="auto" w:fill="CCEEFF"/>
          </w:tcPr>
          <w:p>
            <w:pPr>
              <w:ind w:left="140"/>
              <w:spacing w:after="0" w:line="196" w:lineRule="exact"/>
              <w:rPr>
                <w:sz w:val="20"/>
                <w:szCs w:val="20"/>
                <w:color w:val="auto"/>
              </w:rPr>
            </w:pPr>
            <w:r>
              <w:rPr>
                <w:rFonts w:ascii="Arial" w:cs="Arial" w:eastAsia="Arial" w:hAnsi="Arial"/>
                <w:sz w:val="18"/>
                <w:szCs w:val="18"/>
                <w:color w:val="0000EE"/>
              </w:rPr>
              <w:t>OPERATIONS</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gridSpan w:val="2"/>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Item 3.</w:t>
            </w:r>
          </w:p>
        </w:tc>
        <w:tc>
          <w:tcPr>
            <w:tcW w:w="8280" w:type="dxa"/>
            <w:vAlign w:val="bottom"/>
            <w:gridSpan w:val="23"/>
            <w:shd w:val="clear" w:color="auto" w:fill="CCEEFF"/>
          </w:tcPr>
          <w:p>
            <w:pPr>
              <w:ind w:left="100"/>
              <w:spacing w:after="0" w:line="176" w:lineRule="exact"/>
              <w:rPr>
                <w:sz w:val="20"/>
                <w:szCs w:val="20"/>
                <w:color w:val="auto"/>
              </w:rPr>
            </w:pPr>
            <w:r>
              <w:rPr>
                <w:rFonts w:ascii="Arial" w:cs="Arial" w:eastAsia="Arial" w:hAnsi="Arial"/>
                <w:sz w:val="18"/>
                <w:szCs w:val="18"/>
                <w:color w:val="0000EE"/>
              </w:rPr>
              <w:t>QUANTITATIVE AND QUALITATIVE DISCLOSURES ABOUT MARKET RISK</w:t>
            </w: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gridSpan w:val="2"/>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Item 4.</w:t>
            </w:r>
          </w:p>
        </w:tc>
        <w:tc>
          <w:tcPr>
            <w:tcW w:w="8280" w:type="dxa"/>
            <w:vAlign w:val="bottom"/>
            <w:gridSpan w:val="23"/>
            <w:shd w:val="clear" w:color="auto" w:fill="CCEEFF"/>
          </w:tcPr>
          <w:p>
            <w:pPr>
              <w:ind w:left="100"/>
              <w:spacing w:after="0" w:line="176" w:lineRule="exact"/>
              <w:rPr>
                <w:sz w:val="20"/>
                <w:szCs w:val="20"/>
                <w:color w:val="auto"/>
              </w:rPr>
            </w:pPr>
            <w:r>
              <w:rPr>
                <w:rFonts w:ascii="Arial" w:cs="Arial" w:eastAsia="Arial" w:hAnsi="Arial"/>
                <w:sz w:val="18"/>
                <w:szCs w:val="18"/>
                <w:color w:val="0000EE"/>
              </w:rPr>
              <w:t>CONTROLS AND PROCEDURES</w:t>
            </w: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gridSpan w:val="2"/>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gridSpan w:val="2"/>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0" w:type="dxa"/>
            <w:vAlign w:val="bottom"/>
            <w:gridSpan w:val="26"/>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PART II - OTHER INFORMATION</w:t>
            </w:r>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gridSpan w:val="2"/>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Item 1.</w:t>
            </w:r>
          </w:p>
        </w:tc>
        <w:tc>
          <w:tcPr>
            <w:tcW w:w="8280" w:type="dxa"/>
            <w:vAlign w:val="bottom"/>
            <w:gridSpan w:val="23"/>
            <w:shd w:val="clear" w:color="auto" w:fill="CCEEFF"/>
          </w:tcPr>
          <w:p>
            <w:pPr>
              <w:ind w:left="100"/>
              <w:spacing w:after="0" w:line="176" w:lineRule="exact"/>
              <w:rPr>
                <w:sz w:val="20"/>
                <w:szCs w:val="20"/>
                <w:color w:val="auto"/>
              </w:rPr>
            </w:pPr>
            <w:r>
              <w:rPr>
                <w:rFonts w:ascii="Arial" w:cs="Arial" w:eastAsia="Arial" w:hAnsi="Arial"/>
                <w:sz w:val="18"/>
                <w:szCs w:val="18"/>
                <w:color w:val="0000EE"/>
              </w:rPr>
              <w:t>LEGAL PROCEEDINGS</w:t>
            </w: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gridSpan w:val="2"/>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Item 1A.</w:t>
            </w:r>
          </w:p>
        </w:tc>
        <w:tc>
          <w:tcPr>
            <w:tcW w:w="8280" w:type="dxa"/>
            <w:vAlign w:val="bottom"/>
            <w:gridSpan w:val="23"/>
            <w:shd w:val="clear" w:color="auto" w:fill="CCEEFF"/>
          </w:tcPr>
          <w:p>
            <w:pPr>
              <w:ind w:left="100"/>
              <w:spacing w:after="0" w:line="176" w:lineRule="exact"/>
              <w:rPr>
                <w:sz w:val="20"/>
                <w:szCs w:val="20"/>
                <w:color w:val="auto"/>
              </w:rPr>
            </w:pPr>
            <w:r>
              <w:rPr>
                <w:rFonts w:ascii="Arial" w:cs="Arial" w:eastAsia="Arial" w:hAnsi="Arial"/>
                <w:sz w:val="18"/>
                <w:szCs w:val="18"/>
                <w:color w:val="0000EE"/>
              </w:rPr>
              <w:t>RISK FACTORS</w:t>
            </w: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gridSpan w:val="2"/>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Item 2.</w:t>
            </w:r>
          </w:p>
        </w:tc>
        <w:tc>
          <w:tcPr>
            <w:tcW w:w="8280" w:type="dxa"/>
            <w:vAlign w:val="bottom"/>
            <w:gridSpan w:val="23"/>
            <w:shd w:val="clear" w:color="auto" w:fill="CCEEFF"/>
          </w:tcPr>
          <w:p>
            <w:pPr>
              <w:ind w:left="100"/>
              <w:spacing w:after="0" w:line="176" w:lineRule="exact"/>
              <w:rPr>
                <w:sz w:val="20"/>
                <w:szCs w:val="20"/>
                <w:color w:val="auto"/>
              </w:rPr>
            </w:pPr>
            <w:r>
              <w:rPr>
                <w:rFonts w:ascii="Arial" w:cs="Arial" w:eastAsia="Arial" w:hAnsi="Arial"/>
                <w:sz w:val="18"/>
                <w:szCs w:val="18"/>
                <w:color w:val="0000EE"/>
              </w:rPr>
              <w:t>UNREGISTERED SALES OF EQUITY SECURITIES AND USE OF PROCEEDS</w:t>
            </w: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gridSpan w:val="2"/>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Item 3.</w:t>
            </w:r>
          </w:p>
        </w:tc>
        <w:tc>
          <w:tcPr>
            <w:tcW w:w="8280" w:type="dxa"/>
            <w:vAlign w:val="bottom"/>
            <w:gridSpan w:val="23"/>
            <w:shd w:val="clear" w:color="auto" w:fill="CCEEFF"/>
          </w:tcPr>
          <w:p>
            <w:pPr>
              <w:ind w:left="100"/>
              <w:spacing w:after="0" w:line="176" w:lineRule="exact"/>
              <w:rPr>
                <w:sz w:val="20"/>
                <w:szCs w:val="20"/>
                <w:color w:val="auto"/>
              </w:rPr>
            </w:pPr>
            <w:r>
              <w:rPr>
                <w:rFonts w:ascii="Arial" w:cs="Arial" w:eastAsia="Arial" w:hAnsi="Arial"/>
                <w:sz w:val="18"/>
                <w:szCs w:val="18"/>
                <w:color w:val="0000EE"/>
              </w:rPr>
              <w:t>DEFAULTS UPON SENIOR SECURITIES</w:t>
            </w: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gridSpan w:val="2"/>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Item 4.</w:t>
            </w:r>
          </w:p>
        </w:tc>
        <w:tc>
          <w:tcPr>
            <w:tcW w:w="8280" w:type="dxa"/>
            <w:vAlign w:val="bottom"/>
            <w:gridSpan w:val="23"/>
            <w:shd w:val="clear" w:color="auto" w:fill="CCEEFF"/>
          </w:tcPr>
          <w:p>
            <w:pPr>
              <w:ind w:left="100"/>
              <w:spacing w:after="0" w:line="176" w:lineRule="exact"/>
              <w:rPr>
                <w:sz w:val="20"/>
                <w:szCs w:val="20"/>
                <w:color w:val="auto"/>
              </w:rPr>
            </w:pPr>
            <w:r>
              <w:rPr>
                <w:rFonts w:ascii="Arial" w:cs="Arial" w:eastAsia="Arial" w:hAnsi="Arial"/>
                <w:sz w:val="18"/>
                <w:szCs w:val="18"/>
                <w:color w:val="0000EE"/>
              </w:rPr>
              <w:t>MINE SAFETY DISCLOSURES</w:t>
            </w: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gridSpan w:val="2"/>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Item 5.</w:t>
            </w:r>
          </w:p>
        </w:tc>
        <w:tc>
          <w:tcPr>
            <w:tcW w:w="8280" w:type="dxa"/>
            <w:vAlign w:val="bottom"/>
            <w:gridSpan w:val="23"/>
            <w:shd w:val="clear" w:color="auto" w:fill="CCEEFF"/>
          </w:tcPr>
          <w:p>
            <w:pPr>
              <w:ind w:left="100"/>
              <w:spacing w:after="0" w:line="176" w:lineRule="exact"/>
              <w:rPr>
                <w:sz w:val="20"/>
                <w:szCs w:val="20"/>
                <w:color w:val="auto"/>
              </w:rPr>
            </w:pPr>
            <w:r>
              <w:rPr>
                <w:rFonts w:ascii="Arial" w:cs="Arial" w:eastAsia="Arial" w:hAnsi="Arial"/>
                <w:sz w:val="18"/>
                <w:szCs w:val="18"/>
                <w:color w:val="0000EE"/>
              </w:rPr>
              <w:t>OTHER INFORMATION</w:t>
            </w: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gridSpan w:val="2"/>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Item 6.</w:t>
            </w:r>
          </w:p>
        </w:tc>
        <w:tc>
          <w:tcPr>
            <w:tcW w:w="8280" w:type="dxa"/>
            <w:vAlign w:val="bottom"/>
            <w:gridSpan w:val="23"/>
            <w:shd w:val="clear" w:color="auto" w:fill="CCEEFF"/>
          </w:tcPr>
          <w:p>
            <w:pPr>
              <w:ind w:left="100"/>
              <w:spacing w:after="0" w:line="176" w:lineRule="exact"/>
              <w:rPr>
                <w:sz w:val="20"/>
                <w:szCs w:val="20"/>
                <w:color w:val="auto"/>
              </w:rPr>
            </w:pPr>
            <w:r>
              <w:rPr>
                <w:rFonts w:ascii="Arial" w:cs="Arial" w:eastAsia="Arial" w:hAnsi="Arial"/>
                <w:sz w:val="18"/>
                <w:szCs w:val="18"/>
                <w:color w:val="0000EE"/>
              </w:rPr>
              <w:t>EXHIBITS</w:t>
            </w: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gridSpan w:val="2"/>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gridSpan w:val="2"/>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0" w:type="dxa"/>
            <w:vAlign w:val="bottom"/>
            <w:gridSpan w:val="26"/>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SIGNATURES</w:t>
            </w: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22"/>
        </w:trPr>
        <w:tc>
          <w:tcPr>
            <w:tcW w:w="20" w:type="dxa"/>
            <w:vAlign w:val="bottom"/>
            <w:tcBorders>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6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CCEEFF"/>
              <w:bottom w:val="single" w:sz="8" w:color="auto"/>
            </w:tcBorders>
          </w:tcPr>
          <w:p>
            <w:pPr>
              <w:spacing w:after="0"/>
              <w:rPr>
                <w:sz w:val="24"/>
                <w:szCs w:val="24"/>
                <w:color w:val="auto"/>
              </w:rPr>
            </w:pPr>
          </w:p>
        </w:tc>
        <w:tc>
          <w:tcPr>
            <w:tcW w:w="720" w:type="dxa"/>
            <w:vAlign w:val="bottom"/>
            <w:tcBorders>
              <w:top w:val="single" w:sz="8" w:color="CCEEFF"/>
              <w:bottom w:val="single" w:sz="8" w:color="auto"/>
            </w:tcBorders>
          </w:tcPr>
          <w:p>
            <w:pPr>
              <w:spacing w:after="0"/>
              <w:rPr>
                <w:sz w:val="24"/>
                <w:szCs w:val="24"/>
                <w:color w:val="auto"/>
              </w:rPr>
            </w:pPr>
          </w:p>
        </w:tc>
        <w:tc>
          <w:tcPr>
            <w:tcW w:w="150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960" w:type="dxa"/>
            <w:vAlign w:val="bottom"/>
            <w:tcBorders>
              <w:top w:val="single" w:sz="8" w:color="CCEEFF"/>
              <w:bottom w:val="single" w:sz="8" w:color="auto"/>
            </w:tcBorders>
          </w:tcPr>
          <w:p>
            <w:pPr>
              <w:spacing w:after="0"/>
              <w:rPr>
                <w:sz w:val="24"/>
                <w:szCs w:val="24"/>
                <w:color w:val="auto"/>
              </w:rPr>
            </w:pPr>
          </w:p>
        </w:tc>
        <w:tc>
          <w:tcPr>
            <w:tcW w:w="66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900" w:type="dxa"/>
            <w:vAlign w:val="bottom"/>
            <w:tcBorders>
              <w:top w:val="single" w:sz="8" w:color="CCEEFF"/>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48" w:right="99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FINANCIAL STATEMENTS (UNAUDITED)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June 30,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ind w:right="112"/>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6"/>
              </w:rPr>
              <w:t>2022</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ind w:right="73"/>
              <w:spacing w:after="0" w:line="142" w:lineRule="exact"/>
              <w:rPr>
                <w:sz w:val="20"/>
                <w:szCs w:val="20"/>
                <w:color w:val="auto"/>
              </w:rPr>
            </w:pPr>
            <w:r>
              <w:rPr>
                <w:rFonts w:ascii="Arial" w:cs="Arial" w:eastAsia="Arial" w:hAnsi="Arial"/>
                <w:sz w:val="14"/>
                <w:szCs w:val="14"/>
                <w:color w:val="auto"/>
                <w:w w:val="95"/>
              </w:rPr>
              <w:t>(Unaudited)</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Cash</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349,716</w:t>
            </w:r>
          </w:p>
        </w:tc>
        <w:tc>
          <w:tcPr>
            <w:tcW w:w="2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799,808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230,751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302,590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Pr>
          <w:p>
            <w:pPr>
              <w:ind w:left="10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580,467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1,102,398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Investments held in Trust Account</w:t>
            </w: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128,610,697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128,421,215</w:t>
            </w:r>
          </w:p>
        </w:tc>
        <w:tc>
          <w:tcPr>
            <w:tcW w:w="0" w:type="dxa"/>
            <w:vAlign w:val="bottom"/>
          </w:tcPr>
          <w:p>
            <w:pPr>
              <w:spacing w:after="0"/>
              <w:rPr>
                <w:sz w:val="1"/>
                <w:szCs w:val="1"/>
                <w:color w:val="auto"/>
              </w:rPr>
            </w:pPr>
          </w:p>
        </w:tc>
      </w:tr>
      <w:tr>
        <w:trPr>
          <w:trHeight w:val="249"/>
        </w:trPr>
        <w:tc>
          <w:tcPr>
            <w:tcW w:w="734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129,191,164</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129,523,613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320" w:type="dxa"/>
            <w:vAlign w:val="bottom"/>
          </w:tcPr>
          <w:p>
            <w:pPr>
              <w:spacing w:after="0" w:line="198" w:lineRule="exact"/>
              <w:rPr>
                <w:sz w:val="20"/>
                <w:szCs w:val="20"/>
                <w:color w:val="auto"/>
              </w:rPr>
            </w:pPr>
            <w:r>
              <w:rPr>
                <w:rFonts w:ascii="Arial" w:cs="Arial" w:eastAsia="Arial" w:hAnsi="Arial"/>
                <w:sz w:val="18"/>
                <w:szCs w:val="18"/>
                <w:b w:val="1"/>
                <w:bCs w:val="1"/>
                <w:color w:val="auto"/>
              </w:rPr>
              <w:t>LIABILITIES, COMMON STOCK SUBJECT TO POSSIBLE REDEMPTION AND</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20" w:type="dxa"/>
            <w:vAlign w:val="bottom"/>
          </w:tcPr>
          <w:p>
            <w:pPr>
              <w:ind w:left="120"/>
              <w:spacing w:after="0"/>
              <w:rPr>
                <w:sz w:val="20"/>
                <w:szCs w:val="20"/>
                <w:color w:val="auto"/>
              </w:rPr>
            </w:pPr>
            <w:r>
              <w:rPr>
                <w:rFonts w:ascii="Arial" w:cs="Arial" w:eastAsia="Arial" w:hAnsi="Arial"/>
                <w:sz w:val="18"/>
                <w:szCs w:val="18"/>
                <w:b w:val="1"/>
                <w:bCs w:val="1"/>
                <w:color w:val="auto"/>
              </w:rPr>
              <w:t>STOCKHOLDERS' DEFICIT</w:t>
            </w: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10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50,470</w:t>
            </w:r>
          </w:p>
        </w:tc>
        <w:tc>
          <w:tcPr>
            <w:tcW w:w="2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expenses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166,750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Franchise tax payable</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317,220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Warrant liabilities</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879,293</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2,036,258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1,196,513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2,150,469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20" w:type="dxa"/>
            <w:vAlign w:val="bottom"/>
          </w:tcPr>
          <w:p>
            <w:pPr>
              <w:spacing w:after="0" w:line="201" w:lineRule="exact"/>
              <w:rPr>
                <w:sz w:val="20"/>
                <w:szCs w:val="20"/>
                <w:color w:val="auto"/>
              </w:rPr>
            </w:pPr>
            <w:r>
              <w:rPr>
                <w:rFonts w:ascii="Arial" w:cs="Arial" w:eastAsia="Arial" w:hAnsi="Arial"/>
                <w:sz w:val="18"/>
                <w:szCs w:val="18"/>
                <w:color w:val="auto"/>
                <w:w w:val="92"/>
              </w:rPr>
              <w:t>Common stock, $0.0001 par value; 12,650,000 and 0 shares at redemption value of $10.15 at June</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20" w:type="dxa"/>
            <w:vAlign w:val="bottom"/>
          </w:tcPr>
          <w:p>
            <w:pPr>
              <w:ind w:left="120"/>
              <w:spacing w:after="0"/>
              <w:rPr>
                <w:sz w:val="20"/>
                <w:szCs w:val="20"/>
                <w:color w:val="auto"/>
              </w:rPr>
            </w:pPr>
            <w:r>
              <w:rPr>
                <w:rFonts w:ascii="Arial" w:cs="Arial" w:eastAsia="Arial" w:hAnsi="Arial"/>
                <w:sz w:val="18"/>
                <w:szCs w:val="18"/>
                <w:color w:val="auto"/>
              </w:rPr>
              <w:t>30, 2022 and December 31, 2021, respectively</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3"/>
              </w:rPr>
              <w:t>128,397,500</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w w:val="97"/>
              </w:rPr>
              <w:t>128,397,500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b w:val="1"/>
                <w:bCs w:val="1"/>
                <w:color w:val="auto"/>
              </w:rPr>
              <w:t>Stockholders' Deficit</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2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4"/>
              </w:rPr>
              <w:t>Preferred stock, $0.0001 par value; 1,000,000 shares authorized; none issued or outstanding at</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June 30, 2022 and December 31, 2021</w:t>
            </w: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20" w:type="dxa"/>
            <w:vAlign w:val="bottom"/>
          </w:tcPr>
          <w:p>
            <w:pPr>
              <w:ind w:left="100"/>
              <w:spacing w:after="0" w:line="201" w:lineRule="exact"/>
              <w:rPr>
                <w:sz w:val="20"/>
                <w:szCs w:val="20"/>
                <w:color w:val="auto"/>
              </w:rPr>
            </w:pPr>
            <w:r>
              <w:rPr>
                <w:rFonts w:ascii="Arial" w:cs="Arial" w:eastAsia="Arial" w:hAnsi="Arial"/>
                <w:sz w:val="18"/>
                <w:szCs w:val="18"/>
                <w:color w:val="auto"/>
                <w:w w:val="94"/>
              </w:rPr>
              <w:t>Common stock, $0.0001 par value; 50,000,000 shares authorized; 3,162,500 shares issued and</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220"/>
              <w:spacing w:after="0"/>
              <w:rPr>
                <w:sz w:val="20"/>
                <w:szCs w:val="20"/>
                <w:color w:val="auto"/>
              </w:rPr>
            </w:pPr>
            <w:r>
              <w:rPr>
                <w:rFonts w:ascii="Arial" w:cs="Arial" w:eastAsia="Arial" w:hAnsi="Arial"/>
                <w:sz w:val="18"/>
                <w:szCs w:val="18"/>
                <w:color w:val="auto"/>
                <w:w w:val="96"/>
              </w:rPr>
              <w:t>outstanding (excluding 12,650,000 and 0 shares subject to possible redemption) at June 30,</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20" w:type="dxa"/>
            <w:vAlign w:val="bottom"/>
          </w:tcPr>
          <w:p>
            <w:pPr>
              <w:ind w:left="220"/>
              <w:spacing w:after="0"/>
              <w:rPr>
                <w:sz w:val="20"/>
                <w:szCs w:val="20"/>
                <w:color w:val="auto"/>
              </w:rPr>
            </w:pPr>
            <w:r>
              <w:rPr>
                <w:rFonts w:ascii="Arial" w:cs="Arial" w:eastAsia="Arial" w:hAnsi="Arial"/>
                <w:sz w:val="18"/>
                <w:szCs w:val="18"/>
                <w:color w:val="auto"/>
              </w:rPr>
              <w:t>2022 and December 31, 2021, respectively</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317</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10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(403,166)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(1,024,673)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Stockholders' Deficit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(402,849)</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(1,024,356)</w:t>
            </w:r>
          </w:p>
        </w:tc>
        <w:tc>
          <w:tcPr>
            <w:tcW w:w="0" w:type="dxa"/>
            <w:vAlign w:val="bottom"/>
          </w:tcPr>
          <w:p>
            <w:pPr>
              <w:spacing w:after="0"/>
              <w:rPr>
                <w:sz w:val="1"/>
                <w:szCs w:val="1"/>
                <w:color w:val="auto"/>
              </w:rPr>
            </w:pPr>
          </w:p>
        </w:tc>
      </w:tr>
      <w:tr>
        <w:trPr>
          <w:trHeight w:val="210"/>
        </w:trPr>
        <w:tc>
          <w:tcPr>
            <w:tcW w:w="7340" w:type="dxa"/>
            <w:vAlign w:val="bottom"/>
            <w:gridSpan w:val="2"/>
          </w:tcPr>
          <w:p>
            <w:pPr>
              <w:spacing w:after="0"/>
              <w:rPr>
                <w:sz w:val="20"/>
                <w:szCs w:val="20"/>
                <w:color w:val="auto"/>
              </w:rPr>
            </w:pPr>
            <w:r>
              <w:rPr>
                <w:rFonts w:ascii="Arial" w:cs="Arial" w:eastAsia="Arial" w:hAnsi="Arial"/>
                <w:sz w:val="18"/>
                <w:szCs w:val="18"/>
                <w:b w:val="1"/>
                <w:bCs w:val="1"/>
                <w:color w:val="auto"/>
                <w:w w:val="94"/>
              </w:rPr>
              <w:t>Total Liabilities, Common Stock Subject to Possible Redemption and Stockholders' Deficit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129,191,164</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129,523,613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STATEMENTS OF OPERATIONS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Three Months Ended</w:t>
            </w:r>
          </w:p>
        </w:tc>
        <w:tc>
          <w:tcPr>
            <w:tcW w:w="8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Six Months Ended</w:t>
            </w:r>
          </w:p>
        </w:tc>
        <w:tc>
          <w:tcPr>
            <w:tcW w:w="8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2"/>
                <w:szCs w:val="12"/>
                <w:color w:val="auto"/>
              </w:rPr>
            </w:pPr>
          </w:p>
        </w:tc>
        <w:tc>
          <w:tcPr>
            <w:tcW w:w="104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ind w:right="253"/>
              <w:spacing w:after="0" w:line="149" w:lineRule="exact"/>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Operating and formation costs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416,078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624,284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Franchise tax expense</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100,656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Loss from operations</w:t>
            </w: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(466,078)</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(834)</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(724,940)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Net gain on investments held in Trust Account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173,416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189,482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liability</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(277,671)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1,156,965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480" w:type="dxa"/>
            <w:vAlign w:val="bottom"/>
            <w:tcBorders>
              <w:bottom w:val="single" w:sz="8" w:color="CCEEFF"/>
            </w:tcBorders>
          </w:tcPr>
          <w:p>
            <w:pPr>
              <w:ind w:left="100"/>
              <w:spacing w:after="0"/>
              <w:rPr>
                <w:sz w:val="20"/>
                <w:szCs w:val="20"/>
                <w:color w:val="auto"/>
              </w:rPr>
            </w:pPr>
            <w:r>
              <w:rPr>
                <w:rFonts w:ascii="Arial" w:cs="Arial" w:eastAsia="Arial" w:hAnsi="Arial"/>
                <w:sz w:val="18"/>
                <w:szCs w:val="18"/>
                <w:b w:val="1"/>
                <w:bCs w:val="1"/>
                <w:color w:val="auto"/>
              </w:rPr>
              <w:t>Net income (loss)</w:t>
            </w: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(570,333)</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(834)</w:t>
            </w:r>
          </w:p>
        </w:tc>
        <w:tc>
          <w:tcPr>
            <w:tcW w:w="14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621,507</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Basic weighted average shares outstanding</w:t>
            </w: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15,812,500</w:t>
            </w:r>
          </w:p>
        </w:tc>
        <w:tc>
          <w:tcPr>
            <w:tcW w:w="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2,750,000</w:t>
            </w:r>
          </w:p>
        </w:tc>
        <w:tc>
          <w:tcPr>
            <w:tcW w:w="1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15,812,500</w:t>
            </w:r>
          </w:p>
        </w:tc>
        <w:tc>
          <w:tcPr>
            <w:tcW w:w="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2,750,000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4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net income (loss) per common share</w:t>
            </w:r>
          </w:p>
        </w:tc>
        <w:tc>
          <w:tcPr>
            <w:tcW w:w="2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(0.04)</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(0.00)</w:t>
            </w: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0.04</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Arial" w:cs="Arial" w:eastAsia="Arial" w:hAnsi="Arial"/>
                <w:sz w:val="18"/>
                <w:szCs w:val="18"/>
                <w:color w:val="auto"/>
              </w:rPr>
              <w:t>Diluted weighted average shares outstanding</w:t>
            </w: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00" w:type="dxa"/>
            <w:vAlign w:val="bottom"/>
            <w:gridSpan w:val="2"/>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15,812,500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2,750,000</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15,812,500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2,750,000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4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Diluted net income (loss) per common share</w:t>
            </w:r>
          </w:p>
        </w:tc>
        <w:tc>
          <w:tcPr>
            <w:tcW w:w="2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(0.04)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(0.00)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0.04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STATEMENTS OF CHANGES IN STOCKHOLDERS’ EQUITY (DEFICIT)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600" w:type="dxa"/>
            <w:vAlign w:val="bottom"/>
            <w:gridSpan w:val="4"/>
            <w:vMerge w:val="restart"/>
          </w:tcPr>
          <w:p>
            <w:pPr>
              <w:jc w:val="right"/>
              <w:ind w:right="261"/>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Additional Paid-in</w:t>
            </w:r>
          </w:p>
        </w:tc>
        <w:tc>
          <w:tcPr>
            <w:tcW w:w="14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Retained Earnings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ind w:right="81"/>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6"/>
        </w:trPr>
        <w:tc>
          <w:tcPr>
            <w:tcW w:w="4580" w:type="dxa"/>
            <w:vAlign w:val="bottom"/>
          </w:tcPr>
          <w:p>
            <w:pPr>
              <w:spacing w:after="0"/>
              <w:rPr>
                <w:sz w:val="14"/>
                <w:szCs w:val="14"/>
                <w:color w:val="auto"/>
              </w:rPr>
            </w:pPr>
          </w:p>
        </w:tc>
        <w:tc>
          <w:tcPr>
            <w:tcW w:w="1600" w:type="dxa"/>
            <w:vAlign w:val="bottom"/>
            <w:tcBorders>
              <w:bottom w:val="single" w:sz="8" w:color="auto"/>
            </w:tcBorders>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(Accumulated</w:t>
            </w:r>
          </w:p>
        </w:tc>
        <w:tc>
          <w:tcPr>
            <w:tcW w:w="6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42"/>
        </w:trPr>
        <w:tc>
          <w:tcPr>
            <w:tcW w:w="4580" w:type="dxa"/>
            <w:vAlign w:val="bottom"/>
          </w:tcPr>
          <w:p>
            <w:pPr>
              <w:spacing w:after="0"/>
              <w:rPr>
                <w:sz w:val="12"/>
                <w:szCs w:val="12"/>
                <w:color w:val="auto"/>
              </w:rPr>
            </w:pPr>
          </w:p>
        </w:tc>
        <w:tc>
          <w:tcPr>
            <w:tcW w:w="900" w:type="dxa"/>
            <w:vAlign w:val="bottom"/>
            <w:gridSpan w:val="2"/>
          </w:tcPr>
          <w:p>
            <w:pPr>
              <w:ind w:left="16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620" w:type="dxa"/>
            <w:vAlign w:val="bottom"/>
          </w:tcPr>
          <w:p>
            <w:pPr>
              <w:jc w:val="right"/>
              <w:ind w:right="21"/>
              <w:spacing w:after="0" w:line="142"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ind w:right="281"/>
              <w:spacing w:after="0" w:line="142" w:lineRule="exact"/>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6"/>
              </w:rPr>
              <w:t>Deficit)</w:t>
            </w:r>
          </w:p>
        </w:tc>
        <w:tc>
          <w:tcPr>
            <w:tcW w:w="60" w:type="dxa"/>
            <w:vAlign w:val="bottom"/>
          </w:tcPr>
          <w:p>
            <w:pPr>
              <w:spacing w:after="0"/>
              <w:rPr>
                <w:sz w:val="12"/>
                <w:szCs w:val="12"/>
                <w:color w:val="auto"/>
              </w:rPr>
            </w:pPr>
          </w:p>
        </w:tc>
        <w:tc>
          <w:tcPr>
            <w:tcW w:w="9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7"/>
              </w:rPr>
              <w:t>Equity (Deficit)</w:t>
            </w:r>
          </w:p>
        </w:tc>
        <w:tc>
          <w:tcPr>
            <w:tcW w:w="0" w:type="dxa"/>
            <w:vAlign w:val="bottom"/>
          </w:tcPr>
          <w:p>
            <w:pPr>
              <w:spacing w:after="0"/>
              <w:rPr>
                <w:sz w:val="1"/>
                <w:szCs w:val="1"/>
                <w:color w:val="auto"/>
              </w:rPr>
            </w:pPr>
          </w:p>
        </w:tc>
      </w:tr>
      <w:tr>
        <w:trPr>
          <w:trHeight w:val="196"/>
        </w:trPr>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at December 31, 2021</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5"/>
              </w:rPr>
              <w:t>3,162,500</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317</w:t>
            </w: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(1,024,673)</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7"/>
              </w:rPr>
              <w:t>(1,024,356)</w:t>
            </w:r>
          </w:p>
        </w:tc>
        <w:tc>
          <w:tcPr>
            <w:tcW w:w="0" w:type="dxa"/>
            <w:vAlign w:val="bottom"/>
          </w:tcPr>
          <w:p>
            <w:pPr>
              <w:spacing w:after="0"/>
              <w:rPr>
                <w:sz w:val="1"/>
                <w:szCs w:val="1"/>
                <w:color w:val="auto"/>
              </w:rPr>
            </w:pPr>
          </w:p>
        </w:tc>
      </w:tr>
      <w:tr>
        <w:trPr>
          <w:trHeight w:val="203"/>
        </w:trPr>
        <w:tc>
          <w:tcPr>
            <w:tcW w:w="458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9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1,191,840</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1,191,840</w:t>
            </w:r>
          </w:p>
        </w:tc>
        <w:tc>
          <w:tcPr>
            <w:tcW w:w="0" w:type="dxa"/>
            <w:vAlign w:val="bottom"/>
          </w:tcPr>
          <w:p>
            <w:pPr>
              <w:spacing w:after="0"/>
              <w:rPr>
                <w:sz w:val="1"/>
                <w:szCs w:val="1"/>
                <w:color w:val="auto"/>
              </w:rPr>
            </w:pPr>
          </w:p>
        </w:tc>
      </w:tr>
      <w:tr>
        <w:trPr>
          <w:trHeight w:val="196"/>
        </w:trPr>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at March 31, 2022 (unaudited)</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5"/>
              </w:rPr>
              <w:t>3,162,500</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317</w:t>
            </w: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167,167</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167,484</w:t>
            </w:r>
          </w:p>
        </w:tc>
        <w:tc>
          <w:tcPr>
            <w:tcW w:w="0" w:type="dxa"/>
            <w:vAlign w:val="bottom"/>
          </w:tcPr>
          <w:p>
            <w:pPr>
              <w:spacing w:after="0"/>
              <w:rPr>
                <w:sz w:val="1"/>
                <w:szCs w:val="1"/>
                <w:color w:val="auto"/>
              </w:rPr>
            </w:pPr>
          </w:p>
        </w:tc>
      </w:tr>
      <w:tr>
        <w:trPr>
          <w:trHeight w:val="203"/>
        </w:trPr>
        <w:tc>
          <w:tcPr>
            <w:tcW w:w="4580" w:type="dxa"/>
            <w:vAlign w:val="bottom"/>
          </w:tcPr>
          <w:p>
            <w:pPr>
              <w:ind w:left="120"/>
              <w:spacing w:after="0"/>
              <w:rPr>
                <w:sz w:val="20"/>
                <w:szCs w:val="20"/>
                <w:color w:val="auto"/>
              </w:rPr>
            </w:pPr>
            <w:r>
              <w:rPr>
                <w:rFonts w:ascii="Arial" w:cs="Arial" w:eastAsia="Arial" w:hAnsi="Arial"/>
                <w:sz w:val="16"/>
                <w:szCs w:val="16"/>
                <w:color w:val="auto"/>
              </w:rPr>
              <w:t>Net loss</w:t>
            </w: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(570,333)</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(570,333)</w:t>
            </w:r>
          </w:p>
        </w:tc>
        <w:tc>
          <w:tcPr>
            <w:tcW w:w="0" w:type="dxa"/>
            <w:vAlign w:val="bottom"/>
          </w:tcPr>
          <w:p>
            <w:pPr>
              <w:spacing w:after="0"/>
              <w:rPr>
                <w:sz w:val="1"/>
                <w:szCs w:val="1"/>
                <w:color w:val="auto"/>
              </w:rPr>
            </w:pPr>
          </w:p>
        </w:tc>
      </w:tr>
      <w:tr>
        <w:trPr>
          <w:trHeight w:val="196"/>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at June 30, 2022 (unaudited)</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5"/>
              </w:rPr>
              <w:t>3,162,500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317</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(403,166)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(402,849)</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4580" w:type="dxa"/>
            <w:vAlign w:val="bottom"/>
          </w:tcPr>
          <w:p>
            <w:pPr>
              <w:spacing w:after="0"/>
              <w:rPr>
                <w:sz w:val="24"/>
                <w:szCs w:val="24"/>
                <w:color w:val="auto"/>
              </w:rPr>
            </w:pPr>
          </w:p>
        </w:tc>
        <w:tc>
          <w:tcPr>
            <w:tcW w:w="1600" w:type="dxa"/>
            <w:vAlign w:val="bottom"/>
            <w:gridSpan w:val="4"/>
            <w:vMerge w:val="restart"/>
          </w:tcPr>
          <w:p>
            <w:pPr>
              <w:jc w:val="right"/>
              <w:ind w:right="261"/>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24"/>
                <w:szCs w:val="24"/>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Additional Paid-in</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center"/>
              <w:ind w:right="81"/>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6"/>
        </w:trPr>
        <w:tc>
          <w:tcPr>
            <w:tcW w:w="4580" w:type="dxa"/>
            <w:vAlign w:val="bottom"/>
          </w:tcPr>
          <w:p>
            <w:pPr>
              <w:spacing w:after="0"/>
              <w:rPr>
                <w:sz w:val="14"/>
                <w:szCs w:val="14"/>
                <w:color w:val="auto"/>
              </w:rPr>
            </w:pPr>
          </w:p>
        </w:tc>
        <w:tc>
          <w:tcPr>
            <w:tcW w:w="1600" w:type="dxa"/>
            <w:vAlign w:val="bottom"/>
            <w:tcBorders>
              <w:bottom w:val="single" w:sz="8" w:color="auto"/>
            </w:tcBorders>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42"/>
        </w:trPr>
        <w:tc>
          <w:tcPr>
            <w:tcW w:w="4580" w:type="dxa"/>
            <w:vAlign w:val="bottom"/>
          </w:tcPr>
          <w:p>
            <w:pPr>
              <w:spacing w:after="0"/>
              <w:rPr>
                <w:sz w:val="12"/>
                <w:szCs w:val="12"/>
                <w:color w:val="auto"/>
              </w:rPr>
            </w:pPr>
          </w:p>
        </w:tc>
        <w:tc>
          <w:tcPr>
            <w:tcW w:w="900" w:type="dxa"/>
            <w:vAlign w:val="bottom"/>
            <w:gridSpan w:val="2"/>
          </w:tcPr>
          <w:p>
            <w:pPr>
              <w:ind w:left="16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620" w:type="dxa"/>
            <w:vAlign w:val="bottom"/>
          </w:tcPr>
          <w:p>
            <w:pPr>
              <w:jc w:val="right"/>
              <w:ind w:right="21"/>
              <w:spacing w:after="0" w:line="142"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ind w:right="281"/>
              <w:spacing w:after="0" w:line="142" w:lineRule="exact"/>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8"/>
              </w:rPr>
              <w:t>Deficit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81"/>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at December 31, 2020</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5"/>
              </w:rPr>
              <w:t>3,162,500</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317</w:t>
            </w: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24,683</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(1,000)</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24,000</w:t>
            </w:r>
          </w:p>
        </w:tc>
        <w:tc>
          <w:tcPr>
            <w:tcW w:w="0" w:type="dxa"/>
            <w:vAlign w:val="bottom"/>
          </w:tcPr>
          <w:p>
            <w:pPr>
              <w:spacing w:after="0"/>
              <w:rPr>
                <w:sz w:val="1"/>
                <w:szCs w:val="1"/>
                <w:color w:val="auto"/>
              </w:rPr>
            </w:pPr>
          </w:p>
        </w:tc>
      </w:tr>
      <w:tr>
        <w:trPr>
          <w:trHeight w:val="203"/>
        </w:trPr>
        <w:tc>
          <w:tcPr>
            <w:tcW w:w="458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at March 31, 2021 (unaudited)</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5"/>
              </w:rPr>
              <w:t>3,162,500</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317</w:t>
            </w: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24,683</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(1,000)</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24,000</w:t>
            </w:r>
          </w:p>
        </w:tc>
        <w:tc>
          <w:tcPr>
            <w:tcW w:w="0" w:type="dxa"/>
            <w:vAlign w:val="bottom"/>
          </w:tcPr>
          <w:p>
            <w:pPr>
              <w:spacing w:after="0"/>
              <w:rPr>
                <w:sz w:val="1"/>
                <w:szCs w:val="1"/>
                <w:color w:val="auto"/>
              </w:rPr>
            </w:pPr>
          </w:p>
        </w:tc>
      </w:tr>
      <w:tr>
        <w:trPr>
          <w:trHeight w:val="203"/>
        </w:trPr>
        <w:tc>
          <w:tcPr>
            <w:tcW w:w="4580" w:type="dxa"/>
            <w:vAlign w:val="bottom"/>
          </w:tcPr>
          <w:p>
            <w:pPr>
              <w:ind w:left="120"/>
              <w:spacing w:after="0"/>
              <w:rPr>
                <w:sz w:val="20"/>
                <w:szCs w:val="20"/>
                <w:color w:val="auto"/>
              </w:rPr>
            </w:pPr>
            <w:r>
              <w:rPr>
                <w:rFonts w:ascii="Arial" w:cs="Arial" w:eastAsia="Arial" w:hAnsi="Arial"/>
                <w:sz w:val="16"/>
                <w:szCs w:val="16"/>
                <w:color w:val="auto"/>
              </w:rPr>
              <w:t>Net loss</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(834)</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(834)</w:t>
            </w:r>
          </w:p>
        </w:tc>
        <w:tc>
          <w:tcPr>
            <w:tcW w:w="0" w:type="dxa"/>
            <w:vAlign w:val="bottom"/>
          </w:tcPr>
          <w:p>
            <w:pPr>
              <w:spacing w:after="0"/>
              <w:rPr>
                <w:sz w:val="1"/>
                <w:szCs w:val="1"/>
                <w:color w:val="auto"/>
              </w:rPr>
            </w:pPr>
          </w:p>
        </w:tc>
      </w:tr>
      <w:tr>
        <w:trPr>
          <w:trHeight w:val="196"/>
        </w:trPr>
        <w:tc>
          <w:tcPr>
            <w:tcW w:w="4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at June 30, 2021 (unaudited)</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5"/>
              </w:rPr>
              <w:t>3,162,500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317</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24,683</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(1,834)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23,166</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STATEMENTS OF CASH FLOWS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Net income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621,507</w:t>
            </w:r>
          </w:p>
        </w:tc>
        <w:tc>
          <w:tcPr>
            <w:tcW w:w="220" w:type="dxa"/>
            <w:vAlign w:val="bottom"/>
          </w:tcPr>
          <w:p>
            <w:pPr>
              <w:spacing w:after="0"/>
              <w:rPr>
                <w:sz w:val="18"/>
                <w:szCs w:val="18"/>
                <w:color w:val="auto"/>
              </w:rPr>
            </w:pPr>
          </w:p>
        </w:tc>
        <w:tc>
          <w:tcPr>
            <w:tcW w:w="260" w:type="dxa"/>
            <w:vAlign w:val="bottom"/>
            <w:gridSpan w:val="2"/>
          </w:tcPr>
          <w:p>
            <w:pPr>
              <w:jc w:val="right"/>
              <w:ind w:right="129"/>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used in operations: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100"/>
              <w:spacing w:after="0"/>
              <w:rPr>
                <w:sz w:val="20"/>
                <w:szCs w:val="20"/>
                <w:color w:val="auto"/>
              </w:rPr>
            </w:pPr>
            <w:r>
              <w:rPr>
                <w:rFonts w:ascii="Arial" w:cs="Arial" w:eastAsia="Arial" w:hAnsi="Arial"/>
                <w:sz w:val="18"/>
                <w:szCs w:val="18"/>
                <w:color w:val="auto"/>
              </w:rPr>
              <w:t>Net gain on investments held in Trust Account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(189,482)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Change in fair value of warrant liability</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(1,156,965)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33,608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12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135,001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Prepaid expenses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71,839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Franchise tax payable</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34,400</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Net cash used in operating activities</w:t>
            </w: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(450,092)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Proceeds from promissory note - related party</w:t>
            </w:r>
          </w:p>
        </w:tc>
        <w:tc>
          <w:tcPr>
            <w:tcW w:w="2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Offering costs paid</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ind w:left="100"/>
              <w:spacing w:after="0"/>
              <w:rPr>
                <w:sz w:val="20"/>
                <w:szCs w:val="20"/>
                <w:color w:val="auto"/>
              </w:rPr>
            </w:pPr>
            <w:r>
              <w:rPr>
                <w:rFonts w:ascii="Arial" w:cs="Arial" w:eastAsia="Arial" w:hAnsi="Arial"/>
                <w:sz w:val="18"/>
                <w:szCs w:val="18"/>
                <w:b w:val="1"/>
                <w:bCs w:val="1"/>
                <w:color w:val="auto"/>
              </w:rPr>
              <w:t>Net cash used in financing activities</w:t>
            </w:r>
          </w:p>
        </w:tc>
        <w:tc>
          <w:tcPr>
            <w:tcW w:w="2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(7,239)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b w:val="1"/>
                <w:bCs w:val="1"/>
                <w:color w:val="auto"/>
              </w:rPr>
              <w:t>Net Change in Cash</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(450,092)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(8,073)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 - Beginning of Period</w:t>
            </w: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799,808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40" w:type="dxa"/>
            <w:vAlign w:val="bottom"/>
            <w:gridSpan w:val="2"/>
          </w:tcPr>
          <w:p>
            <w:pPr>
              <w:spacing w:after="0"/>
              <w:rPr>
                <w:sz w:val="20"/>
                <w:szCs w:val="20"/>
                <w:color w:val="auto"/>
              </w:rPr>
            </w:pPr>
            <w:r>
              <w:rPr>
                <w:rFonts w:ascii="Arial" w:cs="Arial" w:eastAsia="Arial" w:hAnsi="Arial"/>
                <w:sz w:val="18"/>
                <w:szCs w:val="18"/>
                <w:b w:val="1"/>
                <w:bCs w:val="1"/>
                <w:color w:val="auto"/>
              </w:rPr>
              <w:t>Cash - End of Period</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349,716</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Chardan NexTech Acquisition 2 Corp (the “Company”) is a blank check company incorporated in Delaware on June 23, 2020. The Company was formed for the purpose of entering into a merger, share exchange, asset acquisition, share purchase, reorganization or similar business combination with one or more businesses (a “Business Combination”). The Company is not limited to a particular industry or geographic region for purposes of consummating a Business Combination. The Company is an early stage and emerging growth company and, as such, the Company is subject to all of the risks associated with early stage and emerging growth companies.</w:t>
      </w:r>
    </w:p>
    <w:p>
      <w:pPr>
        <w:spacing w:after="0" w:line="16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of June 30, 2022, the Company had not yet commenced any operations. All activity for the period from June 23, 2020 (Inception) through June 30, 2022 relates to the Company’s formation and initial public offering (“Initial Public Offering”) described below, and, subsequent to the Initial Public Offering, identifying a target company for a Business Combination. The Company will not generate any operating revenues until after completion of its initial Business Combination, at the earliest. The Company generates non-operating income in the form of interest income from the proceeds derived from the Initial Public Offering.</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registration statement on Form S-1 (the “Registration Statement”) for the Company’s Initial Public Offering was declared effective on August 10, 2021. On August 13, 2021, the Company consummated the Initial Public Offering of 11,000,000 units (the “Units” and, with respect to the common stock, par value $0.0001 per share, of the Company included in the Units sold, the “Public Shares”, and with respect to the warrants of the Company included in the Units sold, the “Public Warrants”), at $10.00 per Unit, generating gross proceeds of $110,000,000, which is discussed in Note 3.</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Simultaneously with the closing of the Initial Public Offering, the Company consummated the sale of 4,361,456 warrants (the “Private Warrants”, together with the Public Warrants, the “Warrants”) at a price of $0.93 per Private Warrant in a private placement to Chardan NexTech 2 Warrant Holdings LLC, a Delaware limited liability company (“Warrant Holdings” or “Holdings”), an affiliate of Chardan NexTech Investments 2 LLC, a Delaware limited liability company (the “Sponsor”), generating gross proceeds of $4,052,000, which is described in Note 4.</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had granted the underwriters in the Initial Public Offering a 45-day option to purchase up to 1,650,000 Units to cover over-allotments, if any (see Note 6). On August 16, 2021, the underwriters fully exercised the over-allotment option and, on August 18, 2021, purchased an additional 1,650,000 Units (the “Over-Allotment Units”) at a purchase price of $10.00 per Over-Allotment Unit, generating gross proceeds of $16,500,000.</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Simultaneously with the closing of the exercise of the over-allotment option, the Company consummated the sale of 266,402 warrants (the “Over-Allotment Private Warrants”) at a purchase price of $0.93 per Over-Allotment Private Warrant in a private placement to the Holdings, generating gross proceeds of $247,500.</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Following the closing of the Initial Public Offering and underwriters’ over-allotment option, an amount of $128,397,500 from the net proceeds of the sale of the Units and Over-Allotment Units and a portion of the proceeds from the sale of the Private Warrants and Over-Allotment Private Warrants was placed in a trust account (the “Trust Account”) and was invested only in U.S. government securities, within the meaning set forth in Section 2(a)(16) of the Investment Company Act of 1940, as amended (the “Investment Company Act”), with a maturity of 185 days or in money market funds meeting certain conditions under Rule 2a-7 promulgated under the Investment Company Act which invest only in direct U.S. government treasury obligations, until the earlier of: (i) the completion of a Business Combination and (ii) the distribution of the funds held in the Trust Account, as described below.</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Transaction costs related to the issuances described above amounted to $1,080,140, consisting of $500,000 of cash underwriting fees and $580,140 of other offering costs.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1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The Company will provide its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in the Trust Account ($10.15 per Public Share, plus any pro rata interest earned on the funds held in the Trust Account and not previously released to the Company to pay its tax obligations). The Public Shares subject to redemption was recorded at redemption value and classified as temporary equity upon the completion of the Initial Public Offering in accordance with the Financial Accounting Standards Board’s (“FASB”) Accounting Standards Codification (“ASC”) Topic 480, </w:t>
      </w:r>
      <w:r>
        <w:rPr>
          <w:rFonts w:ascii="Arial" w:cs="Arial" w:eastAsia="Arial" w:hAnsi="Arial"/>
          <w:sz w:val="16"/>
          <w:szCs w:val="16"/>
          <w:i w:val="1"/>
          <w:iCs w:val="1"/>
          <w:color w:val="auto"/>
        </w:rPr>
        <w:t>Distinguishing Liabilities from Equity</w:t>
      </w:r>
      <w:r>
        <w:rPr>
          <w:rFonts w:ascii="Arial" w:cs="Arial" w:eastAsia="Arial" w:hAnsi="Arial"/>
          <w:sz w:val="16"/>
          <w:szCs w:val="16"/>
          <w:color w:val="auto"/>
        </w:rPr>
        <w:t xml:space="preserve"> (“ASC 480”).</w:t>
      </w:r>
    </w:p>
    <w:p>
      <w:pPr>
        <w:spacing w:after="0" w:line="16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Company will proceed with a Business Combination only if the Company has net tangible assets of at least $5,000,001 either prior to or upon such consummation of a Business Combination and, if the Company seeks stockholder approval, a majority of the shares voted are voted in favor of the Business Combination. If a stockholder vote is not required by law and the Company does not decide to hold a stockholder vote for business or other reasons, the Company will, pursuant to its amended and restated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other reasons, the Company will offer to redeem shares in conjunction with a proxy solicitation pursuant to the proxy rules and not pursuant to the tender offer rules. If the Company seeks stockholder approval in connection with a Business Combination, the Sponsor has agreed to vote its Founder Shares (as defined in Note</w:t>
      </w:r>
    </w:p>
    <w:p>
      <w:pPr>
        <w:spacing w:after="0" w:line="6" w:lineRule="exact"/>
        <w:rPr>
          <w:sz w:val="20"/>
          <w:szCs w:val="20"/>
          <w:color w:val="auto"/>
        </w:rPr>
      </w:pPr>
    </w:p>
    <w:p>
      <w:pPr>
        <w:jc w:val="both"/>
        <w:ind w:firstLine="8"/>
        <w:spacing w:after="0" w:line="255" w:lineRule="auto"/>
        <w:tabs>
          <w:tab w:leader="none" w:pos="244" w:val="left"/>
        </w:tabs>
        <w:numPr>
          <w:ilvl w:val="0"/>
          <w:numId w:val="2"/>
        </w:numPr>
        <w:rPr>
          <w:rFonts w:ascii="Arial" w:cs="Arial" w:eastAsia="Arial" w:hAnsi="Arial"/>
          <w:sz w:val="18"/>
          <w:szCs w:val="18"/>
          <w:color w:val="auto"/>
        </w:rPr>
      </w:pPr>
      <w:r>
        <w:rPr>
          <w:rFonts w:ascii="Arial" w:cs="Arial" w:eastAsia="Arial" w:hAnsi="Arial"/>
          <w:sz w:val="18"/>
          <w:szCs w:val="18"/>
          <w:color w:val="auto"/>
        </w:rPr>
        <w:t>and any Public Shares purchased during or after the Initial Public Offering in favor of approving a Business Combination. Additionally, each public stockholder may elect to redeem their Public Shares irrespective of whether they vote for or against the proposed transaction.</w:t>
      </w:r>
    </w:p>
    <w:p>
      <w:pPr>
        <w:spacing w:after="0" w:line="19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Notwithstanding the above, if the Company seeks stockholder approval of a Business Combination and it does not conduct redemptions pursuant to the tender offer rules, the amended and restated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15% or more of the Public Shares, without the prior consent of the Company.</w:t>
      </w:r>
    </w:p>
    <w:p>
      <w:pPr>
        <w:spacing w:after="0" w:line="16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will have 12 months, or August 13, 2022, from the closing of the Initial Public Offering to consummate an initial Business Combination. However, if the Company anticipates that it may not be able to consummate an initial Business Combination within 12 months, the Company’s insiders or their affiliates may, but are not obligated to, extend the period of time to consummate a Business Combination up to two times by an additional three months each time (for a total of up to 18 months, or February 13, 2023, to complete a Business Combination), subject to the Sponsor or its affiliates or designees, upon five days advance notice prior to the applicable deadline, depositing $1,265,000 (or $0.10 per share) into the Trust Account for each of the available three months extensions (totaling $2,530,000 in aggregate) If the Company is unable to consummate an initial Business Combination within the above time period, the Company will distribute the aggregate amount then on deposit in the Trust Account, pro rata to the Company’s public stockholders, by way of the redemption of their shares and thereafter cease all operations except for the purposes of winding up of the Company’s affairs. In such event, the warrants will expire and be worthless.</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initial stockholders have agreed to waive their redemption rights with respect to any shares they own in connection with the consummation of the initial Business Combination, including their Founder Shares and Public Shares that they purchase during or after the offering, if any. In addition, the initial stockholders have agreed to waive their rights to liquidating distributions with respect to their Founder Shares if the Company fails to consummate an initial Business Combination within 18 months (assuming both of the three-month extensions were executed) from the closing of this offering. However, if the initial stockholders acquire Public Shares in or after the Initial Public Offering, they will be entitled to receive liquidating distributions with respect to such Public Shares if the Company fails to consummate an initial Business Combination within the required time period.</w:t>
      </w:r>
    </w:p>
    <w:p>
      <w:pPr>
        <w:spacing w:after="0" w:line="17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order to protect the amounts held in the Trust Account, the Sponsor has agreed to be liable to the Company if and to the extent any claims by a third party (other than the Company’s independent registered accounting firm) for services rendered or products sold to the Company, or a prospective target business with which the Company has discussed entering into a transaction agreement, reduce the amount of funds in the Trust Account to below (1) $10.15 per Public Share or (2) the actual amount per Public Share held in the Trust</w:t>
      </w:r>
    </w:p>
    <w:p>
      <w:pPr>
        <w:sectPr>
          <w:pgSz w:w="11900" w:h="16838" w:orient="portrait"/>
          <w:cols w:equalWidth="0" w:num="1">
            <w:col w:w="9920"/>
          </w:cols>
          <w:pgMar w:left="980" w:top="665" w:right="999"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379730</wp:posOffset>
            </wp:positionV>
            <wp:extent cx="629221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Account as of the date of the liquidation of the Trust Account due to reductions in the value of the trust assets, in each case net of the interest which may be withdrawn to pay the Company’s taxes, provided that such liability will not apply to any claims by a third party or prospective target business who executed a waiver of any and all rights to the monies held in the Trust Account (whether or not such waiver is enforceable) nor will it apply to any claims under the Company’s indemnity of the underwriters of the Initial Public Offering against certain liabilities, including liabilities under the Securities Act of 1933, as amended (the “Securities Act”). The Company will seek to reduce the possibility that the Sponsor will have to indemnify the Trust Account due to claims of creditors by endeavoring to have all vendors, service providers (except for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 Agreement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15, 2022, Chardan entered into an Agreement and Plan of Merger (the “Merger Agreement”) with Dragonfly Energy Corp., a Nevada corporation (“Dragonfly”), and Bronco Merger Sub, Inc., a Nevada corporation and a direct, wholly owned subsidiary of Chardan (“Merger Sub”). The Merger Agreement provides that, among other things and upon the terms and subject to the conditions thereof, the following transactions will occur:</w:t>
      </w:r>
    </w:p>
    <w:p>
      <w:pPr>
        <w:spacing w:after="0" w:line="187" w:lineRule="exact"/>
        <w:rPr>
          <w:sz w:val="20"/>
          <w:szCs w:val="20"/>
          <w:color w:val="auto"/>
        </w:rPr>
      </w:pPr>
    </w:p>
    <w:p>
      <w:pPr>
        <w:jc w:val="both"/>
        <w:ind w:firstLine="8"/>
        <w:spacing w:after="0" w:line="279" w:lineRule="auto"/>
        <w:tabs>
          <w:tab w:leader="none" w:pos="217" w:val="left"/>
        </w:tabs>
        <w:numPr>
          <w:ilvl w:val="0"/>
          <w:numId w:val="3"/>
        </w:numPr>
        <w:rPr>
          <w:rFonts w:ascii="Arial" w:cs="Arial" w:eastAsia="Arial" w:hAnsi="Arial"/>
          <w:sz w:val="17"/>
          <w:szCs w:val="17"/>
          <w:color w:val="auto"/>
        </w:rPr>
      </w:pPr>
      <w:r>
        <w:rPr>
          <w:rFonts w:ascii="Arial" w:cs="Arial" w:eastAsia="Arial" w:hAnsi="Arial"/>
          <w:sz w:val="17"/>
          <w:szCs w:val="17"/>
          <w:color w:val="auto"/>
        </w:rPr>
        <w:t>at the closing of the transactions contemplated by the Merger Agreement (the “Closing”), upon the terms and subject to the conditions of the Merger Agreement, in accordance with applicable provisions of the Nevada Revised Statutes (“NRS”) and the Delaware General Corporation Law (“DGCL”), Merger Sub will merge with and into Dragonfly, the separate corporate existence of Merger Sub will cease and Dragonfly will be the surviving corporation and a wholly owned subsidiary of Chardan (the “Merger”);</w:t>
      </w:r>
    </w:p>
    <w:p>
      <w:pPr>
        <w:spacing w:after="0" w:line="171" w:lineRule="exact"/>
        <w:rPr>
          <w:rFonts w:ascii="Arial" w:cs="Arial" w:eastAsia="Arial" w:hAnsi="Arial"/>
          <w:sz w:val="17"/>
          <w:szCs w:val="17"/>
          <w:color w:val="auto"/>
        </w:rPr>
      </w:pP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at the Closing, Chardan will be renamed “Dragonfly Energy Holdings Corp.” and is referred to herein as “New Dragonfly”;</w:t>
      </w:r>
    </w:p>
    <w:p>
      <w:pPr>
        <w:spacing w:after="0" w:line="225" w:lineRule="exact"/>
        <w:rPr>
          <w:rFonts w:ascii="Arial" w:cs="Arial" w:eastAsia="Arial" w:hAnsi="Arial"/>
          <w:sz w:val="18"/>
          <w:szCs w:val="18"/>
          <w:color w:val="auto"/>
        </w:rPr>
      </w:pPr>
    </w:p>
    <w:p>
      <w:pPr>
        <w:jc w:val="both"/>
        <w:ind w:firstLine="8"/>
        <w:spacing w:after="0" w:line="263" w:lineRule="auto"/>
        <w:tabs>
          <w:tab w:leader="none" w:pos="333"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a result of the Merger, among other things, all shares of capital stock of Dragonfly outstanding as of immediately prior to the effective time of the Merger will be canceled in exchange for the right to receive shares of common stock, par value $0.0001 per share, of New Dragonfly (“New Dragonfly Common Stock”);</w:t>
      </w:r>
    </w:p>
    <w:p>
      <w:pPr>
        <w:spacing w:after="0" w:line="183" w:lineRule="exact"/>
        <w:rPr>
          <w:rFonts w:ascii="Arial" w:cs="Arial" w:eastAsia="Arial" w:hAnsi="Arial"/>
          <w:sz w:val="18"/>
          <w:szCs w:val="18"/>
          <w:color w:val="auto"/>
        </w:rPr>
      </w:pPr>
    </w:p>
    <w:p>
      <w:pPr>
        <w:jc w:val="both"/>
        <w:ind w:right="20" w:firstLine="8"/>
        <w:spacing w:after="0" w:line="263" w:lineRule="auto"/>
        <w:tabs>
          <w:tab w:leader="none" w:pos="325"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a result of the Merger, each Dragonfly option outstanding as of immediately prior to the effective time of the Merger will be converted into the right to receive a New Dragonfly option, subject to certain exceptions and conditions as set forth in the Merger Agreement;</w:t>
      </w:r>
    </w:p>
    <w:p>
      <w:pPr>
        <w:spacing w:after="0" w:line="183" w:lineRule="exact"/>
        <w:rPr>
          <w:rFonts w:ascii="Arial" w:cs="Arial" w:eastAsia="Arial" w:hAnsi="Arial"/>
          <w:sz w:val="18"/>
          <w:szCs w:val="18"/>
          <w:color w:val="auto"/>
        </w:rPr>
      </w:pPr>
    </w:p>
    <w:p>
      <w:pPr>
        <w:ind w:firstLine="8"/>
        <w:spacing w:after="0" w:line="277"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at the Closing, 40,000,000 shares of New Dragonfly Common Stock shall be issuable to existing holders of Dragonfly capital stock or pursuant to the aforementioned converted options; and</w:t>
      </w:r>
    </w:p>
    <w:p>
      <w:pPr>
        <w:spacing w:after="0" w:line="170" w:lineRule="exact"/>
        <w:rPr>
          <w:rFonts w:ascii="Arial" w:cs="Arial" w:eastAsia="Arial" w:hAnsi="Arial"/>
          <w:sz w:val="18"/>
          <w:szCs w:val="18"/>
          <w:color w:val="auto"/>
        </w:rPr>
      </w:pPr>
    </w:p>
    <w:p>
      <w:pPr>
        <w:ind w:right="20" w:firstLine="8"/>
        <w:spacing w:after="0" w:line="277" w:lineRule="auto"/>
        <w:tabs>
          <w:tab w:leader="none" w:pos="321" w:val="left"/>
        </w:tabs>
        <w:numPr>
          <w:ilvl w:val="0"/>
          <w:numId w:val="3"/>
        </w:numPr>
        <w:rPr>
          <w:rFonts w:ascii="Arial" w:cs="Arial" w:eastAsia="Arial" w:hAnsi="Arial"/>
          <w:sz w:val="18"/>
          <w:szCs w:val="18"/>
          <w:color w:val="auto"/>
        </w:rPr>
      </w:pPr>
      <w:r>
        <w:rPr>
          <w:rFonts w:ascii="Arial" w:cs="Arial" w:eastAsia="Arial" w:hAnsi="Arial"/>
          <w:sz w:val="18"/>
          <w:szCs w:val="18"/>
          <w:color w:val="auto"/>
        </w:rPr>
        <w:t>following the Closing, existing holders of Dragonfly capital stock will have the right to receive up to an aggregate of 40,000,000 additional shares of New Dragonfly Common Stock in three tranches as follows:</w:t>
      </w:r>
    </w:p>
    <w:p>
      <w:pPr>
        <w:spacing w:after="0" w:line="170" w:lineRule="exact"/>
        <w:rPr>
          <w:sz w:val="20"/>
          <w:szCs w:val="20"/>
          <w:color w:val="auto"/>
        </w:rPr>
      </w:pPr>
    </w:p>
    <w:p>
      <w:pPr>
        <w:jc w:val="both"/>
        <w:ind w:firstLine="8"/>
        <w:spacing w:after="0" w:line="257" w:lineRule="auto"/>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New Dragonfly shall issue 15,000,000 shares of New Dragonfly common stock in the aggregate, if, as disclosed in the Annual Report on Form 10-K for the fiscal year ending December 31, 2023 for New Dragonfly filed with the United States Securities and Exchange Commission (the “SEC”), New Dragonfly’s (x) total audited revenue for the year ended December 31, 2023 is equal to or greater than $250,000,000, and (y) audited operating income for the year ended December 31, 2023 is equal to or greater than $35,000,000;</w:t>
      </w:r>
    </w:p>
    <w:p>
      <w:pPr>
        <w:spacing w:after="0" w:line="187" w:lineRule="exact"/>
        <w:rPr>
          <w:rFonts w:ascii="Arial" w:cs="Arial" w:eastAsia="Arial" w:hAnsi="Arial"/>
          <w:sz w:val="18"/>
          <w:szCs w:val="18"/>
          <w:color w:val="auto"/>
        </w:rPr>
      </w:pPr>
    </w:p>
    <w:p>
      <w:pPr>
        <w:jc w:val="both"/>
        <w:ind w:firstLine="8"/>
        <w:spacing w:after="0" w:line="279" w:lineRule="auto"/>
        <w:tabs>
          <w:tab w:leader="none" w:pos="324" w:val="left"/>
        </w:tabs>
        <w:numPr>
          <w:ilvl w:val="0"/>
          <w:numId w:val="4"/>
        </w:numPr>
        <w:rPr>
          <w:rFonts w:ascii="Arial" w:cs="Arial" w:eastAsia="Arial" w:hAnsi="Arial"/>
          <w:sz w:val="17"/>
          <w:szCs w:val="17"/>
          <w:color w:val="auto"/>
        </w:rPr>
      </w:pPr>
      <w:r>
        <w:rPr>
          <w:rFonts w:ascii="Arial" w:cs="Arial" w:eastAsia="Arial" w:hAnsi="Arial"/>
          <w:sz w:val="17"/>
          <w:szCs w:val="17"/>
          <w:color w:val="auto"/>
        </w:rPr>
        <w:t>New Dragonfly shall issue an additional 12,500,000 shares of New Dragonfly common stock, in the aggregate (the “Second Earnout”), if at any time during the period beginning on the Closing Date and ending on December 31, 2026, the VWAP of the New Dragonfly common stock over any 20 Trading Days (which may or may not be consecutive) within any 30 consecutive Trading Day period is greater than or equal to $22.50 per share of New Dragonfly common stock (the “Second Milestone”); and</w:t>
      </w:r>
    </w:p>
    <w:p>
      <w:pPr>
        <w:spacing w:after="0" w:line="171" w:lineRule="exact"/>
        <w:rPr>
          <w:rFonts w:ascii="Arial" w:cs="Arial" w:eastAsia="Arial" w:hAnsi="Arial"/>
          <w:sz w:val="17"/>
          <w:szCs w:val="17"/>
          <w:color w:val="auto"/>
        </w:rPr>
      </w:pPr>
    </w:p>
    <w:p>
      <w:pPr>
        <w:ind w:firstLine="8"/>
        <w:spacing w:after="0" w:line="342" w:lineRule="auto"/>
        <w:tabs>
          <w:tab w:leader="none" w:pos="286" w:val="left"/>
        </w:tabs>
        <w:numPr>
          <w:ilvl w:val="0"/>
          <w:numId w:val="4"/>
        </w:numPr>
        <w:rPr>
          <w:rFonts w:ascii="Arial" w:cs="Arial" w:eastAsia="Arial" w:hAnsi="Arial"/>
          <w:sz w:val="16"/>
          <w:szCs w:val="16"/>
          <w:color w:val="auto"/>
        </w:rPr>
      </w:pPr>
      <w:r>
        <w:rPr>
          <w:rFonts w:ascii="Arial" w:cs="Arial" w:eastAsia="Arial" w:hAnsi="Arial"/>
          <w:sz w:val="16"/>
          <w:szCs w:val="16"/>
          <w:color w:val="auto"/>
        </w:rPr>
        <w:t>New Dragonfly shall issue an additional 12,500,000 shares of New Dragonfly common stock, in the aggregate (the “Third Earnout”), if at any time during the period beginning on the Closing Date and ending on December 31, 2028, the VWAP of the New Dragonfly</w:t>
      </w:r>
    </w:p>
    <w:p>
      <w:pPr>
        <w:sectPr>
          <w:pgSz w:w="11900" w:h="16838" w:orient="portrait"/>
          <w:cols w:equalWidth="0" w:num="1">
            <w:col w:w="9920"/>
          </w:cols>
          <w:pgMar w:left="980" w:top="665" w:right="99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379730</wp:posOffset>
            </wp:positionV>
            <wp:extent cx="629221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common stock over any 20 Trading Days (which may or may not be consecutive) within any 30 consecutive Trading Day period is greater than or equal to $32.50 per share of New Dragonfly common stock (the “Third Milestone”).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Upon the occurrence of the Third Milestone, if the Second Milestone has yet to occur, the Second Milestone will be deemed to have occurred simultaneously with the Third Milestone and the holders of Dragonfly capital stock shall be entitled to receive the Second Earnout as if the Second Milestone had occurred on or prior to December 31, 2026, provided, however, that such date shall only occur once, if at all, and in no event shall such holders be collectively entitled to receive more than an aggregate of 40,000,000 additional shares of New Dragonfly Common Stock.</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Board of Directors of Chardan (the “Board”) has unanimously (i) approved and declared advisable the Merger Agreement, the Merger and the other transactions contemplated thereby and (ii) resolved to recommend approval of the Merger Agreement and related matters by the stockholders of Chardan.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Upon the consummation of the business combination, the Board will be composed of seven members, five of whom will be designated by Dragonfly and two of whom will be designated by Chardan.</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May 15, 2022, concurrently with the execution of the Merger Agreement, Chardan entered into a subscription agreement (the “Subscription Agreement”) with the Sponsor (the “PIPE Investor”). Pursuant to and subject to the terms and conditions contained in the Subscription Agreement, the PIPE Investor has subscribed to purchase up to 500,000 shares of New Dragonfly Common Stock at a purchase price of $10.00 per share for an aggregate purchase price of up to $5,000,000 (the “PIPE Investment”).</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Merger Agreement contains customary representations and warranties by Chardan, Merger Sub, and Dragonfly. The representations and warranties of the respective parties to the Merger Agreement generally will not survive the Closing.</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Merger Agreement contains additional covenants, including, among others, providing for (i) the parties to conduct their respective businesses in the ordinary course through the Closing, (ii) the parties to not initiate any negotiations or enter into any agreements for certain alternative transactions, (iii) Dragonfly to prepare and deliver to Chardan certain audited and unaudited consolidated financial statements of Dragonfly, (iv) Chardan to prepare and file a proxy statement/registration statement on Form S-4 and take certain other actions to obtain the requisite approval of Chardan stockholders of certain proposals regarding the Merger, (v) the parties to use commercially reasonable efforts to obtain necessary approvals from governmental agencies and (vi) to the extent Closing has not occurred by August 10, 2022, then, pursuant to Chardan’s organizational documents, Chardan shall extend the deadline to consummate its initial business combination by an additional three months from the Termination Date (as defined in Chardan’s Amended and Restated Certificate of Incorporation as in effect on May 15, 2022) (such date, the “Extended Termination Date”); provided that if the Closing has not occurred by the date that is two business days prior to the Extended Termination Date, Chardan shall extend the deadline to consummate its initial business combination by an additional three months from the Extended Termination Date.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Business Combination Agreement contemplates the execution of various additional agreements and instruments, on or before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Closing, including, among others, the following: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Rights &amp; Certain Restrictions on Transfer</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Merger Agreement contemplates that, at the Closing, New Dragonfly, Chardan NexTech Investments 2 LLC, a Delaware limited liability company (the “Sponsor”), Chardan’s initial stockholders, certain shareholders of Dragonfly and certain of each of their respective affiliates, as applicable, and the other parties thereto, will enter into an Amended and Restated Registration Rights Agreement (the “Registration Rights Agreement”), pursuant to which New Dragonfly will agree to register for resale, pursuant to Rule 415 under the Securities Act of 1933, as amended (the “Securities Act”), certain shares of New Dragonfly Common Stock and other equity securities of New Dragonfly that are held by the parties thereto from time to time and the parties thereto will be provided with customary demand and piggyback registration rights. Additionally, the Registration Rights Agreement and the Bylaws of New Dragonfly contain certain restrictions on transfer with respect to (i) shares of New Dragonfly Common Stock and any other equity securities convertible into or exercisable or exchangeable for shares of New Dragonfly Common Stock held by the Dragonfly Stockholders immediately</w:t>
      </w:r>
    </w:p>
    <w:p>
      <w:pPr>
        <w:sectPr>
          <w:pgSz w:w="11900" w:h="16838" w:orient="portrait"/>
          <w:cols w:equalWidth="0" w:num="1">
            <w:col w:w="9920"/>
          </w:cols>
          <w:pgMar w:left="980" w:top="665" w:right="999"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379730</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following the Closing (other than any shares purchased in the public market or in the PIPE Investment) and (ii) any Earnout Shares (as defined in the Merger Agreement) issued within six (6) months of the closing date and any shares of New Dragonfly Common Stock issued with respect to or in exchange for such Earnout Shares (the “Lock-up Shares”). Such restrictions begin at the Closing and end on the date that is six months after Closing.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Sponsor Support Agreement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May 15, 2022, the Sponsor, Chardan and Dragonfly entered into the Sponsor Support Agreement (the “Sponsor Support Agreement”), pursuant to which, among other things, the Sponsor agreed to (i) vote in favor of the Merger Agreement and the transactions contemplated thereby and against any proposal that would reasonably be expected to result in (x) a breach of any of Chardan’s or Merger Sub’s covenants, agreements or obligations under the Merger Agreement or in any Ancillary Agreements or (y) any Closing conditions set forth in Section 9.1 or 9.3 or the Merger Agreement not being satisfied, (ii) retain and not redeem its holdings in Chardan prior to the Closing, (iii) be subject to certain transfer restrictions with respect to its holdings in Chardan and (iv) be bound by certain provisions of the Merger Agreement as if it were an original signatory thereto, in each case, on the terms and subject to the conditions set forth in the Sponsor Support Agreement.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 Agreement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May 15, 2022, concurrently with the execution of the Merger Agreement, Chardan entered into a subscription agreement (the “Subscription Agreement”) with the Sponsor (the “PIPE Investor”). Pursuant to and subject to the terms and conditions contained in the Subscription Agreement, the PIPE Investor has subscribed to purchase up to 500,000 shares of New Dragonfly Common Stock at a purchase price of $10.00 per share for an aggregate purchase price of up to $5,000,000 (the “PIPE Investment”).</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set forth in the Subscription Agreement, the PIPE Investor may purchase shares of the Chardan common stock, par value $0.0001 per share (“Chardan Common Stock”) in the open market, and reduce (i) its purchase price under the Subscription Agreement by an amount equal to the number of shares that the PIPE Investor purchased in the open market multiplied by the per share redemption amount received by public stockholders who elect to redeem their shares prior to the Closing and (ii) the number of shares it subscribed for by an amount equal to the number of Shares Subscriber purchased in the open market and not redeemed as contemplated above. The PIPE Investor agreed that it will not exercise its right to vote any shares it may purchase in the open market following the date of the Subscription Agreement and prior to the Closing, in connection with any vote to approve the Merger.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PIPE Investment will be consummated substantially concurrently with the Closing.</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Subscription Agreement will terminate with no further force and effect upon the earliest to occur of: (i) such date and time as the Merger Agreement is terminated in accordance with its terms, (ii) the mutual written agreement of the parties to the Subscription Agreement, (iii) if the conditions to closing set forth in the Subscription Agreement are not satisfied at, or are not capable of being satisfied on or prior to, the Closing and, as a result thereof, the transactions contemplated by the Subscription Agreement will not be or are not consummated at the Closing and (iv) May 15, 2023, if the Closing has not occurred on or before such date.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Commitment Letter</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May 15, 2022, Chardan and Dragonfly entered into a commitment letter (the “Debt Commitment Letter”), with EICF Agent LLC (“EIP”) and CCM Investments 5 LLC, an affiliate of the Sponsor (“CCM 5”, and collectively with EIP, the “Initial Lenders”), pursuant to which the Initial Lenders have agreed to provide Dragonfly with a senior secured term loan facility in an aggregate principal amount of $75,000,000 (the “Term Loan Facility”) subject to the satisfaction of a number of specified conditions set forth in the Debt Commitment Letter. CCM 5 intends to backstop its commitment under the Debt Commitment Letter by entering into a backstop commitment letter (the “Backstop Commitment Letter”) with certain third party financing sources prior to the Closing Date.</w:t>
      </w:r>
    </w:p>
    <w:p>
      <w:pPr>
        <w:spacing w:after="0" w:line="17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proceeds of the Term Loan Facility will be used (i) to support the Merger, (ii) to repay all outstanding PIUS Debt and other obligations of Dragonfly, (iii) to pay for fees and expenses in connection with the foregoing, (iv) to provide additional growth capital and (v) for other general/corporate purposes. The Term Loan Facility must be fully drawn on the Closing Date, will mature four years</w:t>
      </w:r>
    </w:p>
    <w:p>
      <w:pPr>
        <w:sectPr>
          <w:pgSz w:w="11900" w:h="16838" w:orient="portrait"/>
          <w:cols w:equalWidth="0" w:num="1">
            <w:col w:w="9920"/>
          </w:cols>
          <w:pgMar w:left="980" w:top="665" w:right="999"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379730</wp:posOffset>
            </wp:positionV>
            <wp:extent cx="629221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from the Closing Date and will be subject to quarterly amortization of 5% per annum beginning 24 months after the Closing Date.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Chardan will be a guarantor under the Term Loan Facility.</w:t>
      </w: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part of the consideration for the Term Loan Facility, New Dragonfly will also issue to the Initial Lenders (but not CCM 5 to the extent it has not backstopped its commitment pursuant to the Backstop Commitment Letter) on the Closing Date: (i) penny warrants (the “Penny Warrants”) exercisable to purchase 3.6% of New Dragonfly’s common stock on a fully-diluted basis, calculated as of the Closing Date, and (ii) warrants (the “$10 Per Share Warrants”) exercisable to purchase 1.6 million shares of New Dragonfly’s common stock at $10 per share. The Penny Warrants will have an exercise period of ten years from the date of issuance. The $10 Per Share Warrants will have an exercise period of five years from the date of issuance and will have customary cashless exercise provisions. The warrants will have standard anti-dilution protections. The shares of New Dragonfly common stock issuable upon exercise of the warrants shall have customary registration rights requiring New Dragonfly to file and keep effective a registration statement registering the resale of such shares.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Facility Letter Agreement</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May 15, 2022, Chardan, Dragonfly and CCM 5 (the “Equity Facility Investor”) entered into a letter agreement (together with the Summary of Indicative Terms attached as an exhibit thereto, the “Equity Facility Letter Agreement”) pursuant to which Chardan and Dragonfly agreed to enter into definitive documentation (the “Equity Facility Definitive Documentation”) to establish a committed equity facility (the “Equity Facility”) prior to the Closing. The Equity Facility Definitive Documentation will contain terms that are consistent with the Equity Facility Letter Agreement and customary for documentation of this nature. Pursuant to and subject to the conditions to be set forth in the Equity Facility Definitive Documentation, New Dragonfly will have the right from time to time at its option to direct the Equity Facility Investor to purchase up to a specified maximum amount of shares of New Dragonfly common stock, up to a maximum aggregate purchase price of $150,000,000 over the 36-month term of the Equity Facility Letter Agreement.</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foregoing descriptions of the Merger Agreement, form of the Registration Rights Agreement, the Sponsor Support Agreement, the Subscription Agreement, the Debt Commitment Letter and the Equity Facility Letter Agreement and the transactions and documents contemplated thereby are not complete and are subject to and qualified in their entirety by reference to the Merger Agreement, form of the Registration Rights Agreement, the Sponsor Support Agreement, the Subscription Agreement, the Debt Commitment Letter and the Equity Facility Letter Agreement, copies of which are filed with this Current Report on Form 8-K, and the terms of which are incorporated by reference herein.</w:t>
      </w:r>
    </w:p>
    <w:p>
      <w:pPr>
        <w:spacing w:after="0" w:line="19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Merger Agreement, the Registration Rights Agreement, the Sponsor Support Agreement, the Subscription Agreement, the Debt Commitment Letter and the Equity Facility Letter Agreement have been included to provide investors with information regarding their terms. They are not intended to provide any other factual information about Chardan, Dragonfly, or their affiliates. The representations, warranties, covenants and agreements contained in the Merger Agreement, the Registration Rights Agreement, the Sponsor Support Agreement, the Registration Rights Agreement, the Subscription Agreement, the Debt Commitment Letter and the Equity Facility Letter Agreement and the other documents related thereto were made only for purposes of such agreements as of the specific dates therein, were solely for the benefit of the parties to the Merger Agreement, the Registration Rights Agreement, the Sponsor Support Agreement, the Subscription Agreement, the Debt Commitment Letter and the Equity Facility Letter Agreement, as applicable, and may be subject to limitations agreed upon by the contracting parties, including being qualified by confidential disclosures made for the purposes of allocating contractual risk between the parties to the Merger Agreement, the Sponsor Support Agreement, the Subscription Agreement, the Debt Commitment Letter or the Equity Facility Letter Agreement, as applicable, instead of establishing these matters as facts, and may be subject to standards of materiality applicable to the contracting parties that differ from those applicable to investors. Investors are not third-party beneficiaries under the Merger Agreement, the Registration Rights Agreement, the Sponsor Support Agreement, the Subscription Agreement, the Debt Commitment Letter or the Equity Facility Letter Agreement and should not rely on the representations, warranties, covenants and agreements or any descriptions thereof as characterizations of the actual state of facts or condition of the parties thereto or any of their respective subsidiaries or affiliates. Moreover, information concerning the subject matter of representations and warranties may change after the date of the Merger Agreement, the Registration Rights Agreement, the Sponsor Support Agreement, the Subscription Agreement, the Debt Commitment Letter or the Equity Facility Letter Agreement, as applicable, which subsequent information may or may not be fully reflected in Chardan’s public disclosures.</w:t>
      </w:r>
    </w:p>
    <w:p>
      <w:pPr>
        <w:sectPr>
          <w:pgSz w:w="11900" w:h="16838" w:orient="portrait"/>
          <w:cols w:equalWidth="0" w:num="1">
            <w:col w:w="9920"/>
          </w:cols>
          <w:pgMar w:left="980" w:top="665" w:right="999" w:bottom="1440" w:gutter="0" w:footer="0" w:header="0"/>
        </w:sect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 Consideration</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of June 30, 2022, the Company had $349,716 in cash held outside of the Trust Account and working capital surplus of $263,247. The Company has incurred and expects to continue to incur significant costs in pursuit of its acquisition plans. These conditions raise substantial doubt about the Company’s ability to continue as a going concern through February 13, 2023, the date at which the Company must consummate a business combination after taking into the effect of both extensions being filed, as described below. Management plans to address the uncertainty through a Business Combination, which is not guaranteed.</w:t>
      </w:r>
    </w:p>
    <w:p>
      <w:pPr>
        <w:spacing w:after="0" w:line="1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connection with the Company’s assessment of going concern considerations in accordance with FASB ASC Topic 205-40, “Presentation of Financial Statements - Going Concern,” the Company will have 12 months, or August 13, 2022, from the closing of the Initial Public Offering to consummate an initial Business Combination. However, if the Company anticipates that it may not be able to consummate an initial Business Combination within 12 months, the Company’s Sponsor or their affiliates or designees may, but are not obligated to, extend the period of time to consummate a Business Combination up to two times by an additional three months each time (for a total of up to 18 months, or February 13, 2023, to complete a Business Combination), by depositing into the Trust Account $1,265,000 for each extension ($0.10 per share or $2,530,000 in aggregate), on or prior to date of applicable deadline. If a Business Combination is not consummated by this date, there will be a mandatory liquidation and subsequent dissolution of the Company. Although the Company plans to complete a Business Combination before the date of liquidation, the Company has determined that the liquidity condition and mandatory liquidation, should a Business Combination not occur, and potential subsequent dissolution raises substantial doubt about its ability to continue as a going concern. No adjustments have been made to the carrying amounts of assets or liabilities should the Company be required to liquidate after February 13, 2023.</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Management continues to evaluate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condensed financial statements. The condensed financial statements do not include any adjustments that might result from the outcome of this uncertainty.</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February 2022, the Russian Federation and Belarus commenced a military action with the country of Ukraine. As a result of this action, various nations, including the United States, have instituted economic sanctions against the Russian Federation and Belarus. Further, the impact of this action and related sanctions on the world economy are not determinable as of the date of these condensed financial statements. The specific impact on the Company’s financial condition, results of operations, and cash flows is also not determinable as of the date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 AND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accompanying condensed financial statements of the Company are presented in conformity with accounting principles generally accepted in the United States of America (“GAAP”) and in accordance with the instructions to Form 10-Q and Article 8 of Regulation S-X of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comprehensive presentation of financial position, results of operations, or cash flows. In the opinion of management, the accompanying condensed financial statements include all adjustments, consisting of a normal recurring nature, which are necessary for a fair presentation of the financial position, operating results and cash flows for the periods presented. The accompanying condensed financial statements should be read in conjunction with the Company’s annual report on Form 10-K as filed with the SEC on March 29, 2022. The interim results for the three and six months ended June 30, 2022 are not necessarily indicative of the results to be expected for the year ending December 31, 2022 or for any future periods.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9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condensed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condensed financial statements in conformity with GAAP requires management to make estimates and assumptions that affect the reported amounts of assets and liabilities and disclosure of contingent assets and liabilities at the date of the condensed financial statements and the reported amounts of expenses during the reporting periods.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Making estimates requires management to exercise significant judgment. It is at least reasonably possible that the estimate of the effect of a condition, situation or set of circumstances that existed at the date of the condensed financial statements, which management considered in formulating its estimate, could change in the near term due to one or more future confirming events. Accordingly, the actual results could differ significantly from those estimates.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did not have any cash equivalents as of June 30, 2022 and December 31, 2021.</w:t>
      </w:r>
    </w:p>
    <w:p>
      <w:pPr>
        <w:sectPr>
          <w:pgSz w:w="11900" w:h="16838" w:orient="portrait"/>
          <w:cols w:equalWidth="0" w:num="1">
            <w:col w:w="9920"/>
          </w:cols>
          <w:pgMar w:left="980" w:top="665" w:right="99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Held in Trust Account</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Company’s portfolio of investments is comprised of U.S. government securities, within the meaning set forth in Section 2(a)(16) of the Investment Company Act, with a maturity of 185 days or less, or investments in money market funds that invest in U.S. government securities and generally have a readily determinable fair value, or a combination thereof. When the Company’s investments held in the Trust Account are comprised of U.S. government securities, the investments are classified as trading securities. When the Company’s investments held in the Trust Account are comprised of money market funds, the investments are recognized at fair value. Trading securities and investments in money market funds are presented on the balance sheets at fair value at the end of each reporting period. Gains and losses resulting from the change in fair value of these securities is included in Net income from investments held in Trust Account in the accompanying statement of operations. The estimated fair values of investments held in the Trust Account are determined using available market information. At June 30, 2022 and December 31, 2021, the assets held in the Trust Account were $128,610,697 and $128,421,215,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Subject to Possible Redemption</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accounts for its common stock subject to possible redemption in accordance with the guidance in ASC Topic 480 “Distinguishing Liabilities from Equity.” Common stock subject to mandatory redemption (if any) is classified as liability instruments and is measured at fair value. Conditionally redeemable common stock (including common stock that feature redemption rights that is either within the control of the holder or subject to redemption upon occurrence of uncertain events not solely within the Company’s control) is classified as temporary equity. At all other times, common stock is classified as stockholders’ equity. The Company’s common stock feature certain redemption rights that is considered to be outside of the Company’s control and subject to the occurrence of uncertain future events. Accordingly, as of June 30, 2022 and December 31, 2021, 12,650,000 shares of common stock subject to possible redemption is presented as temporary equity, outside of the stockholders’ equity section of the Company’s condensed balance sheets. Effective with the closing of the Initial Public Offering, the Company recognized the accretion from the initial book value to redemption amount, which resulted in charges against additional paid-in capital (to the extent available) and retained earnings (accumulated deficit).</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recognizes changes in redemption value immediately as they occur and adjusts the carrying value of redeemable common stock to equal the redemption value at the end of each reporting period. This method would view the end of the reporting period as if it were also the redemption date for the security. Increases or decreases in the carrying amount of redeemable common stock is affected by charges against additional paid in capital and retained earnings (accumulated deficit).</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2022 and December 31, 2021, the common stock reflected in the condensed balance sheets are reconciled in the following table:</w:t>
      </w:r>
    </w:p>
    <w:p>
      <w:pPr>
        <w:spacing w:after="0" w:line="198"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Gross proceeds</w:t>
            </w:r>
          </w:p>
        </w:tc>
        <w:tc>
          <w:tcPr>
            <w:tcW w:w="17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126,500,000</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Less:</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Proceeds allocated to Public Warrants</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(15,180,000)</w:t>
            </w:r>
          </w:p>
        </w:tc>
      </w:tr>
      <w:tr>
        <w:trPr>
          <w:trHeight w:val="216"/>
        </w:trPr>
        <w:tc>
          <w:tcPr>
            <w:tcW w:w="5100" w:type="dxa"/>
            <w:vAlign w:val="bottom"/>
          </w:tcPr>
          <w:p>
            <w:pPr>
              <w:ind w:left="100"/>
              <w:spacing w:after="0"/>
              <w:rPr>
                <w:sz w:val="20"/>
                <w:szCs w:val="20"/>
                <w:color w:val="auto"/>
              </w:rPr>
            </w:pPr>
            <w:r>
              <w:rPr>
                <w:rFonts w:ascii="Arial" w:cs="Arial" w:eastAsia="Arial" w:hAnsi="Arial"/>
                <w:sz w:val="18"/>
                <w:szCs w:val="18"/>
                <w:color w:val="auto"/>
              </w:rPr>
              <w:t>Issuance costs allocated to common stock</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(933,989)</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Plus:</w:t>
            </w: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51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Accretion of carrying value to redemption value</w:t>
            </w:r>
          </w:p>
        </w:tc>
        <w:tc>
          <w:tcPr>
            <w:tcW w:w="15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18,011,489</w:t>
            </w:r>
          </w:p>
        </w:tc>
      </w:tr>
      <w:tr>
        <w:trPr>
          <w:trHeight w:val="210"/>
        </w:trPr>
        <w:tc>
          <w:tcPr>
            <w:tcW w:w="5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Common stock subject to possible redemption</w:t>
            </w:r>
          </w:p>
        </w:tc>
        <w:tc>
          <w:tcPr>
            <w:tcW w:w="15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128,397,500</w:t>
            </w:r>
          </w:p>
        </w:tc>
      </w:tr>
      <w:tr>
        <w:trPr>
          <w:trHeight w:val="20"/>
        </w:trPr>
        <w:tc>
          <w:tcPr>
            <w:tcW w:w="5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 Costs associated with the Initial Public Offering</w:t>
      </w:r>
    </w:p>
    <w:p>
      <w:pPr>
        <w:spacing w:after="0" w:line="16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complies with the requirements of ASC 340-10-S99-1 and SEC Staff Accounting Bulletin Topic 5A - Expenses of Offering. Offering costs consist principally of professional and registration fees incurred through the balance sheet date that are related to the Initial Public Offering. Offering costs directly attributable to the issuance of an equity contract to be classified in equity are recorded as a reduction in equity. Offering costs for equity contracts that are classified as assets and liabilities are expensed immediately. The Company incurred offering costs amounting to $1,080,140, consisting of $500,000 of cash underwriting fees and $580,140 of other offering costs. The Company recorded $933,989 of offering costs as a reduction of temporary equity in connection with the redeemable</w:t>
      </w:r>
    </w:p>
    <w:p>
      <w:pPr>
        <w:sectPr>
          <w:pgSz w:w="11900" w:h="16838" w:orient="portrait"/>
          <w:cols w:equalWidth="0" w:num="1">
            <w:col w:w="9920"/>
          </w:cols>
          <w:pgMar w:left="980" w:top="665" w:right="99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common stock included in the Units. The Company recorded $127,354 as a reduction of permanent equity in connection with the Public Warrants included in the Units and immediately expensed $18,797 of offering costs in connection with the Private Warrants that were classified as liabilities.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Liabilities</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accounts for warrants as either equity-classified or liability-classified instruments based on an assessment of the warrant’s specific terms and applicable authoritative guidance in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Changes in the estimated fair value of the warrants will be recognized as a non-cash gain or loss on the unaudited condensed statements of operations.</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accounts for the Private Warrants issued concurrently in connection with the Initial Public Offering in accordance with ASC 815-40, under which the Private Warrants will not meet the criteria for equity classification and must be recorded as liabilities. As the Private Warrants meet the definition of a derivative as contemplated in ASC 815, the Private Warrants will be measured at fair value at inception and at each reporting date in accordance with ASC 820, Fair Value Measurement (“ASC 820”), with changes in fair value recognized in the unaudited condensed statements of operations in the period of change.</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Public Warrants are not precluded from equity classification, and are accounted for as such on the date of issuance, and each balance sheet date thereafter.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The Company complies with the accounting and reporting requirements of ASC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(“ASC 740”), which requires an asset and liability approach to financial accounting and reporting for income taxes. Deferred income tax assets and liabilities are computed for differences between the condensed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ASC 740 prescribes a recognition threshold and a measurement attribute for the condensed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June 30, 2022 and December 31, 2021.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was deemed to be de minimis for the three and six months ended June 30, 2022 and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Per Share of Common Stock</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The Company complies with accounting and disclosure requirements of ASC 260, </w:t>
      </w:r>
      <w:r>
        <w:rPr>
          <w:rFonts w:ascii="Arial" w:cs="Arial" w:eastAsia="Arial" w:hAnsi="Arial"/>
          <w:sz w:val="16"/>
          <w:szCs w:val="16"/>
          <w:i w:val="1"/>
          <w:iCs w:val="1"/>
          <w:color w:val="auto"/>
        </w:rPr>
        <w:t>Earnings Per Share.</w:t>
      </w:r>
      <w:r>
        <w:rPr>
          <w:rFonts w:ascii="Arial" w:cs="Arial" w:eastAsia="Arial" w:hAnsi="Arial"/>
          <w:sz w:val="16"/>
          <w:szCs w:val="16"/>
          <w:color w:val="auto"/>
        </w:rPr>
        <w:t xml:space="preserve"> Net income (loss) per common share is computed by dividing net earnings by the weighted-average number of shares of common stock outstanding during the period.</w:t>
      </w:r>
    </w:p>
    <w:p>
      <w:pPr>
        <w:sectPr>
          <w:pgSz w:w="11900" w:h="16838" w:orient="portrait"/>
          <w:cols w:equalWidth="0" w:num="1">
            <w:col w:w="9920"/>
          </w:cols>
          <w:pgMar w:left="980" w:top="665"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not considered the effect of the Warrants sold in the Initial Public Offering and private placement to purchase an aggregate of 14,115,358 shares in the calculation of diluted income (loss) per share, since the exercise of the Warrants are contingent upon the occurrence of future events.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reflects the calculation of basic and diluted net income (loss) per common share (in dollars, except per share amounts):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5"/>
              </w:rPr>
              <w:t>Three Months</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Six Months</w:t>
            </w:r>
          </w:p>
        </w:tc>
        <w:tc>
          <w:tcPr>
            <w:tcW w:w="140" w:type="dxa"/>
            <w:vAlign w:val="bottom"/>
          </w:tcPr>
          <w:p>
            <w:pPr>
              <w:spacing w:after="0"/>
              <w:rPr>
                <w:sz w:val="14"/>
                <w:szCs w:val="14"/>
                <w:color w:val="auto"/>
              </w:rPr>
            </w:pPr>
          </w:p>
        </w:tc>
        <w:tc>
          <w:tcPr>
            <w:tcW w:w="960" w:type="dxa"/>
            <w:vAlign w:val="bottom"/>
          </w:tcPr>
          <w:p>
            <w:pPr>
              <w:jc w:val="center"/>
              <w:ind w:right="98"/>
              <w:spacing w:after="0"/>
              <w:rPr>
                <w:sz w:val="20"/>
                <w:szCs w:val="20"/>
                <w:color w:val="auto"/>
              </w:rPr>
            </w:pPr>
            <w:r>
              <w:rPr>
                <w:rFonts w:ascii="Arial" w:cs="Arial" w:eastAsia="Arial" w:hAnsi="Arial"/>
                <w:sz w:val="14"/>
                <w:szCs w:val="14"/>
                <w:b w:val="1"/>
                <w:bCs w:val="1"/>
                <w:color w:val="auto"/>
                <w:w w:val="93"/>
              </w:rPr>
              <w:t>Six Months</w:t>
            </w: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2"/>
                <w:szCs w:val="12"/>
                <w:color w:val="auto"/>
              </w:rPr>
            </w:pPr>
          </w:p>
        </w:tc>
        <w:tc>
          <w:tcPr>
            <w:tcW w:w="96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June 30,</w:t>
            </w:r>
          </w:p>
        </w:tc>
        <w:tc>
          <w:tcPr>
            <w:tcW w:w="12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June 30,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June 30,</w:t>
            </w:r>
          </w:p>
        </w:tc>
        <w:tc>
          <w:tcPr>
            <w:tcW w:w="140" w:type="dxa"/>
            <w:vAlign w:val="bottom"/>
          </w:tcPr>
          <w:p>
            <w:pPr>
              <w:spacing w:after="0"/>
              <w:rPr>
                <w:sz w:val="12"/>
                <w:szCs w:val="12"/>
                <w:color w:val="auto"/>
              </w:rPr>
            </w:pPr>
          </w:p>
        </w:tc>
        <w:tc>
          <w:tcPr>
            <w:tcW w:w="96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71"/>
        </w:trPr>
        <w:tc>
          <w:tcPr>
            <w:tcW w:w="52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2022</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9"/>
              </w:rPr>
              <w:t>2022</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income (loss) per share:</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Numerator:</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(570,333)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(834)</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621,507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8"/>
                <w:szCs w:val="18"/>
                <w:color w:val="auto"/>
              </w:rPr>
              <w:t>Denominator:</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 weighted average shares outstanding</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15,812,500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2,750,000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15,812,500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2,750,000</w:t>
            </w:r>
          </w:p>
        </w:tc>
        <w:tc>
          <w:tcPr>
            <w:tcW w:w="0" w:type="dxa"/>
            <w:vAlign w:val="bottom"/>
          </w:tcPr>
          <w:p>
            <w:pPr>
              <w:spacing w:after="0"/>
              <w:rPr>
                <w:sz w:val="1"/>
                <w:szCs w:val="1"/>
                <w:color w:val="auto"/>
              </w:rPr>
            </w:pPr>
          </w:p>
        </w:tc>
      </w:tr>
      <w:tr>
        <w:trPr>
          <w:trHeight w:val="216"/>
        </w:trPr>
        <w:tc>
          <w:tcPr>
            <w:tcW w:w="5240" w:type="dxa"/>
            <w:vAlign w:val="bottom"/>
          </w:tcPr>
          <w:p>
            <w:pPr>
              <w:ind w:left="220"/>
              <w:spacing w:after="0"/>
              <w:rPr>
                <w:sz w:val="20"/>
                <w:szCs w:val="20"/>
                <w:color w:val="auto"/>
              </w:rPr>
            </w:pPr>
            <w:r>
              <w:rPr>
                <w:rFonts w:ascii="Arial" w:cs="Arial" w:eastAsia="Arial" w:hAnsi="Arial"/>
                <w:sz w:val="18"/>
                <w:szCs w:val="18"/>
                <w:color w:val="auto"/>
              </w:rPr>
              <w:t>Basic net income (loss) per common share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0.04</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 weighted average shares outstanding</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15,812,500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2,750,000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15,812,500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2,750,000</w:t>
            </w:r>
          </w:p>
        </w:tc>
        <w:tc>
          <w:tcPr>
            <w:tcW w:w="0" w:type="dxa"/>
            <w:vAlign w:val="bottom"/>
          </w:tcPr>
          <w:p>
            <w:pPr>
              <w:spacing w:after="0"/>
              <w:rPr>
                <w:sz w:val="1"/>
                <w:szCs w:val="1"/>
                <w:color w:val="auto"/>
              </w:rPr>
            </w:pPr>
          </w:p>
        </w:tc>
      </w:tr>
      <w:tr>
        <w:trPr>
          <w:trHeight w:val="230"/>
        </w:trPr>
        <w:tc>
          <w:tcPr>
            <w:tcW w:w="5240" w:type="dxa"/>
            <w:vAlign w:val="bottom"/>
          </w:tcPr>
          <w:p>
            <w:pPr>
              <w:ind w:left="220"/>
              <w:spacing w:after="0"/>
              <w:rPr>
                <w:sz w:val="20"/>
                <w:szCs w:val="20"/>
                <w:color w:val="auto"/>
              </w:rPr>
            </w:pPr>
            <w:r>
              <w:rPr>
                <w:rFonts w:ascii="Arial" w:cs="Arial" w:eastAsia="Arial" w:hAnsi="Arial"/>
                <w:sz w:val="18"/>
                <w:szCs w:val="18"/>
                <w:color w:val="auto"/>
              </w:rPr>
              <w:t>Diluted net income (loss) per common share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0.04</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of a cash account in a financial institution, which, at times, may exceed the Federal Deposit Insurance Corporation coverage limit of $250,000. The Company has not experienced losses on this account and management believes the Company is not exposed to significant risks on such account.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applies ASC 820, which establishes a framework for measuring fair value and clarifies the definition of fair value within that framework. ASC 820 defines fair value as an exit price, which is the price that would be received for an asset or paid to transfer a liability in the Company’s principal or most advantageous market in an orderly transaction between market participants on the measurement date. The fair value hierarchy established in ASC 820 generally requires an entity to maximize the use of observable inputs and minimize the use of unobservable inputs when measuring fair value. Observable inputs reflect the assumptions that market participants would use in pricing the asset or liability and are developed based on market data obtained from sources independent of the reporting entity. Unobservable inputs reflect the entity’s own assumptions based on market data and the entity’s judgments about the assumptions that market participants would use in pricing the asset or liability and are to be developed based on the best information available in the circumstances.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amounts reflected in the condensed balance sheet for current assets and current liabilities approximate fair value due to their short-term nature.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1 — Assets and liabilities with unadjusted, quoted prices listed on active market exchanges. Inputs to the fair value measurement are observable inputs, such as quoted prices in active markets for identical assets or liabilities.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Level 2 — Inputs to the fair value measurement are determined using prices for recently traded assets and liabilities with similar underlying terms, as well as direct or indirect observable inputs, such as interest rates and yield curves that are observable at commonly quoted intervals.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3 — Inputs to the fair value measurement are unobservable inputs, such as estimates, assumptions, and valuation techniques when little or no market data exists for the assets or liabilities.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See Note 10 for additional information on assets and liabilities measured at fair value.</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Company’s condensed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INITIAL PUBLIC OFFERING</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Registration Statement for the Company’s Initial Public Offering was declared effective on August 10, 2021. On August 13, 2021, the Company completed its Initial Public Offering of 11,000,000 Units, at $10.00 per Unit, generating gross proceeds of $110,000,000. Each Unit consisted of one Public Share, and three-quarters of one Public Warrant. Each Public Warrant entitles the holder to purchase one share of common stock at an exercise price of $11.50 per whole share (see Note 7).</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had granted the underwriters in the Initial Public Offering a 45-day option to purchase up to 1,650,000 additional Units to cover over-allotments, if any (see Note 6). On August 18, 2021, the underwriters fully exercised the over-allotment option and purchased an additional 1,650,000 Over-Allotment Units, generating gross proceeds of $16,500,000.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PRIVATE PLACEMENT</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Simultaneously with the closing of the Initial Public Offering, Holdings purchased an aggregate of 4,361,456 Private Warrants at a price of $0.93 per Private Warrant ($4,052,000 in the aggregate). Each Private Warrant entitles the holder to purchase one share of common stock at an exercise price of $11.50 per share (see Note 7).</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proceeds from the Private Warrants were added to the proceeds from the Initial Public Offering to be held in the Trust Account. If the Company does not complete a Business Combination within 12 months (or up to 18 months if the Company’s time to complete a Business Combination is extended), the proceeds of the sale of the Private Warrants will be used to fund the redemption of the Public Shares (subject to the requirements of applicable law) and the Private Warrants will expire worthless. The Company classifies the outstanding Private Warrants as warrant liabilities on the condensed balance sheet in accordance with the guidance contained in ASC 815-40.</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Simultaneously with the closing of the exercise of the over-allotment option (see Note 6), the Company consummated the sale of 266,402 Over-Allotment Private Warrants at a purchase price of $0.93 per Over-Allotment Private Warrant in a private placement to Holdings, generating gross proceeds of $247,500.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Founder Shares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June 23, 2020, the Company issued 1,000,000 shares of common stock for an aggregate price of $25,000 (the “Founder Shares”). On March 4, 2021, the Company effected a 2.875-for-1 stock split of its issued and outstanding shares of common stock, resulting in an aggregate of 2,875,000 shares of common stock issued and outstanding. On August 10, 2021, the Company effectuated a 1.1-for-1 stock split, resulting in an aggregate of 3,162,500 shares of common stock outstanding. Shares and the associated amounts have been retroactively restated in these condensed financial statements to reflect the two stock splits. The Founder Shares include an aggregated of up to 412,500 shares of common stock subject to forfeiture by the initial stockholders to the extent that the underwriters’ over-allotment is not exercised in full or in part, so that the initial stockholders would collectively own, on an as-converted basis, 20% of the Company’s issued and outstanding shares after the Initial Public Offering.</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August 18, 2021, the underwriters’ exercised the over-allotment option in full, thus these shares are no longer subject to forfeiture (see Note 6).</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With certain limited exceptions, 50% of the Founder Shares will not be transferred, assigned, sold or released from escrow until the earlier of (i) six months after the date of the consummation of a Business Combination (the “Escrow Period”) or (ii) the date on which the closing price of the Company’s shares of common stock equals or exceeds $12.50 per share (as adjusted for stock splits, stock dividends, reorganizations and recapitalizations) for any ten trading days within any 30-trading day period commencing after the consummation of a Business Combination. The remaining 50% of the Founder Shares will not be transferred, assigned, sold or released from escrow until the expiration of the Escrow Period. In either case, if, subsequent to a Business Combination, the Company consummates a subsequent liquidation, merger, stock exchange or other similar transaction which results in all of the stockholders having the right to exchange their shares of common stock for cash, securities or other property, and either (1) before the expiration of the Escrow Period, then the Founder Shares will be canceled, or (2) after the expiration of the Escrow Period, release the Founder Shares to the initial stockholders.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Promissory Note — Related Party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23, 2020, the Sponsor agreed to loan the Company an aggregate of up to $250,000 to cover expenses related to the Initial Public Offering pursuant to a promissory note (the “Promissory Note”). The promissory note was non-interest bearing, unsecured and was repaid at August 19, 2021. As of June 30, 2022 and December 31, 2021, there was no outstanding balance under the note. The Promissory Note is no longer available to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Support Agreement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entered into an agreement, commencing on the effective date of the Initial Public Offering, to pay an affiliate of the Sponsor a total of $10,000 per month for office space, administrative and support services. Upon completion of a Business Combination or liquidation, the Company will cease paying these monthly fees. As of June 30, 2022, the Company has not exercised its option to use such services.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Loans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order to finance transaction costs in connection with an intended initial Business Combination, the Company’s initial stockholders, officers and directors or any of their respective affiliates may, but are not obligated to, loan the Company funds as may be required from time to time or at any time, in whatever amount they deem reasonable in their sole discretion. Each loan would be evidenced by a promissory note. The notes would be paid upon consummation of an initial Business Combination, without interest. Loans made by Chardan Capital Markets, LLC or any of its related persons will not be convertible into any of the Company’s securities and Chardan Capital Markets, LLC and its related persons will have no recourse with respect to their ability to convert their loans into any of the Company’s securities. As of June 30, 2022 and December 31, 2021, the Company had no working capital loans outstanding.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and Stockholder Rights Agreement</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holders of the Founder Shares and Private Warrants (and any shares of common stock issuable upon the exercise of the Private Warrants) will be entitled to registration rights pursuant to an agreement to be signed prior to or on the effective date of the Initial Public Offering. The holders of a majority of these securities are entitled to make up to two demands that the Company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Warrants (and underlying securities) can elect to exercise these registration rights at any time after the Company consummates a Business Combination. In addition, the holders have certain “piggy-back” registration rights with respect to Registration Statements filed subsequent to the consummation of a Business Combination. The Company will bear the expenses incurred in connection with the filing of any such Registration Statements.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granted the underwriters a 45-day option to purchase up to 1,650,000 additional Units to cover over-allotments at the Initial Public Offering price, less the underwriting discounts and commissions. On August 18, 2021, the underwriters fully exercised the over-allotment option to purchase an additional 1,650,000 Units at an offering price of $10.00 per Unit for an aggregate purchase price of $16,500,000. In addition, the underwriters were paid a cash underwriting discount of $500,000 upon the closing of the Initial Public Offering.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 Marketing Agreement</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has engaged Chardan Capital Markets, LLC as an advisor in connection with the Company’s Business Combination to assist the Company in holding meetings with the stockholders to discuss the potential Business Combination and the target business’ attributes, introduce the Company to potential investors that are interested in purchasing the Company’s securities, assist the Company in obtaining stockholder approval for the Business Combination and assist the Company with press releases and public filings in connection with the Business Combination. The Company will pay Chardan Capital Markets, LLC a cash fee for such services upon the consummation of the Company’s initial Business Combination in an amount equal to, in the aggregate, 3.5% of the gross proceeds of the Initial Public Offering. As a result, Chardan Capital Markets, LLC will not be entitled to such fee unless the Company consummates the initial Business Combination.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Extension Loans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discussed in Note 1, the Company may extend the period of time to consummate an initial Business Combination two times, for an additional three months each time (for a total of up to 18 months to complete a Business Combination). In order to extend the time available for the Company to consummate a Business Combination, the initial stockholders or their affiliates or designees must deposit into the Trust Account $1,265,000 ($0.10 per share, or an aggregate of $2,530,000) if extended for each of the full three months), on or prior to the date of the applicable deadline. Any such payments would be made in the form of a loan. The terms of the promissory note to be issued in connection with any such loans have not yet been negotiated. If the Company completes an initial Business Combination, the Company would repay such loaned amounts out of the proceeds of the Trust Account released to the Company. If the Company does not complete an initial Business Combination, the Company will not repay such loans. The initial stockholders and their affiliates or designees are not obligated to fund the Trust Account to extend the time for the Company to complete an initial Business Combination.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WARRANTS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of June 30, 2022 and December 31, 2021 there was 9,847,500 Public Warrants and 4,627,858 Private Warrants outstanding, respectively. Each whole Public Warrant will entitle the holder to purchase one share of common stock at an exercise price of $11.50 per whole share. Each of the Private Warrants is exercisable to purchase one share of common stock at a price of $11.50 per share, subject to adjustment. The proceeds from the sale of the Private Warrants were added to the net proceeds from the Initial Public Offering to be held in the Trust Account. If the Company does not complete a Business Combination within the Combination Period, the proceeds from the sale of the Private Warrants will be used to fund the redemption of the Public Shares (and the Private Warrants will expire worthless). The Warrants provide for a cashless exercise which the Company’s management determined to be a net settlement feature with no obligation to settle in cash. The net shares issued in a cashless exercise are based on the fair value of the Company’s common stock at the time the Warrants are exercised.</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Each Warrant shall, when countersigned by the Warrant Agent, entitle the Registered Holder to purchase from the Company the number of shares of common stock at $11.50 per share. The Public Warrants may only be exercised for a whole number of Warrant Shares by a Registered Holder. No fractional shares will be issued.</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 Warrant may be exercised only during the period (“Exercise Period”) commencing 30 days after the completion of the Company’s initial business combination and terminating at 5:00 p.m., New York City time, on the earlier to occur of (i) (A) five years following the completion of the Company’s initial business combination with respect to the Public Warrants, and (B) five years from the effective date of the Registration Statement with respect to the Private Warrants purchased by Chardan NexTech 2 Warrant Holdings LLC, provided that once the Private Warrants are not beneficially owned, directly or indirectly, by Chardan Capital Markets, LLC or any of</w:t>
      </w:r>
    </w:p>
    <w:p>
      <w:pPr>
        <w:sectPr>
          <w:pgSz w:w="11900" w:h="16838" w:orient="portrait"/>
          <w:cols w:equalWidth="0" w:num="1">
            <w:col w:w="9920"/>
          </w:cols>
          <w:pgMar w:left="980" w:top="665"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its related persons anymore, the Private Warrants may not be exercised five years following the completion of the Company’s initial business combination, and (ii) the date fixed for redemption of the Warrants as provided in Section 6 of this Warrant Agreement (“Expiration Date”). Except with respect to the right to receive the Redemption Price, each Warrant not exercised on or before the Expiration Date shall become void, and all rights thereunder and all rights shall cease at the close of business on the Expiration Date. The Company may extend the duration of the Warrants by delaying the Expiration Date; provided, however, that the Company (i) may not extend the duration of the Private Warrants by delaying the Expiration Date and (ii) will provide written notice of not less than 10 days to Registered Holders of such extension and that such extension shall be identical in duration among all of the then outstanding Warrants.</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is not required to issue any fraction of a Warrant Share in connection with the exercise of Warrants, and in any case where the Registered Holder would be entitled under the terms of the Warrants to receive a fraction of a Warrant Share upon the exercise of such Registered Holder’s Warrants, issue or cause to be issued only the largest whole number of Warrant Shares issuable on such exercise (and such fraction of a Warrant Share will be disregarded); provided, that if more than one Warrant certificate is presented for exercise at the same time by the same Registered Holder, the number of whole Warrant Shares which shall be issuable upon the exercise thereof shall be computed on the basis of the aggregate number of Warrant Shares issuable on exercise of all such Warrants.</w:t>
      </w:r>
    </w:p>
    <w:p>
      <w:pPr>
        <w:spacing w:after="0" w:line="16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Private Warrants: (i) will be exercisable either for cash or on a cashless basis at the holders option and (ii) will not be redeemable by the Company, in either case as long as the Private Warrants are held by the initial purchasers or any of their permitted transferees (as prescribed in the Subscription Agreement). The Private Warrants may not be sold, transferred, assigned, pledged or hypothecated, or be the subject of any hedging, short sale, derivative, put, or call transaction that would result in the effective economic disposition of, the Private Warrants (or any securities underlying the Private Warrants) for a period of one hundred eighty (180) days following the effective date of the Registration Statement to anyone other than any member participating in the Public Offering and the officers or partners thereof, if all securities so transferred remain subject to the lock-up restriction for the remainder of the time period.</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All (and not less than all) of the outstanding Warrants may be redeemed, in whole and not in part, at the option of the Company, at any time from and after the Warrants become exercisable, and prior to their expiration, at the office of the Warrant Agent, at the price of $.01 per Warrant (“Redemption Price”); provided that the last sales price of the common stock has been equal to or greater than $16.00 per share (subject to adjustment for splits, dividends, recapitalizations and other similar events) (the “Redemption Trigger Price”), for any ten</w:t>
      </w:r>
    </w:p>
    <w:p>
      <w:pPr>
        <w:spacing w:after="0" w:line="1" w:lineRule="exact"/>
        <w:rPr>
          <w:sz w:val="20"/>
          <w:szCs w:val="20"/>
          <w:color w:val="auto"/>
        </w:rPr>
      </w:pPr>
    </w:p>
    <w:p>
      <w:pPr>
        <w:jc w:val="both"/>
        <w:ind w:firstLine="8"/>
        <w:spacing w:after="0" w:line="292" w:lineRule="auto"/>
        <w:tabs>
          <w:tab w:leader="none" w:pos="349" w:val="left"/>
        </w:tabs>
        <w:numPr>
          <w:ilvl w:val="0"/>
          <w:numId w:val="5"/>
        </w:numPr>
        <w:rPr>
          <w:rFonts w:ascii="Arial" w:cs="Arial" w:eastAsia="Arial" w:hAnsi="Arial"/>
          <w:sz w:val="16"/>
          <w:szCs w:val="16"/>
          <w:color w:val="auto"/>
        </w:rPr>
      </w:pPr>
      <w:r>
        <w:rPr>
          <w:rFonts w:ascii="Arial" w:cs="Arial" w:eastAsia="Arial" w:hAnsi="Arial"/>
          <w:sz w:val="16"/>
          <w:szCs w:val="16"/>
          <w:color w:val="auto"/>
        </w:rPr>
        <w:t>trading days within a thirty (30) trading day period ending on the third business day prior to the date on which notice of redemption is given and provided further that there is a current Registration Statement in effect with respect to the shares of common stock underlying the Warrants for each day in the aforementioned 30- day trading period and continuing each day thereafter until the Redemption Date. For avoidance of doubt, if and when the warrants become redeemable by the Company, the Company may exercise its redemption right, even if it is unable to register or qualify the Warrant Shares for sale under all applicable state securities laws.</w:t>
      </w:r>
    </w:p>
    <w:p>
      <w:pPr>
        <w:spacing w:after="0" w:line="1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accounts for the 4,627,858 Private Warrants issued in connection with the Initial Public Offering in accordance with the guidance contained in ASC 815-40. Such guidance provides that because the Private Warrants do not meet the criteria for equity treatment thereunder, each Private Warrant must be recorded as a liability. This liability is subject to re-measurement at each balance sheet date. With each such re-measurement, the warrant liabilities will be adjusted to its current fair value, with the change in fair value recognized in the Company’s statement of operations. The Company will reassess the classification at each balance sheet date. If the classification changes as a result of events during the period, the warrants will be reclassified as of the date of the event that causes the reclassification.</w:t>
      </w:r>
    </w:p>
    <w:p>
      <w:pPr>
        <w:spacing w:after="0" w:line="19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Public Warrants are not precluded from equity classification. Equity-classified contracts are initially measured at fair value (or allocated value). Subsequent changes in fair value are not recognized as long as the contracts continue to be classified in equity.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STOCKHOLDERS’ EQUITY (DEFICIT)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Preferred Stock</w:t>
      </w:r>
      <w:r>
        <w:rPr>
          <w:rFonts w:ascii="Arial" w:cs="Arial" w:eastAsia="Arial" w:hAnsi="Arial"/>
          <w:sz w:val="17"/>
          <w:szCs w:val="17"/>
          <w:color w:val="auto"/>
        </w:rPr>
        <w:t>— The Company is authorized to issue 1,000,000 shares of preferred stock, par value $0.0001 per share, with such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designations, voting and other rights and preferences as may be determined from time to time by the Company’s board of directors. As of June 30, 2022 and December 31, 2021, the Company had no issued or outstanding shares of preferred stock.</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Common stock </w:t>
      </w:r>
      <w:r>
        <w:rPr>
          <w:rFonts w:ascii="Arial" w:cs="Arial" w:eastAsia="Arial" w:hAnsi="Arial"/>
          <w:sz w:val="17"/>
          <w:szCs w:val="17"/>
          <w:color w:val="auto"/>
        </w:rPr>
        <w:t>—The Company is authorized to issue 50,000,000 shares of common stock with a par value of $0.0001 per share.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June 30, 2022 and December 31, 2021, there were 15,812,500 shares of common stock issued and outstanding, including 12,650,000 shares of common stock subject to possible redemption. Of the 15,812,500 shares of common stock outstanding, up to 412,500 shares were subject to forfeiture to the Company by the initial stockholders for no consideration to the extent that the underwriters’ over-allotment option was not exercised in full or in part, so that the initial stockholders would collectively own 20% of the Company’s issued and outstanding common stock after the Initial Public Offering. On August 16, 2021, the underwriters’ exercised the over-allotment option in full (see Note 6), thus these shares are no longer subject to forfeiture.</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Common stockholders of record are entitled to one vote for each share held on all matters to be voted on by stockholders. Unless specified in the Amended and Restated Certificate of Incorporation or bylaws, or as required by applicable law or stock exchange rules, the affirmative vote of a majority of the Company’s shares of common stock that are voted is required to approve any such matter voted on by the Company’s stockholders (other than the election of directors).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229"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The Company’s effective tax rate for the three and six months ended June 30, 2022 was 0.0%. The effective tax rate for the three and six months ended June 30, 2021 was 0.0%. The Company’s effective tax rate differs from the statutory income tax rate of 21% primarily due to the recognition of gains or losses from the changes in the fair value of warrant liabilities and unrealized gains on the investments held in the Trust Account, which are not recognized for tax purposes. The Company has historically calculated the provision for income taxes during interim reporting periods by applying an estimate of the annual effective tax rate for the full fiscal year to income or loss for the reporting period. The Company has used a discrete effective tax rate method to calculate taxes for the three and six months ended</w:t>
      </w:r>
    </w:p>
    <w:p>
      <w:pPr>
        <w:spacing w:after="0" w:line="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June 30, 2022. The Company believes that, at this time, the use of the discrete method for the three and six months ended June 30, 2022 is more appropriate than the estimated annual effective tax rate method as the estimated annual effective tax rate method is not reliable due to a high degree of uncertainty in estimating annual pretax earnings.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 MEASUREMENTS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presents information about the Company’s financial liabilities that are measured at fair value on a recurring basis as of June 30, 2022 and December 31, 2021, and indicates the fair value hierarchy of the valuation inputs the Company utilized to determine such fair value: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4"/>
                <w:szCs w:val="14"/>
                <w:color w:val="auto"/>
              </w:rPr>
            </w:pPr>
          </w:p>
        </w:tc>
        <w:tc>
          <w:tcPr>
            <w:tcW w:w="980" w:type="dxa"/>
            <w:vAlign w:val="bottom"/>
          </w:tcPr>
          <w:p>
            <w:pPr>
              <w:jc w:val="right"/>
              <w:ind w:right="139"/>
              <w:spacing w:after="0"/>
              <w:rPr>
                <w:sz w:val="20"/>
                <w:szCs w:val="20"/>
                <w:color w:val="auto"/>
              </w:rPr>
            </w:pPr>
            <w:r>
              <w:rPr>
                <w:rFonts w:ascii="Arial" w:cs="Arial" w:eastAsia="Arial" w:hAnsi="Arial"/>
                <w:sz w:val="14"/>
                <w:szCs w:val="14"/>
                <w:b w:val="1"/>
                <w:bCs w:val="1"/>
                <w:color w:val="auto"/>
              </w:rPr>
              <w:t>Amount at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53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119"/>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June 30, 2022</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3"/>
          </w:tcPr>
          <w:p>
            <w:pPr>
              <w:ind w:left="120"/>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Investments held in Trust Account: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3"/>
          </w:tcPr>
          <w:p>
            <w:pPr>
              <w:ind w:left="340"/>
              <w:spacing w:after="0"/>
              <w:rPr>
                <w:sz w:val="20"/>
                <w:szCs w:val="20"/>
                <w:color w:val="auto"/>
              </w:rPr>
            </w:pPr>
            <w:r>
              <w:rPr>
                <w:rFonts w:ascii="Arial" w:cs="Arial" w:eastAsia="Arial" w:hAnsi="Arial"/>
                <w:sz w:val="18"/>
                <w:szCs w:val="18"/>
                <w:color w:val="auto"/>
              </w:rPr>
              <w:t>Money Market investments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1"/>
              </w:rPr>
              <w:t>128,610,697</w:t>
            </w: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1"/>
              </w:rPr>
              <w:t>128,610,697</w:t>
            </w: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ind w:left="520"/>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Liabilities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40" w:type="dxa"/>
            <w:vAlign w:val="bottom"/>
            <w:gridSpan w:val="3"/>
          </w:tcPr>
          <w:p>
            <w:pPr>
              <w:ind w:left="220"/>
              <w:spacing w:after="0"/>
              <w:rPr>
                <w:sz w:val="20"/>
                <w:szCs w:val="20"/>
                <w:color w:val="auto"/>
              </w:rPr>
            </w:pPr>
            <w:r>
              <w:rPr>
                <w:rFonts w:ascii="Arial" w:cs="Arial" w:eastAsia="Arial" w:hAnsi="Arial"/>
                <w:sz w:val="18"/>
                <w:szCs w:val="18"/>
                <w:color w:val="auto"/>
              </w:rPr>
              <w:t>Warrant liabilities – Private Warrants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879,293</w:t>
            </w: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ind w:left="520"/>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879,293</w:t>
            </w:r>
          </w:p>
        </w:tc>
        <w:tc>
          <w:tcPr>
            <w:tcW w:w="0" w:type="dxa"/>
            <w:vAlign w:val="bottom"/>
          </w:tcPr>
          <w:p>
            <w:pPr>
              <w:spacing w:after="0"/>
              <w:rPr>
                <w:sz w:val="1"/>
                <w:szCs w:val="1"/>
                <w:color w:val="auto"/>
              </w:rPr>
            </w:pPr>
          </w:p>
        </w:tc>
      </w:tr>
      <w:tr>
        <w:trPr>
          <w:trHeight w:val="341"/>
        </w:trPr>
        <w:tc>
          <w:tcPr>
            <w:tcW w:w="5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24"/>
                <w:szCs w:val="24"/>
                <w:color w:val="auto"/>
              </w:rPr>
            </w:pPr>
          </w:p>
        </w:tc>
        <w:tc>
          <w:tcPr>
            <w:tcW w:w="980" w:type="dxa"/>
            <w:vAlign w:val="bottom"/>
          </w:tcPr>
          <w:p>
            <w:pPr>
              <w:jc w:val="right"/>
              <w:ind w:right="119"/>
              <w:spacing w:after="0"/>
              <w:rPr>
                <w:sz w:val="20"/>
                <w:szCs w:val="20"/>
                <w:color w:val="auto"/>
              </w:rPr>
            </w:pPr>
            <w:r>
              <w:rPr>
                <w:rFonts w:ascii="Arial" w:cs="Arial" w:eastAsia="Arial" w:hAnsi="Arial"/>
                <w:sz w:val="14"/>
                <w:szCs w:val="14"/>
                <w:b w:val="1"/>
                <w:bCs w:val="1"/>
                <w:color w:val="auto"/>
              </w:rPr>
              <w:t>Amount at</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53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119"/>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December 31, 2021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3"/>
          </w:tcPr>
          <w:p>
            <w:pPr>
              <w:ind w:left="120"/>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Investments held in Trust Account: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gridSpan w:val="3"/>
          </w:tcPr>
          <w:p>
            <w:pPr>
              <w:ind w:left="340"/>
              <w:spacing w:after="0"/>
              <w:rPr>
                <w:sz w:val="20"/>
                <w:szCs w:val="20"/>
                <w:color w:val="auto"/>
              </w:rPr>
            </w:pPr>
            <w:r>
              <w:rPr>
                <w:rFonts w:ascii="Arial" w:cs="Arial" w:eastAsia="Arial" w:hAnsi="Arial"/>
                <w:sz w:val="18"/>
                <w:szCs w:val="18"/>
                <w:color w:val="auto"/>
              </w:rPr>
              <w:t>Money Market investments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1"/>
              </w:rPr>
              <w:t>128,421,215</w:t>
            </w: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1"/>
              </w:rPr>
              <w:t>128,421,215</w:t>
            </w:r>
          </w:p>
        </w:tc>
        <w:tc>
          <w:tcPr>
            <w:tcW w:w="3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ind w:left="500"/>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Liabilities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40" w:type="dxa"/>
            <w:vAlign w:val="bottom"/>
            <w:gridSpan w:val="3"/>
          </w:tcPr>
          <w:p>
            <w:pPr>
              <w:ind w:left="220"/>
              <w:spacing w:after="0"/>
              <w:rPr>
                <w:sz w:val="20"/>
                <w:szCs w:val="20"/>
                <w:color w:val="auto"/>
              </w:rPr>
            </w:pPr>
            <w:r>
              <w:rPr>
                <w:rFonts w:ascii="Arial" w:cs="Arial" w:eastAsia="Arial" w:hAnsi="Arial"/>
                <w:sz w:val="18"/>
                <w:szCs w:val="18"/>
                <w:color w:val="auto"/>
              </w:rPr>
              <w:t>Warrant liabilities – Private Warrants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2,036,258</w:t>
            </w: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tcPr>
          <w:p>
            <w:pPr>
              <w:ind w:left="500"/>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2,036,258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utilizes a Black-Scholes method to value the Private Warrants at each reporting period, with changes in fair value recognized in the statement of operations. The estimated fair value of the warrant liabilities is determined using Level 3 inputs. Inherent in a Black-Scholes model are assumptions related to expected share-price volatility, expected life, risk-free interest rate and dividend yield. The Company estimates the volatility of its common stock based on historical volatility that matches the expected remaining life of the warrants. The risk-free interest rate is based on the U.S. Treasury zero-coupon yield curve on the grant date for a maturity similar to the expected remaining life of the warrants. The expected life of the Private Warrants is assumed to be equivalent to their remaining contractual term. The dividend rate is based on the historical rate, which the Company anticipates to remain at zero.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significant inputs to the Black-Scholes method for the fair value of the Private Warrants: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As of June</w:t>
            </w: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9"/>
              </w:rPr>
              <w:t>As of December</w:t>
            </w:r>
          </w:p>
        </w:tc>
      </w:tr>
      <w:tr>
        <w:trPr>
          <w:trHeight w:val="201"/>
        </w:trPr>
        <w:tc>
          <w:tcPr>
            <w:tcW w:w="63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30, 2022</w:t>
            </w:r>
          </w:p>
        </w:tc>
        <w:tc>
          <w:tcPr>
            <w:tcW w:w="460" w:type="dxa"/>
            <w:vAlign w:val="bottom"/>
            <w:tcBorders>
              <w:bottom w:val="single" w:sz="8" w:color="auto"/>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31, 2021</w:t>
            </w:r>
          </w:p>
        </w:tc>
        <w:tc>
          <w:tcPr>
            <w:tcW w:w="160" w:type="dxa"/>
            <w:vAlign w:val="bottom"/>
            <w:tcBorders>
              <w:bottom w:val="single" w:sz="8" w:color="CCEEFF"/>
            </w:tcBorders>
          </w:tcPr>
          <w:p>
            <w:pPr>
              <w:spacing w:after="0"/>
              <w:rPr>
                <w:sz w:val="17"/>
                <w:szCs w:val="17"/>
                <w:color w:val="auto"/>
              </w:rPr>
            </w:pPr>
          </w:p>
        </w:tc>
      </w:tr>
      <w:tr>
        <w:trPr>
          <w:trHeight w:val="209"/>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Common stock price</w:t>
            </w:r>
          </w:p>
        </w:tc>
        <w:tc>
          <w:tcPr>
            <w:tcW w:w="1120" w:type="dxa"/>
            <w:vAlign w:val="bottom"/>
            <w:shd w:val="clear" w:color="auto" w:fill="CCEEFF"/>
          </w:tcPr>
          <w:p>
            <w:pPr>
              <w:jc w:val="right"/>
              <w:ind w:right="967"/>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10.15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6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Exercise price</w:t>
            </w:r>
          </w:p>
        </w:tc>
        <w:tc>
          <w:tcPr>
            <w:tcW w:w="1120" w:type="dxa"/>
            <w:vAlign w:val="bottom"/>
          </w:tcPr>
          <w:p>
            <w:pPr>
              <w:jc w:val="right"/>
              <w:ind w:right="967"/>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88"/>
              </w:rPr>
              <w:t>11.50</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11.50</w:t>
            </w:r>
          </w:p>
        </w:tc>
        <w:tc>
          <w:tcPr>
            <w:tcW w:w="16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 %</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Term to Business Combination (years)</w:t>
            </w:r>
          </w:p>
        </w:tc>
        <w:tc>
          <w:tcPr>
            <w:tcW w:w="1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4.12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4.61</w:t>
            </w:r>
          </w:p>
        </w:tc>
        <w:tc>
          <w:tcPr>
            <w:tcW w:w="16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11.8 %</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9.1 %</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Risk-free rate</w:t>
            </w:r>
          </w:p>
        </w:tc>
        <w:tc>
          <w:tcPr>
            <w:tcW w:w="11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3.00 %</w:t>
            </w:r>
          </w:p>
        </w:tc>
        <w:tc>
          <w:tcPr>
            <w:tcW w:w="22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1.20 %</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Fair value</w:t>
            </w:r>
          </w:p>
        </w:tc>
        <w:tc>
          <w:tcPr>
            <w:tcW w:w="1120" w:type="dxa"/>
            <w:vAlign w:val="bottom"/>
            <w:shd w:val="clear" w:color="auto" w:fill="CCEEFF"/>
          </w:tcPr>
          <w:p>
            <w:pPr>
              <w:jc w:val="right"/>
              <w:ind w:right="967"/>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provides a summary of the changes in the fair value of the Company’s Level 3 financial instruments that are measured at fair value on a recurring basis: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Fair value as of June 23, 2020 (inception)</w:t>
            </w:r>
          </w:p>
        </w:tc>
        <w:tc>
          <w:tcPr>
            <w:tcW w:w="620" w:type="dxa"/>
            <w:vAlign w:val="bottom"/>
            <w:gridSpan w:val="2"/>
            <w:shd w:val="clear" w:color="auto" w:fill="CCEEFF"/>
          </w:tcPr>
          <w:p>
            <w:pPr>
              <w:jc w:val="right"/>
              <w:ind w:right="447"/>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Initial measurement</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5,553,429</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inputs or other assumptions</w:t>
            </w:r>
          </w:p>
        </w:tc>
        <w:tc>
          <w:tcPr>
            <w:tcW w:w="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(3,517,171)</w:t>
            </w:r>
          </w:p>
        </w:tc>
      </w:tr>
      <w:tr>
        <w:trPr>
          <w:trHeight w:val="249"/>
        </w:trPr>
        <w:tc>
          <w:tcPr>
            <w:tcW w:w="7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Fair value at December 31, 2021</w:t>
            </w:r>
          </w:p>
        </w:tc>
        <w:tc>
          <w:tcPr>
            <w:tcW w:w="2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right"/>
              <w:ind w:right="44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2,036,258</w:t>
            </w:r>
          </w:p>
        </w:tc>
      </w:tr>
      <w:tr>
        <w:trPr>
          <w:trHeight w:val="197"/>
        </w:trPr>
        <w:tc>
          <w:tcPr>
            <w:tcW w:w="7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Change in valuation inputs or other assumptions</w:t>
            </w:r>
          </w:p>
        </w:tc>
        <w:tc>
          <w:tcPr>
            <w:tcW w:w="2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1,434,636</w:t>
            </w:r>
          </w:p>
        </w:tc>
      </w:tr>
      <w:tr>
        <w:trPr>
          <w:trHeight w:val="250"/>
        </w:trPr>
        <w:tc>
          <w:tcPr>
            <w:tcW w:w="7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Fair value at March 31, 2022</w:t>
            </w:r>
          </w:p>
        </w:tc>
        <w:tc>
          <w:tcPr>
            <w:tcW w:w="2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right"/>
              <w:ind w:right="44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601,622</w:t>
            </w:r>
          </w:p>
        </w:tc>
      </w:tr>
      <w:tr>
        <w:trPr>
          <w:trHeight w:val="196"/>
        </w:trPr>
        <w:tc>
          <w:tcPr>
            <w:tcW w:w="7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Change in valuation inputs or other assumptions</w:t>
            </w:r>
          </w:p>
        </w:tc>
        <w:tc>
          <w:tcPr>
            <w:tcW w:w="2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(277,671)</w:t>
            </w:r>
          </w:p>
        </w:tc>
      </w:tr>
      <w:tr>
        <w:trPr>
          <w:trHeight w:val="210"/>
        </w:trPr>
        <w:tc>
          <w:tcPr>
            <w:tcW w:w="7920" w:type="dxa"/>
            <w:vAlign w:val="bottom"/>
          </w:tcPr>
          <w:p>
            <w:pPr>
              <w:spacing w:after="0"/>
              <w:rPr>
                <w:sz w:val="20"/>
                <w:szCs w:val="20"/>
                <w:color w:val="auto"/>
              </w:rPr>
            </w:pPr>
            <w:r>
              <w:rPr>
                <w:rFonts w:ascii="Arial" w:cs="Arial" w:eastAsia="Arial" w:hAnsi="Arial"/>
                <w:sz w:val="18"/>
                <w:szCs w:val="18"/>
                <w:color w:val="auto"/>
              </w:rPr>
              <w:t>Fair value at June 30, 2022</w:t>
            </w:r>
          </w:p>
        </w:tc>
        <w:tc>
          <w:tcPr>
            <w:tcW w:w="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44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879,293</w:t>
            </w:r>
          </w:p>
        </w:tc>
      </w:tr>
      <w:tr>
        <w:trPr>
          <w:trHeight w:val="20"/>
        </w:trPr>
        <w:tc>
          <w:tcPr>
            <w:tcW w:w="7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recognized a loss in connection with changes in the fair value of warrant liabilities of $277,671 within change in fair value of warrant liabilities in the unaudited condensed statement of operations for the three months ended June 30, 2022. The Company recognized a gain in connection with changes in the fair value of warrant liabilities of $1,156,965 within change in fair value of warrant liabilities in the unaudited condensed statement of operations for the six months ended June 30, 2022. For the three and six months ended June 30, 2021, there were no warrants outstanding.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SUBSEQUENT EVENTS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evaluated subsequent events and transactions that occurred after the balance sheet date up to the date that the unaudited condensed financial statements were issued. Based upon this review, except as noted below, the Company did not identify any subsequent events that would have required adjustment or disclosure in the unaudited condensed financial statements.</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July 12, 2022, the Company, Dragonfly and Merger Sub entered into that certain Amendment to the Agreement and Plan of Merger, between the Company, Dragonfly and Merger Sub (the “</w:t>
      </w:r>
      <w:r>
        <w:rPr>
          <w:rFonts w:ascii="Arial" w:cs="Arial" w:eastAsia="Arial" w:hAnsi="Arial"/>
          <w:sz w:val="16"/>
          <w:szCs w:val="16"/>
          <w:b w:val="1"/>
          <w:bCs w:val="1"/>
          <w:color w:val="auto"/>
        </w:rPr>
        <w:t>Amendment</w:t>
      </w:r>
      <w:r>
        <w:rPr>
          <w:rFonts w:ascii="Arial" w:cs="Arial" w:eastAsia="Arial" w:hAnsi="Arial"/>
          <w:sz w:val="16"/>
          <w:szCs w:val="16"/>
          <w:color w:val="auto"/>
        </w:rPr>
        <w:t>”), which amended the Merger Agreement to, among other things, reflect a $15 million increase in the consideration to be issued in the business combination in connection with Dragonfly entering into a Stock Purchase Agreement with THOR Industries, Inc. (“</w:t>
      </w:r>
      <w:r>
        <w:rPr>
          <w:rFonts w:ascii="Arial" w:cs="Arial" w:eastAsia="Arial" w:hAnsi="Arial"/>
          <w:sz w:val="16"/>
          <w:szCs w:val="16"/>
          <w:b w:val="1"/>
          <w:bCs w:val="1"/>
          <w:color w:val="auto"/>
        </w:rPr>
        <w:t>THOR</w:t>
      </w:r>
      <w:r>
        <w:rPr>
          <w:rFonts w:ascii="Arial" w:cs="Arial" w:eastAsia="Arial" w:hAnsi="Arial"/>
          <w:sz w:val="16"/>
          <w:szCs w:val="16"/>
          <w:color w:val="auto"/>
        </w:rPr>
        <w:t>”), dated as of July 12, 2022, whereby for $15 million in cash, THOR purchased 1,267,502 shares of Dragonfly common stock (the “</w:t>
      </w:r>
      <w:r>
        <w:rPr>
          <w:rFonts w:ascii="Arial" w:cs="Arial" w:eastAsia="Arial" w:hAnsi="Arial"/>
          <w:sz w:val="16"/>
          <w:szCs w:val="16"/>
          <w:b w:val="1"/>
          <w:bCs w:val="1"/>
          <w:color w:val="auto"/>
        </w:rPr>
        <w:t>THOR Investment</w:t>
      </w:r>
      <w:r>
        <w:rPr>
          <w:rFonts w:ascii="Arial" w:cs="Arial" w:eastAsia="Arial" w:hAnsi="Arial"/>
          <w:sz w:val="16"/>
          <w:szCs w:val="16"/>
          <w:color w:val="auto"/>
        </w:rPr>
        <w:t>”). In connection with the THOR Investment, THOR and Dragonfly will enter into a commercial arrangement pursuant to which (i) THOR and certain of THOR’s affiliates will, among other</w:t>
      </w:r>
    </w:p>
    <w:p>
      <w:pPr>
        <w:sectPr>
          <w:pgSz w:w="11900" w:h="16838" w:orient="portrait"/>
          <w:cols w:equalWidth="0" w:num="1">
            <w:col w:w="9920"/>
          </w:cols>
          <w:pgMar w:left="980" w:top="665" w:right="99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things, transition to lithium-ion batteries manufactured and sold by Dragonfly, and (ii) Dragonfly will, among other things, grant certain board observer rights (with customary limitations) to THOR.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Other than as expressly modified by the Amendment, the Merger Agreement remains in full force and effect.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Meeting to Amend Charter and Investment Management Trust Agreement</w:t>
      </w:r>
    </w:p>
    <w:p>
      <w:pPr>
        <w:spacing w:after="0" w:line="22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On August 5, 2022, Chardan held a special meeting (the “</w:t>
      </w:r>
      <w:r>
        <w:rPr>
          <w:rFonts w:ascii="Arial" w:cs="Arial" w:eastAsia="Arial" w:hAnsi="Arial"/>
          <w:sz w:val="17"/>
          <w:szCs w:val="17"/>
          <w:b w:val="1"/>
          <w:bCs w:val="1"/>
          <w:color w:val="auto"/>
        </w:rPr>
        <w:t>Special Meeting</w:t>
      </w:r>
      <w:r>
        <w:rPr>
          <w:rFonts w:ascii="Arial" w:cs="Arial" w:eastAsia="Arial" w:hAnsi="Arial"/>
          <w:sz w:val="17"/>
          <w:szCs w:val="17"/>
          <w:color w:val="auto"/>
        </w:rPr>
        <w:t>”), at which holders of 11,331,512 shares of common stock of Chardan, par value $0.0001 per share (“</w:t>
      </w:r>
      <w:r>
        <w:rPr>
          <w:rFonts w:ascii="Arial" w:cs="Arial" w:eastAsia="Arial" w:hAnsi="Arial"/>
          <w:sz w:val="17"/>
          <w:szCs w:val="17"/>
          <w:b w:val="1"/>
          <w:bCs w:val="1"/>
          <w:color w:val="auto"/>
        </w:rPr>
        <w:t>Chardan Common Stock</w:t>
      </w:r>
      <w:r>
        <w:rPr>
          <w:rFonts w:ascii="Arial" w:cs="Arial" w:eastAsia="Arial" w:hAnsi="Arial"/>
          <w:sz w:val="17"/>
          <w:szCs w:val="17"/>
          <w:color w:val="auto"/>
        </w:rPr>
        <w:t>”), were present in person or by proxy, representing approximately 71.66% of the voting power of the 15,812,500 shares of Chardan Common Stock issued and outstanding entitled to vote at the Special Meeting at the close of business on July 11, 2022, which was the record date (the “</w:t>
      </w:r>
      <w:r>
        <w:rPr>
          <w:rFonts w:ascii="Arial" w:cs="Arial" w:eastAsia="Arial" w:hAnsi="Arial"/>
          <w:sz w:val="17"/>
          <w:szCs w:val="17"/>
          <w:b w:val="1"/>
          <w:bCs w:val="1"/>
          <w:color w:val="auto"/>
        </w:rPr>
        <w:t>Record Date</w:t>
      </w:r>
      <w:r>
        <w:rPr>
          <w:rFonts w:ascii="Arial" w:cs="Arial" w:eastAsia="Arial" w:hAnsi="Arial"/>
          <w:sz w:val="17"/>
          <w:szCs w:val="17"/>
          <w:color w:val="auto"/>
        </w:rPr>
        <w:t>”) for the Special Meeting. Stockholders of record as of the close of business on the Record Date are referred to herein as “</w:t>
      </w:r>
      <w:r>
        <w:rPr>
          <w:rFonts w:ascii="Arial" w:cs="Arial" w:eastAsia="Arial" w:hAnsi="Arial"/>
          <w:sz w:val="17"/>
          <w:szCs w:val="17"/>
          <w:b w:val="1"/>
          <w:bCs w:val="1"/>
          <w:color w:val="auto"/>
        </w:rPr>
        <w:t>Stockholders</w:t>
      </w:r>
      <w:r>
        <w:rPr>
          <w:rFonts w:ascii="Arial" w:cs="Arial" w:eastAsia="Arial" w:hAnsi="Arial"/>
          <w:sz w:val="17"/>
          <w:szCs w:val="17"/>
          <w:color w:val="auto"/>
        </w:rPr>
        <w:t>.”</w:t>
      </w:r>
    </w:p>
    <w:p>
      <w:pPr>
        <w:spacing w:after="0" w:line="17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At the Special Meeting, the Stockholders approved the proposal to amend the Company's Amended and Restated Certificate of Incorporation (the “</w:t>
      </w:r>
      <w:r>
        <w:rPr>
          <w:rFonts w:ascii="Arial" w:cs="Arial" w:eastAsia="Arial" w:hAnsi="Arial"/>
          <w:sz w:val="16"/>
          <w:szCs w:val="16"/>
          <w:b w:val="1"/>
          <w:bCs w:val="1"/>
          <w:color w:val="auto"/>
        </w:rPr>
        <w:t>Charter</w:t>
      </w:r>
      <w:r>
        <w:rPr>
          <w:rFonts w:ascii="Arial" w:cs="Arial" w:eastAsia="Arial" w:hAnsi="Arial"/>
          <w:sz w:val="16"/>
          <w:szCs w:val="16"/>
          <w:color w:val="auto"/>
        </w:rPr>
        <w:t>”) to provide the Company's officers, directors, initial stockholders and Chardan NexTech 2 Warrant Holdings, LLC (collectively, the “</w:t>
      </w:r>
      <w:r>
        <w:rPr>
          <w:rFonts w:ascii="Arial" w:cs="Arial" w:eastAsia="Arial" w:hAnsi="Arial"/>
          <w:sz w:val="16"/>
          <w:szCs w:val="16"/>
          <w:b w:val="1"/>
          <w:bCs w:val="1"/>
          <w:color w:val="auto"/>
        </w:rPr>
        <w:t>Insiders</w:t>
      </w:r>
      <w:r>
        <w:rPr>
          <w:rFonts w:ascii="Arial" w:cs="Arial" w:eastAsia="Arial" w:hAnsi="Arial"/>
          <w:sz w:val="16"/>
          <w:szCs w:val="16"/>
          <w:color w:val="auto"/>
        </w:rPr>
        <w:t>”) the ability to extend the date by which the Company must complete a business combination up to three (3) times for an additional one (1) month each time (for a maximum of three (3) one-month extensions) upon the deposit into the trust account (the “</w:t>
      </w:r>
      <w:r>
        <w:rPr>
          <w:rFonts w:ascii="Arial" w:cs="Arial" w:eastAsia="Arial" w:hAnsi="Arial"/>
          <w:sz w:val="16"/>
          <w:szCs w:val="16"/>
          <w:b w:val="1"/>
          <w:bCs w:val="1"/>
          <w:color w:val="auto"/>
        </w:rPr>
        <w:t>Trust Account</w:t>
      </w:r>
      <w:r>
        <w:rPr>
          <w:rFonts w:ascii="Arial" w:cs="Arial" w:eastAsia="Arial" w:hAnsi="Arial"/>
          <w:sz w:val="16"/>
          <w:szCs w:val="16"/>
          <w:color w:val="auto"/>
        </w:rPr>
        <w:t>”) by the Insiders, their affiliates or designees of $200,000 upon five days' advance notice prior to August 13, 2022 (or such other applicable deadline) (the “</w:t>
      </w:r>
      <w:r>
        <w:rPr>
          <w:rFonts w:ascii="Arial" w:cs="Arial" w:eastAsia="Arial" w:hAnsi="Arial"/>
          <w:sz w:val="16"/>
          <w:szCs w:val="16"/>
          <w:b w:val="1"/>
          <w:bCs w:val="1"/>
          <w:color w:val="auto"/>
        </w:rPr>
        <w:t>Extension</w:t>
      </w:r>
      <w:r>
        <w:rPr>
          <w:rFonts w:ascii="Arial" w:cs="Arial" w:eastAsia="Arial" w:hAnsi="Arial"/>
          <w:sz w:val="16"/>
          <w:szCs w:val="16"/>
          <w:color w:val="auto"/>
        </w:rPr>
        <w:t>,” and such proposal, the “</w:t>
      </w:r>
      <w:r>
        <w:rPr>
          <w:rFonts w:ascii="Arial" w:cs="Arial" w:eastAsia="Arial" w:hAnsi="Arial"/>
          <w:sz w:val="16"/>
          <w:szCs w:val="16"/>
          <w:b w:val="1"/>
          <w:bCs w:val="1"/>
          <w:color w:val="auto"/>
        </w:rPr>
        <w:t>Charter Amendment</w:t>
      </w:r>
      <w:r>
        <w:rPr>
          <w:rFonts w:ascii="Arial" w:cs="Arial" w:eastAsia="Arial" w:hAnsi="Arial"/>
          <w:sz w:val="16"/>
          <w:szCs w:val="16"/>
          <w:color w:val="auto"/>
        </w:rPr>
        <w:t>”). On July 29, 2022, to effectuate the Charter Amendment, the board of directors of the Company (the “</w:t>
      </w:r>
      <w:r>
        <w:rPr>
          <w:rFonts w:ascii="Arial" w:cs="Arial" w:eastAsia="Arial" w:hAnsi="Arial"/>
          <w:sz w:val="16"/>
          <w:szCs w:val="16"/>
          <w:b w:val="1"/>
          <w:bCs w:val="1"/>
          <w:color w:val="auto"/>
        </w:rPr>
        <w:t>Board</w:t>
      </w:r>
      <w:r>
        <w:rPr>
          <w:rFonts w:ascii="Arial" w:cs="Arial" w:eastAsia="Arial" w:hAnsi="Arial"/>
          <w:sz w:val="16"/>
          <w:szCs w:val="16"/>
          <w:color w:val="auto"/>
        </w:rPr>
        <w:t>”) approved and adopted the Second Amended and Restated Memorandum and Articles of Association of the Company (the “</w:t>
      </w:r>
      <w:r>
        <w:rPr>
          <w:rFonts w:ascii="Arial" w:cs="Arial" w:eastAsia="Arial" w:hAnsi="Arial"/>
          <w:sz w:val="16"/>
          <w:szCs w:val="16"/>
          <w:b w:val="1"/>
          <w:bCs w:val="1"/>
          <w:color w:val="auto"/>
        </w:rPr>
        <w:t>Second A&amp;R Charter</w:t>
      </w:r>
      <w:r>
        <w:rPr>
          <w:rFonts w:ascii="Arial" w:cs="Arial" w:eastAsia="Arial" w:hAnsi="Arial"/>
          <w:sz w:val="16"/>
          <w:szCs w:val="16"/>
          <w:color w:val="auto"/>
        </w:rPr>
        <w:t>”). The foregoing description of the Second A&amp;R Charter does not purport to be complete and is qualified in its entirety by the terms of the Second A&amp;R Charter, a copy of which is attached hereto as Exhibit 3.1 and incorporated herein by reference.</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Charter Amendment, Stockholders elected to redeem 9,556,652 shares of Chardan Common Stock, representing approximately 60.44% of the issued and outstanding shares of Chardan Common Stock and 75.55% of the issued outstanding Chardan Common Stock sold in the IPO, resulting in the distribution of $97,194,950 from the Trust Account to the redeeming Stockholders. Following such redemptions, approximately $31,460,579 remains in the Trust Account and 6,255,848 shares of Chardan Common Stock will remain issued and outstanding.</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at the Special Meeting, the Stockholders approved the proposal to amend the Investment Management Trust Agreement, dated August 10, 2021 (the “</w:t>
      </w:r>
      <w:r>
        <w:rPr>
          <w:rFonts w:ascii="Arial" w:cs="Arial" w:eastAsia="Arial" w:hAnsi="Arial"/>
          <w:sz w:val="18"/>
          <w:szCs w:val="18"/>
          <w:b w:val="1"/>
          <w:bCs w:val="1"/>
          <w:color w:val="auto"/>
        </w:rPr>
        <w:t>Trust Agreement</w:t>
      </w:r>
      <w:r>
        <w:rPr>
          <w:rFonts w:ascii="Arial" w:cs="Arial" w:eastAsia="Arial" w:hAnsi="Arial"/>
          <w:sz w:val="18"/>
          <w:szCs w:val="18"/>
          <w:color w:val="auto"/>
        </w:rPr>
        <w:t>”), by and between the Company and Continental Stock Transfer &amp; Company (the “</w:t>
      </w:r>
      <w:r>
        <w:rPr>
          <w:rFonts w:ascii="Arial" w:cs="Arial" w:eastAsia="Arial" w:hAnsi="Arial"/>
          <w:sz w:val="18"/>
          <w:szCs w:val="18"/>
          <w:b w:val="1"/>
          <w:bCs w:val="1"/>
          <w:color w:val="auto"/>
        </w:rPr>
        <w:t>Trustee</w:t>
      </w:r>
      <w:r>
        <w:rPr>
          <w:rFonts w:ascii="Arial" w:cs="Arial" w:eastAsia="Arial" w:hAnsi="Arial"/>
          <w:sz w:val="18"/>
          <w:szCs w:val="18"/>
          <w:color w:val="auto"/>
        </w:rPr>
        <w:t>”) to authorize the Extension and its implementation by the Company (the “</w:t>
      </w:r>
      <w:r>
        <w:rPr>
          <w:rFonts w:ascii="Arial" w:cs="Arial" w:eastAsia="Arial" w:hAnsi="Arial"/>
          <w:sz w:val="18"/>
          <w:szCs w:val="18"/>
          <w:b w:val="1"/>
          <w:bCs w:val="1"/>
          <w:color w:val="auto"/>
        </w:rPr>
        <w:t>Trust Amendment Proposal</w:t>
      </w:r>
      <w:r>
        <w:rPr>
          <w:rFonts w:ascii="Arial" w:cs="Arial" w:eastAsia="Arial" w:hAnsi="Arial"/>
          <w:sz w:val="18"/>
          <w:szCs w:val="18"/>
          <w:color w:val="auto"/>
        </w:rPr>
        <w:t>”). On July 29, 2022, to effectuate the Trust Amendment Proposal, the Board approved and adopted Amendment No. 1 to the Investment Management Trust Agreement (the “</w:t>
      </w:r>
      <w:r>
        <w:rPr>
          <w:rFonts w:ascii="Arial" w:cs="Arial" w:eastAsia="Arial" w:hAnsi="Arial"/>
          <w:sz w:val="18"/>
          <w:szCs w:val="18"/>
          <w:b w:val="1"/>
          <w:bCs w:val="1"/>
          <w:color w:val="auto"/>
        </w:rPr>
        <w:t>Trust Agreement Amendment</w:t>
      </w:r>
      <w:r>
        <w:rPr>
          <w:rFonts w:ascii="Arial" w:cs="Arial" w:eastAsia="Arial" w:hAnsi="Arial"/>
          <w:sz w:val="18"/>
          <w:szCs w:val="18"/>
          <w:color w:val="auto"/>
        </w:rPr>
        <w:t>”). The foregoing description of the Trust Agreement Amendment does not purport to be complete and is qualified in its entirety by the terms of the Trust Agreement Amendment, a copy of which is attached hereto as Exhibit 10.6 and incorporated herein by reference.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Extension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Extension, the Insiders notified the Company on August 8, 2022 of the Insiders' intention to extend the date by which the Company must complete a business combination for an additional one (1) month by depositing $200,000 into the Trust Account.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Also in connection with the Extension, the Company and Chardan NexTech 2 Warrant Holdings, LLC (“CNTQ Warrant Holdings”) entered into a promissory note on August 11, 2022 (the “Extension Note”), whereby the Company agreed to pay $200,000 to CNTQ Warrant Holdings.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1120"/>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References in this report (the “</w:t>
      </w:r>
      <w:r>
        <w:rPr>
          <w:rFonts w:ascii="Arial" w:cs="Arial" w:eastAsia="Arial" w:hAnsi="Arial"/>
          <w:sz w:val="18"/>
          <w:szCs w:val="18"/>
          <w:b w:val="1"/>
          <w:bCs w:val="1"/>
          <w:color w:val="auto"/>
        </w:rPr>
        <w:t>Quarterly Report</w:t>
      </w:r>
      <w:r>
        <w:rPr>
          <w:rFonts w:ascii="Arial" w:cs="Arial" w:eastAsia="Arial" w:hAnsi="Arial"/>
          <w:sz w:val="18"/>
          <w:szCs w:val="18"/>
          <w:color w:val="auto"/>
        </w:rPr>
        <w:t>”) to “we,” “us” or the “Company” refer to Chardan NexTech Acquisition 2 Corp References to our “management” or our “management team” refer to our officers and directors, and references to the “Sponsor” refer to Chardan NexTech Investments 2 LLC The following discussion and analysis of the Company’s financial condition and results of operations should be read in conjunction with the condensed financial statements and the notes thereto contained elsewhere in this Quarterly Report. Certain information contained in the discussion and analysis set forth below includes forward-looking statements that involve risks and uncertainties.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Quarterly Report includes “forward-looking statements” that are not historical facts and involve risks and uncertainties that could cause actual results to differ materially from those expected and projected. All statements, other than statements of historical fact included in this Quarterly Report including, without limitation, statements in this “Management’s Discussion and Analysis of Financial Condition and Results of Operations” regarding the Company’s financial position, business strategy and the plans and objectives of management for future operations, are forward-looking statements. Words such as “expect,” “believe,” “anticipate,” “intend,” “estimate,” “seek” and variations and similar words and expressions are intended to identify such forward-looking statements. Such forward-looking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For information identifying important factors that could cause actual results to differ materially from those anticipated in the forward-looking statements, please refer to the Risk Factors section of the Company’s final prospectus for its Initial Public Offering filed with the U.S. Securities and Exchange Commission (the “</w:t>
      </w:r>
      <w:r>
        <w:rPr>
          <w:rFonts w:ascii="Arial" w:cs="Arial" w:eastAsia="Arial" w:hAnsi="Arial"/>
          <w:sz w:val="17"/>
          <w:szCs w:val="17"/>
          <w:b w:val="1"/>
          <w:bCs w:val="1"/>
          <w:color w:val="auto"/>
        </w:rPr>
        <w:t>SEC</w:t>
      </w:r>
      <w:r>
        <w:rPr>
          <w:rFonts w:ascii="Arial" w:cs="Arial" w:eastAsia="Arial" w:hAnsi="Arial"/>
          <w:sz w:val="17"/>
          <w:szCs w:val="17"/>
          <w:color w:val="auto"/>
        </w:rPr>
        <w:t>”). The Company’s securities filings can be accessed on the EDGAR section of the SEC’s website at www.sec.gov. Except as expressly required by applicable securities law, the Company disclaims any intention or obligation to update or revise any forward-looking statements whether as a result of new information, future events or otherwise.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blank check company incorporated on June 23, 2020 in Delaware and formed for the purpose of effectuating an initial business combination. We intend to effectuate our initial business combination using cash from the proceeds of the Initial Public Offering and the private placement of the Private Warrants, the proceeds of the sale of our securities in connection with our initial business combination (pursuant to forward purchase agreements or backstop agreements we may enter into following the consummation of the Initial Public Offering or otherwise), shares issued to the owners of the target, debt issued to bank or other lenders or the owners of the target, or a combination of the foregoing.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Meeting to Amend Charter and Investment Management Trust Agreement</w:t>
      </w:r>
    </w:p>
    <w:p>
      <w:pPr>
        <w:spacing w:after="0" w:line="22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On August 5, 2022, Chardan held a special meeting (the “</w:t>
      </w:r>
      <w:r>
        <w:rPr>
          <w:rFonts w:ascii="Arial" w:cs="Arial" w:eastAsia="Arial" w:hAnsi="Arial"/>
          <w:sz w:val="17"/>
          <w:szCs w:val="17"/>
          <w:b w:val="1"/>
          <w:bCs w:val="1"/>
          <w:color w:val="auto"/>
        </w:rPr>
        <w:t>Special Meeting</w:t>
      </w:r>
      <w:r>
        <w:rPr>
          <w:rFonts w:ascii="Arial" w:cs="Arial" w:eastAsia="Arial" w:hAnsi="Arial"/>
          <w:sz w:val="17"/>
          <w:szCs w:val="17"/>
          <w:color w:val="auto"/>
        </w:rPr>
        <w:t>”), at which holders of 11,331,512 shares of common stock of Chardan, par value $0.0001 per share (“</w:t>
      </w:r>
      <w:r>
        <w:rPr>
          <w:rFonts w:ascii="Arial" w:cs="Arial" w:eastAsia="Arial" w:hAnsi="Arial"/>
          <w:sz w:val="17"/>
          <w:szCs w:val="17"/>
          <w:b w:val="1"/>
          <w:bCs w:val="1"/>
          <w:color w:val="auto"/>
        </w:rPr>
        <w:t>Chardan Common Stock</w:t>
      </w:r>
      <w:r>
        <w:rPr>
          <w:rFonts w:ascii="Arial" w:cs="Arial" w:eastAsia="Arial" w:hAnsi="Arial"/>
          <w:sz w:val="17"/>
          <w:szCs w:val="17"/>
          <w:color w:val="auto"/>
        </w:rPr>
        <w:t>”), were present in person or by proxy, representing approximately 71.66% of the voting power of the 15,812,500 shares of Chardan Common Stock issued and outstanding entitled to vote at the Special Meeting at the close of business on July 11, 2022, which was the record date (the “</w:t>
      </w:r>
      <w:r>
        <w:rPr>
          <w:rFonts w:ascii="Arial" w:cs="Arial" w:eastAsia="Arial" w:hAnsi="Arial"/>
          <w:sz w:val="17"/>
          <w:szCs w:val="17"/>
          <w:b w:val="1"/>
          <w:bCs w:val="1"/>
          <w:color w:val="auto"/>
        </w:rPr>
        <w:t>Record Date</w:t>
      </w:r>
      <w:r>
        <w:rPr>
          <w:rFonts w:ascii="Arial" w:cs="Arial" w:eastAsia="Arial" w:hAnsi="Arial"/>
          <w:sz w:val="17"/>
          <w:szCs w:val="17"/>
          <w:color w:val="auto"/>
        </w:rPr>
        <w:t>”) for the Special Meeting. Stockholders of record as of the close of business on the Record Date are referred to herein as “</w:t>
      </w:r>
      <w:r>
        <w:rPr>
          <w:rFonts w:ascii="Arial" w:cs="Arial" w:eastAsia="Arial" w:hAnsi="Arial"/>
          <w:sz w:val="17"/>
          <w:szCs w:val="17"/>
          <w:b w:val="1"/>
          <w:bCs w:val="1"/>
          <w:color w:val="auto"/>
        </w:rPr>
        <w:t>Stockholders</w:t>
      </w:r>
      <w:r>
        <w:rPr>
          <w:rFonts w:ascii="Arial" w:cs="Arial" w:eastAsia="Arial" w:hAnsi="Arial"/>
          <w:sz w:val="17"/>
          <w:szCs w:val="17"/>
          <w:color w:val="auto"/>
        </w:rPr>
        <w:t>”.</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At the Special Meeting, the Stockholders approved the proposal to amend the Company’s Amended and Restated Certificate of Incorporation (the “</w:t>
      </w:r>
      <w:r>
        <w:rPr>
          <w:rFonts w:ascii="Arial" w:cs="Arial" w:eastAsia="Arial" w:hAnsi="Arial"/>
          <w:sz w:val="16"/>
          <w:szCs w:val="16"/>
          <w:b w:val="1"/>
          <w:bCs w:val="1"/>
          <w:color w:val="auto"/>
        </w:rPr>
        <w:t>Charter</w:t>
      </w:r>
      <w:r>
        <w:rPr>
          <w:rFonts w:ascii="Arial" w:cs="Arial" w:eastAsia="Arial" w:hAnsi="Arial"/>
          <w:sz w:val="16"/>
          <w:szCs w:val="16"/>
          <w:color w:val="auto"/>
        </w:rPr>
        <w:t>”) to provide the Company’s officers, directors, initial stockholders and Chardan NexTech 2 Warrant Holdings, LLC (collectively, the “</w:t>
      </w:r>
      <w:r>
        <w:rPr>
          <w:rFonts w:ascii="Arial" w:cs="Arial" w:eastAsia="Arial" w:hAnsi="Arial"/>
          <w:sz w:val="16"/>
          <w:szCs w:val="16"/>
          <w:b w:val="1"/>
          <w:bCs w:val="1"/>
          <w:color w:val="auto"/>
        </w:rPr>
        <w:t>Insiders</w:t>
      </w:r>
      <w:r>
        <w:rPr>
          <w:rFonts w:ascii="Arial" w:cs="Arial" w:eastAsia="Arial" w:hAnsi="Arial"/>
          <w:sz w:val="16"/>
          <w:szCs w:val="16"/>
          <w:color w:val="auto"/>
        </w:rPr>
        <w:t>”) the ability to extend the date by which the Company must complete a business combination up to three (3) times for an additional one (1) month each time (for a maximum of three (3) one-month extensions) upon the deposit into the trust account (the “</w:t>
      </w:r>
      <w:r>
        <w:rPr>
          <w:rFonts w:ascii="Arial" w:cs="Arial" w:eastAsia="Arial" w:hAnsi="Arial"/>
          <w:sz w:val="16"/>
          <w:szCs w:val="16"/>
          <w:b w:val="1"/>
          <w:bCs w:val="1"/>
          <w:color w:val="auto"/>
        </w:rPr>
        <w:t>Trust Account</w:t>
      </w:r>
      <w:r>
        <w:rPr>
          <w:rFonts w:ascii="Arial" w:cs="Arial" w:eastAsia="Arial" w:hAnsi="Arial"/>
          <w:sz w:val="16"/>
          <w:szCs w:val="16"/>
          <w:color w:val="auto"/>
        </w:rPr>
        <w:t>”) by the Insiders, their affiliates or designees of $200,000 upon five days’ advance notice prior to August 13, 2022 (or such other applicable deadline) (the “</w:t>
      </w:r>
      <w:r>
        <w:rPr>
          <w:rFonts w:ascii="Arial" w:cs="Arial" w:eastAsia="Arial" w:hAnsi="Arial"/>
          <w:sz w:val="16"/>
          <w:szCs w:val="16"/>
          <w:b w:val="1"/>
          <w:bCs w:val="1"/>
          <w:color w:val="auto"/>
        </w:rPr>
        <w:t>Extension</w:t>
      </w:r>
      <w:r>
        <w:rPr>
          <w:rFonts w:ascii="Arial" w:cs="Arial" w:eastAsia="Arial" w:hAnsi="Arial"/>
          <w:sz w:val="16"/>
          <w:szCs w:val="16"/>
          <w:color w:val="auto"/>
        </w:rPr>
        <w:t>,” and such proposal, the “</w:t>
      </w:r>
      <w:r>
        <w:rPr>
          <w:rFonts w:ascii="Arial" w:cs="Arial" w:eastAsia="Arial" w:hAnsi="Arial"/>
          <w:sz w:val="16"/>
          <w:szCs w:val="16"/>
          <w:b w:val="1"/>
          <w:bCs w:val="1"/>
          <w:color w:val="auto"/>
        </w:rPr>
        <w:t>Charter Amendment</w:t>
      </w:r>
      <w:r>
        <w:rPr>
          <w:rFonts w:ascii="Arial" w:cs="Arial" w:eastAsia="Arial" w:hAnsi="Arial"/>
          <w:sz w:val="16"/>
          <w:szCs w:val="16"/>
          <w:color w:val="auto"/>
        </w:rPr>
        <w:t>”). On July 29, 2022, to effectuate the Charter Amendment, the board of directors of the Company (the “</w:t>
      </w:r>
      <w:r>
        <w:rPr>
          <w:rFonts w:ascii="Arial" w:cs="Arial" w:eastAsia="Arial" w:hAnsi="Arial"/>
          <w:sz w:val="16"/>
          <w:szCs w:val="16"/>
          <w:b w:val="1"/>
          <w:bCs w:val="1"/>
          <w:color w:val="auto"/>
        </w:rPr>
        <w:t>Board</w:t>
      </w:r>
      <w:r>
        <w:rPr>
          <w:rFonts w:ascii="Arial" w:cs="Arial" w:eastAsia="Arial" w:hAnsi="Arial"/>
          <w:sz w:val="16"/>
          <w:szCs w:val="16"/>
          <w:color w:val="auto"/>
        </w:rPr>
        <w:t>”) approved and adopted the Second Amended and Restated Memorandum and Articles of Association of the Company (the “</w:t>
      </w:r>
      <w:r>
        <w:rPr>
          <w:rFonts w:ascii="Arial" w:cs="Arial" w:eastAsia="Arial" w:hAnsi="Arial"/>
          <w:sz w:val="16"/>
          <w:szCs w:val="16"/>
          <w:b w:val="1"/>
          <w:bCs w:val="1"/>
          <w:color w:val="auto"/>
        </w:rPr>
        <w:t>Second A&amp;R Charter</w:t>
      </w:r>
      <w:r>
        <w:rPr>
          <w:rFonts w:ascii="Arial" w:cs="Arial" w:eastAsia="Arial" w:hAnsi="Arial"/>
          <w:sz w:val="16"/>
          <w:szCs w:val="16"/>
          <w:color w:val="auto"/>
        </w:rPr>
        <w:t>”).</w:t>
      </w:r>
    </w:p>
    <w:p>
      <w:pPr>
        <w:sectPr>
          <w:pgSz w:w="11900" w:h="16838" w:orient="portrait"/>
          <w:cols w:equalWidth="0" w:num="1">
            <w:col w:w="9920"/>
          </w:cols>
          <w:pgMar w:left="980" w:top="665" w:right="99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Charter Amendment, Stockholders elected to redeem 9,556,652 shares of Chardan Common Stock, representing approximately 60.44% of the issued and outstanding shares of Chardan Common Stock and 75.55% of the issued outstanding Chardan Common Stock sold in the IPO.</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at the Special Meeting, the Stockholders approved the proposal to amend the Investment Management Trust Agreement, dated August 10, 2021 (the “</w:t>
      </w:r>
      <w:r>
        <w:rPr>
          <w:rFonts w:ascii="Arial" w:cs="Arial" w:eastAsia="Arial" w:hAnsi="Arial"/>
          <w:sz w:val="18"/>
          <w:szCs w:val="18"/>
          <w:b w:val="1"/>
          <w:bCs w:val="1"/>
          <w:color w:val="auto"/>
        </w:rPr>
        <w:t>Trust Agreement</w:t>
      </w:r>
      <w:r>
        <w:rPr>
          <w:rFonts w:ascii="Arial" w:cs="Arial" w:eastAsia="Arial" w:hAnsi="Arial"/>
          <w:sz w:val="18"/>
          <w:szCs w:val="18"/>
          <w:color w:val="auto"/>
        </w:rPr>
        <w:t>”), by and between the Company and Continental Stock Transfer &amp; Company (the “</w:t>
      </w:r>
      <w:r>
        <w:rPr>
          <w:rFonts w:ascii="Arial" w:cs="Arial" w:eastAsia="Arial" w:hAnsi="Arial"/>
          <w:sz w:val="18"/>
          <w:szCs w:val="18"/>
          <w:b w:val="1"/>
          <w:bCs w:val="1"/>
          <w:color w:val="auto"/>
        </w:rPr>
        <w:t>Trustee</w:t>
      </w:r>
      <w:r>
        <w:rPr>
          <w:rFonts w:ascii="Arial" w:cs="Arial" w:eastAsia="Arial" w:hAnsi="Arial"/>
          <w:sz w:val="18"/>
          <w:szCs w:val="18"/>
          <w:color w:val="auto"/>
        </w:rPr>
        <w:t>”) to authorize the Extension and its implementation by the Company (the “</w:t>
      </w:r>
      <w:r>
        <w:rPr>
          <w:rFonts w:ascii="Arial" w:cs="Arial" w:eastAsia="Arial" w:hAnsi="Arial"/>
          <w:sz w:val="18"/>
          <w:szCs w:val="18"/>
          <w:b w:val="1"/>
          <w:bCs w:val="1"/>
          <w:color w:val="auto"/>
        </w:rPr>
        <w:t>Trust Amendment Proposal</w:t>
      </w:r>
      <w:r>
        <w:rPr>
          <w:rFonts w:ascii="Arial" w:cs="Arial" w:eastAsia="Arial" w:hAnsi="Arial"/>
          <w:sz w:val="18"/>
          <w:szCs w:val="18"/>
          <w:color w:val="auto"/>
        </w:rPr>
        <w:t>”). On July 29, 2022, to effectuate the Trust Amendment Proposal, the Board approved and adopted Amendment No. 1 to the Investment Management Trust Agreement (the “</w:t>
      </w:r>
      <w:r>
        <w:rPr>
          <w:rFonts w:ascii="Arial" w:cs="Arial" w:eastAsia="Arial" w:hAnsi="Arial"/>
          <w:sz w:val="18"/>
          <w:szCs w:val="18"/>
          <w:b w:val="1"/>
          <w:bCs w:val="1"/>
          <w:color w:val="auto"/>
        </w:rPr>
        <w:t>Trust Agreement Amendment</w:t>
      </w:r>
      <w:r>
        <w:rPr>
          <w:rFonts w:ascii="Arial" w:cs="Arial" w:eastAsia="Arial" w:hAnsi="Arial"/>
          <w:sz w:val="18"/>
          <w:szCs w:val="18"/>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Extension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Extension, the Insiders notified the Company on August 8, 2022 of the Insiders’ intention to extend the date by which the Company must complete a business combination for an additional one (1) month by depositing $200,000 into the Trust Account.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Also in connection with the Extension, the Company and Chardan NexTech 2 Warrant Holdings, LLC (“CNTQ Warrant Holdings”) entered into a promissory note on August 11, 2022 (the “Extension Note”), whereby the Company agreed to pay $200,000 to CNTQ Warrant Holdings.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 Agreement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On May 15, 2022, Chardan entered into an Agreement and Plan of Merger (the “</w:t>
      </w:r>
      <w:r>
        <w:rPr>
          <w:rFonts w:ascii="Arial" w:cs="Arial" w:eastAsia="Arial" w:hAnsi="Arial"/>
          <w:sz w:val="17"/>
          <w:szCs w:val="17"/>
          <w:b w:val="1"/>
          <w:bCs w:val="1"/>
          <w:color w:val="auto"/>
        </w:rPr>
        <w:t>Merger Agreement</w:t>
      </w:r>
      <w:r>
        <w:rPr>
          <w:rFonts w:ascii="Arial" w:cs="Arial" w:eastAsia="Arial" w:hAnsi="Arial"/>
          <w:sz w:val="17"/>
          <w:szCs w:val="17"/>
          <w:color w:val="auto"/>
        </w:rPr>
        <w:t>”) with Dragonfly Energy Corp., a Nevada corporation (“</w:t>
      </w:r>
      <w:r>
        <w:rPr>
          <w:rFonts w:ascii="Arial" w:cs="Arial" w:eastAsia="Arial" w:hAnsi="Arial"/>
          <w:sz w:val="17"/>
          <w:szCs w:val="17"/>
          <w:b w:val="1"/>
          <w:bCs w:val="1"/>
          <w:color w:val="auto"/>
        </w:rPr>
        <w:t>Dragonfly</w:t>
      </w:r>
      <w:r>
        <w:rPr>
          <w:rFonts w:ascii="Arial" w:cs="Arial" w:eastAsia="Arial" w:hAnsi="Arial"/>
          <w:sz w:val="17"/>
          <w:szCs w:val="17"/>
          <w:color w:val="auto"/>
        </w:rPr>
        <w:t>”), and Bronco Merger Sub, Inc., a Nevada corporation and a direct, wholly owned subsidiary of Chardan (“</w:t>
      </w:r>
      <w:r>
        <w:rPr>
          <w:rFonts w:ascii="Arial" w:cs="Arial" w:eastAsia="Arial" w:hAnsi="Arial"/>
          <w:sz w:val="17"/>
          <w:szCs w:val="17"/>
          <w:b w:val="1"/>
          <w:bCs w:val="1"/>
          <w:color w:val="auto"/>
        </w:rPr>
        <w:t>Merger Sub</w:t>
      </w:r>
      <w:r>
        <w:rPr>
          <w:rFonts w:ascii="Arial" w:cs="Arial" w:eastAsia="Arial" w:hAnsi="Arial"/>
          <w:sz w:val="17"/>
          <w:szCs w:val="17"/>
          <w:color w:val="auto"/>
        </w:rPr>
        <w:t>”). The Merger Agreement, as amended by that certain Amendment to the Agreement and Plan of Merger, entered into on July 12, 2022, between the Company, Dragonfly and Merger Sub (the “</w:t>
      </w:r>
      <w:r>
        <w:rPr>
          <w:rFonts w:ascii="Arial" w:cs="Arial" w:eastAsia="Arial" w:hAnsi="Arial"/>
          <w:sz w:val="17"/>
          <w:szCs w:val="17"/>
          <w:b w:val="1"/>
          <w:bCs w:val="1"/>
          <w:color w:val="auto"/>
        </w:rPr>
        <w:t>Amendment</w:t>
      </w:r>
      <w:r>
        <w:rPr>
          <w:rFonts w:ascii="Arial" w:cs="Arial" w:eastAsia="Arial" w:hAnsi="Arial"/>
          <w:sz w:val="17"/>
          <w:szCs w:val="17"/>
          <w:color w:val="auto"/>
        </w:rPr>
        <w:t>”), provides that, among other things and upon the terms and subject to the conditions thereof, the following transactions will occur:</w:t>
      </w:r>
    </w:p>
    <w:p>
      <w:pPr>
        <w:spacing w:after="0" w:line="100" w:lineRule="exact"/>
        <w:rPr>
          <w:sz w:val="20"/>
          <w:szCs w:val="20"/>
          <w:color w:val="auto"/>
        </w:rPr>
      </w:pPr>
    </w:p>
    <w:p>
      <w:pPr>
        <w:jc w:val="both"/>
        <w:ind w:firstLine="8"/>
        <w:spacing w:after="0" w:line="281" w:lineRule="auto"/>
        <w:tabs>
          <w:tab w:leader="none" w:pos="215" w:val="left"/>
        </w:tabs>
        <w:numPr>
          <w:ilvl w:val="0"/>
          <w:numId w:val="6"/>
        </w:numPr>
        <w:rPr>
          <w:rFonts w:ascii="Arial" w:cs="Arial" w:eastAsia="Arial" w:hAnsi="Arial"/>
          <w:sz w:val="17"/>
          <w:szCs w:val="17"/>
          <w:color w:val="auto"/>
        </w:rPr>
      </w:pPr>
      <w:r>
        <w:rPr>
          <w:rFonts w:ascii="Arial" w:cs="Arial" w:eastAsia="Arial" w:hAnsi="Arial"/>
          <w:sz w:val="17"/>
          <w:szCs w:val="17"/>
          <w:color w:val="auto"/>
        </w:rPr>
        <w:t>at the closing of the transactions contemplated by the Merger Agreement (the “</w:t>
      </w:r>
      <w:r>
        <w:rPr>
          <w:rFonts w:ascii="Arial" w:cs="Arial" w:eastAsia="Arial" w:hAnsi="Arial"/>
          <w:sz w:val="17"/>
          <w:szCs w:val="17"/>
          <w:b w:val="1"/>
          <w:bCs w:val="1"/>
          <w:color w:val="auto"/>
        </w:rPr>
        <w:t>Closing</w:t>
      </w:r>
      <w:r>
        <w:rPr>
          <w:rFonts w:ascii="Arial" w:cs="Arial" w:eastAsia="Arial" w:hAnsi="Arial"/>
          <w:sz w:val="17"/>
          <w:szCs w:val="17"/>
          <w:color w:val="auto"/>
        </w:rPr>
        <w:t>”), upon the terms and subject to the conditions of the Merger Agreement, in accordance with applicable provisions of the Nevada Revised Statutes (“</w:t>
      </w:r>
      <w:r>
        <w:rPr>
          <w:rFonts w:ascii="Arial" w:cs="Arial" w:eastAsia="Arial" w:hAnsi="Arial"/>
          <w:sz w:val="17"/>
          <w:szCs w:val="17"/>
          <w:b w:val="1"/>
          <w:bCs w:val="1"/>
          <w:color w:val="auto"/>
        </w:rPr>
        <w:t>NRS</w:t>
      </w:r>
      <w:r>
        <w:rPr>
          <w:rFonts w:ascii="Arial" w:cs="Arial" w:eastAsia="Arial" w:hAnsi="Arial"/>
          <w:sz w:val="17"/>
          <w:szCs w:val="17"/>
          <w:color w:val="auto"/>
        </w:rPr>
        <w:t>”) and the Delaware General Corporation Law (“</w:t>
      </w:r>
      <w:r>
        <w:rPr>
          <w:rFonts w:ascii="Arial" w:cs="Arial" w:eastAsia="Arial" w:hAnsi="Arial"/>
          <w:sz w:val="17"/>
          <w:szCs w:val="17"/>
          <w:b w:val="1"/>
          <w:bCs w:val="1"/>
          <w:color w:val="auto"/>
        </w:rPr>
        <w:t>DGCL</w:t>
      </w:r>
      <w:r>
        <w:rPr>
          <w:rFonts w:ascii="Arial" w:cs="Arial" w:eastAsia="Arial" w:hAnsi="Arial"/>
          <w:sz w:val="17"/>
          <w:szCs w:val="17"/>
          <w:color w:val="auto"/>
        </w:rPr>
        <w:t>”), Merger Sub will merge with and into Dragonfly, the separate corporate existence of Merger Sub will cease and Dragonfly will be the surviving corporation and a wholly owned subsidiary of Chardan (the “</w:t>
      </w:r>
      <w:r>
        <w:rPr>
          <w:rFonts w:ascii="Arial" w:cs="Arial" w:eastAsia="Arial" w:hAnsi="Arial"/>
          <w:sz w:val="17"/>
          <w:szCs w:val="17"/>
          <w:b w:val="1"/>
          <w:bCs w:val="1"/>
          <w:color w:val="auto"/>
        </w:rPr>
        <w:t>Merger</w:t>
      </w:r>
      <w:r>
        <w:rPr>
          <w:rFonts w:ascii="Arial" w:cs="Arial" w:eastAsia="Arial" w:hAnsi="Arial"/>
          <w:sz w:val="17"/>
          <w:szCs w:val="17"/>
          <w:color w:val="auto"/>
        </w:rPr>
        <w:t>”);</w:t>
      </w:r>
    </w:p>
    <w:p>
      <w:pPr>
        <w:spacing w:after="0" w:line="87" w:lineRule="exact"/>
        <w:rPr>
          <w:rFonts w:ascii="Arial" w:cs="Arial" w:eastAsia="Arial" w:hAnsi="Arial"/>
          <w:sz w:val="17"/>
          <w:szCs w:val="17"/>
          <w:color w:val="auto"/>
        </w:rPr>
      </w:pPr>
    </w:p>
    <w:p>
      <w:pPr>
        <w:ind w:left="280" w:hanging="272"/>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the Closing, Chardan will be renamed “Dragonfly Energy Holdings Corp.” and is referred to herein as “New Dragonfly”;</w:t>
      </w:r>
    </w:p>
    <w:p>
      <w:pPr>
        <w:spacing w:after="0" w:line="157" w:lineRule="exact"/>
        <w:rPr>
          <w:rFonts w:ascii="Arial" w:cs="Arial" w:eastAsia="Arial" w:hAnsi="Arial"/>
          <w:sz w:val="18"/>
          <w:szCs w:val="18"/>
          <w:color w:val="auto"/>
        </w:rPr>
      </w:pPr>
    </w:p>
    <w:p>
      <w:pPr>
        <w:jc w:val="both"/>
        <w:ind w:firstLine="8"/>
        <w:spacing w:after="0" w:line="263" w:lineRule="auto"/>
        <w:tabs>
          <w:tab w:leader="none" w:pos="333"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a result of the Merger, among other things, all shares of capital stock of Dragonfly outstanding as of immediately prior to the effective time of the Merger will be canceled in exchange for the right to receive shares of common stock, par value $0.0001 per share, of New Dragonfly (“</w:t>
      </w:r>
      <w:r>
        <w:rPr>
          <w:rFonts w:ascii="Arial" w:cs="Arial" w:eastAsia="Arial" w:hAnsi="Arial"/>
          <w:sz w:val="18"/>
          <w:szCs w:val="18"/>
          <w:b w:val="1"/>
          <w:bCs w:val="1"/>
          <w:color w:val="auto"/>
        </w:rPr>
        <w:t>New Dragonfly Common Stock</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jc w:val="both"/>
        <w:ind w:right="20" w:firstLine="8"/>
        <w:spacing w:after="0" w:line="263" w:lineRule="auto"/>
        <w:tabs>
          <w:tab w:leader="none" w:pos="325"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a result of the Merger, each Dragonfly option outstanding as of immediately prior to the effective time of the Merger will be converted into the right to receive a New Dragonfly option, subject to certain exceptions and conditions as set forth in the Merger Agreement;</w:t>
      </w:r>
    </w:p>
    <w:p>
      <w:pPr>
        <w:spacing w:after="0" w:line="102" w:lineRule="exact"/>
        <w:rPr>
          <w:rFonts w:ascii="Arial" w:cs="Arial" w:eastAsia="Arial" w:hAnsi="Arial"/>
          <w:sz w:val="18"/>
          <w:szCs w:val="18"/>
          <w:color w:val="auto"/>
        </w:rPr>
      </w:pPr>
    </w:p>
    <w:p>
      <w:pPr>
        <w:ind w:firstLine="8"/>
        <w:spacing w:after="0" w:line="277" w:lineRule="auto"/>
        <w:tabs>
          <w:tab w:leader="none" w:pos="2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the Closing, 40,000,000 shares of New Dragonfly Common Stock shall be issuable to existing holders of Dragonfly capital stock or pursuant to the aforementioned converted options; and</w:t>
      </w:r>
    </w:p>
    <w:p>
      <w:pPr>
        <w:spacing w:after="0" w:line="102" w:lineRule="exact"/>
        <w:rPr>
          <w:rFonts w:ascii="Arial" w:cs="Arial" w:eastAsia="Arial" w:hAnsi="Arial"/>
          <w:sz w:val="18"/>
          <w:szCs w:val="18"/>
          <w:color w:val="auto"/>
        </w:rPr>
      </w:pPr>
    </w:p>
    <w:p>
      <w:pPr>
        <w:ind w:right="20" w:firstLine="8"/>
        <w:spacing w:after="0" w:line="277" w:lineRule="auto"/>
        <w:tabs>
          <w:tab w:leader="none" w:pos="321" w:val="left"/>
        </w:tabs>
        <w:numPr>
          <w:ilvl w:val="0"/>
          <w:numId w:val="6"/>
        </w:numPr>
        <w:rPr>
          <w:rFonts w:ascii="Arial" w:cs="Arial" w:eastAsia="Arial" w:hAnsi="Arial"/>
          <w:sz w:val="18"/>
          <w:szCs w:val="18"/>
          <w:color w:val="auto"/>
        </w:rPr>
      </w:pPr>
      <w:r>
        <w:rPr>
          <w:rFonts w:ascii="Arial" w:cs="Arial" w:eastAsia="Arial" w:hAnsi="Arial"/>
          <w:sz w:val="18"/>
          <w:szCs w:val="18"/>
          <w:color w:val="auto"/>
        </w:rPr>
        <w:t>following the Closing, existing holders of Dragonfly capital stock will have the right to receive up to an aggregate of 40,000,000 additional shares of New Dragonfly Common Stock in three tranches as follows:</w:t>
      </w:r>
    </w:p>
    <w:p>
      <w:pPr>
        <w:spacing w:after="0" w:line="103" w:lineRule="exact"/>
        <w:rPr>
          <w:sz w:val="20"/>
          <w:szCs w:val="20"/>
          <w:color w:val="auto"/>
        </w:rPr>
      </w:pPr>
    </w:p>
    <w:p>
      <w:pPr>
        <w:jc w:val="both"/>
        <w:ind w:firstLine="8"/>
        <w:spacing w:after="0" w:line="259" w:lineRule="auto"/>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New Dragonfly shall issue 15,000,000 shares of New Dragonfly common stock in the aggregate, if, as disclosed in the Annual Report on Form 10-K for the fiscal year ending December 31, 2023 for New Dragonfly filed with the SEC, New Dragonfly’s (x) total audited revenue for the year ended December 31, 2023 is equal to or greater than $250,000,000, and (y) audited operating income for the year ended December 31, 2023 is equal to or greater than $35,000,000;</w:t>
      </w:r>
    </w:p>
    <w:p>
      <w:pPr>
        <w:spacing w:after="0" w:line="101" w:lineRule="exact"/>
        <w:rPr>
          <w:rFonts w:ascii="Arial" w:cs="Arial" w:eastAsia="Arial" w:hAnsi="Arial"/>
          <w:sz w:val="18"/>
          <w:szCs w:val="18"/>
          <w:color w:val="auto"/>
        </w:rPr>
      </w:pPr>
    </w:p>
    <w:p>
      <w:pPr>
        <w:jc w:val="both"/>
        <w:ind w:firstLine="8"/>
        <w:spacing w:after="0" w:line="281" w:lineRule="auto"/>
        <w:tabs>
          <w:tab w:leader="none" w:pos="322" w:val="left"/>
        </w:tabs>
        <w:numPr>
          <w:ilvl w:val="0"/>
          <w:numId w:val="7"/>
        </w:numPr>
        <w:rPr>
          <w:rFonts w:ascii="Arial" w:cs="Arial" w:eastAsia="Arial" w:hAnsi="Arial"/>
          <w:sz w:val="17"/>
          <w:szCs w:val="17"/>
          <w:color w:val="auto"/>
        </w:rPr>
      </w:pPr>
      <w:r>
        <w:rPr>
          <w:rFonts w:ascii="Arial" w:cs="Arial" w:eastAsia="Arial" w:hAnsi="Arial"/>
          <w:sz w:val="17"/>
          <w:szCs w:val="17"/>
          <w:color w:val="auto"/>
        </w:rPr>
        <w:t>New Dragonfly shall issue an additional 12,500,000 shares of New Dragonfly common stock, in the aggregate (the “</w:t>
      </w:r>
      <w:r>
        <w:rPr>
          <w:rFonts w:ascii="Arial" w:cs="Arial" w:eastAsia="Arial" w:hAnsi="Arial"/>
          <w:sz w:val="17"/>
          <w:szCs w:val="17"/>
          <w:b w:val="1"/>
          <w:bCs w:val="1"/>
          <w:color w:val="auto"/>
        </w:rPr>
        <w:t>Second</w:t>
      </w:r>
      <w:r>
        <w:rPr>
          <w:rFonts w:ascii="Arial" w:cs="Arial" w:eastAsia="Arial" w:hAnsi="Arial"/>
          <w:sz w:val="17"/>
          <w:szCs w:val="17"/>
          <w:color w:val="auto"/>
        </w:rPr>
        <w:t xml:space="preserve"> </w:t>
      </w:r>
      <w:r>
        <w:rPr>
          <w:rFonts w:ascii="Arial" w:cs="Arial" w:eastAsia="Arial" w:hAnsi="Arial"/>
          <w:sz w:val="17"/>
          <w:szCs w:val="17"/>
          <w:b w:val="1"/>
          <w:bCs w:val="1"/>
          <w:color w:val="auto"/>
        </w:rPr>
        <w:t>Earnout</w:t>
      </w:r>
      <w:r>
        <w:rPr>
          <w:rFonts w:ascii="Arial" w:cs="Arial" w:eastAsia="Arial" w:hAnsi="Arial"/>
          <w:sz w:val="17"/>
          <w:szCs w:val="17"/>
          <w:color w:val="auto"/>
        </w:rPr>
        <w:t>”), if at any time during the period beginning on the Closing Date and ending on December 31, 2026, the VWAP of the New</w:t>
      </w:r>
      <w:r>
        <w:rPr>
          <w:rFonts w:ascii="Arial" w:cs="Arial" w:eastAsia="Arial" w:hAnsi="Arial"/>
          <w:sz w:val="17"/>
          <w:szCs w:val="17"/>
          <w:b w:val="1"/>
          <w:bCs w:val="1"/>
          <w:color w:val="auto"/>
        </w:rPr>
        <w:t xml:space="preserve"> </w:t>
      </w:r>
      <w:r>
        <w:rPr>
          <w:rFonts w:ascii="Arial" w:cs="Arial" w:eastAsia="Arial" w:hAnsi="Arial"/>
          <w:sz w:val="17"/>
          <w:szCs w:val="17"/>
          <w:color w:val="auto"/>
        </w:rPr>
        <w:t>Dragonfly common stock over any 20 Trading Days (which may or may not be consecutive) within any 30 consecutive Trading Day period is greater than or equal to $22.50 per share of New Dragonfly common stock (the “</w:t>
      </w:r>
      <w:r>
        <w:rPr>
          <w:rFonts w:ascii="Arial" w:cs="Arial" w:eastAsia="Arial" w:hAnsi="Arial"/>
          <w:sz w:val="17"/>
          <w:szCs w:val="17"/>
          <w:b w:val="1"/>
          <w:bCs w:val="1"/>
          <w:color w:val="auto"/>
        </w:rPr>
        <w:t>Second Milestone</w:t>
      </w:r>
      <w:r>
        <w:rPr>
          <w:rFonts w:ascii="Arial" w:cs="Arial" w:eastAsia="Arial" w:hAnsi="Arial"/>
          <w:sz w:val="17"/>
          <w:szCs w:val="17"/>
          <w:color w:val="auto"/>
        </w:rPr>
        <w:t>”); and</w:t>
      </w:r>
    </w:p>
    <w:p>
      <w:pPr>
        <w:sectPr>
          <w:pgSz w:w="11900" w:h="16838" w:orient="portrait"/>
          <w:cols w:equalWidth="0" w:num="1">
            <w:col w:w="9920"/>
          </w:cols>
          <w:pgMar w:left="980" w:top="665" w:right="999" w:bottom="1440" w:gutter="0" w:footer="0" w:header="0"/>
        </w:sect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firstLine="8"/>
        <w:spacing w:after="0" w:line="281" w:lineRule="auto"/>
        <w:tabs>
          <w:tab w:leader="none" w:pos="328" w:val="left"/>
        </w:tabs>
        <w:numPr>
          <w:ilvl w:val="0"/>
          <w:numId w:val="8"/>
        </w:numPr>
        <w:rPr>
          <w:rFonts w:ascii="Arial" w:cs="Arial" w:eastAsia="Arial" w:hAnsi="Arial"/>
          <w:sz w:val="17"/>
          <w:szCs w:val="17"/>
          <w:color w:val="auto"/>
        </w:rPr>
      </w:pPr>
      <w:r>
        <w:rPr>
          <w:rFonts w:ascii="Arial" w:cs="Arial" w:eastAsia="Arial" w:hAnsi="Arial"/>
          <w:sz w:val="17"/>
          <w:szCs w:val="17"/>
          <w:color w:val="auto"/>
        </w:rPr>
        <w:t>New Dragonfly shall issue an additional 12,500,000 shares of New Dragonfly common stock, in the aggregate (the “</w:t>
      </w:r>
      <w:r>
        <w:rPr>
          <w:rFonts w:ascii="Arial" w:cs="Arial" w:eastAsia="Arial" w:hAnsi="Arial"/>
          <w:sz w:val="17"/>
          <w:szCs w:val="17"/>
          <w:b w:val="1"/>
          <w:bCs w:val="1"/>
          <w:color w:val="auto"/>
        </w:rPr>
        <w:t>Third</w:t>
      </w:r>
      <w:r>
        <w:rPr>
          <w:rFonts w:ascii="Arial" w:cs="Arial" w:eastAsia="Arial" w:hAnsi="Arial"/>
          <w:sz w:val="17"/>
          <w:szCs w:val="17"/>
          <w:color w:val="auto"/>
        </w:rPr>
        <w:t xml:space="preserve"> </w:t>
      </w:r>
      <w:r>
        <w:rPr>
          <w:rFonts w:ascii="Arial" w:cs="Arial" w:eastAsia="Arial" w:hAnsi="Arial"/>
          <w:sz w:val="17"/>
          <w:szCs w:val="17"/>
          <w:b w:val="1"/>
          <w:bCs w:val="1"/>
          <w:color w:val="auto"/>
        </w:rPr>
        <w:t>Earnout</w:t>
      </w:r>
      <w:r>
        <w:rPr>
          <w:rFonts w:ascii="Arial" w:cs="Arial" w:eastAsia="Arial" w:hAnsi="Arial"/>
          <w:sz w:val="17"/>
          <w:szCs w:val="17"/>
          <w:color w:val="auto"/>
        </w:rPr>
        <w:t>”), if at any time during the period beginning on the Closing Date and ending on December 31, 2028, the VWAP of the New</w:t>
      </w:r>
      <w:r>
        <w:rPr>
          <w:rFonts w:ascii="Arial" w:cs="Arial" w:eastAsia="Arial" w:hAnsi="Arial"/>
          <w:sz w:val="17"/>
          <w:szCs w:val="17"/>
          <w:b w:val="1"/>
          <w:bCs w:val="1"/>
          <w:color w:val="auto"/>
        </w:rPr>
        <w:t xml:space="preserve"> </w:t>
      </w:r>
      <w:r>
        <w:rPr>
          <w:rFonts w:ascii="Arial" w:cs="Arial" w:eastAsia="Arial" w:hAnsi="Arial"/>
          <w:sz w:val="17"/>
          <w:szCs w:val="17"/>
          <w:color w:val="auto"/>
        </w:rPr>
        <w:t>Dragonfly common stock over any 20 Trading Days (which may or may not be consecutive) within any 30 consecutive Trading Day period is greater than or equal to $32.50 per share of New Dragonfly common stock (the “</w:t>
      </w:r>
      <w:r>
        <w:rPr>
          <w:rFonts w:ascii="Arial" w:cs="Arial" w:eastAsia="Arial" w:hAnsi="Arial"/>
          <w:sz w:val="17"/>
          <w:szCs w:val="17"/>
          <w:b w:val="1"/>
          <w:bCs w:val="1"/>
          <w:color w:val="auto"/>
        </w:rPr>
        <w:t>Third Milestone</w:t>
      </w:r>
      <w:r>
        <w:rPr>
          <w:rFonts w:ascii="Arial" w:cs="Arial" w:eastAsia="Arial" w:hAnsi="Arial"/>
          <w:sz w:val="17"/>
          <w:szCs w:val="17"/>
          <w:color w:val="auto"/>
        </w:rPr>
        <w:t>”).</w:t>
      </w:r>
    </w:p>
    <w:p>
      <w:pPr>
        <w:spacing w:after="0" w:line="10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Upon the occurrence of the Third Milestone, if the Second Milestone has yet to occur, the Second Milestone will be deemed to have occurred simultaneously with the Third Milestone and the holders of Dragonfly capital stock shall be entitled to receive the Second Earnout as if the Second Milestone had occurred on or prior to December 31, 2026, provided, however, that such date shall only occur once, if at all, and in no event shall such holders be collectively entitled to receive more than an aggregate of 40,000,000 additional shares of New Dragonfly Common Stock.</w:t>
      </w:r>
    </w:p>
    <w:p>
      <w:pPr>
        <w:spacing w:after="0" w:line="10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Board has unanimously (i) approved and declared advisable the Merger Agreement, the Merger and the other transactions contemplated thereby and (ii) resolved to recommend approval of the Merger Agreement and related matters by the stockholders of Chardan.</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Upon the consummation of the business combination, the Board will be composed of seven members, five of whom will be designated by Dragonfly and two of whom will be designated by Chardan.</w:t>
      </w:r>
    </w:p>
    <w:p>
      <w:pPr>
        <w:spacing w:after="0" w:line="10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May 15, 2022, concurrently with the execution of the Merger Agreement, Chardan entered into a subscription agreement (the “</w:t>
      </w:r>
      <w:r>
        <w:rPr>
          <w:rFonts w:ascii="Arial" w:cs="Arial" w:eastAsia="Arial" w:hAnsi="Arial"/>
          <w:sz w:val="17"/>
          <w:szCs w:val="17"/>
          <w:b w:val="1"/>
          <w:bCs w:val="1"/>
          <w:color w:val="auto"/>
        </w:rPr>
        <w:t>Subscription Agreement</w:t>
      </w:r>
      <w:r>
        <w:rPr>
          <w:rFonts w:ascii="Arial" w:cs="Arial" w:eastAsia="Arial" w:hAnsi="Arial"/>
          <w:sz w:val="17"/>
          <w:szCs w:val="17"/>
          <w:color w:val="auto"/>
        </w:rPr>
        <w:t>”) with the Sponsor (the “</w:t>
      </w:r>
      <w:r>
        <w:rPr>
          <w:rFonts w:ascii="Arial" w:cs="Arial" w:eastAsia="Arial" w:hAnsi="Arial"/>
          <w:sz w:val="17"/>
          <w:szCs w:val="17"/>
          <w:b w:val="1"/>
          <w:bCs w:val="1"/>
          <w:color w:val="auto"/>
        </w:rPr>
        <w:t>PIPE Investor</w:t>
      </w:r>
      <w:r>
        <w:rPr>
          <w:rFonts w:ascii="Arial" w:cs="Arial" w:eastAsia="Arial" w:hAnsi="Arial"/>
          <w:sz w:val="17"/>
          <w:szCs w:val="17"/>
          <w:color w:val="auto"/>
        </w:rPr>
        <w:t>”). Pursuant to and subject to the terms and conditions contained in the Subscription Agreement, the PIPE Investor has subscribed to purchase up to 500,000 shares of New Dragonfly Common Stock at a purchase price of $10.00 per share for an aggregate purchase price of up to $5,000,000 (the “</w:t>
      </w:r>
      <w:r>
        <w:rPr>
          <w:rFonts w:ascii="Arial" w:cs="Arial" w:eastAsia="Arial" w:hAnsi="Arial"/>
          <w:sz w:val="17"/>
          <w:szCs w:val="17"/>
          <w:b w:val="1"/>
          <w:bCs w:val="1"/>
          <w:color w:val="auto"/>
        </w:rPr>
        <w:t>PIPE Investment</w:t>
      </w:r>
      <w:r>
        <w:rPr>
          <w:rFonts w:ascii="Arial" w:cs="Arial" w:eastAsia="Arial" w:hAnsi="Arial"/>
          <w:sz w:val="17"/>
          <w:szCs w:val="17"/>
          <w:color w:val="auto"/>
        </w:rPr>
        <w:t>”).</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Merger Agreement contains customary representations and warranties by Chardan, Merger Sub, and Dragonfly. The representations and warranties of the respective parties to the Merger Agreement generally will not survive the Closing.</w:t>
      </w:r>
    </w:p>
    <w:p>
      <w:pPr>
        <w:spacing w:after="0" w:line="10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Merger Agreement contains additional covenants, including, among others, providing for (i) the parties to conduct their respective businesses in the ordinary course through the Closing, (ii) the parties to not initiate any negotiations or enter into any agreements for certain alternative transactions, (iii) Dragonfly to prepare and deliver to Chardan certain audited and unaudited consolidated financial statements of Dragonfly, (iv) Chardan to prepare and file a proxy statement/registration statement on Form S-4 and take certain other actions to obtain the requisite approval of Chardan stockholders of certain proposals regarding the Merger, (v) the parties to use commercially reasonable efforts to obtain necessary approvals from governmental agencies and (vi) to the extent Closing has not occurred by August 10, 2022, then, pursuant to Chardan’s organizational documents, Chardan shall extend the deadline to consummate its initial business combination by an additional three months from the Termination Date (as defined in Chardan’s Amended and Restated Certificate of Incorporation as in effect on May 15, 2022) (such date, the “</w:t>
      </w:r>
      <w:r>
        <w:rPr>
          <w:rFonts w:ascii="Arial" w:cs="Arial" w:eastAsia="Arial" w:hAnsi="Arial"/>
          <w:sz w:val="16"/>
          <w:szCs w:val="16"/>
          <w:b w:val="1"/>
          <w:bCs w:val="1"/>
          <w:color w:val="auto"/>
        </w:rPr>
        <w:t>Extended Termination Date</w:t>
      </w:r>
      <w:r>
        <w:rPr>
          <w:rFonts w:ascii="Arial" w:cs="Arial" w:eastAsia="Arial" w:hAnsi="Arial"/>
          <w:sz w:val="16"/>
          <w:szCs w:val="16"/>
          <w:color w:val="auto"/>
        </w:rPr>
        <w:t>”); provided that if the Closing has not occurred by the date that is two business days prior to the Extended Termination Date, Chardan shall extend the deadline to consummate its initial business combination by an additional three months from the Extended Termination Date.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Agreements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Business Combination Agreement contemplates the execution of various additional agreements and instruments, on or before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Closing, including, among others, the following: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Rights &amp; Certain Restrictions on Transfer</w:t>
      </w:r>
    </w:p>
    <w:p>
      <w:pPr>
        <w:spacing w:after="0" w:line="15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Merger Agreement contemplates that, at the Closing, New Dragonfly, Chardan NexTech Investments 2 LLC, a Delaware limited liability company (the “</w:t>
      </w:r>
      <w:r>
        <w:rPr>
          <w:rFonts w:ascii="Arial" w:cs="Arial" w:eastAsia="Arial" w:hAnsi="Arial"/>
          <w:sz w:val="17"/>
          <w:szCs w:val="17"/>
          <w:b w:val="1"/>
          <w:bCs w:val="1"/>
          <w:color w:val="auto"/>
        </w:rPr>
        <w:t>Sponsor</w:t>
      </w:r>
      <w:r>
        <w:rPr>
          <w:rFonts w:ascii="Arial" w:cs="Arial" w:eastAsia="Arial" w:hAnsi="Arial"/>
          <w:sz w:val="17"/>
          <w:szCs w:val="17"/>
          <w:color w:val="auto"/>
        </w:rPr>
        <w:t>”), Chardan’s initial stockholders, certain shareholders of Dragonfly and certain of each of their respective affiliates, as applicable, and the other parties thereto, will enter into an Amended and Restated Registration Rights Agreement (the “</w:t>
      </w:r>
      <w:r>
        <w:rPr>
          <w:rFonts w:ascii="Arial" w:cs="Arial" w:eastAsia="Arial" w:hAnsi="Arial"/>
          <w:sz w:val="17"/>
          <w:szCs w:val="17"/>
          <w:b w:val="1"/>
          <w:bCs w:val="1"/>
          <w:color w:val="auto"/>
        </w:rPr>
        <w:t>Registration Rights Agreement</w:t>
      </w:r>
      <w:r>
        <w:rPr>
          <w:rFonts w:ascii="Arial" w:cs="Arial" w:eastAsia="Arial" w:hAnsi="Arial"/>
          <w:sz w:val="17"/>
          <w:szCs w:val="17"/>
          <w:color w:val="auto"/>
        </w:rPr>
        <w:t>”), pursuant to which New Dragonfly will agree to register for resale, pursuant to Rule 415 under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certain shares of New Dragonfly Common Stock and other equity securities of New Dragonfly that are held by the parties thereto from time to time and the parties thereto will be provided with customary demand and piggyback registration rights. Additionally, the Registration Rights Agreement and the Bylaws of New Dragonfly contain certain restrictions on transfer with respect to (i) shares of New Dragonfly Common Stock and any other equity securities convertible into or exercisable or exchangeable for shares of New Dragonfly Common Stock held by the Dragonfly Stockholders immediately following the Closing (other than any shares purchased in the public market or in the PIPE Investment) and (ii) any Earnout Shares (as defined in the Merger Agreement) issued within six (6) months of the closing date and any shares of New Dragonfly Common Stock issued with respect to or in exchange for such Earnout Shares (the “</w:t>
      </w:r>
      <w:r>
        <w:rPr>
          <w:rFonts w:ascii="Arial" w:cs="Arial" w:eastAsia="Arial" w:hAnsi="Arial"/>
          <w:sz w:val="17"/>
          <w:szCs w:val="17"/>
          <w:b w:val="1"/>
          <w:bCs w:val="1"/>
          <w:color w:val="auto"/>
        </w:rPr>
        <w:t>Lock-up Shares</w:t>
      </w:r>
      <w:r>
        <w:rPr>
          <w:rFonts w:ascii="Arial" w:cs="Arial" w:eastAsia="Arial" w:hAnsi="Arial"/>
          <w:sz w:val="17"/>
          <w:szCs w:val="17"/>
          <w:color w:val="auto"/>
        </w:rPr>
        <w:t>”). Such restrictions begin at the Closing and end on the date that is six months after Closing.</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Sponsor Support Agreement</w:t>
      </w:r>
    </w:p>
    <w:p>
      <w:pPr>
        <w:spacing w:after="0" w:line="15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May 15, 2022, the Sponsor, Chardan and Dragonfly entered into the Sponsor Support Agreement (the “</w:t>
      </w:r>
      <w:r>
        <w:rPr>
          <w:rFonts w:ascii="Arial" w:cs="Arial" w:eastAsia="Arial" w:hAnsi="Arial"/>
          <w:sz w:val="17"/>
          <w:szCs w:val="17"/>
          <w:b w:val="1"/>
          <w:bCs w:val="1"/>
          <w:color w:val="auto"/>
        </w:rPr>
        <w:t>Sponsor Support</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w:t>
      </w:r>
      <w:r>
        <w:rPr>
          <w:rFonts w:ascii="Arial" w:cs="Arial" w:eastAsia="Arial" w:hAnsi="Arial"/>
          <w:sz w:val="17"/>
          <w:szCs w:val="17"/>
          <w:color w:val="auto"/>
        </w:rPr>
        <w:t>”), pursuant to which, among other things, the Sponsor agreed to (i) vote in favor of the Merger Agreement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transactions contemplated thereby and against any proposal that would reasonably be expected to result in (x) a breach of any of Chardan’s or Merger Sub’s covenants, agreements or obligations under the Merger Agreement or in any Ancillary Agreements or (y) any Closing conditions set forth in Section 9.1 or 9.3 or the Merger Agreement not being satisfied, (ii) retain and not redeem its holdings in Chardan prior to the Closing, (iii) be subject to certain transfer restrictions with respect to its holdings in Chardan and (iv) be bound by certain provisions of the Merger Agreement as if it were an original signatory thereto, in each case, on the terms and subject to the conditions set forth in the Sponsor Support Agreement.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 Agreement</w:t>
      </w:r>
    </w:p>
    <w:p>
      <w:pPr>
        <w:spacing w:after="0" w:line="1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May 15, 2022, concurrently with the execution of the Merger Agreement, Chardan entered into a subscription agreement (the “</w:t>
      </w:r>
      <w:r>
        <w:rPr>
          <w:rFonts w:ascii="Arial" w:cs="Arial" w:eastAsia="Arial" w:hAnsi="Arial"/>
          <w:sz w:val="17"/>
          <w:szCs w:val="17"/>
          <w:b w:val="1"/>
          <w:bCs w:val="1"/>
          <w:color w:val="auto"/>
        </w:rPr>
        <w:t>Subscription Agreement</w:t>
      </w:r>
      <w:r>
        <w:rPr>
          <w:rFonts w:ascii="Arial" w:cs="Arial" w:eastAsia="Arial" w:hAnsi="Arial"/>
          <w:sz w:val="17"/>
          <w:szCs w:val="17"/>
          <w:color w:val="auto"/>
        </w:rPr>
        <w:t>”) with the Sponsor (the “</w:t>
      </w:r>
      <w:r>
        <w:rPr>
          <w:rFonts w:ascii="Arial" w:cs="Arial" w:eastAsia="Arial" w:hAnsi="Arial"/>
          <w:sz w:val="17"/>
          <w:szCs w:val="17"/>
          <w:b w:val="1"/>
          <w:bCs w:val="1"/>
          <w:color w:val="auto"/>
        </w:rPr>
        <w:t>PIPE Investor</w:t>
      </w:r>
      <w:r>
        <w:rPr>
          <w:rFonts w:ascii="Arial" w:cs="Arial" w:eastAsia="Arial" w:hAnsi="Arial"/>
          <w:sz w:val="17"/>
          <w:szCs w:val="17"/>
          <w:color w:val="auto"/>
        </w:rPr>
        <w:t>”). Pursuant to and subject to the terms and conditions contained in the Subscription Agreement, the PIPE Investor has subscribed to purchase up to 500,000 shares of New Dragonfly Common Stock at a purchase price of $10.00 per share for an aggregate purchase price of up to $5,000,000 (the “</w:t>
      </w:r>
      <w:r>
        <w:rPr>
          <w:rFonts w:ascii="Arial" w:cs="Arial" w:eastAsia="Arial" w:hAnsi="Arial"/>
          <w:sz w:val="17"/>
          <w:szCs w:val="17"/>
          <w:b w:val="1"/>
          <w:bCs w:val="1"/>
          <w:color w:val="auto"/>
        </w:rPr>
        <w:t>PIPE Investment</w:t>
      </w:r>
      <w:r>
        <w:rPr>
          <w:rFonts w:ascii="Arial" w:cs="Arial" w:eastAsia="Arial" w:hAnsi="Arial"/>
          <w:sz w:val="17"/>
          <w:szCs w:val="17"/>
          <w:color w:val="auto"/>
        </w:rPr>
        <w:t>”).</w:t>
      </w:r>
    </w:p>
    <w:p>
      <w:pPr>
        <w:spacing w:after="0" w:line="1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set forth in the Subscription Agreement, the PIPE Investor may purchase shares of Chardan Common Stock in the open market, and reduce (i) its purchase price under the Subscription Agreement by an amount equal to the number of shares that the PIPE Investor purchased in the open market multiplied by the per share redemption amount received by public stockholders who elect to redeem their shares prior to the Closing and (ii) the number of shares it subscribed for by an amount equal to the number of Shares Subscriber purchased in the open market and not redeemed as contemplated above. The PIPE Investor agreed that it will not exercise its right to vote any shares it may purchase in the open market following the date of the Subscription Agreement and prior to the Closing, in connection with any vote to approve the Merger.</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The PIPE Investment will be consummated substantially concurrently with the Closing.</w:t>
      </w:r>
    </w:p>
    <w:p>
      <w:pPr>
        <w:spacing w:after="0" w:line="15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Subscription Agreement will terminate with no further force and effect upon the earliest to occur of: (i) such date and time as the Merger Agreement is terminated in accordance with its terms, (ii) the mutual written agreement of the parties to the Subscription Agreement, (iii) if the conditions to closing set forth in the Subscription Agreement are not satisfied at, or are not capable of being satisfied on or prior to, the Closing and, as a result thereof, the transactions contemplated by the Subscription Agreement will not be or are not consummated at the Closing and (iv) May 15, 2023, if the Closing has not occurred on or before such date.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Commitment Letter</w:t>
      </w:r>
    </w:p>
    <w:p>
      <w:pPr>
        <w:spacing w:after="0" w:line="14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On May 15, 2022, Chardan and Dragonfly entered into a commitment letter (the “</w:t>
      </w:r>
      <w:r>
        <w:rPr>
          <w:rFonts w:ascii="Arial" w:cs="Arial" w:eastAsia="Arial" w:hAnsi="Arial"/>
          <w:sz w:val="16"/>
          <w:szCs w:val="16"/>
          <w:b w:val="1"/>
          <w:bCs w:val="1"/>
          <w:color w:val="auto"/>
        </w:rPr>
        <w:t>Debt Commitment Letter</w:t>
      </w:r>
      <w:r>
        <w:rPr>
          <w:rFonts w:ascii="Arial" w:cs="Arial" w:eastAsia="Arial" w:hAnsi="Arial"/>
          <w:sz w:val="16"/>
          <w:szCs w:val="16"/>
          <w:color w:val="auto"/>
        </w:rPr>
        <w:t>”), with EICF Agent LLC (“</w:t>
      </w:r>
      <w:r>
        <w:rPr>
          <w:rFonts w:ascii="Arial" w:cs="Arial" w:eastAsia="Arial" w:hAnsi="Arial"/>
          <w:sz w:val="16"/>
          <w:szCs w:val="16"/>
          <w:b w:val="1"/>
          <w:bCs w:val="1"/>
          <w:color w:val="auto"/>
        </w:rPr>
        <w:t>EIP</w:t>
      </w:r>
      <w:r>
        <w:rPr>
          <w:rFonts w:ascii="Arial" w:cs="Arial" w:eastAsia="Arial" w:hAnsi="Arial"/>
          <w:sz w:val="16"/>
          <w:szCs w:val="16"/>
          <w:color w:val="auto"/>
        </w:rPr>
        <w:t>”) and CCM Investments 5 LLC, an affiliate of the Sponsor (“</w:t>
      </w:r>
      <w:r>
        <w:rPr>
          <w:rFonts w:ascii="Arial" w:cs="Arial" w:eastAsia="Arial" w:hAnsi="Arial"/>
          <w:sz w:val="16"/>
          <w:szCs w:val="16"/>
          <w:b w:val="1"/>
          <w:bCs w:val="1"/>
          <w:color w:val="auto"/>
        </w:rPr>
        <w:t>CCM 5</w:t>
      </w:r>
      <w:r>
        <w:rPr>
          <w:rFonts w:ascii="Arial" w:cs="Arial" w:eastAsia="Arial" w:hAnsi="Arial"/>
          <w:sz w:val="16"/>
          <w:szCs w:val="16"/>
          <w:color w:val="auto"/>
        </w:rPr>
        <w:t>”, and collectively with EIP, the “</w:t>
      </w:r>
      <w:r>
        <w:rPr>
          <w:rFonts w:ascii="Arial" w:cs="Arial" w:eastAsia="Arial" w:hAnsi="Arial"/>
          <w:sz w:val="16"/>
          <w:szCs w:val="16"/>
          <w:b w:val="1"/>
          <w:bCs w:val="1"/>
          <w:color w:val="auto"/>
        </w:rPr>
        <w:t>Initial Lenders</w:t>
      </w:r>
      <w:r>
        <w:rPr>
          <w:rFonts w:ascii="Arial" w:cs="Arial" w:eastAsia="Arial" w:hAnsi="Arial"/>
          <w:sz w:val="16"/>
          <w:szCs w:val="16"/>
          <w:color w:val="auto"/>
        </w:rPr>
        <w:t>”), pursuant to which the Initial Lenders have agreed to provide Dragonfly with a senior secured term loan facility in an aggregate principal amount of $75,000,000 (the “</w:t>
      </w:r>
      <w:r>
        <w:rPr>
          <w:rFonts w:ascii="Arial" w:cs="Arial" w:eastAsia="Arial" w:hAnsi="Arial"/>
          <w:sz w:val="16"/>
          <w:szCs w:val="16"/>
          <w:b w:val="1"/>
          <w:bCs w:val="1"/>
          <w:color w:val="auto"/>
        </w:rPr>
        <w:t>Term Loan Facility</w:t>
      </w:r>
      <w:r>
        <w:rPr>
          <w:rFonts w:ascii="Arial" w:cs="Arial" w:eastAsia="Arial" w:hAnsi="Arial"/>
          <w:sz w:val="16"/>
          <w:szCs w:val="16"/>
          <w:color w:val="auto"/>
        </w:rPr>
        <w:t>”) subject to the satisfaction of a number of specified conditions set forth in the Debt Commitment Letter. CCM 5 intends to backstop its commitment under the Debt Commitment Letter by entering into a backstop commitment letter (the “</w:t>
      </w:r>
      <w:r>
        <w:rPr>
          <w:rFonts w:ascii="Arial" w:cs="Arial" w:eastAsia="Arial" w:hAnsi="Arial"/>
          <w:sz w:val="16"/>
          <w:szCs w:val="16"/>
          <w:b w:val="1"/>
          <w:bCs w:val="1"/>
          <w:color w:val="auto"/>
        </w:rPr>
        <w:t>Backstop Commitment Letter</w:t>
      </w:r>
      <w:r>
        <w:rPr>
          <w:rFonts w:ascii="Arial" w:cs="Arial" w:eastAsia="Arial" w:hAnsi="Arial"/>
          <w:sz w:val="16"/>
          <w:szCs w:val="16"/>
          <w:color w:val="auto"/>
        </w:rPr>
        <w:t>”) with certain third party financing sources prior to the Closing Date.</w:t>
      </w:r>
    </w:p>
    <w:p>
      <w:pPr>
        <w:spacing w:after="0" w:line="9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proceeds of the Term Loan Facility will be used (i) to support the Merger, (ii) to repay all outstanding PIUS Debt and other obligations of Dragonfly, (iii) to pay for fees and expenses in connection with the foregoing, (iv) to provide additional growth capital and</w:t>
      </w:r>
    </w:p>
    <w:p>
      <w:pPr>
        <w:jc w:val="both"/>
        <w:ind w:firstLine="8"/>
        <w:spacing w:after="0" w:line="255" w:lineRule="auto"/>
        <w:tabs>
          <w:tab w:leader="none" w:pos="264"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other general/corporate purposes. The Term Loan Facility must be fully drawn on the Closing Date, will mature four years from the Closing Date and will be subject to quarterly amortization of 5% per annum beginning 24 months after the Closing Date. Chardan will be a guarantor under the Term Loan Facility.</w:t>
      </w:r>
    </w:p>
    <w:p>
      <w:pPr>
        <w:spacing w:after="0" w:line="12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part of the consideration for the Term Loan Facility, New Dragonfly will also issue to the Initial Lenders (but not CCM 5 to the extent it has not backstopped its commitment pursuant to the Backstop Commitment Letter) on the Closing Date: (i) penny warrants (the “</w:t>
      </w:r>
      <w:r>
        <w:rPr>
          <w:rFonts w:ascii="Arial" w:cs="Arial" w:eastAsia="Arial" w:hAnsi="Arial"/>
          <w:sz w:val="18"/>
          <w:szCs w:val="18"/>
          <w:b w:val="1"/>
          <w:bCs w:val="1"/>
          <w:color w:val="auto"/>
        </w:rPr>
        <w:t>Penny Warrants</w:t>
      </w:r>
      <w:r>
        <w:rPr>
          <w:rFonts w:ascii="Arial" w:cs="Arial" w:eastAsia="Arial" w:hAnsi="Arial"/>
          <w:sz w:val="18"/>
          <w:szCs w:val="18"/>
          <w:color w:val="auto"/>
        </w:rPr>
        <w:t>”) exercisable to purchase 3.6% of New Dragonfly’s common stock on a fully-diluted basis, calculated as of the Closing Date, and (ii) warrants (the “</w:t>
      </w:r>
      <w:r>
        <w:rPr>
          <w:rFonts w:ascii="Arial" w:cs="Arial" w:eastAsia="Arial" w:hAnsi="Arial"/>
          <w:sz w:val="18"/>
          <w:szCs w:val="18"/>
          <w:b w:val="1"/>
          <w:bCs w:val="1"/>
          <w:color w:val="auto"/>
        </w:rPr>
        <w:t>$10 Per Share Warrants</w:t>
      </w:r>
      <w:r>
        <w:rPr>
          <w:rFonts w:ascii="Arial" w:cs="Arial" w:eastAsia="Arial" w:hAnsi="Arial"/>
          <w:sz w:val="18"/>
          <w:szCs w:val="18"/>
          <w:color w:val="auto"/>
        </w:rPr>
        <w:t>”) exercisable to purchase 1.6 million shares of New Dragonfly’s common stock at $10 per share. The Penny Warrants will have an exercise period of ten years from the date of issuance. The $10 Per Share Warrants will have an exercise period of five years from the date of issuance and will have customary cashless exercise provisions. The warrants will have standard anti-dilution protections. The shares of New Dragonfly common stock issuable upon exercise of the warrants shall have customary registration rights requiring New Dragonfly to file and keep effective a registration statement registering the resale of such shares.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Facility Letter Agreement</w:t>
      </w:r>
    </w:p>
    <w:p>
      <w:pPr>
        <w:spacing w:after="0" w:line="15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May 15, 2022, Chardan, Dragonfly and CCM 5 (the “</w:t>
      </w:r>
      <w:r>
        <w:rPr>
          <w:rFonts w:ascii="Arial" w:cs="Arial" w:eastAsia="Arial" w:hAnsi="Arial"/>
          <w:sz w:val="16"/>
          <w:szCs w:val="16"/>
          <w:b w:val="1"/>
          <w:bCs w:val="1"/>
          <w:color w:val="auto"/>
        </w:rPr>
        <w:t>Equity Facility Investor</w:t>
      </w:r>
      <w:r>
        <w:rPr>
          <w:rFonts w:ascii="Arial" w:cs="Arial" w:eastAsia="Arial" w:hAnsi="Arial"/>
          <w:sz w:val="16"/>
          <w:szCs w:val="16"/>
          <w:color w:val="auto"/>
        </w:rPr>
        <w:t>”) entered into a letter agreement (together with the Summary of Indicative Terms attached as an exhibit thereto, the “</w:t>
      </w:r>
      <w:r>
        <w:rPr>
          <w:rFonts w:ascii="Arial" w:cs="Arial" w:eastAsia="Arial" w:hAnsi="Arial"/>
          <w:sz w:val="16"/>
          <w:szCs w:val="16"/>
          <w:b w:val="1"/>
          <w:bCs w:val="1"/>
          <w:color w:val="auto"/>
        </w:rPr>
        <w:t>Equity Facility Letter Agreement</w:t>
      </w:r>
      <w:r>
        <w:rPr>
          <w:rFonts w:ascii="Arial" w:cs="Arial" w:eastAsia="Arial" w:hAnsi="Arial"/>
          <w:sz w:val="16"/>
          <w:szCs w:val="16"/>
          <w:color w:val="auto"/>
        </w:rPr>
        <w:t>”) pursuant to which Chardan and Dragonfly agreed to enter into definitive documentation (the “</w:t>
      </w:r>
      <w:r>
        <w:rPr>
          <w:rFonts w:ascii="Arial" w:cs="Arial" w:eastAsia="Arial" w:hAnsi="Arial"/>
          <w:sz w:val="16"/>
          <w:szCs w:val="16"/>
          <w:b w:val="1"/>
          <w:bCs w:val="1"/>
          <w:color w:val="auto"/>
        </w:rPr>
        <w:t>Equity Facility Definitive Documentation</w:t>
      </w:r>
      <w:r>
        <w:rPr>
          <w:rFonts w:ascii="Arial" w:cs="Arial" w:eastAsia="Arial" w:hAnsi="Arial"/>
          <w:sz w:val="16"/>
          <w:szCs w:val="16"/>
          <w:color w:val="auto"/>
        </w:rPr>
        <w:t>”) to establish a committed equity facility (the “</w:t>
      </w:r>
      <w:r>
        <w:rPr>
          <w:rFonts w:ascii="Arial" w:cs="Arial" w:eastAsia="Arial" w:hAnsi="Arial"/>
          <w:sz w:val="16"/>
          <w:szCs w:val="16"/>
          <w:b w:val="1"/>
          <w:bCs w:val="1"/>
          <w:color w:val="auto"/>
        </w:rPr>
        <w:t>Equity Facility</w:t>
      </w:r>
      <w:r>
        <w:rPr>
          <w:rFonts w:ascii="Arial" w:cs="Arial" w:eastAsia="Arial" w:hAnsi="Arial"/>
          <w:sz w:val="16"/>
          <w:szCs w:val="16"/>
          <w:color w:val="auto"/>
        </w:rPr>
        <w:t>”) prior to the Closing. The Equity Facility Definitive Documentation will contain terms that are consistent with the Equity Facility Letter Agreement and customary for documentation of this nature. Pursuant to and subject to the conditions to be set forth in the Equity Facility Definitive Documentation, New Dragonfly will have the right from time to time at its option to direct the Equity Facility Investor to purchase up to a specified maximum amount of shares of New Dragonfly common stock, up to a maximum aggregate purchase price of $150,000,000 over the 36-month term of the Equity Facility Letter Agreement.</w:t>
      </w:r>
    </w:p>
    <w:p>
      <w:pPr>
        <w:spacing w:after="0" w:line="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foregoing descriptions of the Merger Agreement, form of the Registration Rights Agreement, the Sponsor Support Agreement, the Subscription Agreement, the Debt Commitment Letter and the Equity Facility Letter Agreement and the transactions and documents contemplated thereby are not complete and are subject to and qualified in their entirety by reference to the Merger Agreement, form of the Registration Rights Agreement, the Sponsor Support Agreement, the Subscription Agreement, the Debt Commitment Letter and the Equity Facility Letter Agreement, copies of which are filed with this Current Report on Form 8-K, and the terms of which are incorporated by reference herein.</w:t>
      </w:r>
    </w:p>
    <w:p>
      <w:pPr>
        <w:spacing w:after="0" w:line="1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Merger Agreement, the Registration Rights Agreement, the Sponsor Support Agreement, the Subscription Agreement, the Debt Commitment Letter and the Equity Facility Letter Agreement have been included to provide investors with information regarding their terms. They are not intended to provide any other factual information about Chardan, Dragonfly, or their affiliates. The representations, warranties, covenants and agreements contained in the Merger Agreement, the Registration Rights Agreement, the Sponsor Support Agreement, the Registration Rights Agreement, the Subscription Agreement, the Debt Commitment Letter and the Equity Facility Letter Agreement and the other documents related thereto were made only for purposes of such agreements as of the specific dates therein, were solely for the benefit of the parties to the Merger Agreement, the Registration Rights Agreement, the Sponsor Support Agreement, the Subscription Agreement, the Debt Commitment Letter and the Equity Facility Letter Agreement, as applicable, and may be subject to limitations agreed upon by the contracting parties, including being qualified by confidential disclosures made for the purposes of allocating contractual risk between the parties to the Merger Agreement, the Sponsor Support Agreement, the Subscription Agreement, the Debt Commitment Letter or the Equity Facility Letter Agreement, as applicable, instead of establishing these matters as facts, and may be subject to standards of materiality applicable to the contracting parties that differ from those applicable to investors. Investors are not third-party beneficiaries under the Merger Agreement, the Registration Rights Agreement, the Sponsor Support Agreement, the Subscription Agreement, the Debt Commitment Letter or the Equity Facility Letter Agreement and should not rely on the representations, warranties, covenants and agreements or any descriptions thereof as characterizations of the actual state of facts or condition of the parties thereto or any of their respective subsidiaries or affiliates. Moreover, information concerning the subject matter of representations and warranties may change after the date of the Merger Agreement, the Registration Rights Agreement, the Sponsor Support Agreement, the Subscription Agreement, the Debt Commitment Letter or the Equity Facility Letter Agreement, as applicable, which subsequent information may or may not be fully reflected in Chardan’s public disclosures.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neither engaged in any operations nor generated any revenues to date. Our only activities for the period from June 23, 2020 (Inception) through June 30, 2022 were organizational activities, those necessary to prepare for the Initial Public Offering, described below. We do not expect to generate any operating revenues until after the completion of our initial business combination. We generate non-operating income in the form of interest income on investments held after the Initial Public Offering. We incur expenses as a result of being a public company (for legal, financial reporting, accounting and auditing compliance), as well as due diligence expenses.</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June 30, 2022, we had a net loss of $570,333, which resulted from a net gain on marketable securities held in Trust Account in the amount of $173,416, which was partially offset by the change in fair value of warrant liabilities of $277,671, operating and formation costs of $416,078, and franchise tax expense of $50,000.</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six months ended June 30, 2022, we had net income of $621,507, which resulted from the change in fair value of warrant liabilities of $1,156,965 and a net gain on marketable securities held in Trust Account in the amount of $189,482, which was partially offset by operating and formation costs of $624,284, and franchise tax expense of $100,656.</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For the three and six months ended June 30, 2021, we had a net loss of $834 which resulted entirely from formation and operating costs.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June 30, 2022 and December 31, 2021, the Company had $349,716 and $799,808 in cash held outside of the Trust Account, respectively, and a working capital surplus of $263,247 and $988,187, respectively.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liquidity needs prior to the consummation of the Initial Public Offering were satisfied through the proceeds of $25,000 from the sale of the founder shares, and a loan of up to $250,000 under an unsecured and non-interest bearing promissory note. Subsequent to the consummation of the Initial Public Offering, the Company’s liquidity will be satisfied through the net proceeds from the private placement held outside of the Trust Account.</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in order to finance transaction costs in connection with a business combination, the Sponsor or an affiliate of the Sponsor, or certain of our officers and directors may, but are not obligated to, loan us funds as may be required. As of June 30, 2022 and December 31, 2021, there were no amounts outstanding under any such loans.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six months ended June 30, 2022, net cash used in operating activities was $450,092, which was due to the change in fair value of warrants of $1,156,965, changes in operating assets and liabilities of $274,848, and net gain on investments in the Trust Account of $189,482, partially offset by our net income of $621,507.</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For the six months ended June 30, 2021, net cash used in operating activities was $834, which was due to our net loss of $834.</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cash flows from financing activities for the six months ended June 30, 2022.</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six months ended June 30, 2021, net cash used in financing activities was $7,239, which was due to offering costs paid of $157,239, partially offset by proceeds from promissory note - related party of $150,000.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cash flows from financing activities for the six months ended June 30, 2022 and 2021.</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August 13, 2021, we consummated the Initial Public Offering of 11,000,000 Units, at $10.00 per Unit, generating gross proceeds of $110,000,000. Each Unit consisted of one public share and three-quarters of one Public Warrant. Each Public Warrant entitles the holder to purchase one share of common stock at an exercise price of $11.50 per whole share.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Simultaneously with the closing of the Initial Public Offering, Warrant Holdings purchased an aggregate of 4,361,456 Private Warrants at a price of $0.93 per Private Warrant ($4,052,000 in the aggregate). Each Private Warrant entitles the holder to purchase three-fourths of one share of common stock at an exercise price of $11.50 per share.</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August 18, 2021, the underwriters fully exercised the over-allotment option and, purchased an additional 1,650,000 Units at a purchase price of $10.00 per Unit, generating gross proceeds of $16,500,000.</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Simultaneously with the closing of the exercise of the over-allotment option, we consummated the sale of 266,402 Private Warrants at a purchase price of $0.93 per Private Warrant in a private placement to Warrant Holdings, generating gross proceeds of $247,500.</w:t>
      </w:r>
    </w:p>
    <w:p>
      <w:pPr>
        <w:spacing w:after="0" w:line="12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 portion of the proceeds from the Private Warrants was added to the proceeds from the Initial Public Offering to be held in the Trust Account. If we do not complete our initial business combination by August 13, 2022 (or November 13, 2022 or February 13, 2023, as applicable, if the time period is extended), the proceeds of the sale of the Private Warrants will be used to fund the redemption of the public shares (subject to the requirements of applicable law) and the Private Warrants and all underlying securities will be worthless. There will be no redemption rights or liquidating distributions from the Trust Account with respect to the Private Warrants.</w:t>
      </w:r>
    </w:p>
    <w:p>
      <w:pPr>
        <w:spacing w:after="0" w:line="16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intend to use substantially all of the net proceeds from the Initial Public Offering, including the funds held in the Trust Account, to acquire a target business or businesses and to pay our expenses relating thereto. To the extent that our share capital is used in whole or in part as consideration to effect our initial business combination, the remaining proceeds held in the Trust Account as well as any other net proceeds not expended will be used as working capital to finance the operations of the target business. Such working capital funds could be used in a variety of ways including continuing or expanding the target business’ operations, for strategic acquisitions and for marketing, research and development of existing or new products. Such funds could also be used to repay any operating expenses or finders’ fees that we incur prior to the completion of our initial business combination, if the funds available to us outside of the Trust Account were insufficient to cover such expenses.</w:t>
      </w:r>
    </w:p>
    <w:p>
      <w:pPr>
        <w:sectPr>
          <w:pgSz w:w="11900" w:h="16838" w:orient="portrait"/>
          <w:cols w:equalWidth="0" w:num="1">
            <w:col w:w="9920"/>
          </w:cols>
          <w:pgMar w:left="980" w:top="665" w:right="99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do not believe we will need to raise additional funds following our Initial Public Offering to meet the expenditures required for operating our business. However, if our estimates of the costs of identifying a target business, undertaking in-depth due diligence and negotiating an initial business combination are less than the actual amount necessary to do so, we may have insufficient funds available to operate our business prior to our initial business combination. Moreover, we may need to obtain additional financing either to consummate our initial business combination or because we become obligated to redeem a significant number of our public shares upon completion of our initial business combination, in which case we may issue additional securities or incur debt in connection with such business combination.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any off-balance sheet arrangements as of June 30, 2022 or December 31,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As of June 30, 2022 and December 31, 2021, we did not have any long-term debt, capital or operating lease obligations. We entered into an administrative services agreement pursuant to which we pay the Sponsor for office space and secretarial and administrative services provided to members of our management team, in an amount not to exceed $10,000 per month.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and Stockholder Rights Agreement</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holders of the Founder Shares and Private Warrants (and any shares of common stock issuable upon the exercise of the Private Warrants) will be entitled to registration rights pursuant to an agreement to be signed prior to or on the effective date of the Initial Public Offering. The holders of a majority of these securities are entitled to make up to two demands that the Company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Warrants (and underlying securities) can elect to exercise these registration rights at any time after the Company consummates a Business Combination. In addition, the holders have certain “piggy-back” registration rights with respect to Registration Statements filed subsequent to the consummation of a Business Combination. The Company will bear the expenses incurred in connection with the filing of any such Registration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Underwriting Agreement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granted the underwriters a 45-day option to purchase up to 1,650,000 additional Units to cover over-allotments at the Initial Public Offering price, less the underwriting discounts and commissions. On August 18, 2021, the underwriters fully exercised the over-allotment option to purchase an additional 1,650,000 Units at an offering price of $10.00 per Unit for an aggregate purchase price of $16,500,000. In addition, the underwriters were paid a cash underwriting discount of $500,000 upon the closing of the Initial Public Offering.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 Marketing Agreement</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has engaged Chardan Capital Markets, LLC as an advisor in connection with the Company’s Business Combination to assist the Company in holding meetings with the stockholders to discuss the potential Business Combination and the target business’ attributes, introduce the Company to potential investors that are interested in purchasing the Company’s securities, assist the Company in obtaining stockholder approval for the Business Combination and assist the Company with press releases and public filings in connection with the Business Combination. The Company will pay Chardan Capital Markets, LLC a cash fee for such services upon the consummation of the Company’s initial Business Combination in an amount equal to, in the aggregate, 3.5% of the gross proceeds of the Initial Public Offering. As a result, Chardan Capital Markets, LLC will not be entitled to such fee unless the Company consummates the initial Business Combination.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condensed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condensed financial statements, and income and expenses during the periods reported. Actual results could materially differ from those estimates. We have identified the following critical accounting policies: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Liabilities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accounts for warrants as either equity-classified or liability-classified instruments based on an assessment of the warrant’s specific terms and applicable authoritative guidance in ASC 480 and ASC 815, Derivatives and Hedging (“</w:t>
      </w:r>
      <w:r>
        <w:rPr>
          <w:rFonts w:ascii="Arial" w:cs="Arial" w:eastAsia="Arial" w:hAnsi="Arial"/>
          <w:sz w:val="18"/>
          <w:szCs w:val="18"/>
          <w:b w:val="1"/>
          <w:bCs w:val="1"/>
          <w:color w:val="auto"/>
        </w:rPr>
        <w:t>ASC 815</w:t>
      </w:r>
      <w:r>
        <w:rPr>
          <w:rFonts w:ascii="Arial" w:cs="Arial" w:eastAsia="Arial" w:hAnsi="Arial"/>
          <w:sz w:val="18"/>
          <w:szCs w:val="18"/>
          <w:color w:val="auto"/>
        </w:rPr>
        <w:t>”).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Changes in the estimated fair value of the warrants will be recognized as a non-cash gain or loss on the condensed statements of operations.</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accounts for the Private Warrants issued concurrently in connection with the Initial Public Offering in accordance with ASC 815-40, under which the Private Warrants will not meet the criteria for equity classification and must be recorded as liabilities. As the Private Warrants meet the definition of a derivative as contemplated in ASC 815, the Private Warrants will be measured at fair value at inception and at each reporting date in accordance with ASC 820, Fair Value Measurement (“</w:t>
      </w:r>
      <w:r>
        <w:rPr>
          <w:rFonts w:ascii="Arial" w:cs="Arial" w:eastAsia="Arial" w:hAnsi="Arial"/>
          <w:sz w:val="17"/>
          <w:szCs w:val="17"/>
          <w:b w:val="1"/>
          <w:bCs w:val="1"/>
          <w:color w:val="auto"/>
        </w:rPr>
        <w:t>ASC 820</w:t>
      </w:r>
      <w:r>
        <w:rPr>
          <w:rFonts w:ascii="Arial" w:cs="Arial" w:eastAsia="Arial" w:hAnsi="Arial"/>
          <w:sz w:val="17"/>
          <w:szCs w:val="17"/>
          <w:color w:val="auto"/>
        </w:rPr>
        <w:t>”), with changes in fair value recognized in the condensed statements of operations in the period of change.</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Public Warrants are not precluded from equity classification, and are accounted for as such on the date of issuance, and each balance sheet date thereafter.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subject to possible redemption</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accounts for its common stock subject to possible redemption in accordance with the guidance in ASC Topic 480 “Distinguishing Liabilities from Equity.” Common stock subject to mandatory redemption (if any) is classified as liability instruments and is measured at fair value. Conditionally redeemable common stock (including common stock that feature redemption rights that is either within the control of the holder or subject to redemption upon occurrence of uncertain events not solely within the Company’s control) is classified as temporary equity. At all other times, common stock is classified as stockholders’ equity. The Company’s common stock feature certain redemption rights that is considered to be outside of the Company’s control and subject to the occurrence of uncertain future events. Accordingly, as of June 30, 2022 and December 31, 2021, 12,650,000 shares of common stock subject to possible redemption is presented as temporary equity, outside of the stockholders’ equity section of the Company’s condensed balance sheet. Effective with the closing of the Initial Public Offering, the Company recognized the accretion from the initial book value to redemption amount, which resulted in charges against additional paid-in capital (to the extent available) and retained earnings (accumulated deficit).</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recognizes changes in redemption value immediately as they occur and adjusts the carrying value of redeemable common stock to equal the redemption value at the end of each reporting period. This method would view the end of the reporting period as if it were also the redemption date for the security. Increases or decreases in the carrying amount of redeemable common stock is affected by charges against additional paid in capital and retained earnings (accumulated deficit).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 Per Share of Common Stock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income (loss) per common share is computed by dividing net earnings by the weighted-average number of shares of common stock outstanding during the period. The Company has not considered the effect of the Warrants sold in the Initial Public Offering and private placement to purchase an aggregate of 14,115,358 shares in the calculation of diluted income (loss) per share, since the exercise of the Warrants are contingent upon the occurrence of future events.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Standards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Company’s condensed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2022 and December 31, 2021, we were not subject to any market or interest rate risk.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Disclosure controls and procedures are controls and other procedures that are designed to ensure that information required to be disclosed in our reports filed or submitted under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to allow timely decisions regarding required disclosure.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required by Rules 13a-15 and 15d-15 under the Exchange Act, our Chief Executive Officer and Chief Financial Officer carried out an evaluation of the effectiveness of the design and operation of our disclosure controls and procedures as of June 30, 2022. Based upon their evaluation, our Chief Executive Officer and Chief Financial Officer concluded that our disclosure controls and procedures (as defined in Rules 13a-15 (e) and 15d-15 (e) under the Exchange Act) were not effective as of June 30, 2022, due to the revision of the Balance Sheet as of August 13, 2021 that was included in a Form 8-K, Item 8.01, filed on August 19, 2021, regarding the classification of redeemable common stock, as described below, which constitutes a material weakness in our internal control over financial reporting. The revision was included as part of the September 30, 2021 Form 10-Q, as filed with the SEC on November 15, 2021.</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concluded that a material weakness in internal control over financial reporting existed relating to the accounting treatment for complex financial instruments. 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Other than the implementation of the remediation activities regarding the Company’s Balance Sheet on the Form 8-K filed on August 13, 2021, there has been no change in our internal control over financial reporting (as defined in Rules 13a-15(f) and 15d-15(f) under the Exchange Act) during the most recent fiscal quarter that has materially affected, or is reasonably likely to materially affect, our internal control over financial reporting. Management has enhanced our processes to identify and appropriately apply applicable accounting requirements to better evaluate and understand the nuances of the complex accounting standards that apply to our condensed financial statements. Our updated processes include providing enhanced access to accounting literature, research materials and documents and increased communication among our personnel and third-party professionals with whom we consult regarding complex accounting applications. The elements of our remediation plan can only be accomplished over time, and we can offer no assurance that these initiatives will ultimately have the intended effects.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Factors that could cause our actual results to differ materially from those in this Quarterly Report are any of the risks described in the Company’s annual report on Form 10-K as filed with the SEC on March 29, 2022. Any of these factors could result in a significant or material adverse effect on our results of operations or financial condition. Additional risk factors not presently known to us or that we currently deem immaterial may also impair our business or results of operations. As of the date of this Quarterly Report, there have been no material changes to the risk factors disclosed in the Company’s annual report on Form 10-K as filed with the SEC on March 29, 2022.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15, 2022, concurrently with the execution of the Merger Agreement, Chardan entered into the Subscription Agreement with the PIPE Investor Pursuant to and subject to the terms and conditions contained in the Subscription Agreement, the PIPE Investor has subscribed to purchase up to 500,000 shares of New Dragonfly Common Stock at a purchase price of $10.00 per share for an aggregate purchase price of up to $5,000,000.</w:t>
      </w:r>
    </w:p>
    <w:p>
      <w:pPr>
        <w:spacing w:after="0" w:line="1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set forth in the Subscription Agreement, the PIPE Investor may purchase shares of Chardan Common Stock in the open market, and reduce (i) its purchase price under the Subscription Agreement by an amount equal to the number of shares that the PIPE Investor purchased in the open market multiplied by the per share redemption amount received by public stockholders who elect to redeem their shares prior to the Closing and (ii) the number of shares it subscribed for by an amount equal to the number of Shares Subscriber purchased in the open market and not redeemed as contemplated above. The PIPE Investor agreed that it will not exercise its right to vote any shares it may purchase in the open market following the date of the Subscription Agreement and prior to the Closing, in connection with any vote to approve the Merger.</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The PIPE Investment will be consummated substantially concurrently with the Closing.</w:t>
      </w:r>
    </w:p>
    <w:p>
      <w:pPr>
        <w:spacing w:after="0" w:line="15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Subscription Agreement will terminate with no further force and effect upon the earliest to occur of: (i) such date and time as the Merger Agreement is terminated in accordance with its terms, (ii) the mutual written agreement of the parties to the Subscription Agreement, (iii) if the conditions to closing set forth in the Subscription Agreement are not satisfied at, or are not capable of being satisfied on or prior to, the Closing and, as a result thereof, the transactions contemplated by the Subscription Agreement will not be or are not consummated at the Closing and (iv) May 15, 2023, if the Closing has not occurred on or before such date.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August 9, 2022 the Board appointed Jory Des Jardins, who currently serves as an independent member of the Board, to serve on the audit committee of the Board (the “</w:t>
      </w:r>
      <w:r>
        <w:rPr>
          <w:rFonts w:ascii="Arial" w:cs="Arial" w:eastAsia="Arial" w:hAnsi="Arial"/>
          <w:sz w:val="17"/>
          <w:szCs w:val="17"/>
          <w:b w:val="1"/>
          <w:bCs w:val="1"/>
          <w:color w:val="auto"/>
        </w:rPr>
        <w:t>Audit Committee</w:t>
      </w:r>
      <w:r>
        <w:rPr>
          <w:rFonts w:ascii="Arial" w:cs="Arial" w:eastAsia="Arial" w:hAnsi="Arial"/>
          <w:sz w:val="17"/>
          <w:szCs w:val="17"/>
          <w:color w:val="auto"/>
        </w:rPr>
        <w:t>”). Upon the effective date of Ms. Des Jardins’ appointment to the Audit Committee, Jonas Grossman resigned from the Audit Committee, but remains a member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or incorporated by reference into, this Quarterly Report on Form 10-Q.</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8720" w:type="dxa"/>
            <w:vAlign w:val="bottom"/>
            <w:gridSpan w:val="21"/>
          </w:tcPr>
          <w:p>
            <w:pPr>
              <w:spacing w:after="0"/>
              <w:rPr>
                <w:sz w:val="20"/>
                <w:szCs w:val="20"/>
                <w:color w:val="auto"/>
              </w:rPr>
            </w:pPr>
            <w:r>
              <w:rPr>
                <w:rFonts w:ascii="Arial" w:cs="Arial" w:eastAsia="Arial" w:hAnsi="Arial"/>
                <w:sz w:val="14"/>
                <w:szCs w:val="14"/>
                <w:b w:val="1"/>
                <w:bCs w:val="1"/>
                <w:color w:val="auto"/>
              </w:rPr>
              <w:t>Description</w:t>
            </w:r>
          </w:p>
        </w:tc>
      </w:tr>
      <w:tr>
        <w:trPr>
          <w:trHeight w:val="175"/>
        </w:trPr>
        <w:tc>
          <w:tcPr>
            <w:tcW w:w="10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720" w:type="dxa"/>
            <w:vAlign w:val="bottom"/>
            <w:tcBorders>
              <w:top w:val="single" w:sz="8" w:color="auto"/>
            </w:tcBorders>
            <w:gridSpan w:val="21"/>
          </w:tcPr>
          <w:p>
            <w:pPr>
              <w:spacing w:after="0" w:line="175" w:lineRule="exact"/>
              <w:rPr>
                <w:rFonts w:ascii="Arial" w:cs="Arial" w:eastAsia="Arial" w:hAnsi="Arial"/>
                <w:sz w:val="18"/>
                <w:szCs w:val="18"/>
                <w:color w:val="0000EE"/>
                <w:w w:val="96"/>
              </w:rPr>
            </w:pPr>
            <w:hyperlink r:id="rId46">
              <w:r>
                <w:rPr>
                  <w:rFonts w:ascii="Arial" w:cs="Arial" w:eastAsia="Arial" w:hAnsi="Arial"/>
                  <w:sz w:val="18"/>
                  <w:szCs w:val="18"/>
                  <w:color w:val="0000EE"/>
                  <w:w w:val="96"/>
                </w:rPr>
                <w:t>Merger Agreement, dated as of May 15, 2022 (Incorporated by reference to Exhibit 2.1 to the Company’s Current</w:t>
              </w:r>
            </w:hyperlink>
          </w:p>
        </w:tc>
      </w:tr>
      <w:tr>
        <w:trPr>
          <w:trHeight w:val="209"/>
        </w:trPr>
        <w:tc>
          <w:tcPr>
            <w:tcW w:w="1000" w:type="dxa"/>
            <w:vAlign w:val="bottom"/>
          </w:tcPr>
          <w:p>
            <w:pPr>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30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3"/>
              </w:rPr>
            </w:pPr>
            <w:hyperlink r:id="rId46">
              <w:r>
                <w:rPr>
                  <w:rFonts w:ascii="Arial" w:cs="Arial" w:eastAsia="Arial" w:hAnsi="Arial"/>
                  <w:sz w:val="18"/>
                  <w:szCs w:val="18"/>
                  <w:color w:val="0000EE"/>
                  <w:w w:val="93"/>
                </w:rPr>
                <w:t>Report on Form 8-K filed May 16, 2022).</w:t>
              </w:r>
            </w:hyperlink>
          </w:p>
        </w:tc>
        <w:tc>
          <w:tcPr>
            <w:tcW w:w="5180" w:type="dxa"/>
            <w:vAlign w:val="bottom"/>
            <w:tcBorders>
              <w:top w:val="single" w:sz="8" w:color="0000EE"/>
            </w:tcBorders>
            <w:gridSpan w:val="8"/>
          </w:tcPr>
          <w:p>
            <w:pPr>
              <w:spacing w:after="0"/>
              <w:rPr>
                <w:sz w:val="18"/>
                <w:szCs w:val="18"/>
                <w:color w:val="auto"/>
              </w:rPr>
            </w:pPr>
          </w:p>
        </w:tc>
        <w:tc>
          <w:tcPr>
            <w:tcW w:w="520" w:type="dxa"/>
            <w:vAlign w:val="bottom"/>
            <w:gridSpan w:val="8"/>
          </w:tcPr>
          <w:p>
            <w:pPr>
              <w:spacing w:after="0"/>
              <w:rPr>
                <w:sz w:val="18"/>
                <w:szCs w:val="18"/>
                <w:color w:val="auto"/>
              </w:rPr>
            </w:pPr>
          </w:p>
        </w:tc>
      </w:tr>
      <w:tr>
        <w:trPr>
          <w:trHeight w:val="210"/>
        </w:trPr>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720" w:type="dxa"/>
            <w:vAlign w:val="bottom"/>
            <w:gridSpan w:val="21"/>
          </w:tcPr>
          <w:p>
            <w:pPr>
              <w:spacing w:after="0"/>
              <w:rPr>
                <w:rFonts w:ascii="Arial" w:cs="Arial" w:eastAsia="Arial" w:hAnsi="Arial"/>
                <w:sz w:val="18"/>
                <w:szCs w:val="18"/>
                <w:color w:val="0000EE"/>
                <w:w w:val="93"/>
              </w:rPr>
            </w:pPr>
            <w:hyperlink r:id="rId47">
              <w:r>
                <w:rPr>
                  <w:rFonts w:ascii="Arial" w:cs="Arial" w:eastAsia="Arial" w:hAnsi="Arial"/>
                  <w:sz w:val="18"/>
                  <w:szCs w:val="18"/>
                  <w:color w:val="0000EE"/>
                  <w:w w:val="93"/>
                </w:rPr>
                <w:t>Amendment, dated as of July 12, 2022 (Incorporated by reference to Exhibit 2.1 to the Company’s Current Report on</w:t>
              </w:r>
            </w:hyperlink>
          </w:p>
        </w:tc>
      </w:tr>
      <w:tr>
        <w:trPr>
          <w:trHeight w:val="209"/>
        </w:trPr>
        <w:tc>
          <w:tcPr>
            <w:tcW w:w="1000" w:type="dxa"/>
            <w:vAlign w:val="bottom"/>
          </w:tcPr>
          <w:p>
            <w:pPr>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8440" w:type="dxa"/>
            <w:vAlign w:val="bottom"/>
            <w:tcBorders>
              <w:top w:val="single" w:sz="8" w:color="0000EE"/>
            </w:tcBorders>
            <w:gridSpan w:val="16"/>
          </w:tcPr>
          <w:p>
            <w:pPr>
              <w:spacing w:after="0"/>
              <w:rPr>
                <w:rFonts w:ascii="Arial" w:cs="Arial" w:eastAsia="Arial" w:hAnsi="Arial"/>
                <w:sz w:val="18"/>
                <w:szCs w:val="18"/>
                <w:color w:val="0000EE"/>
              </w:rPr>
            </w:pPr>
            <w:hyperlink r:id="rId47">
              <w:r>
                <w:rPr>
                  <w:rFonts w:ascii="Arial" w:cs="Arial" w:eastAsia="Arial" w:hAnsi="Arial"/>
                  <w:sz w:val="18"/>
                  <w:szCs w:val="18"/>
                  <w:color w:val="0000EE"/>
                </w:rPr>
                <w:t>Form 8-K filed July 12, 2022).</w:t>
              </w:r>
            </w:hyperlink>
          </w:p>
        </w:tc>
        <w:tc>
          <w:tcPr>
            <w:tcW w:w="280" w:type="dxa"/>
            <w:vAlign w:val="bottom"/>
            <w:gridSpan w:val="5"/>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000" w:type="dxa"/>
            <w:vAlign w:val="bottom"/>
          </w:tcPr>
          <w:p>
            <w:pPr>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552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0"/>
              </w:rPr>
              <w:t>Second Amended and Restated Certificate of Incorporation of the Company.</w:t>
            </w:r>
          </w:p>
        </w:tc>
        <w:tc>
          <w:tcPr>
            <w:tcW w:w="3200" w:type="dxa"/>
            <w:vAlign w:val="bottom"/>
            <w:gridSpan w:val="12"/>
          </w:tcPr>
          <w:p>
            <w:pPr>
              <w:spacing w:after="0"/>
              <w:rPr>
                <w:sz w:val="18"/>
                <w:szCs w:val="18"/>
                <w:color w:val="auto"/>
              </w:rPr>
            </w:pPr>
          </w:p>
        </w:tc>
      </w:tr>
      <w:tr>
        <w:trPr>
          <w:trHeight w:val="210"/>
        </w:trPr>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380" w:type="dxa"/>
            <w:vAlign w:val="bottom"/>
            <w:tcBorders>
              <w:bottom w:val="single" w:sz="8" w:color="0000EE"/>
            </w:tcBorders>
            <w:gridSpan w:val="14"/>
          </w:tcPr>
          <w:p>
            <w:pPr>
              <w:spacing w:after="0"/>
              <w:rPr>
                <w:rFonts w:ascii="Arial" w:cs="Arial" w:eastAsia="Arial" w:hAnsi="Arial"/>
                <w:sz w:val="18"/>
                <w:szCs w:val="18"/>
                <w:color w:val="0000EE"/>
                <w:w w:val="90"/>
              </w:rPr>
            </w:pPr>
            <w:hyperlink r:id="rId48">
              <w:r>
                <w:rPr>
                  <w:rFonts w:ascii="Arial" w:cs="Arial" w:eastAsia="Arial" w:hAnsi="Arial"/>
                  <w:sz w:val="18"/>
                  <w:szCs w:val="18"/>
                  <w:color w:val="0000EE"/>
                  <w:w w:val="90"/>
                </w:rPr>
                <w:t>Sponsor Support Agreement, dated as of May 15, 2022 (Incorporated by reference to Exhibit 10.1 to the Company’s</w:t>
              </w:r>
            </w:hyperlink>
          </w:p>
        </w:tc>
        <w:tc>
          <w:tcPr>
            <w:tcW w:w="340" w:type="dxa"/>
            <w:vAlign w:val="bottom"/>
            <w:gridSpan w:val="7"/>
          </w:tcPr>
          <w:p>
            <w:pPr>
              <w:spacing w:after="0"/>
              <w:rPr>
                <w:sz w:val="18"/>
                <w:szCs w:val="18"/>
                <w:color w:val="auto"/>
              </w:rPr>
            </w:pPr>
          </w:p>
        </w:tc>
      </w:tr>
      <w:tr>
        <w:trPr>
          <w:trHeight w:val="209"/>
        </w:trPr>
        <w:tc>
          <w:tcPr>
            <w:tcW w:w="1000" w:type="dxa"/>
            <w:vAlign w:val="bottom"/>
          </w:tcPr>
          <w:p>
            <w:pPr>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18"/>
                <w:szCs w:val="18"/>
                <w:color w:val="auto"/>
              </w:rPr>
            </w:pPr>
          </w:p>
        </w:tc>
        <w:tc>
          <w:tcPr>
            <w:tcW w:w="8720" w:type="dxa"/>
            <w:vAlign w:val="bottom"/>
            <w:gridSpan w:val="21"/>
          </w:tcPr>
          <w:p>
            <w:pPr>
              <w:spacing w:after="0"/>
              <w:rPr>
                <w:rFonts w:ascii="Arial" w:cs="Arial" w:eastAsia="Arial" w:hAnsi="Arial"/>
                <w:sz w:val="18"/>
                <w:szCs w:val="18"/>
                <w:color w:val="0000EE"/>
              </w:rPr>
            </w:pPr>
            <w:hyperlink r:id="rId48">
              <w:r>
                <w:rPr>
                  <w:rFonts w:ascii="Arial" w:cs="Arial" w:eastAsia="Arial" w:hAnsi="Arial"/>
                  <w:sz w:val="18"/>
                  <w:szCs w:val="18"/>
                  <w:color w:val="0000EE"/>
                </w:rPr>
                <w:t>Current Report on Form 8-K filed May 16, 2022).</w:t>
              </w:r>
            </w:hyperlink>
          </w:p>
        </w:tc>
      </w:tr>
      <w:tr>
        <w:trPr>
          <w:trHeight w:val="20"/>
        </w:trPr>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80" w:type="dxa"/>
            <w:vAlign w:val="bottom"/>
            <w:tcBorders>
              <w:bottom w:val="single" w:sz="8" w:color="0000EE"/>
            </w:tcBorders>
            <w:gridSpan w:val="20"/>
          </w:tcPr>
          <w:p>
            <w:pPr>
              <w:spacing w:after="0"/>
              <w:rPr>
                <w:rFonts w:ascii="Arial" w:cs="Arial" w:eastAsia="Arial" w:hAnsi="Arial"/>
                <w:sz w:val="18"/>
                <w:szCs w:val="18"/>
                <w:color w:val="0000EE"/>
                <w:w w:val="91"/>
              </w:rPr>
            </w:pPr>
            <w:hyperlink r:id="rId49">
              <w:r>
                <w:rPr>
                  <w:rFonts w:ascii="Arial" w:cs="Arial" w:eastAsia="Arial" w:hAnsi="Arial"/>
                  <w:sz w:val="18"/>
                  <w:szCs w:val="18"/>
                  <w:color w:val="0000EE"/>
                  <w:w w:val="91"/>
                </w:rPr>
                <w:t>Subscription Agreement, dated as of May 15, 2022 (Incorporated by reference to Exhibit 10.2 to the Company’s Current</w:t>
              </w:r>
            </w:hyperlink>
          </w:p>
        </w:tc>
        <w:tc>
          <w:tcPr>
            <w:tcW w:w="40" w:type="dxa"/>
            <w:vAlign w:val="bottom"/>
          </w:tcPr>
          <w:p>
            <w:pPr>
              <w:spacing w:after="0"/>
              <w:rPr>
                <w:sz w:val="18"/>
                <w:szCs w:val="18"/>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18"/>
                <w:szCs w:val="18"/>
                <w:color w:val="auto"/>
              </w:rPr>
            </w:pPr>
          </w:p>
        </w:tc>
        <w:tc>
          <w:tcPr>
            <w:tcW w:w="3020" w:type="dxa"/>
            <w:vAlign w:val="bottom"/>
            <w:tcBorders>
              <w:bottom w:val="single" w:sz="8" w:color="0000EE"/>
            </w:tcBorders>
            <w:gridSpan w:val="5"/>
          </w:tcPr>
          <w:p>
            <w:pPr>
              <w:spacing w:after="0"/>
              <w:rPr>
                <w:rFonts w:ascii="Arial" w:cs="Arial" w:eastAsia="Arial" w:hAnsi="Arial"/>
                <w:sz w:val="18"/>
                <w:szCs w:val="18"/>
                <w:color w:val="0000EE"/>
                <w:w w:val="93"/>
              </w:rPr>
            </w:pPr>
            <w:hyperlink r:id="rId49">
              <w:r>
                <w:rPr>
                  <w:rFonts w:ascii="Arial" w:cs="Arial" w:eastAsia="Arial" w:hAnsi="Arial"/>
                  <w:sz w:val="18"/>
                  <w:szCs w:val="18"/>
                  <w:color w:val="0000EE"/>
                  <w:w w:val="93"/>
                </w:rPr>
                <w:t>Report on Form 8-K filed May 16, 2022).</w:t>
              </w:r>
            </w:hyperlink>
          </w:p>
        </w:tc>
        <w:tc>
          <w:tcPr>
            <w:tcW w:w="5700" w:type="dxa"/>
            <w:vAlign w:val="bottom"/>
            <w:gridSpan w:val="16"/>
          </w:tcPr>
          <w:p>
            <w:pPr>
              <w:spacing w:after="0"/>
              <w:rPr>
                <w:sz w:val="18"/>
                <w:szCs w:val="18"/>
                <w:color w:val="auto"/>
              </w:rPr>
            </w:pPr>
          </w:p>
        </w:tc>
      </w:tr>
      <w:tr>
        <w:trPr>
          <w:trHeight w:val="209"/>
        </w:trPr>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60" w:type="dxa"/>
            <w:vAlign w:val="bottom"/>
            <w:tcBorders>
              <w:bottom w:val="single" w:sz="8" w:color="0000EE"/>
            </w:tcBorders>
            <w:gridSpan w:val="19"/>
          </w:tcPr>
          <w:p>
            <w:pPr>
              <w:spacing w:after="0"/>
              <w:rPr>
                <w:rFonts w:ascii="Arial" w:cs="Arial" w:eastAsia="Arial" w:hAnsi="Arial"/>
                <w:sz w:val="18"/>
                <w:szCs w:val="18"/>
                <w:color w:val="0000EE"/>
                <w:w w:val="90"/>
              </w:rPr>
            </w:pPr>
            <w:hyperlink r:id="rId50">
              <w:r>
                <w:rPr>
                  <w:rFonts w:ascii="Arial" w:cs="Arial" w:eastAsia="Arial" w:hAnsi="Arial"/>
                  <w:sz w:val="18"/>
                  <w:szCs w:val="18"/>
                  <w:color w:val="0000EE"/>
                  <w:w w:val="90"/>
                </w:rPr>
                <w:t>Form of Amended and Restated Registration Rights Agreement, dated as of May 15, 2022 (Incorporated by reference to</w:t>
              </w:r>
            </w:hyperlink>
          </w:p>
        </w:tc>
        <w:tc>
          <w:tcPr>
            <w:tcW w:w="60" w:type="dxa"/>
            <w:vAlign w:val="bottom"/>
            <w:gridSpan w:val="2"/>
          </w:tcPr>
          <w:p>
            <w:pPr>
              <w:spacing w:after="0"/>
              <w:rPr>
                <w:sz w:val="18"/>
                <w:szCs w:val="18"/>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18"/>
                <w:szCs w:val="18"/>
                <w:color w:val="auto"/>
              </w:rPr>
            </w:pPr>
          </w:p>
        </w:tc>
        <w:tc>
          <w:tcPr>
            <w:tcW w:w="5860" w:type="dxa"/>
            <w:vAlign w:val="bottom"/>
            <w:tcBorders>
              <w:bottom w:val="single" w:sz="8" w:color="0000EE"/>
            </w:tcBorders>
            <w:gridSpan w:val="10"/>
          </w:tcPr>
          <w:p>
            <w:pPr>
              <w:spacing w:after="0"/>
              <w:rPr>
                <w:rFonts w:ascii="Arial" w:cs="Arial" w:eastAsia="Arial" w:hAnsi="Arial"/>
                <w:sz w:val="18"/>
                <w:szCs w:val="18"/>
                <w:color w:val="0000EE"/>
                <w:w w:val="92"/>
              </w:rPr>
            </w:pPr>
            <w:hyperlink r:id="rId50">
              <w:r>
                <w:rPr>
                  <w:rFonts w:ascii="Arial" w:cs="Arial" w:eastAsia="Arial" w:hAnsi="Arial"/>
                  <w:sz w:val="18"/>
                  <w:szCs w:val="18"/>
                  <w:color w:val="0000EE"/>
                  <w:w w:val="92"/>
                </w:rPr>
                <w:t>Exhibit 10.3 to the Company’s Current Report on Form 8-K filed May 16, 2022).</w:t>
              </w:r>
            </w:hyperlink>
          </w:p>
        </w:tc>
        <w:tc>
          <w:tcPr>
            <w:tcW w:w="2860" w:type="dxa"/>
            <w:vAlign w:val="bottom"/>
            <w:gridSpan w:val="11"/>
          </w:tcPr>
          <w:p>
            <w:pPr>
              <w:spacing w:after="0"/>
              <w:rPr>
                <w:sz w:val="18"/>
                <w:szCs w:val="18"/>
                <w:color w:val="auto"/>
              </w:rPr>
            </w:pPr>
          </w:p>
        </w:tc>
      </w:tr>
      <w:tr>
        <w:trPr>
          <w:trHeight w:val="209"/>
        </w:trPr>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140" w:type="dxa"/>
            <w:vAlign w:val="bottom"/>
            <w:tcBorders>
              <w:bottom w:val="single" w:sz="8" w:color="0000EE"/>
            </w:tcBorders>
            <w:gridSpan w:val="12"/>
          </w:tcPr>
          <w:p>
            <w:pPr>
              <w:spacing w:after="0"/>
              <w:rPr>
                <w:rFonts w:ascii="Arial" w:cs="Arial" w:eastAsia="Arial" w:hAnsi="Arial"/>
                <w:sz w:val="18"/>
                <w:szCs w:val="18"/>
                <w:color w:val="0000EE"/>
                <w:w w:val="91"/>
              </w:rPr>
            </w:pPr>
            <w:hyperlink r:id="rId51">
              <w:r>
                <w:rPr>
                  <w:rFonts w:ascii="Arial" w:cs="Arial" w:eastAsia="Arial" w:hAnsi="Arial"/>
                  <w:sz w:val="18"/>
                  <w:szCs w:val="18"/>
                  <w:color w:val="0000EE"/>
                  <w:w w:val="91"/>
                </w:rPr>
                <w:t>Debt Commitment Letter, dated as of May 15, 2022 (Incorporated by reference to Exhibit 10.4 to the Company’s</w:t>
              </w:r>
            </w:hyperlink>
          </w:p>
        </w:tc>
        <w:tc>
          <w:tcPr>
            <w:tcW w:w="580" w:type="dxa"/>
            <w:vAlign w:val="bottom"/>
            <w:gridSpan w:val="9"/>
          </w:tcPr>
          <w:p>
            <w:pPr>
              <w:spacing w:after="0"/>
              <w:rPr>
                <w:sz w:val="18"/>
                <w:szCs w:val="18"/>
                <w:color w:val="auto"/>
              </w:rPr>
            </w:pPr>
          </w:p>
        </w:tc>
      </w:tr>
      <w:tr>
        <w:trPr>
          <w:trHeight w:val="209"/>
        </w:trPr>
        <w:tc>
          <w:tcPr>
            <w:tcW w:w="1000" w:type="dxa"/>
            <w:vAlign w:val="bottom"/>
          </w:tcPr>
          <w:p>
            <w:pPr>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18"/>
                <w:szCs w:val="18"/>
                <w:color w:val="auto"/>
              </w:rPr>
            </w:pPr>
          </w:p>
        </w:tc>
        <w:tc>
          <w:tcPr>
            <w:tcW w:w="8720" w:type="dxa"/>
            <w:vAlign w:val="bottom"/>
            <w:gridSpan w:val="21"/>
          </w:tcPr>
          <w:p>
            <w:pPr>
              <w:spacing w:after="0"/>
              <w:rPr>
                <w:rFonts w:ascii="Arial" w:cs="Arial" w:eastAsia="Arial" w:hAnsi="Arial"/>
                <w:sz w:val="18"/>
                <w:szCs w:val="18"/>
                <w:color w:val="0000EE"/>
              </w:rPr>
            </w:pPr>
            <w:hyperlink r:id="rId51">
              <w:r>
                <w:rPr>
                  <w:rFonts w:ascii="Arial" w:cs="Arial" w:eastAsia="Arial" w:hAnsi="Arial"/>
                  <w:sz w:val="18"/>
                  <w:szCs w:val="18"/>
                  <w:color w:val="0000EE"/>
                </w:rPr>
                <w:t>Current Report on Form 8-K filed May 16, 2022).</w:t>
              </w:r>
            </w:hyperlink>
          </w:p>
        </w:tc>
      </w:tr>
      <w:tr>
        <w:trPr>
          <w:trHeight w:val="20"/>
        </w:trPr>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60" w:type="dxa"/>
            <w:vAlign w:val="bottom"/>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210"/>
        </w:trPr>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60" w:type="dxa"/>
            <w:vAlign w:val="bottom"/>
            <w:tcBorders>
              <w:bottom w:val="single" w:sz="8" w:color="0000EE"/>
            </w:tcBorders>
            <w:gridSpan w:val="11"/>
          </w:tcPr>
          <w:p>
            <w:pPr>
              <w:spacing w:after="0"/>
              <w:rPr>
                <w:rFonts w:ascii="Arial" w:cs="Arial" w:eastAsia="Arial" w:hAnsi="Arial"/>
                <w:sz w:val="18"/>
                <w:szCs w:val="18"/>
                <w:color w:val="0000EE"/>
                <w:w w:val="91"/>
              </w:rPr>
            </w:pPr>
            <w:hyperlink r:id="rId52">
              <w:r>
                <w:rPr>
                  <w:rFonts w:ascii="Arial" w:cs="Arial" w:eastAsia="Arial" w:hAnsi="Arial"/>
                  <w:sz w:val="18"/>
                  <w:szCs w:val="18"/>
                  <w:color w:val="0000EE"/>
                  <w:w w:val="91"/>
                </w:rPr>
                <w:t>Equity Facility Letter Agreement, dated as of May 15, 2022 (Incorporated by reference to Exhibit 10.5 to the</w:t>
              </w:r>
            </w:hyperlink>
          </w:p>
        </w:tc>
        <w:tc>
          <w:tcPr>
            <w:tcW w:w="860" w:type="dxa"/>
            <w:vAlign w:val="bottom"/>
            <w:gridSpan w:val="10"/>
          </w:tcPr>
          <w:p>
            <w:pPr>
              <w:spacing w:after="0"/>
              <w:rPr>
                <w:sz w:val="18"/>
                <w:szCs w:val="18"/>
                <w:color w:val="auto"/>
              </w:rPr>
            </w:pPr>
          </w:p>
        </w:tc>
      </w:tr>
      <w:tr>
        <w:trPr>
          <w:trHeight w:val="209"/>
        </w:trPr>
        <w:tc>
          <w:tcPr>
            <w:tcW w:w="1000" w:type="dxa"/>
            <w:vAlign w:val="bottom"/>
          </w:tcPr>
          <w:p>
            <w:pPr>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18"/>
                <w:szCs w:val="18"/>
                <w:color w:val="auto"/>
              </w:rPr>
            </w:pPr>
          </w:p>
        </w:tc>
        <w:tc>
          <w:tcPr>
            <w:tcW w:w="4480" w:type="dxa"/>
            <w:vAlign w:val="bottom"/>
            <w:tcBorders>
              <w:bottom w:val="single" w:sz="8" w:color="0000EE"/>
            </w:tcBorders>
            <w:gridSpan w:val="7"/>
          </w:tcPr>
          <w:p>
            <w:pPr>
              <w:spacing w:after="0"/>
              <w:rPr>
                <w:rFonts w:ascii="Arial" w:cs="Arial" w:eastAsia="Arial" w:hAnsi="Arial"/>
                <w:sz w:val="18"/>
                <w:szCs w:val="18"/>
                <w:color w:val="0000EE"/>
                <w:w w:val="92"/>
              </w:rPr>
            </w:pPr>
            <w:hyperlink r:id="rId52">
              <w:r>
                <w:rPr>
                  <w:rFonts w:ascii="Arial" w:cs="Arial" w:eastAsia="Arial" w:hAnsi="Arial"/>
                  <w:sz w:val="18"/>
                  <w:szCs w:val="18"/>
                  <w:color w:val="0000EE"/>
                  <w:w w:val="92"/>
                </w:rPr>
                <w:t>Company’s Current Report on Form 8-K filed May 16, 2022).</w:t>
              </w:r>
            </w:hyperlink>
          </w:p>
        </w:tc>
        <w:tc>
          <w:tcPr>
            <w:tcW w:w="4240" w:type="dxa"/>
            <w:vAlign w:val="bottom"/>
            <w:gridSpan w:val="14"/>
          </w:tcPr>
          <w:p>
            <w:pPr>
              <w:spacing w:after="0"/>
              <w:rPr>
                <w:sz w:val="18"/>
                <w:szCs w:val="18"/>
                <w:color w:val="auto"/>
              </w:rPr>
            </w:pPr>
          </w:p>
        </w:tc>
      </w:tr>
      <w:tr>
        <w:trPr>
          <w:trHeight w:val="249"/>
        </w:trPr>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720" w:type="dxa"/>
            <w:vAlign w:val="bottom"/>
            <w:gridSpan w:val="21"/>
          </w:tcPr>
          <w:p>
            <w:pPr>
              <w:spacing w:after="0"/>
              <w:rPr>
                <w:sz w:val="20"/>
                <w:szCs w:val="20"/>
                <w:color w:val="auto"/>
              </w:rPr>
            </w:pPr>
            <w:r>
              <w:rPr>
                <w:rFonts w:ascii="Arial" w:cs="Arial" w:eastAsia="Arial" w:hAnsi="Arial"/>
                <w:sz w:val="18"/>
                <w:szCs w:val="18"/>
                <w:color w:val="auto"/>
                <w:w w:val="95"/>
              </w:rPr>
              <w:t>Amendment No. 1 to Investment Management Trust Agreement, dated as of August 10, 2021, by and between the</w:t>
            </w:r>
          </w:p>
        </w:tc>
      </w:tr>
      <w:tr>
        <w:trPr>
          <w:trHeight w:val="230"/>
        </w:trPr>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720" w:type="dxa"/>
            <w:vAlign w:val="bottom"/>
            <w:gridSpan w:val="21"/>
          </w:tcPr>
          <w:p>
            <w:pPr>
              <w:spacing w:after="0"/>
              <w:rPr>
                <w:sz w:val="20"/>
                <w:szCs w:val="20"/>
                <w:color w:val="auto"/>
              </w:rPr>
            </w:pPr>
            <w:r>
              <w:rPr>
                <w:rFonts w:ascii="Arial" w:cs="Arial" w:eastAsia="Arial" w:hAnsi="Arial"/>
                <w:sz w:val="18"/>
                <w:szCs w:val="18"/>
                <w:color w:val="auto"/>
                <w:w w:val="91"/>
              </w:rPr>
              <w:t>Company and Continental Stock Transfer &amp; Trust Company, as trustee (Incorporated by reference to Exhibit 10.1 to the</w:t>
            </w:r>
          </w:p>
        </w:tc>
      </w:tr>
      <w:tr>
        <w:trPr>
          <w:trHeight w:val="229"/>
        </w:trPr>
        <w:tc>
          <w:tcPr>
            <w:tcW w:w="1000" w:type="dxa"/>
            <w:vAlign w:val="bottom"/>
          </w:tcPr>
          <w:p>
            <w:pPr>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19"/>
                <w:szCs w:val="19"/>
                <w:color w:val="auto"/>
              </w:rPr>
            </w:pPr>
          </w:p>
        </w:tc>
        <w:tc>
          <w:tcPr>
            <w:tcW w:w="8720" w:type="dxa"/>
            <w:vAlign w:val="bottom"/>
            <w:gridSpan w:val="21"/>
          </w:tcPr>
          <w:p>
            <w:pPr>
              <w:spacing w:after="0"/>
              <w:rPr>
                <w:sz w:val="20"/>
                <w:szCs w:val="20"/>
                <w:color w:val="auto"/>
              </w:rPr>
            </w:pPr>
            <w:r>
              <w:rPr>
                <w:rFonts w:ascii="Arial" w:cs="Arial" w:eastAsia="Arial" w:hAnsi="Arial"/>
                <w:sz w:val="18"/>
                <w:szCs w:val="18"/>
                <w:color w:val="auto"/>
              </w:rPr>
              <w:t>Company’s Current Report on Form 8-K filed August 5, 2022).</w:t>
            </w:r>
          </w:p>
        </w:tc>
      </w:tr>
      <w:tr>
        <w:trPr>
          <w:trHeight w:val="190"/>
        </w:trPr>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720" w:type="dxa"/>
            <w:vAlign w:val="bottom"/>
            <w:tcBorders>
              <w:bottom w:val="single" w:sz="8" w:color="0000EE"/>
            </w:tcBorders>
            <w:gridSpan w:val="21"/>
          </w:tcPr>
          <w:p>
            <w:pPr>
              <w:spacing w:after="0" w:line="190" w:lineRule="exact"/>
              <w:rPr>
                <w:sz w:val="20"/>
                <w:szCs w:val="20"/>
                <w:color w:val="auto"/>
              </w:rPr>
            </w:pPr>
            <w:r>
              <w:rPr>
                <w:rFonts w:ascii="Arial" w:cs="Arial" w:eastAsia="Arial" w:hAnsi="Arial"/>
                <w:sz w:val="18"/>
                <w:szCs w:val="18"/>
                <w:color w:val="0000EE"/>
                <w:w w:val="89"/>
              </w:rPr>
              <w:t>Promissory Note, dated as of August 11, 2022, by and between the Company and Chardan NexTech 2 Warrant Holdings,</w:t>
            </w:r>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10.7</w:t>
            </w:r>
          </w:p>
        </w:tc>
        <w:tc>
          <w:tcPr>
            <w:tcW w:w="200" w:type="dxa"/>
            <w:vAlign w:val="bottom"/>
          </w:tcPr>
          <w:p>
            <w:pPr>
              <w:spacing w:after="0"/>
              <w:rPr>
                <w:sz w:val="18"/>
                <w:szCs w:val="18"/>
                <w:color w:val="auto"/>
              </w:rPr>
            </w:pPr>
          </w:p>
        </w:tc>
        <w:tc>
          <w:tcPr>
            <w:tcW w:w="40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9"/>
              </w:rPr>
              <w:t>LLC.</w:t>
            </w:r>
          </w:p>
        </w:tc>
        <w:tc>
          <w:tcPr>
            <w:tcW w:w="8320" w:type="dxa"/>
            <w:vAlign w:val="bottom"/>
            <w:gridSpan w:val="20"/>
          </w:tcPr>
          <w:p>
            <w:pPr>
              <w:spacing w:after="0"/>
              <w:rPr>
                <w:sz w:val="18"/>
                <w:szCs w:val="18"/>
                <w:color w:val="auto"/>
              </w:rPr>
            </w:pPr>
          </w:p>
        </w:tc>
      </w:tr>
      <w:tr>
        <w:trPr>
          <w:trHeight w:val="210"/>
        </w:trPr>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720" w:type="dxa"/>
            <w:vAlign w:val="bottom"/>
            <w:gridSpan w:val="21"/>
          </w:tcPr>
          <w:p>
            <w:pPr>
              <w:spacing w:after="0"/>
              <w:rPr>
                <w:sz w:val="20"/>
                <w:szCs w:val="20"/>
                <w:color w:val="auto"/>
              </w:rPr>
            </w:pPr>
            <w:r>
              <w:rPr>
                <w:rFonts w:ascii="Arial" w:cs="Arial" w:eastAsia="Arial" w:hAnsi="Arial"/>
                <w:sz w:val="18"/>
                <w:szCs w:val="18"/>
                <w:color w:val="0000EE"/>
                <w:w w:val="94"/>
              </w:rPr>
              <w:t>Certification of Principal Executive Officer Pursuant to Securities Exchange Act Rules 13a-14(a) and 15(d)-14(a), as</w:t>
            </w:r>
          </w:p>
        </w:tc>
      </w:tr>
      <w:tr>
        <w:trPr>
          <w:trHeight w:val="209"/>
        </w:trPr>
        <w:tc>
          <w:tcPr>
            <w:tcW w:w="1000" w:type="dxa"/>
            <w:vAlign w:val="bottom"/>
          </w:tcPr>
          <w:p>
            <w:pPr>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18"/>
                <w:szCs w:val="18"/>
                <w:color w:val="auto"/>
              </w:rPr>
            </w:pPr>
          </w:p>
        </w:tc>
        <w:tc>
          <w:tcPr>
            <w:tcW w:w="4900" w:type="dxa"/>
            <w:vAlign w:val="bottom"/>
            <w:tcBorders>
              <w:top w:val="single" w:sz="8" w:color="0000EE"/>
              <w:bottom w:val="single" w:sz="8" w:color="0000EE"/>
            </w:tcBorders>
            <w:gridSpan w:val="8"/>
          </w:tcPr>
          <w:p>
            <w:pPr>
              <w:spacing w:after="0"/>
              <w:rPr>
                <w:sz w:val="20"/>
                <w:szCs w:val="20"/>
                <w:color w:val="auto"/>
              </w:rPr>
            </w:pPr>
            <w:r>
              <w:rPr>
                <w:rFonts w:ascii="Arial" w:cs="Arial" w:eastAsia="Arial" w:hAnsi="Arial"/>
                <w:sz w:val="18"/>
                <w:szCs w:val="18"/>
                <w:color w:val="0000EE"/>
                <w:w w:val="89"/>
              </w:rPr>
              <w:t>adopted Pursuant to Section 302 of the Sarbanes-Oxley Act of 2002</w:t>
            </w:r>
          </w:p>
        </w:tc>
        <w:tc>
          <w:tcPr>
            <w:tcW w:w="3520" w:type="dxa"/>
            <w:vAlign w:val="bottom"/>
            <w:tcBorders>
              <w:top w:val="single" w:sz="8" w:color="0000EE"/>
            </w:tcBorders>
            <w:gridSpan w:val="7"/>
          </w:tcPr>
          <w:p>
            <w:pPr>
              <w:spacing w:after="0"/>
              <w:rPr>
                <w:sz w:val="18"/>
                <w:szCs w:val="18"/>
                <w:color w:val="auto"/>
              </w:rPr>
            </w:pPr>
          </w:p>
        </w:tc>
        <w:tc>
          <w:tcPr>
            <w:tcW w:w="300" w:type="dxa"/>
            <w:vAlign w:val="bottom"/>
            <w:gridSpan w:val="6"/>
          </w:tcPr>
          <w:p>
            <w:pPr>
              <w:spacing w:after="0"/>
              <w:rPr>
                <w:sz w:val="18"/>
                <w:szCs w:val="18"/>
                <w:color w:val="auto"/>
              </w:rPr>
            </w:pPr>
          </w:p>
        </w:tc>
      </w:tr>
      <w:tr>
        <w:trPr>
          <w:trHeight w:val="210"/>
        </w:trPr>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38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91"/>
              </w:rPr>
              <w:t>Certification of Principal Financial Officer Pursuant to Securities Exchange Act Rules 13a-14(a) and 15(d)-14(a), as</w:t>
            </w:r>
          </w:p>
        </w:tc>
        <w:tc>
          <w:tcPr>
            <w:tcW w:w="340" w:type="dxa"/>
            <w:vAlign w:val="bottom"/>
            <w:gridSpan w:val="7"/>
          </w:tcPr>
          <w:p>
            <w:pPr>
              <w:spacing w:after="0"/>
              <w:rPr>
                <w:sz w:val="18"/>
                <w:szCs w:val="18"/>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18"/>
                <w:szCs w:val="18"/>
                <w:color w:val="auto"/>
              </w:rPr>
            </w:pPr>
          </w:p>
        </w:tc>
        <w:tc>
          <w:tcPr>
            <w:tcW w:w="490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89"/>
              </w:rPr>
              <w:t>adopted Pursuant to Section 302 of the Sarbanes-Oxley Act of 2002</w:t>
            </w:r>
          </w:p>
        </w:tc>
        <w:tc>
          <w:tcPr>
            <w:tcW w:w="3820" w:type="dxa"/>
            <w:vAlign w:val="bottom"/>
            <w:gridSpan w:val="13"/>
          </w:tcPr>
          <w:p>
            <w:pPr>
              <w:spacing w:after="0"/>
              <w:rPr>
                <w:sz w:val="18"/>
                <w:szCs w:val="18"/>
                <w:color w:val="auto"/>
              </w:rPr>
            </w:pPr>
          </w:p>
        </w:tc>
      </w:tr>
      <w:tr>
        <w:trPr>
          <w:trHeight w:val="210"/>
        </w:trPr>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720" w:type="dxa"/>
            <w:vAlign w:val="bottom"/>
            <w:gridSpan w:val="21"/>
          </w:tcPr>
          <w:p>
            <w:pPr>
              <w:spacing w:after="0"/>
              <w:rPr>
                <w:sz w:val="20"/>
                <w:szCs w:val="20"/>
                <w:color w:val="auto"/>
              </w:rPr>
            </w:pPr>
            <w:r>
              <w:rPr>
                <w:rFonts w:ascii="Arial" w:cs="Arial" w:eastAsia="Arial" w:hAnsi="Arial"/>
                <w:sz w:val="18"/>
                <w:szCs w:val="18"/>
                <w:color w:val="0000EE"/>
                <w:w w:val="92"/>
              </w:rPr>
              <w:t>Certification of Principal Executive Officer Pursuant to 18 U.S.C. Section 1350, as adopted Pursuant to Section 906 of</w:t>
            </w:r>
          </w:p>
        </w:tc>
      </w:tr>
      <w:tr>
        <w:trPr>
          <w:trHeight w:val="209"/>
        </w:trPr>
        <w:tc>
          <w:tcPr>
            <w:tcW w:w="1000" w:type="dxa"/>
            <w:vAlign w:val="bottom"/>
          </w:tcPr>
          <w:p>
            <w:pPr>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18"/>
                <w:szCs w:val="18"/>
                <w:color w:val="auto"/>
              </w:rPr>
            </w:pPr>
          </w:p>
        </w:tc>
        <w:tc>
          <w:tcPr>
            <w:tcW w:w="234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8"/>
                <w:szCs w:val="18"/>
                <w:color w:val="0000EE"/>
                <w:w w:val="90"/>
              </w:rPr>
              <w:t>the Sarbanes-Oxley Act of 2002</w:t>
            </w:r>
          </w:p>
        </w:tc>
        <w:tc>
          <w:tcPr>
            <w:tcW w:w="6200" w:type="dxa"/>
            <w:vAlign w:val="bottom"/>
            <w:tcBorders>
              <w:top w:val="single" w:sz="8" w:color="0000EE"/>
            </w:tcBorders>
            <w:gridSpan w:val="14"/>
          </w:tcPr>
          <w:p>
            <w:pPr>
              <w:spacing w:after="0"/>
              <w:rPr>
                <w:sz w:val="18"/>
                <w:szCs w:val="18"/>
                <w:color w:val="auto"/>
              </w:rPr>
            </w:pPr>
          </w:p>
        </w:tc>
        <w:tc>
          <w:tcPr>
            <w:tcW w:w="180" w:type="dxa"/>
            <w:vAlign w:val="bottom"/>
            <w:gridSpan w:val="3"/>
          </w:tcPr>
          <w:p>
            <w:pPr>
              <w:spacing w:after="0"/>
              <w:rPr>
                <w:sz w:val="18"/>
                <w:szCs w:val="18"/>
                <w:color w:val="auto"/>
              </w:rPr>
            </w:pPr>
          </w:p>
        </w:tc>
      </w:tr>
      <w:tr>
        <w:trPr>
          <w:trHeight w:val="210"/>
        </w:trPr>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500" w:type="dxa"/>
            <w:vAlign w:val="bottom"/>
            <w:tcBorders>
              <w:bottom w:val="single" w:sz="8" w:color="0000EE"/>
            </w:tcBorders>
            <w:gridSpan w:val="17"/>
          </w:tcPr>
          <w:p>
            <w:pPr>
              <w:spacing w:after="0"/>
              <w:rPr>
                <w:sz w:val="20"/>
                <w:szCs w:val="20"/>
                <w:color w:val="auto"/>
              </w:rPr>
            </w:pPr>
            <w:r>
              <w:rPr>
                <w:rFonts w:ascii="Arial" w:cs="Arial" w:eastAsia="Arial" w:hAnsi="Arial"/>
                <w:sz w:val="18"/>
                <w:szCs w:val="18"/>
                <w:color w:val="0000EE"/>
                <w:w w:val="91"/>
              </w:rPr>
              <w:t>Certification of Principal Financial Officer Pursuant to 18 U.S.C. Section 1350, as adopted Pursuant to Section 906 of</w:t>
            </w:r>
          </w:p>
        </w:tc>
        <w:tc>
          <w:tcPr>
            <w:tcW w:w="220" w:type="dxa"/>
            <w:vAlign w:val="bottom"/>
            <w:gridSpan w:val="4"/>
          </w:tcPr>
          <w:p>
            <w:pPr>
              <w:spacing w:after="0"/>
              <w:rPr>
                <w:sz w:val="18"/>
                <w:szCs w:val="18"/>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18"/>
                <w:szCs w:val="18"/>
                <w:color w:val="auto"/>
              </w:rPr>
            </w:pPr>
          </w:p>
        </w:tc>
        <w:tc>
          <w:tcPr>
            <w:tcW w:w="8720" w:type="dxa"/>
            <w:vAlign w:val="bottom"/>
            <w:gridSpan w:val="21"/>
          </w:tcPr>
          <w:p>
            <w:pPr>
              <w:spacing w:after="0"/>
              <w:rPr>
                <w:sz w:val="20"/>
                <w:szCs w:val="20"/>
                <w:color w:val="auto"/>
              </w:rPr>
            </w:pPr>
            <w:r>
              <w:rPr>
                <w:rFonts w:ascii="Arial" w:cs="Arial" w:eastAsia="Arial" w:hAnsi="Arial"/>
                <w:sz w:val="18"/>
                <w:szCs w:val="18"/>
                <w:color w:val="0000EE"/>
              </w:rPr>
              <w:t>the Sarbanes-Oxley Act of 2002</w:t>
            </w:r>
          </w:p>
        </w:tc>
      </w:tr>
      <w:tr>
        <w:trPr>
          <w:trHeight w:val="249"/>
        </w:trPr>
        <w:tc>
          <w:tcPr>
            <w:tcW w:w="12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232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XBRL Instance Document</w:t>
            </w:r>
          </w:p>
        </w:tc>
        <w:tc>
          <w:tcPr>
            <w:tcW w:w="6400" w:type="dxa"/>
            <w:vAlign w:val="bottom"/>
            <w:gridSpan w:val="18"/>
          </w:tcPr>
          <w:p>
            <w:pPr>
              <w:spacing w:after="0"/>
              <w:rPr>
                <w:sz w:val="21"/>
                <w:szCs w:val="21"/>
                <w:color w:val="auto"/>
              </w:rPr>
            </w:pPr>
          </w:p>
        </w:tc>
      </w:tr>
      <w:tr>
        <w:trPr>
          <w:trHeight w:val="230"/>
        </w:trPr>
        <w:tc>
          <w:tcPr>
            <w:tcW w:w="1200" w:type="dxa"/>
            <w:vAlign w:val="bottom"/>
            <w:gridSpan w:val="2"/>
          </w:tcPr>
          <w:p>
            <w:pPr>
              <w:spacing w:after="0"/>
              <w:rPr>
                <w:sz w:val="20"/>
                <w:szCs w:val="20"/>
                <w:color w:val="auto"/>
              </w:rPr>
            </w:pPr>
            <w:r>
              <w:rPr>
                <w:rFonts w:ascii="Arial" w:cs="Arial" w:eastAsia="Arial" w:hAnsi="Arial"/>
                <w:sz w:val="18"/>
                <w:szCs w:val="18"/>
                <w:color w:val="auto"/>
              </w:rPr>
              <w:t>101.CAL*</w:t>
            </w:r>
          </w:p>
        </w:tc>
        <w:tc>
          <w:tcPr>
            <w:tcW w:w="8720" w:type="dxa"/>
            <w:vAlign w:val="bottom"/>
            <w:gridSpan w:val="21"/>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30"/>
        </w:trPr>
        <w:tc>
          <w:tcPr>
            <w:tcW w:w="12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8720" w:type="dxa"/>
            <w:vAlign w:val="bottom"/>
            <w:gridSpan w:val="21"/>
          </w:tcPr>
          <w:p>
            <w:pPr>
              <w:spacing w:after="0"/>
              <w:rPr>
                <w:sz w:val="20"/>
                <w:szCs w:val="20"/>
                <w:color w:val="auto"/>
              </w:rPr>
            </w:pPr>
            <w:r>
              <w:rPr>
                <w:rFonts w:ascii="Arial" w:cs="Arial" w:eastAsia="Arial" w:hAnsi="Arial"/>
                <w:sz w:val="18"/>
                <w:szCs w:val="18"/>
                <w:color w:val="auto"/>
              </w:rPr>
              <w:t>XBRL Taxonomy Extension Schema Document</w:t>
            </w:r>
          </w:p>
        </w:tc>
      </w:tr>
      <w:tr>
        <w:trPr>
          <w:trHeight w:val="229"/>
        </w:trPr>
        <w:tc>
          <w:tcPr>
            <w:tcW w:w="1200" w:type="dxa"/>
            <w:vAlign w:val="bottom"/>
            <w:gridSpan w:val="2"/>
          </w:tcPr>
          <w:p>
            <w:pPr>
              <w:spacing w:after="0"/>
              <w:rPr>
                <w:sz w:val="20"/>
                <w:szCs w:val="20"/>
                <w:color w:val="auto"/>
              </w:rPr>
            </w:pPr>
            <w:r>
              <w:rPr>
                <w:rFonts w:ascii="Arial" w:cs="Arial" w:eastAsia="Arial" w:hAnsi="Arial"/>
                <w:sz w:val="18"/>
                <w:szCs w:val="18"/>
                <w:color w:val="auto"/>
              </w:rPr>
              <w:t>101.DEF*</w:t>
            </w:r>
          </w:p>
        </w:tc>
        <w:tc>
          <w:tcPr>
            <w:tcW w:w="8720" w:type="dxa"/>
            <w:vAlign w:val="bottom"/>
            <w:gridSpan w:val="21"/>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30"/>
        </w:trPr>
        <w:tc>
          <w:tcPr>
            <w:tcW w:w="1200" w:type="dxa"/>
            <w:vAlign w:val="bottom"/>
            <w:gridSpan w:val="2"/>
          </w:tcPr>
          <w:p>
            <w:pPr>
              <w:spacing w:after="0"/>
              <w:rPr>
                <w:sz w:val="20"/>
                <w:szCs w:val="20"/>
                <w:color w:val="auto"/>
              </w:rPr>
            </w:pPr>
            <w:r>
              <w:rPr>
                <w:rFonts w:ascii="Arial" w:cs="Arial" w:eastAsia="Arial" w:hAnsi="Arial"/>
                <w:sz w:val="18"/>
                <w:szCs w:val="18"/>
                <w:color w:val="auto"/>
              </w:rPr>
              <w:t>101.LAB*</w:t>
            </w:r>
          </w:p>
        </w:tc>
        <w:tc>
          <w:tcPr>
            <w:tcW w:w="8720" w:type="dxa"/>
            <w:vAlign w:val="bottom"/>
            <w:gridSpan w:val="21"/>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230"/>
        </w:trPr>
        <w:tc>
          <w:tcPr>
            <w:tcW w:w="12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8720" w:type="dxa"/>
            <w:vAlign w:val="bottom"/>
            <w:gridSpan w:val="21"/>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20"/>
                <w:szCs w:val="20"/>
                <w:color w:val="auto"/>
              </w:rPr>
            </w:pPr>
          </w:p>
        </w:tc>
        <w:tc>
          <w:tcPr>
            <w:tcW w:w="8720" w:type="dxa"/>
            <w:vAlign w:val="bottom"/>
            <w:gridSpan w:val="21"/>
          </w:tcPr>
          <w:p>
            <w:pPr>
              <w:spacing w:after="0"/>
              <w:rPr>
                <w:sz w:val="20"/>
                <w:szCs w:val="20"/>
                <w:color w:val="auto"/>
              </w:rPr>
            </w:pPr>
            <w:r>
              <w:rPr>
                <w:rFonts w:ascii="Arial" w:cs="Arial" w:eastAsia="Arial" w:hAnsi="Arial"/>
                <w:sz w:val="18"/>
                <w:szCs w:val="18"/>
                <w:color w:val="auto"/>
              </w:rPr>
              <w:t>Cover Page Interactive Data File (formatted in Inline XBRL and included as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76835</wp:posOffset>
            </wp:positionV>
            <wp:extent cx="15684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195" w:lineRule="exact"/>
        <w:rPr>
          <w:sz w:val="20"/>
          <w:szCs w:val="20"/>
          <w:color w:val="auto"/>
        </w:rPr>
      </w:pPr>
    </w:p>
    <w:p>
      <w:pPr>
        <w:ind w:right="8500" w:firstLine="8"/>
        <w:spacing w:after="0" w:line="571" w:lineRule="auto"/>
        <w:tabs>
          <w:tab w:leader="none" w:pos="324" w:val="left"/>
        </w:tabs>
        <w:numPr>
          <w:ilvl w:val="0"/>
          <w:numId w:val="10"/>
        </w:numPr>
        <w:rPr>
          <w:rFonts w:ascii="Arial" w:cs="Arial" w:eastAsia="Arial" w:hAnsi="Arial"/>
          <w:sz w:val="16"/>
          <w:szCs w:val="16"/>
          <w:color w:val="auto"/>
        </w:rPr>
      </w:pPr>
      <w:r>
        <w:rPr>
          <w:rFonts w:ascii="Arial" w:cs="Arial" w:eastAsia="Arial" w:hAnsi="Arial"/>
          <w:sz w:val="16"/>
          <w:szCs w:val="16"/>
          <w:color w:val="auto"/>
        </w:rPr>
        <w:t>Filed herewith. ** Furnished.</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6620" w:type="dxa"/>
            <w:vAlign w:val="bottom"/>
            <w:gridSpan w:val="2"/>
          </w:tcPr>
          <w:p>
            <w:pPr>
              <w:ind w:left="1680"/>
              <w:spacing w:after="0"/>
              <w:rPr>
                <w:sz w:val="20"/>
                <w:szCs w:val="20"/>
                <w:color w:val="auto"/>
              </w:rPr>
            </w:pPr>
            <w:r>
              <w:rPr>
                <w:rFonts w:ascii="Arial" w:cs="Arial" w:eastAsia="Arial" w:hAnsi="Arial"/>
                <w:sz w:val="18"/>
                <w:szCs w:val="18"/>
                <w:b w:val="1"/>
                <w:bCs w:val="1"/>
                <w:color w:val="auto"/>
              </w:rPr>
              <w:t>Chardan NexTech Acquisition 2 Corp</w:t>
            </w:r>
          </w:p>
        </w:tc>
      </w:tr>
      <w:tr>
        <w:trPr>
          <w:trHeight w:val="432"/>
        </w:trPr>
        <w:tc>
          <w:tcPr>
            <w:tcW w:w="3300" w:type="dxa"/>
            <w:vAlign w:val="bottom"/>
          </w:tcPr>
          <w:p>
            <w:pPr>
              <w:spacing w:after="0"/>
              <w:rPr>
                <w:sz w:val="20"/>
                <w:szCs w:val="20"/>
                <w:color w:val="auto"/>
              </w:rPr>
            </w:pPr>
            <w:r>
              <w:rPr>
                <w:rFonts w:ascii="Arial" w:cs="Arial" w:eastAsia="Arial" w:hAnsi="Arial"/>
                <w:sz w:val="18"/>
                <w:szCs w:val="18"/>
                <w:color w:val="auto"/>
              </w:rPr>
              <w:t>Date: August 15, 2022</w:t>
            </w:r>
          </w:p>
        </w:tc>
        <w:tc>
          <w:tcPr>
            <w:tcW w:w="6620" w:type="dxa"/>
            <w:vAlign w:val="bottom"/>
            <w:gridSpan w:val="2"/>
          </w:tcPr>
          <w:p>
            <w:pPr>
              <w:ind w:left="1680"/>
              <w:spacing w:after="0"/>
              <w:rPr>
                <w:sz w:val="20"/>
                <w:szCs w:val="20"/>
                <w:color w:val="auto"/>
              </w:rPr>
            </w:pPr>
            <w:r>
              <w:rPr>
                <w:rFonts w:ascii="Arial" w:cs="Arial" w:eastAsia="Arial" w:hAnsi="Arial"/>
                <w:sz w:val="18"/>
                <w:szCs w:val="18"/>
                <w:color w:val="auto"/>
              </w:rPr>
              <w:t>By: /s/ Jonas Grossman</w:t>
            </w:r>
          </w:p>
        </w:tc>
      </w:tr>
      <w:tr>
        <w:trPr>
          <w:trHeight w:val="195"/>
        </w:trPr>
        <w:tc>
          <w:tcPr>
            <w:tcW w:w="33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Jonas Grossman</w:t>
            </w:r>
          </w:p>
        </w:tc>
      </w:tr>
      <w:tr>
        <w:trPr>
          <w:trHeight w:val="216"/>
        </w:trPr>
        <w:tc>
          <w:tcPr>
            <w:tcW w:w="3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Chief Executive Officer, President,</w:t>
            </w:r>
          </w:p>
        </w:tc>
      </w:tr>
      <w:tr>
        <w:trPr>
          <w:trHeight w:val="216"/>
        </w:trPr>
        <w:tc>
          <w:tcPr>
            <w:tcW w:w="3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Secretary, Treasurer and Director</w:t>
            </w:r>
          </w:p>
        </w:tc>
      </w:tr>
      <w:tr>
        <w:trPr>
          <w:trHeight w:val="230"/>
        </w:trPr>
        <w:tc>
          <w:tcPr>
            <w:tcW w:w="33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6620" w:type="dxa"/>
            <w:vAlign w:val="bottom"/>
            <w:gridSpan w:val="2"/>
          </w:tcPr>
          <w:p>
            <w:pPr>
              <w:ind w:left="1680"/>
              <w:spacing w:after="0"/>
              <w:rPr>
                <w:sz w:val="20"/>
                <w:szCs w:val="20"/>
                <w:color w:val="auto"/>
              </w:rPr>
            </w:pPr>
            <w:r>
              <w:rPr>
                <w:rFonts w:ascii="Arial" w:cs="Arial" w:eastAsia="Arial" w:hAnsi="Arial"/>
                <w:sz w:val="18"/>
                <w:szCs w:val="18"/>
                <w:b w:val="1"/>
                <w:bCs w:val="1"/>
                <w:color w:val="auto"/>
              </w:rPr>
              <w:t>Chardan NexTech Acquisition 2 Corp</w:t>
            </w:r>
          </w:p>
        </w:tc>
      </w:tr>
      <w:tr>
        <w:trPr>
          <w:trHeight w:val="432"/>
        </w:trPr>
        <w:tc>
          <w:tcPr>
            <w:tcW w:w="3300" w:type="dxa"/>
            <w:vAlign w:val="bottom"/>
          </w:tcPr>
          <w:p>
            <w:pPr>
              <w:spacing w:after="0"/>
              <w:rPr>
                <w:sz w:val="20"/>
                <w:szCs w:val="20"/>
                <w:color w:val="auto"/>
              </w:rPr>
            </w:pPr>
            <w:r>
              <w:rPr>
                <w:rFonts w:ascii="Arial" w:cs="Arial" w:eastAsia="Arial" w:hAnsi="Arial"/>
                <w:sz w:val="18"/>
                <w:szCs w:val="18"/>
                <w:color w:val="auto"/>
              </w:rPr>
              <w:t>Date: August 15, 2022</w:t>
            </w:r>
          </w:p>
        </w:tc>
        <w:tc>
          <w:tcPr>
            <w:tcW w:w="6620" w:type="dxa"/>
            <w:vAlign w:val="bottom"/>
            <w:gridSpan w:val="2"/>
          </w:tcPr>
          <w:p>
            <w:pPr>
              <w:ind w:left="1680"/>
              <w:spacing w:after="0"/>
              <w:rPr>
                <w:sz w:val="20"/>
                <w:szCs w:val="20"/>
                <w:color w:val="auto"/>
              </w:rPr>
            </w:pPr>
            <w:r>
              <w:rPr>
                <w:rFonts w:ascii="Arial" w:cs="Arial" w:eastAsia="Arial" w:hAnsi="Arial"/>
                <w:sz w:val="18"/>
                <w:szCs w:val="18"/>
                <w:color w:val="auto"/>
              </w:rPr>
              <w:t>By: /s/ Alex Weil</w:t>
            </w:r>
          </w:p>
        </w:tc>
      </w:tr>
      <w:tr>
        <w:trPr>
          <w:trHeight w:val="195"/>
        </w:trPr>
        <w:tc>
          <w:tcPr>
            <w:tcW w:w="33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Alex Weil</w:t>
            </w:r>
          </w:p>
        </w:tc>
      </w:tr>
      <w:tr>
        <w:trPr>
          <w:trHeight w:val="216"/>
        </w:trPr>
        <w:tc>
          <w:tcPr>
            <w:tcW w:w="3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3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Sections 242 and 245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Delaware General Corporation Law</w:t>
      </w:r>
    </w:p>
    <w:p>
      <w:pPr>
        <w:spacing w:after="0" w:line="207"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Chardan NexTech Acquisition 2 Corp., a corporation existing under the laws of the State of Delaware (the “</w:t>
      </w:r>
      <w:r>
        <w:rPr>
          <w:rFonts w:ascii="Arial" w:cs="Arial" w:eastAsia="Arial" w:hAnsi="Arial"/>
          <w:sz w:val="18"/>
          <w:szCs w:val="18"/>
          <w:b w:val="1"/>
          <w:bCs w:val="1"/>
          <w:color w:val="auto"/>
        </w:rPr>
        <w:t>Corporation</w:t>
      </w:r>
      <w:r>
        <w:rPr>
          <w:rFonts w:ascii="Arial" w:cs="Arial" w:eastAsia="Arial" w:hAnsi="Arial"/>
          <w:sz w:val="18"/>
          <w:szCs w:val="18"/>
          <w:color w:val="auto"/>
        </w:rPr>
        <w:t>”), by its Chief Executive Officer, hereby certifies as follows:</w:t>
      </w:r>
    </w:p>
    <w:p>
      <w:pPr>
        <w:spacing w:after="0" w:line="166"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name of the Corporation is “Chardan NexTech Acquisition 2 Corp.”.</w:t>
      </w:r>
    </w:p>
    <w:p>
      <w:pPr>
        <w:spacing w:after="0" w:line="225" w:lineRule="exact"/>
        <w:rPr>
          <w:rFonts w:ascii="Arial" w:cs="Arial" w:eastAsia="Arial" w:hAnsi="Arial"/>
          <w:sz w:val="18"/>
          <w:szCs w:val="18"/>
          <w:color w:val="auto"/>
        </w:rPr>
      </w:pPr>
    </w:p>
    <w:p>
      <w:pPr>
        <w:ind w:left="660" w:right="20" w:hanging="652"/>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Corporation’s Certificate of Incorporation was filed in the office of the Secretary of State of the State of Delaware on June 23, 2020, and a Certificate of Amendment changing the name of the Corporation from Chardan Global Acquisition 3 Corp., was filed in the office of the Secretary of the State of Delaware on February 22, 2021. The Corporation’s Amended and Restated Certificate of Incorporation was filed on August 13, 2021.</w:t>
      </w:r>
    </w:p>
    <w:p>
      <w:pPr>
        <w:spacing w:after="0" w:line="186" w:lineRule="exact"/>
        <w:rPr>
          <w:rFonts w:ascii="Arial" w:cs="Arial" w:eastAsia="Arial" w:hAnsi="Arial"/>
          <w:sz w:val="18"/>
          <w:szCs w:val="18"/>
          <w:color w:val="auto"/>
        </w:rPr>
      </w:pPr>
    </w:p>
    <w:p>
      <w:pPr>
        <w:ind w:left="660" w:right="660" w:hanging="652"/>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Second Amended Restated Certificate of Incorporation restates, integrates and amends the Amended Certificate of Incorporation of the Corporation.</w:t>
      </w:r>
    </w:p>
    <w:p>
      <w:pPr>
        <w:spacing w:after="0" w:line="170" w:lineRule="exact"/>
        <w:rPr>
          <w:rFonts w:ascii="Arial" w:cs="Arial" w:eastAsia="Arial" w:hAnsi="Arial"/>
          <w:sz w:val="18"/>
          <w:szCs w:val="18"/>
          <w:color w:val="auto"/>
        </w:rPr>
      </w:pPr>
    </w:p>
    <w:p>
      <w:pPr>
        <w:ind w:left="660" w:right="240" w:hanging="652"/>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Second Amended and Restated Certificate of Incorporation was duly adopted by the written consent of the directors and stockholders of the Corporation in accordance with the applicable provisions of Sections 242 and 245 of the General Corporation Law of the State of Delaware (“</w:t>
      </w:r>
      <w:r>
        <w:rPr>
          <w:rFonts w:ascii="Arial" w:cs="Arial" w:eastAsia="Arial" w:hAnsi="Arial"/>
          <w:sz w:val="18"/>
          <w:szCs w:val="18"/>
          <w:b w:val="1"/>
          <w:bCs w:val="1"/>
          <w:color w:val="auto"/>
        </w:rPr>
        <w:t>GCL</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left="660" w:right="600" w:hanging="652"/>
        <w:spacing w:after="0" w:line="563"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text of the Certificate of Incorporation of the Corporation is hereby amended and restated to read in full as follows: FIRST: The name of the corporation is “Chardan NexTech Acquisition 2 Corp.” (hereinafter called the “</w:t>
      </w:r>
      <w:r>
        <w:rPr>
          <w:rFonts w:ascii="Arial" w:cs="Arial" w:eastAsia="Arial" w:hAnsi="Arial"/>
          <w:sz w:val="16"/>
          <w:szCs w:val="16"/>
          <w:b w:val="1"/>
          <w:bCs w:val="1"/>
          <w:color w:val="auto"/>
        </w:rPr>
        <w:t>Corporation</w:t>
      </w:r>
      <w:r>
        <w:rPr>
          <w:rFonts w:ascii="Arial" w:cs="Arial" w:eastAsia="Arial" w:hAnsi="Arial"/>
          <w:sz w:val="16"/>
          <w:szCs w:val="16"/>
          <w:color w:val="auto"/>
        </w:rPr>
        <w:t>”).</w:t>
      </w:r>
    </w:p>
    <w:p>
      <w:pPr>
        <w:jc w:val="both"/>
        <w:ind w:left="660"/>
        <w:spacing w:after="0" w:line="263" w:lineRule="auto"/>
        <w:rPr>
          <w:rFonts w:ascii="Arial" w:cs="Arial" w:eastAsia="Arial" w:hAnsi="Arial"/>
          <w:sz w:val="16"/>
          <w:szCs w:val="16"/>
          <w:color w:val="auto"/>
        </w:rPr>
      </w:pPr>
      <w:r>
        <w:rPr>
          <w:rFonts w:ascii="Arial" w:cs="Arial" w:eastAsia="Arial" w:hAnsi="Arial"/>
          <w:sz w:val="18"/>
          <w:szCs w:val="18"/>
          <w:color w:val="auto"/>
        </w:rPr>
        <w:t>SECOND: The registered office of the Corporation is to be located 3411 Silverside Road, Tatnall Building, #104, in the City of Wilmington, in the County of New Castle, Delaware 19901. The name of its registered agent at that address is Corporate Creations Network Inc.</w:t>
      </w:r>
    </w:p>
    <w:p>
      <w:pPr>
        <w:spacing w:after="0" w:line="183" w:lineRule="exact"/>
        <w:rPr>
          <w:rFonts w:ascii="Arial" w:cs="Arial" w:eastAsia="Arial" w:hAnsi="Arial"/>
          <w:sz w:val="16"/>
          <w:szCs w:val="16"/>
          <w:color w:val="auto"/>
        </w:rPr>
      </w:pPr>
    </w:p>
    <w:p>
      <w:pPr>
        <w:ind w:left="660"/>
        <w:spacing w:after="0" w:line="277" w:lineRule="auto"/>
        <w:rPr>
          <w:rFonts w:ascii="Arial" w:cs="Arial" w:eastAsia="Arial" w:hAnsi="Arial"/>
          <w:sz w:val="16"/>
          <w:szCs w:val="16"/>
          <w:color w:val="auto"/>
        </w:rPr>
      </w:pPr>
      <w:r>
        <w:rPr>
          <w:rFonts w:ascii="Arial" w:cs="Arial" w:eastAsia="Arial" w:hAnsi="Arial"/>
          <w:sz w:val="18"/>
          <w:szCs w:val="18"/>
          <w:color w:val="auto"/>
        </w:rPr>
        <w:t>THIRD: The purpose of the Corporation is to engage in any lawful act or activity for which corporations may be organized under the General Corporation Law of Delaware (“</w:t>
      </w:r>
      <w:r>
        <w:rPr>
          <w:rFonts w:ascii="Arial" w:cs="Arial" w:eastAsia="Arial" w:hAnsi="Arial"/>
          <w:sz w:val="18"/>
          <w:szCs w:val="18"/>
          <w:b w:val="1"/>
          <w:bCs w:val="1"/>
          <w:color w:val="auto"/>
        </w:rPr>
        <w:t>GCL</w:t>
      </w:r>
      <w:r>
        <w:rPr>
          <w:rFonts w:ascii="Arial" w:cs="Arial" w:eastAsia="Arial" w:hAnsi="Arial"/>
          <w:sz w:val="18"/>
          <w:szCs w:val="18"/>
          <w:color w:val="auto"/>
        </w:rPr>
        <w:t>”).</w:t>
      </w:r>
    </w:p>
    <w:p>
      <w:pPr>
        <w:spacing w:after="0" w:line="170"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FOURTH:</w:t>
      </w:r>
    </w:p>
    <w:p>
      <w:pPr>
        <w:spacing w:after="0" w:line="225" w:lineRule="exact"/>
        <w:rPr>
          <w:rFonts w:ascii="Arial" w:cs="Arial" w:eastAsia="Arial" w:hAnsi="Arial"/>
          <w:sz w:val="16"/>
          <w:szCs w:val="16"/>
          <w:color w:val="auto"/>
        </w:rPr>
      </w:pPr>
    </w:p>
    <w:p>
      <w:pPr>
        <w:jc w:val="both"/>
        <w:ind w:left="660"/>
        <w:spacing w:after="0" w:line="263" w:lineRule="auto"/>
        <w:rPr>
          <w:rFonts w:ascii="Arial" w:cs="Arial" w:eastAsia="Arial" w:hAnsi="Arial"/>
          <w:sz w:val="16"/>
          <w:szCs w:val="16"/>
          <w:color w:val="auto"/>
        </w:rPr>
      </w:pPr>
      <w:r>
        <w:rPr>
          <w:rFonts w:ascii="Arial" w:cs="Arial" w:eastAsia="Arial" w:hAnsi="Arial"/>
          <w:sz w:val="18"/>
          <w:szCs w:val="18"/>
          <w:color w:val="auto"/>
        </w:rPr>
        <w:t>The total number of shares of all classes of capital stock which the Corporation shall have authority to issue is 51,000,000, of which 50,000,000 shares shall be common stock, par value $.0001 per share (“</w:t>
      </w:r>
      <w:r>
        <w:rPr>
          <w:rFonts w:ascii="Arial" w:cs="Arial" w:eastAsia="Arial" w:hAnsi="Arial"/>
          <w:sz w:val="18"/>
          <w:szCs w:val="18"/>
          <w:b w:val="1"/>
          <w:bCs w:val="1"/>
          <w:color w:val="auto"/>
        </w:rPr>
        <w:t>Common Stock</w:t>
      </w:r>
      <w:r>
        <w:rPr>
          <w:rFonts w:ascii="Arial" w:cs="Arial" w:eastAsia="Arial" w:hAnsi="Arial"/>
          <w:sz w:val="18"/>
          <w:szCs w:val="18"/>
          <w:color w:val="auto"/>
        </w:rPr>
        <w:t>”) and 1,000,000 shares shall be preferred stock, par value $.0001 per share (“</w:t>
      </w:r>
      <w:r>
        <w:rPr>
          <w:rFonts w:ascii="Arial" w:cs="Arial" w:eastAsia="Arial" w:hAnsi="Arial"/>
          <w:sz w:val="18"/>
          <w:szCs w:val="18"/>
          <w:b w:val="1"/>
          <w:bCs w:val="1"/>
          <w:color w:val="auto"/>
        </w:rPr>
        <w:t>Preferred Stock</w:t>
      </w:r>
      <w:r>
        <w:rPr>
          <w:rFonts w:ascii="Arial" w:cs="Arial" w:eastAsia="Arial" w:hAnsi="Arial"/>
          <w:sz w:val="18"/>
          <w:szCs w:val="18"/>
          <w:color w:val="auto"/>
        </w:rPr>
        <w:t>”).</w:t>
      </w:r>
    </w:p>
    <w:p>
      <w:pPr>
        <w:spacing w:after="0" w:line="183" w:lineRule="exact"/>
        <w:rPr>
          <w:rFonts w:ascii="Arial" w:cs="Arial" w:eastAsia="Arial" w:hAnsi="Arial"/>
          <w:sz w:val="16"/>
          <w:szCs w:val="16"/>
          <w:color w:val="auto"/>
        </w:rPr>
      </w:pPr>
    </w:p>
    <w:p>
      <w:pPr>
        <w:jc w:val="both"/>
        <w:ind w:left="1300" w:firstLine="4"/>
        <w:spacing w:after="0" w:line="296" w:lineRule="auto"/>
        <w:tabs>
          <w:tab w:leader="none" w:pos="1524" w:val="left"/>
        </w:tabs>
        <w:numPr>
          <w:ilvl w:val="1"/>
          <w:numId w:val="11"/>
        </w:numPr>
        <w:rPr>
          <w:rFonts w:ascii="Arial" w:cs="Arial" w:eastAsia="Arial" w:hAnsi="Arial"/>
          <w:sz w:val="16"/>
          <w:szCs w:val="16"/>
          <w:color w:val="auto"/>
        </w:rPr>
      </w:pPr>
      <w:r>
        <w:rPr>
          <w:rFonts w:ascii="Arial" w:cs="Arial" w:eastAsia="Arial" w:hAnsi="Arial"/>
          <w:sz w:val="16"/>
          <w:szCs w:val="16"/>
          <w:color w:val="auto"/>
        </w:rPr>
        <w:t>Preferred Stock. The Board of Directors is expressly granted authority to issue shares of the Preferred Stock, in one or more series, and to fix for each such series such voting powers, full or limited, and such designations, preferences and relative, participating, optional or other special rights and such qualifications, limitations or restrictions thereof as shall be stated and expressed in the resolution or resolutions adopted by the Board of Directors providing for the issue of such series (a “</w:t>
      </w:r>
      <w:r>
        <w:rPr>
          <w:rFonts w:ascii="Arial" w:cs="Arial" w:eastAsia="Arial" w:hAnsi="Arial"/>
          <w:sz w:val="16"/>
          <w:szCs w:val="16"/>
          <w:b w:val="1"/>
          <w:bCs w:val="1"/>
          <w:color w:val="auto"/>
        </w:rPr>
        <w:t>Preferred Stock Designation</w:t>
      </w:r>
      <w:r>
        <w:rPr>
          <w:rFonts w:ascii="Arial" w:cs="Arial" w:eastAsia="Arial" w:hAnsi="Arial"/>
          <w:sz w:val="16"/>
          <w:szCs w:val="16"/>
          <w:color w:val="auto"/>
        </w:rPr>
        <w:t>”) and as may be permitted by the GCL. The number of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454660</wp:posOffset>
            </wp:positionV>
            <wp:extent cx="629221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7" w:name="page38"/>
    <w:bookmarkEnd w:id="37"/>
    <w:p>
      <w:pPr>
        <w:jc w:val="both"/>
        <w:ind w:left="840"/>
        <w:spacing w:after="0" w:line="275" w:lineRule="auto"/>
        <w:rPr>
          <w:sz w:val="20"/>
          <w:szCs w:val="20"/>
          <w:color w:val="auto"/>
        </w:rPr>
      </w:pPr>
      <w:r>
        <w:rPr>
          <w:rFonts w:ascii="Arial" w:cs="Arial" w:eastAsia="Arial" w:hAnsi="Arial"/>
          <w:sz w:val="17"/>
          <w:szCs w:val="17"/>
          <w:color w:val="auto"/>
        </w:rPr>
        <w:t>shares of Preferred Stock may be increased or decreased (but not below the number of shares thereof then outstanding) by the affirmative vote of the holders of a majority of the voting power of all of the then outstanding shares of the capital stock of the Corporation entitled to vote generally in the election of directors, voting together as a single class, without a separate vote of the holders of the Preferred Stock, or any series thereof, unless a vote of any such holders is required pursuant to any Preferred Stock Designation.</w:t>
      </w:r>
    </w:p>
    <w:p>
      <w:pPr>
        <w:spacing w:after="0" w:line="176" w:lineRule="exact"/>
        <w:rPr>
          <w:sz w:val="20"/>
          <w:szCs w:val="20"/>
          <w:color w:val="auto"/>
        </w:rPr>
      </w:pPr>
    </w:p>
    <w:p>
      <w:pPr>
        <w:jc w:val="both"/>
        <w:ind w:left="840"/>
        <w:spacing w:after="0" w:line="263" w:lineRule="auto"/>
        <w:rPr>
          <w:sz w:val="20"/>
          <w:szCs w:val="20"/>
          <w:color w:val="auto"/>
        </w:rPr>
      </w:pPr>
      <w:r>
        <w:rPr>
          <w:rFonts w:ascii="Arial" w:cs="Arial" w:eastAsia="Arial" w:hAnsi="Arial"/>
          <w:sz w:val="18"/>
          <w:szCs w:val="18"/>
          <w:color w:val="auto"/>
        </w:rPr>
        <w:t>B. Common Stock. Except as otherwise required by law or as otherwise provided in any Preferred Stock Designation, the holders of the Common Stock shall exclusively possess all voting power and each share of Common Stock shall have one vote.</w:t>
      </w:r>
    </w:p>
    <w:p>
      <w:pPr>
        <w:spacing w:after="0" w:line="184" w:lineRule="exact"/>
        <w:rPr>
          <w:sz w:val="20"/>
          <w:szCs w:val="20"/>
          <w:color w:val="auto"/>
        </w:rPr>
      </w:pPr>
    </w:p>
    <w:p>
      <w:pPr>
        <w:jc w:val="both"/>
        <w:ind w:left="200"/>
        <w:spacing w:after="0" w:line="269" w:lineRule="auto"/>
        <w:rPr>
          <w:sz w:val="20"/>
          <w:szCs w:val="20"/>
          <w:color w:val="auto"/>
        </w:rPr>
      </w:pPr>
      <w:r>
        <w:rPr>
          <w:rFonts w:ascii="Arial" w:cs="Arial" w:eastAsia="Arial" w:hAnsi="Arial"/>
          <w:sz w:val="17"/>
          <w:szCs w:val="17"/>
          <w:color w:val="auto"/>
        </w:rPr>
        <w:t>FIFTH: This Article Fifth shall apply during the period commencing upon the filing of this Second Amended and Restated Certificate of Incorporation and terminating upon the consummation of any Business Combination (as defined below). A “</w:t>
      </w:r>
      <w:r>
        <w:rPr>
          <w:rFonts w:ascii="Arial" w:cs="Arial" w:eastAsia="Arial" w:hAnsi="Arial"/>
          <w:sz w:val="17"/>
          <w:szCs w:val="17"/>
          <w:b w:val="1"/>
          <w:bCs w:val="1"/>
          <w:color w:val="auto"/>
        </w:rPr>
        <w:t>Business Combination</w:t>
      </w:r>
      <w:r>
        <w:rPr>
          <w:rFonts w:ascii="Arial" w:cs="Arial" w:eastAsia="Arial" w:hAnsi="Arial"/>
          <w:sz w:val="17"/>
          <w:szCs w:val="17"/>
          <w:color w:val="auto"/>
        </w:rPr>
        <w:t>” shall mean any merger, capital stock exchange, asset, stock purchase, reorganization or other similar business combination involving the Corporation and one or more businesses or entities (“</w:t>
      </w:r>
      <w:r>
        <w:rPr>
          <w:rFonts w:ascii="Arial" w:cs="Arial" w:eastAsia="Arial" w:hAnsi="Arial"/>
          <w:sz w:val="17"/>
          <w:szCs w:val="17"/>
          <w:b w:val="1"/>
          <w:bCs w:val="1"/>
          <w:color w:val="auto"/>
        </w:rPr>
        <w:t>Target Business</w:t>
      </w:r>
      <w:r>
        <w:rPr>
          <w:rFonts w:ascii="Arial" w:cs="Arial" w:eastAsia="Arial" w:hAnsi="Arial"/>
          <w:sz w:val="17"/>
          <w:szCs w:val="17"/>
          <w:color w:val="auto"/>
        </w:rPr>
        <w:t>”), or entering into contractual arrangements that give the Corporation control over such a Target Business, and, if the Corporation is then listed on a national securities exchange, the Target Business has a fair market value equal to at least 80% of the balance in the Trust Fund (as defined below), less any deferred underwriting commissions and taxes payable on interest earned, at the time of signing a definitive agreement in connection with the initial Business Combination. “</w:t>
      </w:r>
      <w:r>
        <w:rPr>
          <w:rFonts w:ascii="Arial" w:cs="Arial" w:eastAsia="Arial" w:hAnsi="Arial"/>
          <w:sz w:val="17"/>
          <w:szCs w:val="17"/>
          <w:b w:val="1"/>
          <w:bCs w:val="1"/>
          <w:color w:val="auto"/>
        </w:rPr>
        <w:t>IPO Shares</w:t>
      </w:r>
      <w:r>
        <w:rPr>
          <w:rFonts w:ascii="Arial" w:cs="Arial" w:eastAsia="Arial" w:hAnsi="Arial"/>
          <w:sz w:val="17"/>
          <w:szCs w:val="17"/>
          <w:color w:val="auto"/>
        </w:rPr>
        <w:t>” shall mean the shares sold pursuant to the registration statement on Form S-1 (“</w:t>
      </w:r>
      <w:r>
        <w:rPr>
          <w:rFonts w:ascii="Arial" w:cs="Arial" w:eastAsia="Arial" w:hAnsi="Arial"/>
          <w:sz w:val="17"/>
          <w:szCs w:val="17"/>
          <w:b w:val="1"/>
          <w:bCs w:val="1"/>
          <w:color w:val="auto"/>
        </w:rPr>
        <w:t>Registration Statement</w:t>
      </w:r>
      <w:r>
        <w:rPr>
          <w:rFonts w:ascii="Arial" w:cs="Arial" w:eastAsia="Arial" w:hAnsi="Arial"/>
          <w:sz w:val="17"/>
          <w:szCs w:val="17"/>
          <w:color w:val="auto"/>
        </w:rPr>
        <w:t>”) filed with the Securities and Exchange Commission in connection with the Corporation’s initial public offering (“</w:t>
      </w:r>
      <w:r>
        <w:rPr>
          <w:rFonts w:ascii="Arial" w:cs="Arial" w:eastAsia="Arial" w:hAnsi="Arial"/>
          <w:sz w:val="17"/>
          <w:szCs w:val="17"/>
          <w:b w:val="1"/>
          <w:bCs w:val="1"/>
          <w:color w:val="auto"/>
        </w:rPr>
        <w:t>IPO</w:t>
      </w:r>
      <w:r>
        <w:rPr>
          <w:rFonts w:ascii="Arial" w:cs="Arial" w:eastAsia="Arial" w:hAnsi="Arial"/>
          <w:sz w:val="17"/>
          <w:szCs w:val="17"/>
          <w:color w:val="auto"/>
        </w:rPr>
        <w:t>”).</w:t>
      </w:r>
    </w:p>
    <w:p>
      <w:pPr>
        <w:spacing w:after="0" w:line="185" w:lineRule="exact"/>
        <w:rPr>
          <w:sz w:val="20"/>
          <w:szCs w:val="20"/>
          <w:color w:val="auto"/>
        </w:rPr>
      </w:pPr>
    </w:p>
    <w:p>
      <w:pPr>
        <w:jc w:val="both"/>
        <w:ind w:left="840"/>
        <w:spacing w:after="0" w:line="289" w:lineRule="auto"/>
        <w:rPr>
          <w:sz w:val="20"/>
          <w:szCs w:val="20"/>
          <w:color w:val="auto"/>
        </w:rPr>
      </w:pPr>
      <w:r>
        <w:rPr>
          <w:rFonts w:ascii="Arial" w:cs="Arial" w:eastAsia="Arial" w:hAnsi="Arial"/>
          <w:sz w:val="16"/>
          <w:szCs w:val="16"/>
          <w:color w:val="auto"/>
        </w:rPr>
        <w:t>A. The “fair market value” for purposes of this Article Fifth will be determined by the Board of Directors of the Corporation based upon one or more standards generally accepted by the financial community (such as actual and potential sales, earnings, cash flow and/or book value). If the Board of Directors is unable to independently determine the fair market value of the Target Business, the Corporation will obtain an opinion from an independent investment banking firm, or another independent entity that commonly renders valuation opinions, with respect to the satisfaction of such criteria. Prior to the consummation of a Business Combination, the Corporation shall either (i) submit any Business Combination to its holders of Common Stock for approval (“</w:t>
      </w:r>
      <w:r>
        <w:rPr>
          <w:rFonts w:ascii="Arial" w:cs="Arial" w:eastAsia="Arial" w:hAnsi="Arial"/>
          <w:sz w:val="16"/>
          <w:szCs w:val="16"/>
          <w:b w:val="1"/>
          <w:bCs w:val="1"/>
          <w:color w:val="auto"/>
        </w:rPr>
        <w:t>Proxy Solicitation</w:t>
      </w:r>
      <w:r>
        <w:rPr>
          <w:rFonts w:ascii="Arial" w:cs="Arial" w:eastAsia="Arial" w:hAnsi="Arial"/>
          <w:sz w:val="16"/>
          <w:szCs w:val="16"/>
          <w:color w:val="auto"/>
        </w:rPr>
        <w:t>”) pursuant to the proxy rules promulgated under the Securities Exchange Act of 1934, as amended (“</w:t>
      </w:r>
      <w:r>
        <w:rPr>
          <w:rFonts w:ascii="Arial" w:cs="Arial" w:eastAsia="Arial" w:hAnsi="Arial"/>
          <w:sz w:val="16"/>
          <w:szCs w:val="16"/>
          <w:b w:val="1"/>
          <w:bCs w:val="1"/>
          <w:color w:val="auto"/>
        </w:rPr>
        <w:t>Exchange Act</w:t>
      </w:r>
      <w:r>
        <w:rPr>
          <w:rFonts w:ascii="Arial" w:cs="Arial" w:eastAsia="Arial" w:hAnsi="Arial"/>
          <w:sz w:val="16"/>
          <w:szCs w:val="16"/>
          <w:color w:val="auto"/>
        </w:rPr>
        <w:t>”), or (ii) provide its holders of IPO Shares with the opportunity to sell their shares to the Corporation by means of a tender offer (“</w:t>
      </w:r>
      <w:r>
        <w:rPr>
          <w:rFonts w:ascii="Arial" w:cs="Arial" w:eastAsia="Arial" w:hAnsi="Arial"/>
          <w:sz w:val="16"/>
          <w:szCs w:val="16"/>
          <w:b w:val="1"/>
          <w:bCs w:val="1"/>
          <w:color w:val="auto"/>
        </w:rPr>
        <w:t>Tender Offer</w:t>
      </w:r>
      <w:r>
        <w:rPr>
          <w:rFonts w:ascii="Arial" w:cs="Arial" w:eastAsia="Arial" w:hAnsi="Arial"/>
          <w:sz w:val="16"/>
          <w:szCs w:val="16"/>
          <w:color w:val="auto"/>
        </w:rPr>
        <w:t>”).</w:t>
      </w:r>
    </w:p>
    <w:p>
      <w:pPr>
        <w:spacing w:after="0" w:line="166" w:lineRule="exact"/>
        <w:rPr>
          <w:sz w:val="20"/>
          <w:szCs w:val="20"/>
          <w:color w:val="auto"/>
        </w:rPr>
      </w:pPr>
    </w:p>
    <w:p>
      <w:pPr>
        <w:jc w:val="both"/>
        <w:ind w:left="840"/>
        <w:spacing w:after="0" w:line="259" w:lineRule="auto"/>
        <w:rPr>
          <w:sz w:val="20"/>
          <w:szCs w:val="20"/>
          <w:color w:val="auto"/>
        </w:rPr>
      </w:pPr>
      <w:r>
        <w:rPr>
          <w:rFonts w:ascii="Arial" w:cs="Arial" w:eastAsia="Arial" w:hAnsi="Arial"/>
          <w:sz w:val="18"/>
          <w:szCs w:val="18"/>
          <w:color w:val="auto"/>
        </w:rPr>
        <w:t>B. If the Corporation engages in a Proxy Solicitation with respect to a Business Combination, the Corporation will consummate the Business Combination only if a majority of the then outstanding shares of Common Stock present and entitled to vote at the meeting to approve the Business Combination are voted for the approval of such Business Combination.</w:t>
      </w:r>
    </w:p>
    <w:p>
      <w:pPr>
        <w:spacing w:after="0" w:line="187" w:lineRule="exact"/>
        <w:rPr>
          <w:sz w:val="20"/>
          <w:szCs w:val="20"/>
          <w:color w:val="auto"/>
        </w:rPr>
      </w:pPr>
    </w:p>
    <w:p>
      <w:pPr>
        <w:jc w:val="both"/>
        <w:ind w:left="840"/>
        <w:spacing w:after="0" w:line="286" w:lineRule="auto"/>
        <w:rPr>
          <w:sz w:val="20"/>
          <w:szCs w:val="20"/>
          <w:color w:val="auto"/>
        </w:rPr>
      </w:pPr>
      <w:r>
        <w:rPr>
          <w:rFonts w:ascii="Arial" w:cs="Arial" w:eastAsia="Arial" w:hAnsi="Arial"/>
          <w:sz w:val="16"/>
          <w:szCs w:val="16"/>
          <w:color w:val="auto"/>
        </w:rPr>
        <w:t>C. In the event that a Business Combination is consummated by the Corporation or the Corporation holds a vote of its stockholders to amend its Certificate of Incorporation, any holder of IPO Shares who (i) voted on the proposal to approve such Business Combination or amend the Certificate of Incorporation, whether such holder voted in favor or against such Business Combination or amendment, and followed the procedures contained in the proxy materials to perfect the holder’s right to convert the holder’s IPO Shares into cash, if any, or (ii) tendered the holder’s IPO Shares as specified in the Tender Offer materials therefore, shall be entitled to receive the Conversion Price (as defined below) in exchange for the holder’s IPO Shares. The Corporation shall, promptly after consummation of the Business Combination or the filing of the amendment to the Certificate of Incorporation with the Secretary of State of the State of Delaware, convert such shares into cash at a per share price equal to the quotient determined by dividing (i) the amount then held in the Trust Fund (as defined below) less any income taxes owed on such funds but not yet paid, calculated as of two business days prior to the consummation of the Business Combination or the filing of the amendment, as applicable, by (ii) the total number of IPO Shares then outstanding (such price being referred to as the “</w:t>
      </w:r>
      <w:r>
        <w:rPr>
          <w:rFonts w:ascii="Arial" w:cs="Arial" w:eastAsia="Arial" w:hAnsi="Arial"/>
          <w:sz w:val="16"/>
          <w:szCs w:val="16"/>
          <w:b w:val="1"/>
          <w:bCs w:val="1"/>
          <w:color w:val="auto"/>
        </w:rPr>
        <w:t>Conversion Price</w:t>
      </w:r>
      <w:r>
        <w:rPr>
          <w:rFonts w:ascii="Arial" w:cs="Arial" w:eastAsia="Arial" w:hAnsi="Arial"/>
          <w:sz w:val="16"/>
          <w:szCs w:val="16"/>
          <w:color w:val="auto"/>
        </w:rPr>
        <w:t>”). “</w:t>
      </w:r>
      <w:r>
        <w:rPr>
          <w:rFonts w:ascii="Arial" w:cs="Arial" w:eastAsia="Arial" w:hAnsi="Arial"/>
          <w:sz w:val="16"/>
          <w:szCs w:val="16"/>
          <w:b w:val="1"/>
          <w:bCs w:val="1"/>
          <w:color w:val="auto"/>
        </w:rPr>
        <w:t>Trust Fund</w:t>
      </w:r>
      <w:r>
        <w:rPr>
          <w:rFonts w:ascii="Arial" w:cs="Arial" w:eastAsia="Arial" w:hAnsi="Arial"/>
          <w:sz w:val="16"/>
          <w:szCs w:val="16"/>
          <w:color w:val="auto"/>
        </w:rPr>
        <w:t>” shall mean the trust account established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462280</wp:posOffset>
            </wp:positionV>
            <wp:extent cx="629221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25" w:right="999" w:bottom="1440" w:gutter="0" w:footer="0" w:header="0"/>
        </w:sectPr>
      </w:pPr>
    </w:p>
    <w:bookmarkStart w:id="38" w:name="page39"/>
    <w:bookmarkEnd w:id="38"/>
    <w:p>
      <w:pPr>
        <w:jc w:val="both"/>
        <w:ind w:left="840"/>
        <w:spacing w:after="0" w:line="254" w:lineRule="auto"/>
        <w:rPr>
          <w:sz w:val="20"/>
          <w:szCs w:val="20"/>
          <w:color w:val="auto"/>
        </w:rPr>
      </w:pPr>
      <w:r>
        <w:rPr>
          <w:rFonts w:ascii="Arial" w:cs="Arial" w:eastAsia="Arial" w:hAnsi="Arial"/>
          <w:sz w:val="18"/>
          <w:szCs w:val="18"/>
          <w:color w:val="auto"/>
        </w:rPr>
        <w:t>the Corporation at the consummation of its IPO and into which the amount specified in Registration Statement is deposited. Notwithstanding the foregoing, a holder of IPO Shares, together with any affiliate of his or any other person with whom he is acting in concert or as a “group” (within the meaning of Section 13(d)(3) of the Exchange Act) (“</w:t>
      </w:r>
      <w:r>
        <w:rPr>
          <w:rFonts w:ascii="Arial" w:cs="Arial" w:eastAsia="Arial" w:hAnsi="Arial"/>
          <w:sz w:val="18"/>
          <w:szCs w:val="18"/>
          <w:b w:val="1"/>
          <w:bCs w:val="1"/>
          <w:color w:val="auto"/>
        </w:rPr>
        <w:t>Group</w:t>
      </w:r>
      <w:r>
        <w:rPr>
          <w:rFonts w:ascii="Arial" w:cs="Arial" w:eastAsia="Arial" w:hAnsi="Arial"/>
          <w:sz w:val="18"/>
          <w:szCs w:val="18"/>
          <w:color w:val="auto"/>
        </w:rPr>
        <w:t>”) with, will be restricted from demanding conversion in connection with a proposed Business Combination with respect to 20.0% or more of the IPO Shares. Accordingly, all IPO Shares beneficially owned by such holder or any other person with whom such holder is acting in concert or as a Group with in excess of 20.0% or more of the IPO Shares will remain outstanding following consummation of such Business Combination in the name of the stockholder and not be converted.</w:t>
      </w:r>
    </w:p>
    <w:p>
      <w:pPr>
        <w:spacing w:after="0" w:line="192" w:lineRule="exact"/>
        <w:rPr>
          <w:sz w:val="20"/>
          <w:szCs w:val="20"/>
          <w:color w:val="auto"/>
        </w:rPr>
      </w:pPr>
    </w:p>
    <w:p>
      <w:pPr>
        <w:jc w:val="both"/>
        <w:ind w:left="840"/>
        <w:spacing w:after="0" w:line="277" w:lineRule="auto"/>
        <w:rPr>
          <w:sz w:val="20"/>
          <w:szCs w:val="20"/>
          <w:color w:val="auto"/>
        </w:rPr>
      </w:pPr>
      <w:r>
        <w:rPr>
          <w:rFonts w:ascii="Arial" w:cs="Arial" w:eastAsia="Arial" w:hAnsi="Arial"/>
          <w:sz w:val="18"/>
          <w:szCs w:val="18"/>
          <w:color w:val="auto"/>
        </w:rPr>
        <w:t>D. The Corporation will not consummate any Business Combination unless it (or any successor) has net tangible assets of at least $5,000,001 upon consummation of such Business Combination.</w:t>
      </w:r>
    </w:p>
    <w:p>
      <w:pPr>
        <w:spacing w:after="0" w:line="170" w:lineRule="exact"/>
        <w:rPr>
          <w:sz w:val="20"/>
          <w:szCs w:val="20"/>
          <w:color w:val="auto"/>
        </w:rPr>
      </w:pPr>
    </w:p>
    <w:p>
      <w:pPr>
        <w:jc w:val="both"/>
        <w:ind w:left="840"/>
        <w:spacing w:after="0" w:line="285" w:lineRule="auto"/>
        <w:rPr>
          <w:sz w:val="20"/>
          <w:szCs w:val="20"/>
          <w:color w:val="auto"/>
        </w:rPr>
      </w:pPr>
      <w:r>
        <w:rPr>
          <w:rFonts w:ascii="Arial" w:cs="Arial" w:eastAsia="Arial" w:hAnsi="Arial"/>
          <w:sz w:val="16"/>
          <w:szCs w:val="16"/>
          <w:color w:val="auto"/>
        </w:rPr>
        <w:t>E. In the event that the Corporation does not consummate a Business Combination by August 13, 2022 (if not extended by one month each time (but in no event more than three months in the aggregate) upon the deposit into the trust account by the Corporation’s insiders, their affiliates or designees of $200,000 upon five days’ advance notice prior to August 13, 2022, or such other deadline, as applicable) (such date being referred to as the “</w:t>
      </w:r>
      <w:r>
        <w:rPr>
          <w:rFonts w:ascii="Arial" w:cs="Arial" w:eastAsia="Arial" w:hAnsi="Arial"/>
          <w:sz w:val="16"/>
          <w:szCs w:val="16"/>
          <w:b w:val="1"/>
          <w:bCs w:val="1"/>
          <w:color w:val="auto"/>
        </w:rPr>
        <w:t>Termination Date</w:t>
      </w:r>
      <w:r>
        <w:rPr>
          <w:rFonts w:ascii="Arial" w:cs="Arial" w:eastAsia="Arial" w:hAnsi="Arial"/>
          <w:sz w:val="16"/>
          <w:szCs w:val="16"/>
          <w:color w:val="auto"/>
        </w:rPr>
        <w:t>”), the Corporation shall (i) cease all operations except for the purposes of winding up, (ii) as promptly as reasonably possible but not more than ten business days thereafter redeem 100% of the IPO Shares for cash for a redemption price per share as described below (which redemption will completely extinguish such holders’ rights as stockholders, including the right to receive further liquidation distributions, if any), and (iii) as promptly as reasonably possible following such redemption, subject to approval of the Corporation’s then stockholders and subject to the requirements of the GCL, including the adoption of a resolution by the Board of Directors pursuant to Section 275(a) of the GCL finding the dissolution of the Corporation advisable and the provision of such notices as are required by said Section 275(a) of the GCL, dissolve and liquidate the balance of the Corporation’s net assets to its remaining stockholders, as part of the Corporation’s plan of dissolution and liquidation, subject (in the case of (ii) and (iii) above) to the Corporation’s obligations under the GCL to provide for claims of creditors and other requirements of applicable law. In such event, the per-share redemption price shall be equal to a pro rata share of the Trust Fund plus any pro rata interest earned on the funds held in the Trust Fund and not previously released to the Corporation for its working capital requirements or necessary to pay its taxes divided by the total number of IPO Shares then outstanding.</w:t>
      </w:r>
    </w:p>
    <w:p>
      <w:pPr>
        <w:spacing w:after="0" w:line="174" w:lineRule="exact"/>
        <w:rPr>
          <w:sz w:val="20"/>
          <w:szCs w:val="20"/>
          <w:color w:val="auto"/>
        </w:rPr>
      </w:pPr>
    </w:p>
    <w:p>
      <w:pPr>
        <w:jc w:val="both"/>
        <w:ind w:left="840"/>
        <w:spacing w:after="0" w:line="293" w:lineRule="auto"/>
        <w:rPr>
          <w:sz w:val="20"/>
          <w:szCs w:val="20"/>
          <w:color w:val="auto"/>
        </w:rPr>
      </w:pPr>
      <w:r>
        <w:rPr>
          <w:rFonts w:ascii="Arial" w:cs="Arial" w:eastAsia="Arial" w:hAnsi="Arial"/>
          <w:sz w:val="16"/>
          <w:szCs w:val="16"/>
          <w:color w:val="auto"/>
        </w:rPr>
        <w:t>F. A holder of IPO Shares shall only be entitled to receive distributions from the Trust Fund in the event (i) he demands conversion of his shares in accordance with paragraph C above or (ii) that the Corporation has not consummated a Business Combination by the Termination Date as described in paragraph E above. In no other circumstances shall a holder of IPO Shares have any right or interest of any kind in or to the Trust Fund. A public holder that holds IPO Shares beneficially through a nominee must identify itself to the Corporation in connection with any election to receive distributions from the Trust Fund in order to validly convert such IPO Shares in accordance with paragraph C above.</w:t>
      </w:r>
    </w:p>
    <w:p>
      <w:pPr>
        <w:spacing w:after="0" w:line="164" w:lineRule="exact"/>
        <w:rPr>
          <w:sz w:val="20"/>
          <w:szCs w:val="20"/>
          <w:color w:val="auto"/>
        </w:rPr>
      </w:pPr>
    </w:p>
    <w:p>
      <w:pPr>
        <w:jc w:val="both"/>
        <w:ind w:left="840"/>
        <w:spacing w:after="0" w:line="259" w:lineRule="auto"/>
        <w:rPr>
          <w:sz w:val="20"/>
          <w:szCs w:val="20"/>
          <w:color w:val="auto"/>
        </w:rPr>
      </w:pPr>
      <w:r>
        <w:rPr>
          <w:rFonts w:ascii="Arial" w:cs="Arial" w:eastAsia="Arial" w:hAnsi="Arial"/>
          <w:sz w:val="18"/>
          <w:szCs w:val="18"/>
          <w:color w:val="auto"/>
        </w:rPr>
        <w:t>G. Prior to the consummation of a Business Combination, the Board of Directors may not issue (i) any shares of Common Stock or any securities convertible into Common Stock; or (ii) any securities which participate in or are otherwise entitled in any manner to any of the proceeds in the Trust Fund or which vote as a class with the Common Stock on a Business Combination.</w:t>
      </w:r>
    </w:p>
    <w:p>
      <w:pPr>
        <w:spacing w:after="0" w:line="187" w:lineRule="exact"/>
        <w:rPr>
          <w:sz w:val="20"/>
          <w:szCs w:val="20"/>
          <w:color w:val="auto"/>
        </w:rPr>
      </w:pPr>
    </w:p>
    <w:p>
      <w:pPr>
        <w:jc w:val="both"/>
        <w:ind w:left="840"/>
        <w:spacing w:after="0" w:line="296" w:lineRule="auto"/>
        <w:rPr>
          <w:sz w:val="20"/>
          <w:szCs w:val="20"/>
          <w:color w:val="auto"/>
        </w:rPr>
      </w:pPr>
      <w:r>
        <w:rPr>
          <w:rFonts w:ascii="Arial" w:cs="Arial" w:eastAsia="Arial" w:hAnsi="Arial"/>
          <w:sz w:val="16"/>
          <w:szCs w:val="16"/>
          <w:color w:val="auto"/>
        </w:rPr>
        <w:t>H. If any amendment is made to this Article Fifth that would modify (A) the substance or timing of the Corporation’s obligation to provide for the conversion of the IPO Shares in connection with an initial Business Combination or to redeem 100% of the IPO Shares if the Corporation has not consummated an initial Business Combination within 12 months from the consummation of the IPO (or up to 18 months if such date is extended as described in the prospectus relating to the IPO) or (B) any other provision in this Article Fifth, the holders of IPO Shares shall be provided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454660</wp:posOffset>
            </wp:positionV>
            <wp:extent cx="62922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25" w:right="999" w:bottom="1440" w:gutter="0" w:footer="0" w:header="0"/>
        </w:sectPr>
      </w:pPr>
    </w:p>
    <w:bookmarkStart w:id="39" w:name="page40"/>
    <w:bookmarkEnd w:id="39"/>
    <w:p>
      <w:pPr>
        <w:ind w:left="840" w:right="20"/>
        <w:spacing w:after="0" w:line="277" w:lineRule="auto"/>
        <w:rPr>
          <w:sz w:val="20"/>
          <w:szCs w:val="20"/>
          <w:color w:val="auto"/>
        </w:rPr>
      </w:pPr>
      <w:r>
        <w:rPr>
          <w:rFonts w:ascii="Arial" w:cs="Arial" w:eastAsia="Arial" w:hAnsi="Arial"/>
          <w:sz w:val="18"/>
          <w:szCs w:val="18"/>
          <w:color w:val="auto"/>
        </w:rPr>
        <w:t>opportunity to redeem their IPO Shares upon the approval of any such amendment, at the per-share price specified in paragraph C.</w:t>
      </w:r>
    </w:p>
    <w:p>
      <w:pPr>
        <w:spacing w:after="0" w:line="170" w:lineRule="exact"/>
        <w:rPr>
          <w:sz w:val="20"/>
          <w:szCs w:val="20"/>
          <w:color w:val="auto"/>
        </w:rPr>
      </w:pPr>
    </w:p>
    <w:p>
      <w:pPr>
        <w:jc w:val="both"/>
        <w:ind w:left="200"/>
        <w:spacing w:after="0" w:line="263" w:lineRule="auto"/>
        <w:rPr>
          <w:sz w:val="20"/>
          <w:szCs w:val="20"/>
          <w:color w:val="auto"/>
        </w:rPr>
      </w:pPr>
      <w:r>
        <w:rPr>
          <w:rFonts w:ascii="Arial" w:cs="Arial" w:eastAsia="Arial" w:hAnsi="Arial"/>
          <w:sz w:val="18"/>
          <w:szCs w:val="18"/>
          <w:color w:val="auto"/>
        </w:rPr>
        <w:t>SIXTH: The following provisions are inserted for the management of the business and for the conduct of the affairs of the Corporation, and for further definition, limitation and regulation of the powers of the Corporation and of its directors and stockholders:</w:t>
      </w:r>
    </w:p>
    <w:p>
      <w:pPr>
        <w:spacing w:after="0" w:line="18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 Election of directors need not be by ballot unless the bylaws of the Corporation so provide.</w:t>
      </w:r>
    </w:p>
    <w:p>
      <w:pPr>
        <w:spacing w:after="0" w:line="225" w:lineRule="exact"/>
        <w:rPr>
          <w:sz w:val="20"/>
          <w:szCs w:val="20"/>
          <w:color w:val="auto"/>
        </w:rPr>
      </w:pPr>
    </w:p>
    <w:p>
      <w:pPr>
        <w:jc w:val="both"/>
        <w:ind w:left="840"/>
        <w:spacing w:after="0" w:line="308" w:lineRule="auto"/>
        <w:rPr>
          <w:sz w:val="20"/>
          <w:szCs w:val="20"/>
          <w:color w:val="auto"/>
        </w:rPr>
      </w:pPr>
      <w:r>
        <w:rPr>
          <w:rFonts w:ascii="Arial" w:cs="Arial" w:eastAsia="Arial" w:hAnsi="Arial"/>
          <w:sz w:val="17"/>
          <w:szCs w:val="17"/>
          <w:color w:val="auto"/>
        </w:rPr>
        <w:t>B. The Board of Directors shall have the power, without the assent or vote of the stockholders, to make, alter, amend, change, add to or repeal the bylaws of the Corporation as provided in the bylaws of the Corporation.</w:t>
      </w:r>
    </w:p>
    <w:p>
      <w:pPr>
        <w:spacing w:after="0" w:line="146" w:lineRule="exact"/>
        <w:rPr>
          <w:sz w:val="20"/>
          <w:szCs w:val="20"/>
          <w:color w:val="auto"/>
        </w:rPr>
      </w:pPr>
    </w:p>
    <w:p>
      <w:pPr>
        <w:jc w:val="both"/>
        <w:ind w:left="840"/>
        <w:spacing w:after="0" w:line="254" w:lineRule="auto"/>
        <w:rPr>
          <w:sz w:val="20"/>
          <w:szCs w:val="20"/>
          <w:color w:val="auto"/>
        </w:rPr>
      </w:pPr>
      <w:r>
        <w:rPr>
          <w:rFonts w:ascii="Arial" w:cs="Arial" w:eastAsia="Arial" w:hAnsi="Arial"/>
          <w:sz w:val="18"/>
          <w:szCs w:val="18"/>
          <w:color w:val="auto"/>
        </w:rPr>
        <w:t>C. The directors in their discretion may submit any contract or act for approval or ratification at any annual meeting of the stockholders or at any meeting of the stockholders called for the purpose of considering any such act or contract, and any contract or act that shall be approved or be ratified by the vote of the holders of a majority of the stock of the Corporation which is represented in person or by proxy at such meeting and entitled to vote thereat (provided that a lawful quorum of stockholders be there represented in person or by proxy) shall be as valid and binding upon the Corporation and upon all the stockholders as though it had been approved or ratified by every stockholder of the Corporation, whether or not the contract or act would otherwise be open to legal attack because of directors’ interests, or for any other reason.</w:t>
      </w:r>
    </w:p>
    <w:p>
      <w:pPr>
        <w:spacing w:after="0" w:line="192" w:lineRule="exact"/>
        <w:rPr>
          <w:sz w:val="20"/>
          <w:szCs w:val="20"/>
          <w:color w:val="auto"/>
        </w:rPr>
      </w:pPr>
    </w:p>
    <w:p>
      <w:pPr>
        <w:jc w:val="both"/>
        <w:ind w:left="840"/>
        <w:spacing w:after="0" w:line="255" w:lineRule="auto"/>
        <w:rPr>
          <w:sz w:val="20"/>
          <w:szCs w:val="20"/>
          <w:color w:val="auto"/>
        </w:rPr>
      </w:pPr>
      <w:r>
        <w:rPr>
          <w:rFonts w:ascii="Arial" w:cs="Arial" w:eastAsia="Arial" w:hAnsi="Arial"/>
          <w:sz w:val="18"/>
          <w:szCs w:val="18"/>
          <w:color w:val="auto"/>
        </w:rPr>
        <w:t>D. In addition to the powers and authorities hereinbefore or by statute expressly conferred upon them, the directors are hereby empowered to exercise all such powers and do all such acts and things as may be exercised or done by the Corporation; subject, nevertheless, to the provisions of the statutes of Delaware, of this Second Amended and Restated Certificate of Incorporation, and to any bylaws from time to time made by the stockholders; provided, however, that no bylaw so made shall invalidate any prior act of the directors which would have been valid if such bylaw had not been made.</w:t>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SEVENTH:</w:t>
      </w:r>
    </w:p>
    <w:p>
      <w:pPr>
        <w:spacing w:after="0" w:line="225" w:lineRule="exact"/>
        <w:rPr>
          <w:sz w:val="20"/>
          <w:szCs w:val="20"/>
          <w:color w:val="auto"/>
        </w:rPr>
      </w:pPr>
    </w:p>
    <w:p>
      <w:pPr>
        <w:jc w:val="both"/>
        <w:ind w:left="840"/>
        <w:spacing w:after="0" w:line="270" w:lineRule="auto"/>
        <w:rPr>
          <w:sz w:val="20"/>
          <w:szCs w:val="20"/>
          <w:color w:val="auto"/>
        </w:rPr>
      </w:pPr>
      <w:r>
        <w:rPr>
          <w:rFonts w:ascii="Arial" w:cs="Arial" w:eastAsia="Arial" w:hAnsi="Arial"/>
          <w:sz w:val="17"/>
          <w:szCs w:val="17"/>
          <w:color w:val="auto"/>
        </w:rPr>
        <w:t>A.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GCL, or (iv) for any transaction from which the director derived an improper personal benefit. If the GCL is amended to authorize corporate action further eliminating or limiting the personal liability of directors, then the liability of a director of the Corporation shall be eliminated or limited to the fullest extent permitted by the GCL, as so amended. Any repeal or modification of this paragraph A by the stockholders of the Corporation shall not adversely affect any right or protection of a director of the Corporation with respect to events occurring prior to the time of such repeal or modification.</w:t>
      </w:r>
    </w:p>
    <w:p>
      <w:pPr>
        <w:spacing w:after="0" w:line="181" w:lineRule="exact"/>
        <w:rPr>
          <w:sz w:val="20"/>
          <w:szCs w:val="20"/>
          <w:color w:val="auto"/>
        </w:rPr>
      </w:pPr>
    </w:p>
    <w:p>
      <w:pPr>
        <w:jc w:val="both"/>
        <w:ind w:left="840"/>
        <w:spacing w:after="0" w:line="254" w:lineRule="auto"/>
        <w:rPr>
          <w:sz w:val="20"/>
          <w:szCs w:val="20"/>
          <w:color w:val="auto"/>
        </w:rPr>
      </w:pPr>
      <w:r>
        <w:rPr>
          <w:rFonts w:ascii="Arial" w:cs="Arial" w:eastAsia="Arial" w:hAnsi="Arial"/>
          <w:sz w:val="18"/>
          <w:szCs w:val="18"/>
          <w:color w:val="auto"/>
        </w:rPr>
        <w:t>B. The Corporation, to the full extent permitted by Section 145 of the GCL, as amended from time to time, shall indemnify all persons whom it may indemnify pursuant thereto. Expenses (including attorneys’ fees) incurred by an officer or director in defending any civil, criminal, administrative, or investigative action, suit or proceeding for which such officer or director may be entitled to indemnification hereunder shall be paid by the Corporation in advance of the final disposition of such action, suit or proceeding upon receipt of an undertaking by or on behalf of such director or officer to repay such amount if it shall ultimately be determined that he is not entitled to be indemnified by the Corporation as authorized hereby.</w:t>
      </w:r>
    </w:p>
    <w:p>
      <w:pPr>
        <w:spacing w:after="0" w:line="195" w:lineRule="exact"/>
        <w:rPr>
          <w:sz w:val="20"/>
          <w:szCs w:val="20"/>
          <w:color w:val="auto"/>
        </w:rPr>
      </w:pPr>
    </w:p>
    <w:p>
      <w:pPr>
        <w:jc w:val="both"/>
        <w:ind w:left="840"/>
        <w:spacing w:after="0" w:line="277" w:lineRule="auto"/>
        <w:rPr>
          <w:sz w:val="20"/>
          <w:szCs w:val="20"/>
          <w:color w:val="auto"/>
        </w:rPr>
      </w:pPr>
      <w:r>
        <w:rPr>
          <w:rFonts w:ascii="Arial" w:cs="Arial" w:eastAsia="Arial" w:hAnsi="Arial"/>
          <w:sz w:val="18"/>
          <w:szCs w:val="18"/>
          <w:color w:val="auto"/>
        </w:rPr>
        <w:t>C. Notwithstanding the foregoing provisions of this Article Seventh, no indemnification nor advancement of expenses will extend to any claims made by the Corporation’s officers and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460375</wp:posOffset>
            </wp:positionV>
            <wp:extent cx="629221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25" w:right="999" w:bottom="1440" w:gutter="0" w:footer="0" w:header="0"/>
        </w:sectPr>
      </w:pPr>
    </w:p>
    <w:bookmarkStart w:id="40" w:name="page41"/>
    <w:bookmarkEnd w:id="40"/>
    <w:p>
      <w:pPr>
        <w:jc w:val="both"/>
        <w:ind w:left="840"/>
        <w:spacing w:after="0" w:line="286" w:lineRule="auto"/>
        <w:rPr>
          <w:sz w:val="20"/>
          <w:szCs w:val="20"/>
          <w:color w:val="auto"/>
        </w:rPr>
      </w:pPr>
      <w:r>
        <w:rPr>
          <w:rFonts w:ascii="Arial" w:cs="Arial" w:eastAsia="Arial" w:hAnsi="Arial"/>
          <w:sz w:val="17"/>
          <w:szCs w:val="17"/>
          <w:color w:val="auto"/>
        </w:rPr>
        <w:t>to cover any loss that such individuals may sustain as a result of such individuals’ agreement to pay debts and obligations to target businesses or vendors or other entities that are owed money by the Corporation for services rendered or contracted for or products sold to the Corporation, as described in the Registration Statement.</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EIGHTH:</w:t>
      </w:r>
    </w:p>
    <w:p>
      <w:pPr>
        <w:spacing w:after="0" w:line="225" w:lineRule="exact"/>
        <w:rPr>
          <w:sz w:val="20"/>
          <w:szCs w:val="20"/>
          <w:color w:val="auto"/>
        </w:rPr>
      </w:pPr>
    </w:p>
    <w:p>
      <w:pPr>
        <w:jc w:val="both"/>
        <w:ind w:left="840"/>
        <w:spacing w:after="0" w:line="289" w:lineRule="auto"/>
        <w:rPr>
          <w:sz w:val="20"/>
          <w:szCs w:val="20"/>
          <w:color w:val="auto"/>
        </w:rPr>
      </w:pPr>
      <w:r>
        <w:rPr>
          <w:rFonts w:ascii="Arial" w:cs="Arial" w:eastAsia="Arial" w:hAnsi="Arial"/>
          <w:sz w:val="16"/>
          <w:szCs w:val="16"/>
          <w:color w:val="auto"/>
        </w:rPr>
        <w:t>A. Subject to the exception provided in Paragraph B of this Article Eighth, to the fullest extent permitted by law, unless the Corporation consents in writing to the selection of an alternative forum, (a) any derivative action or proceeding brought in our name on behalf of the Corporation, (b) any action asserting a claim for breach of a fiduciary duty owed by any current or former director, officer, employee, agent or stockholder of the Corporation to the Corporation or the Corporation’s stockholders, (c) any action asserting a claim arising pursuant to any provision of the GCL, the Certificate of Incorporation, or the bylaws, or (d) any action asserting a claim governed by the internal affairs doctrine, shall be the Court of Chancery of the State of Delaware (or, if the Court of Chancery of the State of Delaware lacks jurisdiction over any such action or proceeding, then another court of the State of Delaware or, if no court of the State of Delaware has jurisdiction, then the United States District Court for the District of Delaware).</w:t>
      </w:r>
    </w:p>
    <w:p>
      <w:pPr>
        <w:spacing w:after="0" w:line="166" w:lineRule="exact"/>
        <w:rPr>
          <w:sz w:val="20"/>
          <w:szCs w:val="20"/>
          <w:color w:val="auto"/>
        </w:rPr>
      </w:pPr>
    </w:p>
    <w:p>
      <w:pPr>
        <w:jc w:val="both"/>
        <w:ind w:left="840"/>
        <w:spacing w:after="0" w:line="288" w:lineRule="auto"/>
        <w:rPr>
          <w:sz w:val="20"/>
          <w:szCs w:val="20"/>
          <w:color w:val="auto"/>
        </w:rPr>
      </w:pPr>
      <w:r>
        <w:rPr>
          <w:rFonts w:ascii="Arial" w:cs="Arial" w:eastAsia="Arial" w:hAnsi="Arial"/>
          <w:sz w:val="16"/>
          <w:szCs w:val="16"/>
          <w:color w:val="auto"/>
        </w:rPr>
        <w:t>B. The exclusive forum provision provided in Paragraph A of this Article Eighth will not apply to suits brought to enforce any duty or liability created by the Exchange Act, or any other claim for which the federal courts have exclusive jurisdiction. In addition, unless the Corporation consents in writing to the selection of an alternative forum, the federal district courts of the United States of America shall, to the fullest extent permitted by law, be the exclusive forum for the resolution of any complaint asserting a cause of action arising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or the rules and regulations promulgated thereunder. Section 27 of the Exchange Act creates exclusive federal jurisdiction over all suits brought to enforce any duty or liability created by the Exchange Act or the rules and regulations thereunder and Section 22 of the Securities Act creates concurrent jurisdiction for federal and state courts over all suits brought to enforce any duty or liability created by the Securities Act or the rules and regulations thereunder the Securities Act, or any other claim for which the federal courts have exclusive jurisdiction.</w:t>
      </w:r>
    </w:p>
    <w:p>
      <w:pPr>
        <w:spacing w:after="0" w:line="168" w:lineRule="exact"/>
        <w:rPr>
          <w:sz w:val="20"/>
          <w:szCs w:val="20"/>
          <w:color w:val="auto"/>
        </w:rPr>
      </w:pPr>
    </w:p>
    <w:p>
      <w:pPr>
        <w:jc w:val="both"/>
        <w:ind w:left="840"/>
        <w:spacing w:after="0" w:line="269" w:lineRule="auto"/>
        <w:rPr>
          <w:sz w:val="20"/>
          <w:szCs w:val="20"/>
          <w:color w:val="auto"/>
        </w:rPr>
      </w:pPr>
      <w:r>
        <w:rPr>
          <w:rFonts w:ascii="Arial" w:cs="Arial" w:eastAsia="Arial" w:hAnsi="Arial"/>
          <w:sz w:val="17"/>
          <w:szCs w:val="17"/>
          <w:color w:val="auto"/>
        </w:rPr>
        <w:t>C. If any action the subject matter of which is within the scope of Paragraph A of this Article Eighth is filed in a court other than a court located within the State of Delaware (a “</w:t>
      </w:r>
      <w:r>
        <w:rPr>
          <w:rFonts w:ascii="Arial" w:cs="Arial" w:eastAsia="Arial" w:hAnsi="Arial"/>
          <w:sz w:val="17"/>
          <w:szCs w:val="17"/>
          <w:b w:val="1"/>
          <w:bCs w:val="1"/>
          <w:color w:val="auto"/>
        </w:rPr>
        <w:t>Foreign Action</w:t>
      </w:r>
      <w:r>
        <w:rPr>
          <w:rFonts w:ascii="Arial" w:cs="Arial" w:eastAsia="Arial" w:hAnsi="Arial"/>
          <w:sz w:val="17"/>
          <w:szCs w:val="17"/>
          <w:color w:val="auto"/>
        </w:rPr>
        <w:t>”) in the name of any stockholder, such stockholder shall be deemed to have consented to (a) the personal jurisdiction of the state and federal courts located within the State of Delaware in connection with any action brought in any such court to enforce Paragraph A of this Article Eighth (an “</w:t>
      </w:r>
      <w:r>
        <w:rPr>
          <w:rFonts w:ascii="Arial" w:cs="Arial" w:eastAsia="Arial" w:hAnsi="Arial"/>
          <w:sz w:val="17"/>
          <w:szCs w:val="17"/>
          <w:b w:val="1"/>
          <w:bCs w:val="1"/>
          <w:color w:val="auto"/>
        </w:rPr>
        <w:t>FSC Enforcement Action</w:t>
      </w:r>
      <w:r>
        <w:rPr>
          <w:rFonts w:ascii="Arial" w:cs="Arial" w:eastAsia="Arial" w:hAnsi="Arial"/>
          <w:sz w:val="17"/>
          <w:szCs w:val="17"/>
          <w:color w:val="auto"/>
        </w:rPr>
        <w:t>”) and (b) having service of process made upon such stockholder in any such FSC Enforcement Action by service upon such stockholder’s counsel in the Foreign Action as agent for such stockholder, except for any action (i)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(ii) which is vested in the exclusive jurisdiction of a court or forum other than the Court of Chancery or (iii) for which the Court of Chancery does not have subject matter jurisdiction.</w:t>
      </w:r>
    </w:p>
    <w:p>
      <w:pPr>
        <w:spacing w:after="0" w:line="182" w:lineRule="exact"/>
        <w:rPr>
          <w:sz w:val="20"/>
          <w:szCs w:val="20"/>
          <w:color w:val="auto"/>
        </w:rPr>
      </w:pPr>
    </w:p>
    <w:p>
      <w:pPr>
        <w:jc w:val="both"/>
        <w:ind w:left="840"/>
        <w:spacing w:after="0" w:line="272" w:lineRule="auto"/>
        <w:rPr>
          <w:sz w:val="20"/>
          <w:szCs w:val="20"/>
          <w:color w:val="auto"/>
        </w:rPr>
      </w:pPr>
      <w:r>
        <w:rPr>
          <w:rFonts w:ascii="Arial" w:cs="Arial" w:eastAsia="Arial" w:hAnsi="Arial"/>
          <w:sz w:val="17"/>
          <w:szCs w:val="17"/>
          <w:color w:val="auto"/>
        </w:rPr>
        <w:t>D. If any provision or provisions of this Article Eighth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Eighth (including, without limitation, each portion of any sentence of this Article Eighth containing any such provision held to be invalid, illegal or unenforceable that is not itself held to be invalid, illegal or unenforceable) and the application of such provision to other persons or entities and circumstances shall not in any way be affected or impaired thereby. Any person or entity purchasing or otherwise acquiring any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464820</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25" w:right="999" w:bottom="1440" w:gutter="0" w:footer="0" w:header="0"/>
        </w:sectPr>
      </w:pPr>
    </w:p>
    <w:bookmarkStart w:id="41" w:name="page42"/>
    <w:bookmarkEnd w:id="41"/>
    <w:p>
      <w:pPr>
        <w:ind w:left="840"/>
        <w:spacing w:after="0" w:line="277" w:lineRule="auto"/>
        <w:rPr>
          <w:sz w:val="20"/>
          <w:szCs w:val="20"/>
          <w:color w:val="auto"/>
        </w:rPr>
      </w:pPr>
      <w:r>
        <w:rPr>
          <w:rFonts w:ascii="Arial" w:cs="Arial" w:eastAsia="Arial" w:hAnsi="Arial"/>
          <w:sz w:val="18"/>
          <w:szCs w:val="18"/>
          <w:color w:val="auto"/>
        </w:rPr>
        <w:t>in shares of capital stock of the Corporation shall be deemed to have notice of and consented to the provisions of this Article Eighth.</w:t>
      </w:r>
    </w:p>
    <w:p>
      <w:pPr>
        <w:spacing w:after="0" w:line="170" w:lineRule="exact"/>
        <w:rPr>
          <w:sz w:val="20"/>
          <w:szCs w:val="20"/>
          <w:color w:val="auto"/>
        </w:rPr>
      </w:pPr>
    </w:p>
    <w:p>
      <w:pPr>
        <w:jc w:val="both"/>
        <w:ind w:left="200"/>
        <w:spacing w:after="0" w:line="269" w:lineRule="auto"/>
        <w:rPr>
          <w:sz w:val="20"/>
          <w:szCs w:val="20"/>
          <w:color w:val="auto"/>
        </w:rPr>
      </w:pPr>
      <w:r>
        <w:rPr>
          <w:rFonts w:ascii="Arial" w:cs="Arial" w:eastAsia="Arial" w:hAnsi="Arial"/>
          <w:sz w:val="17"/>
          <w:szCs w:val="17"/>
          <w:color w:val="auto"/>
        </w:rPr>
        <w:t>NINTH: To the extent allowed by law, the doctrine of corporate opportunity, or any other analogous doctrine, shall not apply with respect to the Corporation or any of its officers or directors, or any of their respective affiliates, in circumstances where the application of any such doctrine would conflict with any fiduciary duties or contractual obligations they may have as of the date of this Second Amended and Restated Certificate of Incorporation or in the future, and the Corporation renounces any expectancy that any of the directors or officers of the Corporation will offer any such corporate opportunity of which he or she may become aware to the Corporation, except, the doctrine of corporate opportunity shall apply with respect to any of the directors or officers of the Corporation only with respect to a corporate opportunity that was offered to such person solely in his or her capacity as a director or officer of the Corporation and (i) such opportunity is one the Corporation is legally and contractually permitted to undertake and would otherwise be reasonable for the Corporation to pursue and (ii) the director or officer is permitted to refer that opportunity to the Corporation without violating any legal obligation.</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TENTH:</w:t>
      </w:r>
    </w:p>
    <w:p>
      <w:pPr>
        <w:spacing w:after="0" w:line="22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A. The Corporation hereby expressly elects not to be governed by Section 203 of the GCL.</w:t>
      </w:r>
    </w:p>
    <w:p>
      <w:pPr>
        <w:spacing w:after="0" w:line="225" w:lineRule="exact"/>
        <w:rPr>
          <w:sz w:val="20"/>
          <w:szCs w:val="20"/>
          <w:color w:val="auto"/>
        </w:rPr>
      </w:pPr>
    </w:p>
    <w:p>
      <w:pPr>
        <w:jc w:val="both"/>
        <w:ind w:left="840"/>
        <w:spacing w:after="0" w:line="259" w:lineRule="auto"/>
        <w:rPr>
          <w:sz w:val="20"/>
          <w:szCs w:val="20"/>
          <w:color w:val="auto"/>
        </w:rPr>
      </w:pPr>
      <w:r>
        <w:rPr>
          <w:rFonts w:ascii="Arial" w:cs="Arial" w:eastAsia="Arial" w:hAnsi="Arial"/>
          <w:sz w:val="18"/>
          <w:szCs w:val="18"/>
          <w:color w:val="auto"/>
        </w:rPr>
        <w:t>B. Notwithstanding the foregoing, the Corporation shall not engage in any business combination (as defined below), at any point in time at which the Corporation’s Common Stock is registered under Section 12(b) or 12(g) of the Exchange Act with any interested stockholder (as defined below) for a period of three (3) years following the time that such stockholder became an interested stockholder, unless:</w:t>
      </w:r>
    </w:p>
    <w:p>
      <w:pPr>
        <w:spacing w:after="0" w:line="187" w:lineRule="exact"/>
        <w:rPr>
          <w:sz w:val="20"/>
          <w:szCs w:val="20"/>
          <w:color w:val="auto"/>
        </w:rPr>
      </w:pPr>
    </w:p>
    <w:p>
      <w:pPr>
        <w:ind w:left="1820" w:right="340" w:hanging="328"/>
        <w:spacing w:after="0" w:line="277" w:lineRule="auto"/>
        <w:tabs>
          <w:tab w:leader="none" w:pos="1820" w:val="left"/>
        </w:tabs>
        <w:numPr>
          <w:ilvl w:val="2"/>
          <w:numId w:val="12"/>
        </w:numPr>
        <w:rPr>
          <w:rFonts w:ascii="Arial" w:cs="Arial" w:eastAsia="Arial" w:hAnsi="Arial"/>
          <w:sz w:val="18"/>
          <w:szCs w:val="18"/>
          <w:color w:val="auto"/>
        </w:rPr>
      </w:pPr>
      <w:r>
        <w:rPr>
          <w:rFonts w:ascii="Arial" w:cs="Arial" w:eastAsia="Arial" w:hAnsi="Arial"/>
          <w:sz w:val="18"/>
          <w:szCs w:val="18"/>
          <w:color w:val="auto"/>
        </w:rPr>
        <w:t>prior to such time, the Board of Directors approved either the business combination or the transaction which resulted in the stockholder becoming an interested stockholder,</w:t>
      </w:r>
    </w:p>
    <w:p>
      <w:pPr>
        <w:spacing w:after="0" w:line="170" w:lineRule="exact"/>
        <w:rPr>
          <w:rFonts w:ascii="Arial" w:cs="Arial" w:eastAsia="Arial" w:hAnsi="Arial"/>
          <w:sz w:val="18"/>
          <w:szCs w:val="18"/>
          <w:color w:val="auto"/>
        </w:rPr>
      </w:pPr>
    </w:p>
    <w:p>
      <w:pPr>
        <w:ind w:left="1820" w:right="60" w:hanging="328"/>
        <w:spacing w:after="0" w:line="272" w:lineRule="auto"/>
        <w:tabs>
          <w:tab w:leader="none" w:pos="1820" w:val="left"/>
        </w:tabs>
        <w:numPr>
          <w:ilvl w:val="2"/>
          <w:numId w:val="12"/>
        </w:numPr>
        <w:rPr>
          <w:rFonts w:ascii="Arial" w:cs="Arial" w:eastAsia="Arial" w:hAnsi="Arial"/>
          <w:sz w:val="17"/>
          <w:szCs w:val="17"/>
          <w:color w:val="auto"/>
        </w:rPr>
      </w:pPr>
      <w:r>
        <w:rPr>
          <w:rFonts w:ascii="Arial" w:cs="Arial" w:eastAsia="Arial" w:hAnsi="Arial"/>
          <w:sz w:val="17"/>
          <w:szCs w:val="17"/>
          <w:color w:val="auto"/>
        </w:rPr>
        <w:t>upon consummation of the transaction that resulted in the stockholder becoming an interested stockholder, the interested stockholder owned at least eighty-five percent (85%) of the voting stock outstanding at the time the transaction commenced, excluding for purposes of determining the voting stock outstanding (but not the outstanding voting stock owned by the interested stockholder) those shares owned by (i) persons who are directors and also officers of the Corporation and (ii) employee stock plans in which employee participants do not have the right to determine confidentially whether shares held subject to the plan will be tendered in a tender or exchange offer, or</w:t>
      </w:r>
    </w:p>
    <w:p>
      <w:pPr>
        <w:spacing w:after="0" w:line="177" w:lineRule="exact"/>
        <w:rPr>
          <w:rFonts w:ascii="Arial" w:cs="Arial" w:eastAsia="Arial" w:hAnsi="Arial"/>
          <w:sz w:val="17"/>
          <w:szCs w:val="17"/>
          <w:color w:val="auto"/>
        </w:rPr>
      </w:pPr>
    </w:p>
    <w:p>
      <w:pPr>
        <w:ind w:left="1820" w:right="80" w:hanging="328"/>
        <w:spacing w:after="0" w:line="311" w:lineRule="auto"/>
        <w:tabs>
          <w:tab w:leader="none" w:pos="1820" w:val="left"/>
        </w:tabs>
        <w:numPr>
          <w:ilvl w:val="2"/>
          <w:numId w:val="12"/>
        </w:numPr>
        <w:rPr>
          <w:rFonts w:ascii="Arial" w:cs="Arial" w:eastAsia="Arial" w:hAnsi="Arial"/>
          <w:sz w:val="16"/>
          <w:szCs w:val="16"/>
          <w:color w:val="auto"/>
        </w:rPr>
      </w:pPr>
      <w:r>
        <w:rPr>
          <w:rFonts w:ascii="Arial" w:cs="Arial" w:eastAsia="Arial" w:hAnsi="Arial"/>
          <w:sz w:val="16"/>
          <w:szCs w:val="16"/>
          <w:color w:val="auto"/>
        </w:rPr>
        <w:t>at or subsequent to that time, the business combination is approved by the Board of Directors and authorized at an annual or special meeting of stockholders, and not by written consent, by the affirmative vote of at least 66-2/3% of the outstanding voting stock that is not owned by the interested stockholder.</w:t>
      </w:r>
    </w:p>
    <w:p>
      <w:pPr>
        <w:spacing w:after="0" w:line="148" w:lineRule="exact"/>
        <w:rPr>
          <w:rFonts w:ascii="Arial" w:cs="Arial" w:eastAsia="Arial" w:hAnsi="Arial"/>
          <w:sz w:val="16"/>
          <w:szCs w:val="16"/>
          <w:color w:val="auto"/>
        </w:rPr>
      </w:pPr>
    </w:p>
    <w:p>
      <w:pPr>
        <w:ind w:left="1060" w:hanging="216"/>
        <w:spacing w:after="0"/>
        <w:tabs>
          <w:tab w:leader="none" w:pos="10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Solely for purposes of this Article Tenth, references to:</w:t>
      </w:r>
    </w:p>
    <w:p>
      <w:pPr>
        <w:spacing w:after="0" w:line="225" w:lineRule="exact"/>
        <w:rPr>
          <w:rFonts w:ascii="Arial" w:cs="Arial" w:eastAsia="Arial" w:hAnsi="Arial"/>
          <w:sz w:val="18"/>
          <w:szCs w:val="18"/>
          <w:color w:val="auto"/>
        </w:rPr>
      </w:pPr>
    </w:p>
    <w:p>
      <w:pPr>
        <w:ind w:left="840" w:right="80" w:hanging="644"/>
        <w:spacing w:after="0" w:line="277" w:lineRule="auto"/>
        <w:tabs>
          <w:tab w:leader="none" w:pos="723"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 person that directly, or indirectly through one or more intermediaries, controls, or is controlled by, or is under common control with, another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460375</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25" w:right="999" w:bottom="1440" w:gutter="0" w:footer="0" w:header="0"/>
        </w:sectPr>
      </w:pPr>
    </w:p>
    <w:bookmarkStart w:id="42" w:name="page43"/>
    <w:bookmarkEnd w:id="42"/>
    <w:p>
      <w:pPr>
        <w:ind w:left="840" w:right="20" w:hanging="644"/>
        <w:spacing w:after="0" w:line="255" w:lineRule="auto"/>
        <w:tabs>
          <w:tab w:leader="none" w:pos="8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associate</w:t>
      </w:r>
      <w:r>
        <w:rPr>
          <w:rFonts w:ascii="Arial" w:cs="Arial" w:eastAsia="Arial" w:hAnsi="Arial"/>
          <w:sz w:val="18"/>
          <w:szCs w:val="18"/>
          <w:color w:val="auto"/>
        </w:rPr>
        <w:t>,” when used to indicate a relationship with any person, means: (a) any corporation, partnership, unincorporated association or other entity of which such person is a director, officer or partner or is, directly or indirectly, the owner of twenty percent (20%) or more of any class of voting stock; (b) any trust or other estate in which such person has at least a twenty percent (20%) beneficial interest or as to which such person serves as trustee or in a similar fiduciary capacity; and (c) any relative or spouse of such person, or any relative of such spouse, who has the same residence as such person.</w:t>
      </w:r>
    </w:p>
    <w:p>
      <w:pPr>
        <w:spacing w:after="0" w:line="192" w:lineRule="exact"/>
        <w:rPr>
          <w:rFonts w:ascii="Arial" w:cs="Arial" w:eastAsia="Arial" w:hAnsi="Arial"/>
          <w:sz w:val="18"/>
          <w:szCs w:val="18"/>
          <w:color w:val="auto"/>
        </w:rPr>
      </w:pPr>
    </w:p>
    <w:p>
      <w:pPr>
        <w:ind w:left="840" w:right="80" w:hanging="644"/>
        <w:spacing w:after="0" w:line="277" w:lineRule="auto"/>
        <w:tabs>
          <w:tab w:leader="none" w:pos="8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 when used in reference to the Corporation and any interested stockholder of the Corporation, means:</w:t>
      </w:r>
    </w:p>
    <w:p>
      <w:pPr>
        <w:spacing w:after="0" w:line="170" w:lineRule="exact"/>
        <w:rPr>
          <w:rFonts w:ascii="Arial" w:cs="Arial" w:eastAsia="Arial" w:hAnsi="Arial"/>
          <w:sz w:val="18"/>
          <w:szCs w:val="18"/>
          <w:color w:val="auto"/>
        </w:rPr>
      </w:pPr>
    </w:p>
    <w:p>
      <w:pPr>
        <w:ind w:left="2140" w:hanging="324"/>
        <w:spacing w:after="0" w:line="257" w:lineRule="auto"/>
        <w:tabs>
          <w:tab w:leader="none" w:pos="21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merger or consolidation of the Corporation or any direct or indirect majority-owned subsidiary of the Corporation (i) with the interested stockholder, or (ii) with any other corporation, partnership, unincorporated association or other entity if the merger or consolidation is caused by the interested stockholder and as a result of such merger or consolidation Paragraph B of Article Tenth is not applicable to the surviving entity;</w:t>
      </w:r>
    </w:p>
    <w:p>
      <w:pPr>
        <w:spacing w:after="0" w:line="187" w:lineRule="exact"/>
        <w:rPr>
          <w:rFonts w:ascii="Arial" w:cs="Arial" w:eastAsia="Arial" w:hAnsi="Arial"/>
          <w:sz w:val="18"/>
          <w:szCs w:val="18"/>
          <w:color w:val="auto"/>
        </w:rPr>
      </w:pPr>
    </w:p>
    <w:p>
      <w:pPr>
        <w:ind w:left="2140" w:right="20" w:hanging="324"/>
        <w:spacing w:after="0" w:line="272" w:lineRule="auto"/>
        <w:tabs>
          <w:tab w:leader="none" w:pos="2140" w:val="left"/>
        </w:tabs>
        <w:numPr>
          <w:ilvl w:val="1"/>
          <w:numId w:val="15"/>
        </w:numPr>
        <w:rPr>
          <w:rFonts w:ascii="Arial" w:cs="Arial" w:eastAsia="Arial" w:hAnsi="Arial"/>
          <w:sz w:val="17"/>
          <w:szCs w:val="17"/>
          <w:color w:val="auto"/>
        </w:rPr>
      </w:pPr>
      <w:r>
        <w:rPr>
          <w:rFonts w:ascii="Arial" w:cs="Arial" w:eastAsia="Arial" w:hAnsi="Arial"/>
          <w:sz w:val="17"/>
          <w:szCs w:val="17"/>
          <w:color w:val="auto"/>
        </w:rPr>
        <w:t>any sale, lease, exchange, mortgage, pledge, transfer or other disposition (in one transaction or a series of transactions), except proportionately as a stockholder of the Corporation, to or with the interested stockholder, whether as part of a dissolution or otherwise, of assets of the Corporation or of any direct or indirect majority-owned subsidiary of the Corporation which assets have an aggregate market value equal to ten percent (10%) or more of either the aggregate market value of all the assets of the Corporation determined on a consolidated basis or the aggregate market value of all the outstanding stock of the Corporation;</w:t>
      </w:r>
    </w:p>
    <w:p>
      <w:pPr>
        <w:spacing w:after="0" w:line="177" w:lineRule="exact"/>
        <w:rPr>
          <w:rFonts w:ascii="Arial" w:cs="Arial" w:eastAsia="Arial" w:hAnsi="Arial"/>
          <w:sz w:val="17"/>
          <w:szCs w:val="17"/>
          <w:color w:val="auto"/>
        </w:rPr>
      </w:pPr>
    </w:p>
    <w:p>
      <w:pPr>
        <w:ind w:left="2140" w:right="60" w:hanging="324"/>
        <w:spacing w:after="0" w:line="283" w:lineRule="auto"/>
        <w:tabs>
          <w:tab w:leader="none" w:pos="2140" w:val="left"/>
        </w:tabs>
        <w:numPr>
          <w:ilvl w:val="1"/>
          <w:numId w:val="15"/>
        </w:numPr>
        <w:rPr>
          <w:rFonts w:ascii="Arial" w:cs="Arial" w:eastAsia="Arial" w:hAnsi="Arial"/>
          <w:sz w:val="16"/>
          <w:szCs w:val="16"/>
          <w:color w:val="auto"/>
        </w:rPr>
      </w:pPr>
      <w:r>
        <w:rPr>
          <w:rFonts w:ascii="Arial" w:cs="Arial" w:eastAsia="Arial" w:hAnsi="Arial"/>
          <w:sz w:val="16"/>
          <w:szCs w:val="16"/>
          <w:color w:val="auto"/>
        </w:rPr>
        <w:t xml:space="preserve">any transaction which results in the issuance or transfer by the Corporation or by any direct or indirect majority-owned subsidiary of the Corporation of any stock of the Corporation or of such subsidiary to the interested stockholder, except: (i) pursuant to the exercise, exchange or conversion of securities exercisable for, exchangeable for or convertible into stock of the Corporation or any such subsidiary which securities were outstanding prior to the time that the interested stockholder became such; (ii) pursuant to a merger under Section 251(g) of the GCL; (iii) pursuant to a dividend or distribution paid or made, or the exercise, exchange or conversion of securities exercisable for, exchangeable for or convertible into stock of the Corporation or any such subsidiary which security is distributed, pro rata to all stockholders of a class or series of stock of the Corporation subsequent to the time the interested stockholder became such; (iv) pursuant to an exchange offer by the Corporation to purchase stock made on the same terms to all stockholders of said stock; or (v) any issuance or transfer of stock by the Corporation;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case under items (iii)-</w:t>
      </w:r>
    </w:p>
    <w:p>
      <w:pPr>
        <w:spacing w:after="0" w:line="2" w:lineRule="exact"/>
        <w:rPr>
          <w:rFonts w:ascii="Arial" w:cs="Arial" w:eastAsia="Arial" w:hAnsi="Arial"/>
          <w:sz w:val="16"/>
          <w:szCs w:val="16"/>
          <w:color w:val="auto"/>
        </w:rPr>
      </w:pPr>
    </w:p>
    <w:p>
      <w:pPr>
        <w:jc w:val="both"/>
        <w:ind w:left="2140" w:right="20"/>
        <w:spacing w:after="0" w:line="277" w:lineRule="auto"/>
        <w:rPr>
          <w:rFonts w:ascii="Arial" w:cs="Arial" w:eastAsia="Arial" w:hAnsi="Arial"/>
          <w:sz w:val="16"/>
          <w:szCs w:val="16"/>
          <w:color w:val="auto"/>
        </w:rPr>
      </w:pPr>
      <w:r>
        <w:rPr>
          <w:rFonts w:ascii="Arial" w:cs="Arial" w:eastAsia="Arial" w:hAnsi="Arial"/>
          <w:sz w:val="17"/>
          <w:szCs w:val="17"/>
          <w:color w:val="auto"/>
        </w:rPr>
        <w:t>(v) of this subsection (c) shall there be an increase in the interested stockholder’s proportionate share of the stock of any class or series of the Corporation or of the voting stock of the Corporation (except as a result of immaterial changes due to fractional share adjustments);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461645</wp:posOffset>
            </wp:positionV>
            <wp:extent cx="629221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25" w:right="999" w:bottom="1440" w:gutter="0" w:footer="0" w:header="0"/>
        </w:sectPr>
      </w:pPr>
    </w:p>
    <w:bookmarkStart w:id="43" w:name="page44"/>
    <w:bookmarkEnd w:id="43"/>
    <w:p>
      <w:pPr>
        <w:ind w:left="2140" w:right="80" w:hanging="324"/>
        <w:spacing w:after="0" w:line="293" w:lineRule="auto"/>
        <w:tabs>
          <w:tab w:leader="none" w:pos="214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any transaction involving the Corporation or any direct or indirect majority-owned subsidiary of the Corporation which has the effect, directly or indirectly, of increasing the proportionate share of the stock of any class or series, or securities convertible into the stock of any class or series, of the Corporation or of any such subsidiary which is owned by the interested stockholder, except as a result of immaterial changes due to fractional share adjustments or as a result of any purchase or redemption of any shares of stock not caused, directly or indirectly, by the interested stockholder.</w:t>
      </w:r>
    </w:p>
    <w:p>
      <w:pPr>
        <w:spacing w:after="0" w:line="164" w:lineRule="exact"/>
        <w:rPr>
          <w:rFonts w:ascii="Arial" w:cs="Arial" w:eastAsia="Arial" w:hAnsi="Arial"/>
          <w:sz w:val="16"/>
          <w:szCs w:val="16"/>
          <w:color w:val="auto"/>
        </w:rPr>
      </w:pPr>
    </w:p>
    <w:p>
      <w:pPr>
        <w:ind w:left="840" w:hanging="644"/>
        <w:spacing w:after="0" w:line="271" w:lineRule="auto"/>
        <w:tabs>
          <w:tab w:leader="none" w:pos="840" w:val="left"/>
        </w:tabs>
        <w:numPr>
          <w:ilvl w:val="0"/>
          <w:numId w:val="17"/>
        </w:numPr>
        <w:rPr>
          <w:rFonts w:ascii="Arial" w:cs="Arial" w:eastAsia="Arial" w:hAnsi="Arial"/>
          <w:sz w:val="17"/>
          <w:szCs w:val="17"/>
          <w:color w:val="auto"/>
        </w:rPr>
      </w:pPr>
      <w:r>
        <w:rPr>
          <w:rFonts w:ascii="Arial" w:cs="Arial" w:eastAsia="Arial" w:hAnsi="Arial"/>
          <w:sz w:val="17"/>
          <w:szCs w:val="17"/>
          <w:b w:val="1"/>
          <w:bCs w:val="1"/>
          <w:i w:val="1"/>
          <w:iCs w:val="1"/>
          <w:color w:val="auto"/>
        </w:rPr>
        <w:t>“control</w:t>
      </w:r>
      <w:r>
        <w:rPr>
          <w:rFonts w:ascii="Arial" w:cs="Arial" w:eastAsia="Arial" w:hAnsi="Arial"/>
          <w:sz w:val="17"/>
          <w:szCs w:val="17"/>
          <w:color w:val="auto"/>
        </w:rPr>
        <w:t>,” including the terms “</w:t>
      </w:r>
      <w:r>
        <w:rPr>
          <w:rFonts w:ascii="Arial" w:cs="Arial" w:eastAsia="Arial" w:hAnsi="Arial"/>
          <w:sz w:val="17"/>
          <w:szCs w:val="17"/>
          <w:b w:val="1"/>
          <w:bCs w:val="1"/>
          <w:i w:val="1"/>
          <w:iCs w:val="1"/>
          <w:color w:val="auto"/>
        </w:rPr>
        <w:t>controlling</w:t>
      </w:r>
      <w:r>
        <w:rPr>
          <w:rFonts w:ascii="Arial" w:cs="Arial" w:eastAsia="Arial" w:hAnsi="Arial"/>
          <w:sz w:val="17"/>
          <w:szCs w:val="17"/>
          <w:color w:val="auto"/>
        </w:rPr>
        <w:t>,” “</w:t>
      </w:r>
      <w:r>
        <w:rPr>
          <w:rFonts w:ascii="Arial" w:cs="Arial" w:eastAsia="Arial" w:hAnsi="Arial"/>
          <w:sz w:val="17"/>
          <w:szCs w:val="17"/>
          <w:b w:val="1"/>
          <w:bCs w:val="1"/>
          <w:i w:val="1"/>
          <w:iCs w:val="1"/>
          <w:color w:val="auto"/>
        </w:rPr>
        <w:t>controlled by</w:t>
      </w:r>
      <w:r>
        <w:rPr>
          <w:rFonts w:ascii="Arial" w:cs="Arial" w:eastAsia="Arial" w:hAnsi="Arial"/>
          <w:sz w:val="17"/>
          <w:szCs w:val="17"/>
          <w:color w:val="auto"/>
        </w:rPr>
        <w:t>” and “</w:t>
      </w:r>
      <w:r>
        <w:rPr>
          <w:rFonts w:ascii="Arial" w:cs="Arial" w:eastAsia="Arial" w:hAnsi="Arial"/>
          <w:sz w:val="17"/>
          <w:szCs w:val="17"/>
          <w:b w:val="1"/>
          <w:bCs w:val="1"/>
          <w:i w:val="1"/>
          <w:iCs w:val="1"/>
          <w:color w:val="auto"/>
        </w:rPr>
        <w:t>under common control with</w:t>
      </w:r>
      <w:r>
        <w:rPr>
          <w:rFonts w:ascii="Arial" w:cs="Arial" w:eastAsia="Arial" w:hAnsi="Arial"/>
          <w:sz w:val="17"/>
          <w:szCs w:val="17"/>
          <w:color w:val="auto"/>
        </w:rPr>
        <w:t>,” means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possession, directly or indirectly, of the power to direct or cause the direction of the management and policies of a person, whether through the ownership of voting stock, by contract, or otherwise. A person who is the owner of twenty percent (20%) or more of the voting power of the outstanding voting stock of the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as an agent, bank, broker, nominee, custodian or trustee for one or more owners who do not individually or as a group have control of such entity.</w:t>
      </w:r>
    </w:p>
    <w:p>
      <w:pPr>
        <w:spacing w:after="0" w:line="178" w:lineRule="exact"/>
        <w:rPr>
          <w:rFonts w:ascii="Arial" w:cs="Arial" w:eastAsia="Arial" w:hAnsi="Arial"/>
          <w:sz w:val="17"/>
          <w:szCs w:val="17"/>
          <w:color w:val="auto"/>
        </w:rPr>
      </w:pPr>
    </w:p>
    <w:p>
      <w:pPr>
        <w:ind w:left="840" w:right="20" w:hanging="644"/>
        <w:spacing w:after="0" w:line="263" w:lineRule="auto"/>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Exempted Person</w:t>
      </w:r>
      <w:r>
        <w:rPr>
          <w:rFonts w:ascii="Arial" w:cs="Arial" w:eastAsia="Arial" w:hAnsi="Arial"/>
          <w:sz w:val="18"/>
          <w:szCs w:val="18"/>
          <w:color w:val="auto"/>
        </w:rPr>
        <w:t>” means Chardan NexTech Investments 2 LLC and its affiliates, any of their direct or indirect transferees of at least 15% of the Corporation’s outstanding Common Stock and any “group” of which any such person is a part under Rule 13d-5 of the Exchange Act.</w:t>
      </w:r>
    </w:p>
    <w:p>
      <w:pPr>
        <w:spacing w:after="0" w:line="183" w:lineRule="exact"/>
        <w:rPr>
          <w:rFonts w:ascii="Arial" w:cs="Arial" w:eastAsia="Arial" w:hAnsi="Arial"/>
          <w:sz w:val="18"/>
          <w:szCs w:val="18"/>
          <w:color w:val="auto"/>
        </w:rPr>
      </w:pPr>
    </w:p>
    <w:p>
      <w:pPr>
        <w:ind w:left="840" w:hanging="644"/>
        <w:spacing w:after="0" w:line="286" w:lineRule="auto"/>
        <w:tabs>
          <w:tab w:leader="none" w:pos="8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interested stockholder</w:t>
      </w:r>
      <w:r>
        <w:rPr>
          <w:rFonts w:ascii="Arial" w:cs="Arial" w:eastAsia="Arial" w:hAnsi="Arial"/>
          <w:sz w:val="16"/>
          <w:szCs w:val="16"/>
          <w:color w:val="auto"/>
        </w:rPr>
        <w:t>” means any person (other than the Corporation or any direct or indirect majority-owned subsidiary of the Corporation) that (a) is the owner of fifteen percent (15%) or more of the voting stock of the Corporation, or (b) is an affiliate or associate of the Corporation and was the owner of fifteen percent (15%) or more of the voting stock of the Corporation at any time within the three (3) year period immediately prior to the date on which it is sought to be determined whether such person is an interested stockholder; and the affiliates and associates of such person; but “interested stockholder” shall not include (i) any Exempted Person, or (ii) any person whose ownership of shares in excess of the fifteen percent (15%) limitation set forth herein is the result of any action taken solely by the Corporation; provided that with respect to clause (ii) such person shall be an interested stockholder if thereafter such person acquires additional shares of voting stock of the Corporation, except as a result of further corporate action not caused, directly or indirectly, by such person. For the purpose of determining whether a person is an interested stockholder, the voting stock of the Corporation deemed to be outstanding shall include stock deemed to be owned by the person through application of the definition of “owner” below but shall not include any other unissued stock of the Corporation which may be issuable pursuant to any agreement, arrangement or understanding, or upon exercise of conversion rights, warrants or options,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460375</wp:posOffset>
            </wp:positionV>
            <wp:extent cx="629221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20"/>
          </w:cols>
          <w:pgMar w:left="1440" w:top="125" w:right="1039" w:bottom="1440" w:gutter="0" w:footer="0" w:header="0"/>
        </w:sectPr>
      </w:pPr>
    </w:p>
    <w:bookmarkStart w:id="44" w:name="page45"/>
    <w:bookmarkEnd w:id="44"/>
    <w:p>
      <w:pPr>
        <w:ind w:left="840" w:right="740" w:hanging="644"/>
        <w:spacing w:after="0" w:line="277" w:lineRule="auto"/>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owner</w:t>
      </w:r>
      <w:r>
        <w:rPr>
          <w:rFonts w:ascii="Arial" w:cs="Arial" w:eastAsia="Arial" w:hAnsi="Arial"/>
          <w:sz w:val="18"/>
          <w:szCs w:val="18"/>
          <w:color w:val="auto"/>
        </w:rPr>
        <w:t>,” including the terms “</w:t>
      </w:r>
      <w:r>
        <w:rPr>
          <w:rFonts w:ascii="Arial" w:cs="Arial" w:eastAsia="Arial" w:hAnsi="Arial"/>
          <w:sz w:val="18"/>
          <w:szCs w:val="18"/>
          <w:b w:val="1"/>
          <w:bCs w:val="1"/>
          <w:i w:val="1"/>
          <w:iCs w:val="1"/>
          <w:color w:val="auto"/>
        </w:rPr>
        <w:t>own</w:t>
      </w:r>
      <w:r>
        <w:rPr>
          <w:rFonts w:ascii="Arial" w:cs="Arial" w:eastAsia="Arial" w:hAnsi="Arial"/>
          <w:sz w:val="18"/>
          <w:szCs w:val="18"/>
          <w:color w:val="auto"/>
        </w:rPr>
        <w:t>” and “</w:t>
      </w:r>
      <w:r>
        <w:rPr>
          <w:rFonts w:ascii="Arial" w:cs="Arial" w:eastAsia="Arial" w:hAnsi="Arial"/>
          <w:sz w:val="18"/>
          <w:szCs w:val="18"/>
          <w:b w:val="1"/>
          <w:bCs w:val="1"/>
          <w:i w:val="1"/>
          <w:iCs w:val="1"/>
          <w:color w:val="auto"/>
        </w:rPr>
        <w:t>owned</w:t>
      </w:r>
      <w:r>
        <w:rPr>
          <w:rFonts w:ascii="Arial" w:cs="Arial" w:eastAsia="Arial" w:hAnsi="Arial"/>
          <w:sz w:val="18"/>
          <w:szCs w:val="18"/>
          <w:color w:val="auto"/>
        </w:rPr>
        <w:t>,” when used with respect to any stock, means a person that individually or with or through any of its affiliates or associates:</w:t>
      </w:r>
    </w:p>
    <w:p>
      <w:pPr>
        <w:spacing w:after="0" w:line="170" w:lineRule="exact"/>
        <w:rPr>
          <w:rFonts w:ascii="Arial" w:cs="Arial" w:eastAsia="Arial" w:hAnsi="Arial"/>
          <w:sz w:val="18"/>
          <w:szCs w:val="18"/>
          <w:color w:val="auto"/>
        </w:rPr>
      </w:pPr>
    </w:p>
    <w:p>
      <w:pPr>
        <w:ind w:left="1500" w:hanging="332"/>
        <w:spacing w:after="0"/>
        <w:tabs>
          <w:tab w:leader="none" w:pos="15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beneficially owns such stock, directly or indirectly; or</w:t>
      </w:r>
    </w:p>
    <w:p>
      <w:pPr>
        <w:spacing w:after="0" w:line="225" w:lineRule="exact"/>
        <w:rPr>
          <w:rFonts w:ascii="Arial" w:cs="Arial" w:eastAsia="Arial" w:hAnsi="Arial"/>
          <w:sz w:val="18"/>
          <w:szCs w:val="18"/>
          <w:color w:val="auto"/>
        </w:rPr>
      </w:pPr>
    </w:p>
    <w:p>
      <w:pPr>
        <w:ind w:left="1500" w:right="20" w:hanging="332"/>
        <w:spacing w:after="0" w:line="289" w:lineRule="auto"/>
        <w:tabs>
          <w:tab w:leader="none" w:pos="15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 xml:space="preserve">has (i) the right to acquire such stock (whether such right is exercisable immediately or only after the passage of time) pursuant to any agreement, arrangement or understanding, or upon the exercise of conversion rights, exchange rights, warrants or options, or otherwise;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 person shall not be deemed the owner of stock tendered pursuant to a tender or exchange offer made by such person or any of such person’s affiliates or associates until such tendered stock is accepted for purchase or exchange; or (ii) the right to vote such stock pursuant to any agreement, arrangement or understanding;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person shall not be deemed the owner of any stock because of such person’s right to vote such stock if the agreement, arrangement or understanding to vote such stock arises solely from a revocable proxy or consent given in response to a proxy or consent solicitation made to ten (10) or more persons; or</w:t>
      </w:r>
    </w:p>
    <w:p>
      <w:pPr>
        <w:spacing w:after="0" w:line="166" w:lineRule="exact"/>
        <w:rPr>
          <w:rFonts w:ascii="Arial" w:cs="Arial" w:eastAsia="Arial" w:hAnsi="Arial"/>
          <w:sz w:val="16"/>
          <w:szCs w:val="16"/>
          <w:color w:val="auto"/>
        </w:rPr>
      </w:pPr>
    </w:p>
    <w:p>
      <w:pPr>
        <w:ind w:left="1500" w:right="60" w:hanging="332"/>
        <w:spacing w:after="0" w:line="259" w:lineRule="auto"/>
        <w:tabs>
          <w:tab w:leader="none" w:pos="15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as any agreement, arrangement or understanding for the purpose of acquiring, holding, voting (except voting pursuant to a revocable proxy or consent as described in item (ii) of subsection (b) above), or disposing of such stock with any other person that beneficially owns, or whose affiliates or associates beneficially own, directly or indirectly, such stock.</w:t>
      </w:r>
    </w:p>
    <w:p>
      <w:pPr>
        <w:spacing w:after="0" w:line="186" w:lineRule="exact"/>
        <w:rPr>
          <w:rFonts w:ascii="Arial" w:cs="Arial" w:eastAsia="Arial" w:hAnsi="Arial"/>
          <w:sz w:val="18"/>
          <w:szCs w:val="18"/>
          <w:color w:val="auto"/>
        </w:rPr>
      </w:pPr>
    </w:p>
    <w:p>
      <w:pPr>
        <w:ind w:left="840" w:hanging="644"/>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individual, corporation, partnership, unincorporated association or other entity.</w:t>
      </w:r>
    </w:p>
    <w:p>
      <w:pPr>
        <w:spacing w:after="0" w:line="225" w:lineRule="exact"/>
        <w:rPr>
          <w:rFonts w:ascii="Arial" w:cs="Arial" w:eastAsia="Arial" w:hAnsi="Arial"/>
          <w:sz w:val="18"/>
          <w:szCs w:val="18"/>
          <w:color w:val="auto"/>
        </w:rPr>
      </w:pPr>
    </w:p>
    <w:p>
      <w:pPr>
        <w:ind w:left="840" w:hanging="644"/>
        <w:spacing w:after="0"/>
        <w:tabs>
          <w:tab w:leader="none" w:pos="8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stock</w:t>
      </w:r>
      <w:r>
        <w:rPr>
          <w:rFonts w:ascii="Arial" w:cs="Arial" w:eastAsia="Arial" w:hAnsi="Arial"/>
          <w:sz w:val="16"/>
          <w:szCs w:val="16"/>
          <w:color w:val="auto"/>
        </w:rPr>
        <w:t>” means, with respect to any corporation, capital stock and, with respect to any other entity, any equity interest.</w:t>
      </w:r>
    </w:p>
    <w:p>
      <w:pPr>
        <w:spacing w:after="0" w:line="248" w:lineRule="exact"/>
        <w:rPr>
          <w:rFonts w:ascii="Arial" w:cs="Arial" w:eastAsia="Arial" w:hAnsi="Arial"/>
          <w:sz w:val="16"/>
          <w:szCs w:val="16"/>
          <w:color w:val="auto"/>
        </w:rPr>
      </w:pPr>
    </w:p>
    <w:p>
      <w:pPr>
        <w:ind w:left="840" w:hanging="644"/>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voting stock</w:t>
      </w:r>
      <w:r>
        <w:rPr>
          <w:rFonts w:ascii="Arial" w:cs="Arial" w:eastAsia="Arial" w:hAnsi="Arial"/>
          <w:sz w:val="18"/>
          <w:szCs w:val="18"/>
          <w:color w:val="auto"/>
        </w:rPr>
        <w:t>” means stock of any class or series entitled to vote generally in the election of directors.</w:t>
      </w:r>
    </w:p>
    <w:p>
      <w:pPr>
        <w:spacing w:after="0" w:line="225" w:lineRule="exact"/>
        <w:rPr>
          <w:sz w:val="20"/>
          <w:szCs w:val="20"/>
          <w:color w:val="auto"/>
        </w:rPr>
      </w:pPr>
    </w:p>
    <w:p>
      <w:pPr>
        <w:ind w:left="200"/>
        <w:spacing w:after="0" w:line="268" w:lineRule="auto"/>
        <w:rPr>
          <w:sz w:val="20"/>
          <w:szCs w:val="20"/>
          <w:color w:val="auto"/>
        </w:rPr>
      </w:pPr>
      <w:r>
        <w:rPr>
          <w:rFonts w:ascii="Arial" w:cs="Arial" w:eastAsia="Arial" w:hAnsi="Arial"/>
          <w:sz w:val="17"/>
          <w:szCs w:val="17"/>
          <w:color w:val="auto"/>
        </w:rPr>
        <w:t>ELEVENTH: 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Section 291 of Title 8 of the Delaware Code or on the application of trustees in dissolution or of any receiver or receivers appointed for this Corporation under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 fourths in value of the creditors or class of creditors, and/or of the stockholders or class of stockholders of this Corporation, as the case may be, agree to any compromise or arrangement and to any reorganization of this Corporation as a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186"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[Signature Page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631825</wp:posOffset>
            </wp:positionV>
            <wp:extent cx="629221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380"/>
          </w:cols>
          <w:pgMar w:left="1440" w:top="125" w:right="1079" w:bottom="1440" w:gutter="0" w:footer="0" w:header="0"/>
        </w:sectPr>
      </w:pPr>
    </w:p>
    <w:bookmarkStart w:id="45" w:name="page46"/>
    <w:bookmarkEnd w:id="45"/>
    <w:p>
      <w:pPr>
        <w:ind w:firstLine="648"/>
        <w:spacing w:after="0" w:line="308" w:lineRule="auto"/>
        <w:rPr>
          <w:sz w:val="20"/>
          <w:szCs w:val="20"/>
          <w:color w:val="auto"/>
        </w:rPr>
      </w:pPr>
      <w:r>
        <w:rPr>
          <w:rFonts w:ascii="Arial" w:cs="Arial" w:eastAsia="Arial" w:hAnsi="Arial"/>
          <w:sz w:val="17"/>
          <w:szCs w:val="17"/>
          <w:color w:val="auto"/>
        </w:rPr>
        <w:t>IN WITNESS WHEREOF, the Corporation has caused this Second Amended and Restated Certificate of Incorporation to be signed by Jonas Grossman, its President and Chief Executive Officer, as of the 12th day of August, 2022.</w:t>
      </w:r>
    </w:p>
    <w:p>
      <w:pPr>
        <w:spacing w:after="0" w:line="142"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CHARDAN NEXTECH ACQUISITION 2 CORP.</w:t>
      </w:r>
    </w:p>
    <w:p>
      <w:pPr>
        <w:spacing w:after="0" w:line="256" w:lineRule="exact"/>
        <w:rPr>
          <w:sz w:val="20"/>
          <w:szCs w:val="20"/>
          <w:color w:val="auto"/>
        </w:rPr>
      </w:pPr>
    </w:p>
    <w:p>
      <w:pPr>
        <w:ind w:left="500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14605</wp:posOffset>
            </wp:positionV>
            <wp:extent cx="27774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 Jonas Grossman</w:t>
      </w:r>
    </w:p>
    <w:p>
      <w:pPr>
        <w:spacing w:after="0" w:line="23" w:lineRule="exact"/>
        <w:rPr>
          <w:sz w:val="20"/>
          <w:szCs w:val="20"/>
          <w:color w:val="auto"/>
        </w:rPr>
      </w:pPr>
    </w:p>
    <w:p>
      <w:pPr>
        <w:ind w:left="5000"/>
        <w:spacing w:after="0"/>
        <w:tabs>
          <w:tab w:leader="none" w:pos="5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10.7</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PROMISSORY NOTE</w:t>
      </w:r>
    </w:p>
    <w:p>
      <w:pPr>
        <w:spacing w:after="0" w:line="211" w:lineRule="exact"/>
        <w:rPr>
          <w:sz w:val="20"/>
          <w:szCs w:val="20"/>
          <w:color w:val="auto"/>
        </w:rPr>
      </w:pPr>
    </w:p>
    <w:p>
      <w:pPr>
        <w:spacing w:after="0"/>
        <w:tabs>
          <w:tab w:leader="none" w:pos="7840" w:val="left"/>
        </w:tabs>
        <w:rPr>
          <w:sz w:val="20"/>
          <w:szCs w:val="20"/>
          <w:color w:val="auto"/>
        </w:rPr>
      </w:pPr>
      <w:r>
        <w:rPr>
          <w:rFonts w:ascii="Arial" w:cs="Arial" w:eastAsia="Arial" w:hAnsi="Arial"/>
          <w:sz w:val="18"/>
          <w:szCs w:val="18"/>
          <w:color w:val="auto"/>
        </w:rPr>
        <w:t>Principal Amount: Not to Exceed U.S.$200,000.00</w:t>
      </w:r>
      <w:r>
        <w:rPr>
          <w:sz w:val="20"/>
          <w:szCs w:val="20"/>
          <w:color w:val="auto"/>
        </w:rPr>
        <w:tab/>
      </w:r>
      <w:r>
        <w:rPr>
          <w:rFonts w:ascii="Arial" w:cs="Arial" w:eastAsia="Arial" w:hAnsi="Arial"/>
          <w:sz w:val="16"/>
          <w:szCs w:val="16"/>
          <w:color w:val="auto"/>
        </w:rPr>
        <w:t>Dated as of August 11, 2022</w:t>
      </w:r>
    </w:p>
    <w:p>
      <w:pPr>
        <w:spacing w:after="0" w:line="200" w:lineRule="exact"/>
        <w:rPr>
          <w:sz w:val="20"/>
          <w:szCs w:val="20"/>
          <w:color w:val="auto"/>
        </w:rPr>
      </w:pPr>
    </w:p>
    <w:p>
      <w:pPr>
        <w:spacing w:after="0" w:line="25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FOR VALUE RECEIVED and subject to the terms and conditions set forth herein, Chardan NexTech Acquisition 2 Corp., a Delaware limited liability company (the “</w:t>
      </w:r>
      <w:r>
        <w:rPr>
          <w:rFonts w:ascii="Arial" w:cs="Arial" w:eastAsia="Arial" w:hAnsi="Arial"/>
          <w:sz w:val="16"/>
          <w:szCs w:val="16"/>
          <w:b w:val="1"/>
          <w:bCs w:val="1"/>
          <w:color w:val="auto"/>
        </w:rPr>
        <w:t>Maker</w:t>
      </w:r>
      <w:r>
        <w:rPr>
          <w:rFonts w:ascii="Arial" w:cs="Arial" w:eastAsia="Arial" w:hAnsi="Arial"/>
          <w:sz w:val="16"/>
          <w:szCs w:val="16"/>
          <w:color w:val="auto"/>
        </w:rPr>
        <w:t>”), promises to pay to Chardan NexTech 2 Warrant Holdings, LLC (the “</w:t>
      </w:r>
      <w:r>
        <w:rPr>
          <w:rFonts w:ascii="Arial" w:cs="Arial" w:eastAsia="Arial" w:hAnsi="Arial"/>
          <w:sz w:val="16"/>
          <w:szCs w:val="16"/>
          <w:b w:val="1"/>
          <w:bCs w:val="1"/>
          <w:color w:val="auto"/>
        </w:rPr>
        <w:t>Payee</w:t>
      </w:r>
      <w:r>
        <w:rPr>
          <w:rFonts w:ascii="Arial" w:cs="Arial" w:eastAsia="Arial" w:hAnsi="Arial"/>
          <w:sz w:val="16"/>
          <w:szCs w:val="16"/>
          <w:color w:val="auto"/>
        </w:rPr>
        <w:t>”), or order, the principal balance outstanding under this promissory note (the “</w:t>
      </w:r>
      <w:r>
        <w:rPr>
          <w:rFonts w:ascii="Arial" w:cs="Arial" w:eastAsia="Arial" w:hAnsi="Arial"/>
          <w:sz w:val="16"/>
          <w:szCs w:val="16"/>
          <w:b w:val="1"/>
          <w:bCs w:val="1"/>
          <w:color w:val="auto"/>
        </w:rPr>
        <w:t>Note</w:t>
      </w:r>
      <w:r>
        <w:rPr>
          <w:rFonts w:ascii="Arial" w:cs="Arial" w:eastAsia="Arial" w:hAnsi="Arial"/>
          <w:sz w:val="16"/>
          <w:szCs w:val="16"/>
          <w:color w:val="auto"/>
        </w:rPr>
        <w:t>”) in lawful money of the United States of America. All payments on this Note shall be made by check or wire transfer of immediately available funds or as otherwise determined by the Maker to such account as the Payee may from time to time designate by written notice in accordance with the provisions of this Note.</w:t>
      </w:r>
    </w:p>
    <w:p>
      <w:pPr>
        <w:spacing w:after="0" w:line="157" w:lineRule="exact"/>
        <w:rPr>
          <w:sz w:val="20"/>
          <w:szCs w:val="20"/>
          <w:color w:val="auto"/>
        </w:rPr>
      </w:pPr>
    </w:p>
    <w:p>
      <w:pPr>
        <w:jc w:val="both"/>
        <w:ind w:firstLine="8"/>
        <w:spacing w:after="0" w:line="277" w:lineRule="auto"/>
        <w:tabs>
          <w:tab w:leader="none" w:pos="648"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Principal. </w:t>
      </w:r>
      <w:r>
        <w:rPr>
          <w:rFonts w:ascii="Arial" w:cs="Arial" w:eastAsia="Arial" w:hAnsi="Arial"/>
          <w:sz w:val="17"/>
          <w:szCs w:val="17"/>
          <w:color w:val="auto"/>
        </w:rPr>
        <w:t>All unpaid principal under this Note shall be due and payable in full on the effective date of the proposed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combination (the “</w:t>
      </w:r>
      <w:r>
        <w:rPr>
          <w:rFonts w:ascii="Arial" w:cs="Arial" w:eastAsia="Arial" w:hAnsi="Arial"/>
          <w:sz w:val="17"/>
          <w:szCs w:val="17"/>
          <w:b w:val="1"/>
          <w:bCs w:val="1"/>
          <w:color w:val="auto"/>
        </w:rPr>
        <w:t>Maturity Date</w:t>
      </w:r>
      <w:r>
        <w:rPr>
          <w:rFonts w:ascii="Arial" w:cs="Arial" w:eastAsia="Arial" w:hAnsi="Arial"/>
          <w:sz w:val="17"/>
          <w:szCs w:val="17"/>
          <w:color w:val="auto"/>
        </w:rPr>
        <w:t>”) with Dragonfly Energy Corp. (“</w:t>
      </w:r>
      <w:r>
        <w:rPr>
          <w:rFonts w:ascii="Arial" w:cs="Arial" w:eastAsia="Arial" w:hAnsi="Arial"/>
          <w:sz w:val="17"/>
          <w:szCs w:val="17"/>
          <w:b w:val="1"/>
          <w:bCs w:val="1"/>
          <w:color w:val="auto"/>
        </w:rPr>
        <w:t>Dragonfly</w:t>
      </w:r>
      <w:r>
        <w:rPr>
          <w:rFonts w:ascii="Arial" w:cs="Arial" w:eastAsia="Arial" w:hAnsi="Arial"/>
          <w:sz w:val="17"/>
          <w:szCs w:val="17"/>
          <w:color w:val="auto"/>
        </w:rPr>
        <w:t>”), unless accelerated upon the occurrence of an Event of Default (as defined below). Notwithstanding the preceding sentence, the Note will not be repaid if the Maker is unable to close a business combination, unless there are funds available outside its trust account to do so. Any outstanding principal amount to date under this Note may be prepaid at any time by the Maker, at its election and without penalty.</w:t>
      </w:r>
    </w:p>
    <w:p>
      <w:pPr>
        <w:spacing w:after="0" w:line="167" w:lineRule="exact"/>
        <w:rPr>
          <w:rFonts w:ascii="Arial" w:cs="Arial" w:eastAsia="Arial" w:hAnsi="Arial"/>
          <w:sz w:val="17"/>
          <w:szCs w:val="17"/>
          <w:b w:val="1"/>
          <w:bCs w:val="1"/>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Interest. </w:t>
      </w:r>
      <w:r>
        <w:rPr>
          <w:rFonts w:ascii="Arial" w:cs="Arial" w:eastAsia="Arial" w:hAnsi="Arial"/>
          <w:sz w:val="18"/>
          <w:szCs w:val="18"/>
          <w:color w:val="auto"/>
        </w:rPr>
        <w:t>No interest shall accrue on the unpaid principal balance of this Note.</w:t>
      </w:r>
    </w:p>
    <w:p>
      <w:pPr>
        <w:spacing w:after="0" w:line="225" w:lineRule="exact"/>
        <w:rPr>
          <w:rFonts w:ascii="Arial" w:cs="Arial" w:eastAsia="Arial" w:hAnsi="Arial"/>
          <w:sz w:val="18"/>
          <w:szCs w:val="18"/>
          <w:b w:val="1"/>
          <w:bCs w:val="1"/>
          <w:color w:val="auto"/>
        </w:rPr>
      </w:pPr>
    </w:p>
    <w:p>
      <w:pPr>
        <w:jc w:val="both"/>
        <w:ind w:firstLine="8"/>
        <w:spacing w:after="0" w:line="266" w:lineRule="auto"/>
        <w:tabs>
          <w:tab w:leader="none" w:pos="648"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Application of Payments. </w:t>
      </w:r>
      <w:r>
        <w:rPr>
          <w:rFonts w:ascii="Arial" w:cs="Arial" w:eastAsia="Arial" w:hAnsi="Arial"/>
          <w:sz w:val="18"/>
          <w:szCs w:val="18"/>
          <w:color w:val="auto"/>
        </w:rPr>
        <w:t>All payments shall be applied first to payment in full of any costs incurred in the collection of any</w:t>
      </w:r>
      <w:r>
        <w:rPr>
          <w:rFonts w:ascii="Arial" w:cs="Arial" w:eastAsia="Arial" w:hAnsi="Arial"/>
          <w:sz w:val="18"/>
          <w:szCs w:val="18"/>
          <w:b w:val="1"/>
          <w:bCs w:val="1"/>
          <w:color w:val="auto"/>
        </w:rPr>
        <w:t xml:space="preserve"> </w:t>
      </w:r>
      <w:r>
        <w:rPr>
          <w:rFonts w:ascii="Arial" w:cs="Arial" w:eastAsia="Arial" w:hAnsi="Arial"/>
          <w:sz w:val="18"/>
          <w:szCs w:val="18"/>
          <w:color w:val="auto"/>
        </w:rPr>
        <w:t>sum due under this Note, including (without limitation) reasonable attorney’s fees, then to the payment in full of any late charges and finally to the reduction of the unpaid principal balance of this Note.</w:t>
      </w:r>
    </w:p>
    <w:p>
      <w:pPr>
        <w:spacing w:after="0" w:line="175" w:lineRule="exact"/>
        <w:rPr>
          <w:rFonts w:ascii="Arial" w:cs="Arial" w:eastAsia="Arial" w:hAnsi="Arial"/>
          <w:sz w:val="18"/>
          <w:szCs w:val="18"/>
          <w:b w:val="1"/>
          <w:bCs w:val="1"/>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Events of Default. </w:t>
      </w:r>
      <w:r>
        <w:rPr>
          <w:rFonts w:ascii="Arial" w:cs="Arial" w:eastAsia="Arial" w:hAnsi="Arial"/>
          <w:sz w:val="18"/>
          <w:szCs w:val="18"/>
          <w:color w:val="auto"/>
        </w:rPr>
        <w:t>The occurrence of any of the following shall constitute an event of default (“</w:t>
      </w:r>
      <w:r>
        <w:rPr>
          <w:rFonts w:ascii="Arial" w:cs="Arial" w:eastAsia="Arial" w:hAnsi="Arial"/>
          <w:sz w:val="18"/>
          <w:szCs w:val="18"/>
          <w:b w:val="1"/>
          <w:bCs w:val="1"/>
          <w:color w:val="auto"/>
        </w:rPr>
        <w:t>Event of Default</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firstLine="656"/>
        <w:spacing w:after="0" w:line="277" w:lineRule="auto"/>
        <w:tabs>
          <w:tab w:leader="none" w:pos="1296"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Failure to Make Required Payments</w:t>
      </w:r>
      <w:r>
        <w:rPr>
          <w:rFonts w:ascii="Arial" w:cs="Arial" w:eastAsia="Arial" w:hAnsi="Arial"/>
          <w:sz w:val="18"/>
          <w:szCs w:val="18"/>
          <w:color w:val="auto"/>
        </w:rPr>
        <w:t>. Failure by the Maker to pay the principal amount due pursuant to this Note within five (5) business days of the date specified in Section 1 above.</w:t>
      </w:r>
    </w:p>
    <w:p>
      <w:pPr>
        <w:spacing w:after="0" w:line="170" w:lineRule="exact"/>
        <w:rPr>
          <w:rFonts w:ascii="Arial" w:cs="Arial" w:eastAsia="Arial" w:hAnsi="Arial"/>
          <w:sz w:val="18"/>
          <w:szCs w:val="18"/>
          <w:color w:val="auto"/>
        </w:rPr>
      </w:pPr>
    </w:p>
    <w:p>
      <w:pPr>
        <w:jc w:val="both"/>
        <w:ind w:firstLine="656"/>
        <w:spacing w:after="0" w:line="275" w:lineRule="auto"/>
        <w:tabs>
          <w:tab w:leader="none" w:pos="1296" w:val="left"/>
        </w:tabs>
        <w:numPr>
          <w:ilvl w:val="1"/>
          <w:numId w:val="19"/>
        </w:numPr>
        <w:rPr>
          <w:rFonts w:ascii="Arial" w:cs="Arial" w:eastAsia="Arial" w:hAnsi="Arial"/>
          <w:sz w:val="17"/>
          <w:szCs w:val="17"/>
          <w:color w:val="auto"/>
        </w:rPr>
      </w:pPr>
      <w:r>
        <w:rPr>
          <w:rFonts w:ascii="Arial" w:cs="Arial" w:eastAsia="Arial" w:hAnsi="Arial"/>
          <w:sz w:val="17"/>
          <w:szCs w:val="17"/>
          <w:u w:val="single" w:color="auto"/>
          <w:color w:val="auto"/>
        </w:rPr>
        <w:t>Voluntary Bankruptcy, Etc</w:t>
      </w:r>
      <w:r>
        <w:rPr>
          <w:rFonts w:ascii="Arial" w:cs="Arial" w:eastAsia="Arial" w:hAnsi="Arial"/>
          <w:sz w:val="17"/>
          <w:szCs w:val="17"/>
          <w:color w:val="auto"/>
        </w:rPr>
        <w:t>. The commencement by the Maker of a voluntary case under any applicable bankruptcy, insolvency, reorganization, rehabilitation or other similar law, or the consent by it to the appointment of or taking possession by a receiver, liquidator, assignee, trustee, custodian, sequestrator (or other similar official) of the Maker or for any substantial part of its property, or the making by it of any assignment for the benefit of creditors, or the failure of the Maker generally to pay its debts as such debts become due, or the taking of corporate action by the Maker in furtherance of any of the foregoing.</w:t>
      </w:r>
    </w:p>
    <w:p>
      <w:pPr>
        <w:spacing w:after="0" w:line="176" w:lineRule="exact"/>
        <w:rPr>
          <w:rFonts w:ascii="Arial" w:cs="Arial" w:eastAsia="Arial" w:hAnsi="Arial"/>
          <w:sz w:val="17"/>
          <w:szCs w:val="17"/>
          <w:color w:val="auto"/>
        </w:rPr>
      </w:pPr>
    </w:p>
    <w:p>
      <w:pPr>
        <w:jc w:val="both"/>
        <w:ind w:firstLine="656"/>
        <w:spacing w:after="0" w:line="257" w:lineRule="auto"/>
        <w:tabs>
          <w:tab w:leader="none" w:pos="1296"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Involuntary Bankruptcy, Etc</w:t>
      </w:r>
      <w:r>
        <w:rPr>
          <w:rFonts w:ascii="Arial" w:cs="Arial" w:eastAsia="Arial" w:hAnsi="Arial"/>
          <w:sz w:val="18"/>
          <w:szCs w:val="18"/>
          <w:color w:val="auto"/>
        </w:rPr>
        <w:t>. The entry of a decree or order for relief by a court having jurisdiction in the premises in respect of the Maker in an involuntary case under any applicable bankruptcy, insolvency or other similar law, or appointing a receiver, liquidator, assignee, custodian, trustee, sequestrator (or similar official) of the Maker or for any substantial part of its property, or ordering the winding-up or liquidation of its affairs, and the continuance of any such decree or order unstayed and in effect for a period of sixty (60) consecutive days.</w:t>
      </w:r>
    </w:p>
    <w:p>
      <w:pPr>
        <w:spacing w:after="0" w:line="183" w:lineRule="exact"/>
        <w:rPr>
          <w:rFonts w:ascii="Arial" w:cs="Arial" w:eastAsia="Arial" w:hAnsi="Arial"/>
          <w:sz w:val="18"/>
          <w:szCs w:val="18"/>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Remedies.</w:t>
      </w:r>
    </w:p>
    <w:p>
      <w:pPr>
        <w:spacing w:after="0" w:line="229" w:lineRule="exact"/>
        <w:rPr>
          <w:rFonts w:ascii="Arial" w:cs="Arial" w:eastAsia="Arial" w:hAnsi="Arial"/>
          <w:sz w:val="18"/>
          <w:szCs w:val="18"/>
          <w:b w:val="1"/>
          <w:bCs w:val="1"/>
          <w:color w:val="auto"/>
        </w:rPr>
      </w:pPr>
    </w:p>
    <w:p>
      <w:pPr>
        <w:jc w:val="both"/>
        <w:ind w:firstLine="656"/>
        <w:spacing w:after="0" w:line="301" w:lineRule="auto"/>
        <w:tabs>
          <w:tab w:leader="none" w:pos="1296" w:val="left"/>
        </w:tabs>
        <w:numPr>
          <w:ilvl w:val="1"/>
          <w:numId w:val="19"/>
        </w:numPr>
        <w:rPr>
          <w:rFonts w:ascii="Arial" w:cs="Arial" w:eastAsia="Arial" w:hAnsi="Arial"/>
          <w:sz w:val="16"/>
          <w:szCs w:val="16"/>
          <w:color w:val="auto"/>
        </w:rPr>
      </w:pPr>
      <w:r>
        <w:rPr>
          <w:rFonts w:ascii="Arial" w:cs="Arial" w:eastAsia="Arial" w:hAnsi="Arial"/>
          <w:sz w:val="16"/>
          <w:szCs w:val="16"/>
          <w:color w:val="auto"/>
        </w:rPr>
        <w:t>Upon the occurrence of an Event of Default specified in Section 4(a) hereof, the Payee may, by written notice to the Maker, declare this Note to be due immediately and payable, whereupon the unpaid principal amount of this Note, and all other amounts payable thereunder, shall become immediately due and payable without presentment, demand, protest or other notice of any kind, all of which are hereby expressly waived, anything contained herein or in the documents evidencing the same to the contrary notwithstanding.</w:t>
      </w:r>
    </w:p>
    <w:p>
      <w:pPr>
        <w:spacing w:after="0" w:line="157" w:lineRule="exact"/>
        <w:rPr>
          <w:rFonts w:ascii="Arial" w:cs="Arial" w:eastAsia="Arial" w:hAnsi="Arial"/>
          <w:sz w:val="16"/>
          <w:szCs w:val="16"/>
          <w:color w:val="auto"/>
        </w:rPr>
      </w:pPr>
    </w:p>
    <w:p>
      <w:pPr>
        <w:jc w:val="both"/>
        <w:ind w:firstLine="656"/>
        <w:spacing w:after="0" w:line="263" w:lineRule="auto"/>
        <w:tabs>
          <w:tab w:leader="none" w:pos="1296" w:val="left"/>
        </w:tabs>
        <w:numPr>
          <w:ilvl w:val="1"/>
          <w:numId w:val="19"/>
        </w:numPr>
        <w:rPr>
          <w:rFonts w:ascii="Arial" w:cs="Arial" w:eastAsia="Arial" w:hAnsi="Arial"/>
          <w:sz w:val="18"/>
          <w:szCs w:val="18"/>
          <w:color w:val="auto"/>
        </w:rPr>
      </w:pPr>
      <w:r>
        <w:rPr>
          <w:rFonts w:ascii="Arial" w:cs="Arial" w:eastAsia="Arial" w:hAnsi="Arial"/>
          <w:sz w:val="18"/>
          <w:szCs w:val="18"/>
          <w:color w:val="auto"/>
        </w:rPr>
        <w:t>Upon the occurrence of an Event of Default specified in Sections 4(b) or 4(c), the unpaid principal balance of this Note, and all other sums payable with regard to this Note, shall automatically and immediately become due and payable, in all cases without any action on the part of the Payee.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579755</wp:posOffset>
            </wp:positionV>
            <wp:extent cx="629221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47" w:name="page48"/>
    <w:bookmarkEnd w:id="47"/>
    <w:p>
      <w:pPr>
        <w:jc w:val="both"/>
        <w:ind w:firstLine="8"/>
        <w:spacing w:after="0" w:line="292" w:lineRule="auto"/>
        <w:tabs>
          <w:tab w:leader="none" w:pos="648"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Waivers. </w:t>
      </w:r>
      <w:r>
        <w:rPr>
          <w:rFonts w:ascii="Arial" w:cs="Arial" w:eastAsia="Arial" w:hAnsi="Arial"/>
          <w:sz w:val="16"/>
          <w:szCs w:val="16"/>
          <w:color w:val="auto"/>
        </w:rPr>
        <w:t>The Maker and all endorsers and guarantors of, and sureties for, this Note waive presentment for payment, demand,</w:t>
      </w:r>
      <w:r>
        <w:rPr>
          <w:rFonts w:ascii="Arial" w:cs="Arial" w:eastAsia="Arial" w:hAnsi="Arial"/>
          <w:sz w:val="16"/>
          <w:szCs w:val="16"/>
          <w:b w:val="1"/>
          <w:bCs w:val="1"/>
          <w:color w:val="auto"/>
        </w:rPr>
        <w:t xml:space="preserve"> </w:t>
      </w:r>
      <w:r>
        <w:rPr>
          <w:rFonts w:ascii="Arial" w:cs="Arial" w:eastAsia="Arial" w:hAnsi="Arial"/>
          <w:sz w:val="16"/>
          <w:szCs w:val="16"/>
          <w:color w:val="auto"/>
        </w:rPr>
        <w:t>notice of dishonor, protest, and notice of protest with regard to the Note, all errors, defects and imperfections in any proceedings instituted by the Payee under the terms of this Note, and all benefits that might accrue to the Maker by virtue of any present or future laws exempting any property, real or personal, or any part of the proceeds arising from any sale of any such property, from attachment, levy or sale under execution, or providing for any stay of execution, exemption from civil process, or extension of time for payment; and the Maker agrees that any real estate that may be levied upon pursuant to a judgment obtained by virtue hereof, on any writ of execution issued hereon, may be sold upon any such writ in whole or in part in any order desired by the Payee.</w:t>
      </w:r>
    </w:p>
    <w:p>
      <w:pPr>
        <w:spacing w:after="0" w:line="161" w:lineRule="exact"/>
        <w:rPr>
          <w:rFonts w:ascii="Arial" w:cs="Arial" w:eastAsia="Arial" w:hAnsi="Arial"/>
          <w:sz w:val="16"/>
          <w:szCs w:val="16"/>
          <w:b w:val="1"/>
          <w:bCs w:val="1"/>
          <w:color w:val="auto"/>
        </w:rPr>
      </w:pPr>
    </w:p>
    <w:p>
      <w:pPr>
        <w:jc w:val="both"/>
        <w:ind w:firstLine="8"/>
        <w:spacing w:after="0" w:line="274" w:lineRule="auto"/>
        <w:tabs>
          <w:tab w:leader="none" w:pos="648"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Unconditional Liability. </w:t>
      </w:r>
      <w:r>
        <w:rPr>
          <w:rFonts w:ascii="Arial" w:cs="Arial" w:eastAsia="Arial" w:hAnsi="Arial"/>
          <w:sz w:val="17"/>
          <w:szCs w:val="17"/>
          <w:color w:val="auto"/>
        </w:rPr>
        <w:t>The Maker hereby waives all notices in connection with the delivery, acceptance, performance,</w:t>
      </w:r>
      <w:r>
        <w:rPr>
          <w:rFonts w:ascii="Arial" w:cs="Arial" w:eastAsia="Arial" w:hAnsi="Arial"/>
          <w:sz w:val="17"/>
          <w:szCs w:val="17"/>
          <w:b w:val="1"/>
          <w:bCs w:val="1"/>
          <w:color w:val="auto"/>
        </w:rPr>
        <w:t xml:space="preserve"> </w:t>
      </w:r>
      <w:r>
        <w:rPr>
          <w:rFonts w:ascii="Arial" w:cs="Arial" w:eastAsia="Arial" w:hAnsi="Arial"/>
          <w:sz w:val="17"/>
          <w:szCs w:val="17"/>
          <w:color w:val="auto"/>
        </w:rPr>
        <w:t>default, or enforcement of the payment of this Note, and agrees that its liability shall be unconditional, without regard to the liability of any other party, and shall not be affected in any manner by any indulgence, extension of time, renewal, waiver or modification granted or consented to by the Payee, and consents to any and all extensions of time, renewals, waivers, or modifications that may be granted by the Payee with respect to the payment or other provisions of this Note, and agrees that additional makers, endorsers, guarantors, or sureties may become parties hereto without notice to the Maker or affecting the Maker’s liability hereunder.</w:t>
      </w:r>
    </w:p>
    <w:p>
      <w:pPr>
        <w:spacing w:after="0" w:line="173" w:lineRule="exact"/>
        <w:rPr>
          <w:rFonts w:ascii="Arial" w:cs="Arial" w:eastAsia="Arial" w:hAnsi="Arial"/>
          <w:sz w:val="17"/>
          <w:szCs w:val="17"/>
          <w:b w:val="1"/>
          <w:bCs w:val="1"/>
          <w:color w:val="auto"/>
        </w:rPr>
      </w:pPr>
    </w:p>
    <w:p>
      <w:pPr>
        <w:jc w:val="both"/>
        <w:ind w:firstLine="8"/>
        <w:spacing w:after="0" w:line="255" w:lineRule="auto"/>
        <w:tabs>
          <w:tab w:leader="none" w:pos="648"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All notices, statements or other documents which are required or contemplated by this Note shall be: (i) in writing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delivered personally or sent by first class registered or certified mail, overnight courier service or electronic transmission, or (ii) by electronic mail, in each case, to the address or electronic mail address (as applicable) most recently provided to such party or such other address or electronic mail address (as applicable) as may be specified in writing by such party. Any notice or other communication so transmitted shall be deemed to have been given on the day of delivery, if delivered personally, on the business day following receipt of written confirmation, if sent by electronic transmission, one (1) business day after delivery to an overnight courier service or five (5) days after mailing if sent by mail.</w:t>
      </w:r>
    </w:p>
    <w:p>
      <w:pPr>
        <w:spacing w:after="0" w:line="188" w:lineRule="exact"/>
        <w:rPr>
          <w:rFonts w:ascii="Arial" w:cs="Arial" w:eastAsia="Arial" w:hAnsi="Arial"/>
          <w:sz w:val="18"/>
          <w:szCs w:val="18"/>
          <w:b w:val="1"/>
          <w:bCs w:val="1"/>
          <w:color w:val="auto"/>
        </w:rPr>
      </w:pPr>
    </w:p>
    <w:p>
      <w:pPr>
        <w:ind w:firstLine="8"/>
        <w:spacing w:after="0" w:line="282" w:lineRule="auto"/>
        <w:tabs>
          <w:tab w:leader="none" w:pos="648"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Construction. </w:t>
      </w:r>
      <w:r>
        <w:rPr>
          <w:rFonts w:ascii="Arial" w:cs="Arial" w:eastAsia="Arial" w:hAnsi="Arial"/>
          <w:sz w:val="18"/>
          <w:szCs w:val="18"/>
          <w:color w:val="auto"/>
        </w:rPr>
        <w:t>THIS NOTE SHALL BE GOVERNED BY AND CONSTRUED IN ACCORDANCE WITH THE LAWS OF</w:t>
      </w:r>
      <w:r>
        <w:rPr>
          <w:rFonts w:ascii="Arial" w:cs="Arial" w:eastAsia="Arial" w:hAnsi="Arial"/>
          <w:sz w:val="18"/>
          <w:szCs w:val="18"/>
          <w:b w:val="1"/>
          <w:bCs w:val="1"/>
          <w:color w:val="auto"/>
        </w:rPr>
        <w:t xml:space="preserve"> </w:t>
      </w:r>
      <w:r>
        <w:rPr>
          <w:rFonts w:ascii="Arial" w:cs="Arial" w:eastAsia="Arial" w:hAnsi="Arial"/>
          <w:sz w:val="18"/>
          <w:szCs w:val="18"/>
          <w:color w:val="auto"/>
        </w:rPr>
        <w:t>NEW YORK APPLICABLE TO CONTRACTS MADE AND TO BE PERFORMED WITHIN THE STATE OF NEW YORK.</w:t>
      </w:r>
    </w:p>
    <w:p>
      <w:pPr>
        <w:spacing w:after="0" w:line="161" w:lineRule="exact"/>
        <w:rPr>
          <w:rFonts w:ascii="Arial" w:cs="Arial" w:eastAsia="Arial" w:hAnsi="Arial"/>
          <w:sz w:val="18"/>
          <w:szCs w:val="18"/>
          <w:b w:val="1"/>
          <w:bCs w:val="1"/>
          <w:color w:val="auto"/>
        </w:rPr>
      </w:pPr>
    </w:p>
    <w:p>
      <w:pPr>
        <w:jc w:val="both"/>
        <w:ind w:firstLine="8"/>
        <w:spacing w:after="0" w:line="261" w:lineRule="auto"/>
        <w:tabs>
          <w:tab w:leader="none" w:pos="648"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Any provision contained in this Note which is prohibited or unenforceable in any jurisdiction shall, as to such</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79" w:lineRule="exact"/>
        <w:rPr>
          <w:rFonts w:ascii="Arial" w:cs="Arial" w:eastAsia="Arial" w:hAnsi="Arial"/>
          <w:sz w:val="18"/>
          <w:szCs w:val="18"/>
          <w:b w:val="1"/>
          <w:bCs w:val="1"/>
          <w:color w:val="auto"/>
        </w:rPr>
      </w:pPr>
    </w:p>
    <w:p>
      <w:pPr>
        <w:jc w:val="both"/>
        <w:ind w:firstLine="8"/>
        <w:spacing w:after="0" w:line="255" w:lineRule="auto"/>
        <w:tabs>
          <w:tab w:leader="none" w:pos="648"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Trust Waiver</w:t>
      </w:r>
      <w:r>
        <w:rPr>
          <w:rFonts w:ascii="Arial" w:cs="Arial" w:eastAsia="Arial" w:hAnsi="Arial"/>
          <w:sz w:val="18"/>
          <w:szCs w:val="18"/>
          <w:color w:val="auto"/>
        </w:rPr>
        <w:t>. Notwithstanding anything herein to the contrary, the Payee hereby waives any and all right, title, interest or</w:t>
      </w:r>
      <w:r>
        <w:rPr>
          <w:rFonts w:ascii="Arial" w:cs="Arial" w:eastAsia="Arial" w:hAnsi="Arial"/>
          <w:sz w:val="18"/>
          <w:szCs w:val="18"/>
          <w:b w:val="1"/>
          <w:bCs w:val="1"/>
          <w:color w:val="auto"/>
        </w:rPr>
        <w:t xml:space="preserve"> </w:t>
      </w:r>
      <w:r>
        <w:rPr>
          <w:rFonts w:ascii="Arial" w:cs="Arial" w:eastAsia="Arial" w:hAnsi="Arial"/>
          <w:sz w:val="18"/>
          <w:szCs w:val="18"/>
          <w:color w:val="auto"/>
        </w:rPr>
        <w:t>claim of any kind (“</w:t>
      </w:r>
      <w:r>
        <w:rPr>
          <w:rFonts w:ascii="Arial" w:cs="Arial" w:eastAsia="Arial" w:hAnsi="Arial"/>
          <w:sz w:val="18"/>
          <w:szCs w:val="18"/>
          <w:b w:val="1"/>
          <w:bCs w:val="1"/>
          <w:color w:val="auto"/>
        </w:rPr>
        <w:t>Claim</w:t>
      </w:r>
      <w:r>
        <w:rPr>
          <w:rFonts w:ascii="Arial" w:cs="Arial" w:eastAsia="Arial" w:hAnsi="Arial"/>
          <w:sz w:val="18"/>
          <w:szCs w:val="18"/>
          <w:color w:val="auto"/>
        </w:rPr>
        <w:t>”) in or to any distribution of or from the trust account established in which proceeds of the Maker’s initial public offering of its securities (the “</w:t>
      </w:r>
      <w:r>
        <w:rPr>
          <w:rFonts w:ascii="Arial" w:cs="Arial" w:eastAsia="Arial" w:hAnsi="Arial"/>
          <w:sz w:val="18"/>
          <w:szCs w:val="18"/>
          <w:b w:val="1"/>
          <w:bCs w:val="1"/>
          <w:color w:val="auto"/>
        </w:rPr>
        <w:t>IPO</w:t>
      </w:r>
      <w:r>
        <w:rPr>
          <w:rFonts w:ascii="Arial" w:cs="Arial" w:eastAsia="Arial" w:hAnsi="Arial"/>
          <w:sz w:val="18"/>
          <w:szCs w:val="18"/>
          <w:color w:val="auto"/>
        </w:rPr>
        <w:t>”) (including the deferred underwriters discounts and commissions) and proceeds of the sale of the warrants issued by the Maker in a private placement that occurred in connection with the IPO were deposited, as described in greater detail in the registration statement and prospectus filed with the Securities and Exchange Commission in connection with the IPO on August 10, 2021, and hereby agrees not to seek recourse, reimbursement, payment or satisfaction for any Claim against the trust account for any reason whatsoever.</w:t>
      </w:r>
    </w:p>
    <w:p>
      <w:pPr>
        <w:spacing w:after="0" w:line="18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12</w:t>
      </w:r>
      <w:r>
        <w:rPr>
          <w:rFonts w:ascii="Arial" w:cs="Arial" w:eastAsia="Arial" w:hAnsi="Arial"/>
          <w:sz w:val="18"/>
          <w:szCs w:val="18"/>
          <w:color w:val="auto"/>
        </w:rPr>
        <w:t>.</w:t>
      </w:r>
      <w:r>
        <w:rPr>
          <w:rFonts w:ascii="Arial" w:cs="Arial" w:eastAsia="Arial" w:hAnsi="Arial"/>
          <w:sz w:val="18"/>
          <w:szCs w:val="18"/>
          <w:b w:val="1"/>
          <w:bCs w:val="1"/>
          <w:color w:val="auto"/>
        </w:rPr>
        <w:t xml:space="preserve"> Amendment; Waiver</w:t>
      </w:r>
      <w:r>
        <w:rPr>
          <w:rFonts w:ascii="Arial" w:cs="Arial" w:eastAsia="Arial" w:hAnsi="Arial"/>
          <w:sz w:val="18"/>
          <w:szCs w:val="18"/>
          <w:color w:val="auto"/>
        </w:rPr>
        <w:t>. Any amendment hereto or waiver of any provision hereof may be made with, and only with, the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consent of the Maker and the Payee.</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13</w:t>
      </w:r>
      <w:r>
        <w:rPr>
          <w:rFonts w:ascii="Arial" w:cs="Arial" w:eastAsia="Arial" w:hAnsi="Arial"/>
          <w:sz w:val="18"/>
          <w:szCs w:val="18"/>
          <w:color w:val="auto"/>
        </w:rPr>
        <w:t>.</w:t>
      </w:r>
      <w:r>
        <w:rPr>
          <w:rFonts w:ascii="Arial" w:cs="Arial" w:eastAsia="Arial" w:hAnsi="Arial"/>
          <w:sz w:val="18"/>
          <w:szCs w:val="18"/>
          <w:b w:val="1"/>
          <w:bCs w:val="1"/>
          <w:color w:val="auto"/>
        </w:rPr>
        <w:t xml:space="preserve"> Successors and Assigns</w:t>
      </w:r>
      <w:r>
        <w:rPr>
          <w:rFonts w:ascii="Arial" w:cs="Arial" w:eastAsia="Arial" w:hAnsi="Arial"/>
          <w:sz w:val="18"/>
          <w:szCs w:val="18"/>
          <w:color w:val="auto"/>
        </w:rPr>
        <w:t>. Subject to Section 14 below, the rights and obligations of the Maker and the Payee hereunder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binding upon and benefit the successors, assigns, heirs, administrators and transferees of any party hereto (by operation of law or otherwise) with the prior written consent of the other party hereto and any attempted assignment without the required consent shall be void.</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14</w:t>
      </w:r>
      <w:r>
        <w:rPr>
          <w:rFonts w:ascii="Arial" w:cs="Arial" w:eastAsia="Arial" w:hAnsi="Arial"/>
          <w:sz w:val="18"/>
          <w:szCs w:val="18"/>
          <w:color w:val="auto"/>
        </w:rPr>
        <w:t>.</w:t>
      </w:r>
      <w:r>
        <w:rPr>
          <w:rFonts w:ascii="Arial" w:cs="Arial" w:eastAsia="Arial" w:hAnsi="Arial"/>
          <w:sz w:val="18"/>
          <w:szCs w:val="18"/>
          <w:b w:val="1"/>
          <w:bCs w:val="1"/>
          <w:color w:val="auto"/>
        </w:rPr>
        <w:t xml:space="preserve"> Transfer of this Note</w:t>
      </w:r>
      <w:r>
        <w:rPr>
          <w:rFonts w:ascii="Arial" w:cs="Arial" w:eastAsia="Arial" w:hAnsi="Arial"/>
          <w:sz w:val="18"/>
          <w:szCs w:val="18"/>
          <w:color w:val="auto"/>
        </w:rPr>
        <w:t>. No assignment or transfer of this Note or any rights or obligations hereunder may be made by any party</w:t>
      </w:r>
      <w:r>
        <w:rPr>
          <w:rFonts w:ascii="Arial" w:cs="Arial" w:eastAsia="Arial" w:hAnsi="Arial"/>
          <w:sz w:val="18"/>
          <w:szCs w:val="18"/>
          <w:b w:val="1"/>
          <w:bCs w:val="1"/>
          <w:color w:val="auto"/>
        </w:rPr>
        <w:t xml:space="preserve"> </w:t>
      </w:r>
      <w:r>
        <w:rPr>
          <w:rFonts w:ascii="Arial" w:cs="Arial" w:eastAsia="Arial" w:hAnsi="Arial"/>
          <w:sz w:val="18"/>
          <w:szCs w:val="18"/>
          <w:color w:val="auto"/>
        </w:rPr>
        <w:t>hereto (by operation of law or otherwise) without the prior written consent of the other party hereto and any attempted assignment without the required consent shall be void.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48" w:name="page49"/>
    <w:bookmarkEnd w:id="48"/>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Maker, intending to be legally bound hereby, has caused this Note to be duly executed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undersigned as of the day and year first above written.</w:t>
      </w:r>
    </w:p>
    <w:p>
      <w:pPr>
        <w:spacing w:after="0" w:line="16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CHARDAN NEXTECH ACQUISITION 2 CORP.</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14605</wp:posOffset>
            </wp:positionV>
            <wp:extent cx="31375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Jonas Grossman</w:t>
      </w:r>
    </w:p>
    <w:p>
      <w:pPr>
        <w:spacing w:after="0" w:line="23"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 as of the day and year first above written.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Chardan NexTech 2 Warrant Holdings,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31724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3317240" cy="8890"/>
                    </a:xfrm>
                    <a:prstGeom prst="rect">
                      <a:avLst/>
                    </a:prstGeom>
                    <a:noFill/>
                  </pic:spPr>
                </pic:pic>
              </a:graphicData>
            </a:graphic>
          </wp:anchor>
        </w:drawing>
      </w:r>
    </w:p>
    <w:p>
      <w:pPr>
        <w:spacing w:after="0" w:line="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Name:  Jonas Grossman</w:t>
      </w:r>
    </w:p>
    <w:p>
      <w:pPr>
        <w:spacing w:after="0" w:line="23" w:lineRule="exact"/>
        <w:rPr>
          <w:sz w:val="20"/>
          <w:szCs w:val="20"/>
          <w:color w:val="auto"/>
        </w:rPr>
      </w:pPr>
    </w:p>
    <w:p>
      <w:pPr>
        <w:ind w:left="240"/>
        <w:spacing w:after="0"/>
        <w:tabs>
          <w:tab w:leader="none" w:pos="820" w:val="left"/>
        </w:tabs>
        <w:rPr>
          <w:sz w:val="20"/>
          <w:szCs w:val="20"/>
          <w:color w:val="auto"/>
        </w:rPr>
      </w:pPr>
      <w:r>
        <w:rPr>
          <w:rFonts w:ascii="Arial" w:cs="Arial" w:eastAsia="Arial" w:hAnsi="Arial"/>
          <w:sz w:val="18"/>
          <w:szCs w:val="18"/>
          <w:color w:val="auto"/>
        </w:rPr>
        <w:t>Title:</w:t>
        <w:tab/>
        <w:t>Manager</w:t>
      </w:r>
    </w:p>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[Signature Page to Promissory Note – Chardan NexTech Acquisition 2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40"/>
          </w:cols>
          <w:pgMar w:left="980" w:top="877" w:right="117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EXECUTIVE OFFICER PURSUANT TO RULE 13A-14(A)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Jonas Grossman, certify that:</w:t>
      </w:r>
    </w:p>
    <w:p>
      <w:pPr>
        <w:spacing w:after="0" w:line="225" w:lineRule="exact"/>
        <w:rPr>
          <w:sz w:val="20"/>
          <w:szCs w:val="20"/>
          <w:color w:val="auto"/>
        </w:rPr>
      </w:pPr>
    </w:p>
    <w:p>
      <w:pPr>
        <w:ind w:left="180" w:hanging="172"/>
        <w:spacing w:after="0"/>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Chardan NexTech Acquisition 2 Corp;</w:t>
      </w:r>
    </w:p>
    <w:p>
      <w:pPr>
        <w:spacing w:after="0" w:line="225" w:lineRule="exact"/>
        <w:rPr>
          <w:rFonts w:ascii="Arial" w:cs="Arial" w:eastAsia="Arial" w:hAnsi="Arial"/>
          <w:sz w:val="18"/>
          <w:szCs w:val="18"/>
          <w:color w:val="auto"/>
        </w:rPr>
      </w:pPr>
    </w:p>
    <w:p>
      <w:pPr>
        <w:jc w:val="both"/>
        <w:ind w:firstLine="8"/>
        <w:spacing w:after="0" w:line="263" w:lineRule="auto"/>
        <w:tabs>
          <w:tab w:leader="none" w:pos="186"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20" w:firstLine="8"/>
        <w:spacing w:after="0" w:line="342" w:lineRule="auto"/>
        <w:tabs>
          <w:tab w:leader="none" w:pos="185"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firstLine="8"/>
        <w:spacing w:after="0" w:line="277" w:lineRule="auto"/>
        <w:tabs>
          <w:tab w:leader="none" w:pos="181"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660" w:hanging="4"/>
        <w:spacing w:after="0" w:line="263" w:lineRule="auto"/>
        <w:tabs>
          <w:tab w:leader="none" w:pos="8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183" w:lineRule="exact"/>
        <w:rPr>
          <w:rFonts w:ascii="Arial" w:cs="Arial" w:eastAsia="Arial" w:hAnsi="Arial"/>
          <w:sz w:val="18"/>
          <w:szCs w:val="18"/>
          <w:color w:val="auto"/>
        </w:rPr>
      </w:pPr>
    </w:p>
    <w:p>
      <w:pPr>
        <w:ind w:left="860" w:hanging="204"/>
        <w:spacing w:after="0"/>
        <w:tabs>
          <w:tab w:leader="none" w:pos="8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225" w:lineRule="exact"/>
        <w:rPr>
          <w:rFonts w:ascii="Arial" w:cs="Arial" w:eastAsia="Arial" w:hAnsi="Arial"/>
          <w:sz w:val="18"/>
          <w:szCs w:val="18"/>
          <w:color w:val="auto"/>
        </w:rPr>
      </w:pPr>
    </w:p>
    <w:p>
      <w:pPr>
        <w:jc w:val="both"/>
        <w:ind w:left="660" w:hanging="4"/>
        <w:spacing w:after="0" w:line="263" w:lineRule="auto"/>
        <w:tabs>
          <w:tab w:leader="none" w:pos="85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660" w:hanging="4"/>
        <w:spacing w:after="0" w:line="286" w:lineRule="auto"/>
        <w:tabs>
          <w:tab w:leader="none" w:pos="886" w:val="left"/>
        </w:tabs>
        <w:numPr>
          <w:ilvl w:val="1"/>
          <w:numId w:val="2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jc w:val="both"/>
        <w:ind w:firstLine="8"/>
        <w:spacing w:after="0" w:line="263" w:lineRule="auto"/>
        <w:tabs>
          <w:tab w:leader="none" w:pos="18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660" w:hanging="4"/>
        <w:spacing w:after="0" w:line="263" w:lineRule="auto"/>
        <w:tabs>
          <w:tab w:leader="none" w:pos="865"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60" w:right="20" w:hanging="4"/>
        <w:spacing w:after="0" w:line="277" w:lineRule="auto"/>
        <w:tabs>
          <w:tab w:leader="none" w:pos="892"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Date: August 15, 2022</w:t>
      </w:r>
    </w:p>
    <w:p>
      <w:pPr>
        <w:spacing w:after="0" w:line="50"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By: /s/ Jonas Grossman</w:t>
      </w:r>
    </w:p>
    <w:p>
      <w:pPr>
        <w:spacing w:after="0" w:line="6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-130175</wp:posOffset>
            </wp:positionV>
            <wp:extent cx="293179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30" w:lineRule="exact"/>
        <w:rPr>
          <w:sz w:val="20"/>
          <w:szCs w:val="20"/>
          <w:color w:val="auto"/>
        </w:rPr>
      </w:pPr>
    </w:p>
    <w:p>
      <w:pPr>
        <w:ind w:left="5360"/>
        <w:spacing w:after="0"/>
        <w:rPr>
          <w:sz w:val="20"/>
          <w:szCs w:val="20"/>
          <w:color w:val="auto"/>
        </w:rPr>
      </w:pPr>
      <w:r>
        <w:rPr>
          <w:rFonts w:ascii="Arial" w:cs="Arial" w:eastAsia="Arial" w:hAnsi="Arial"/>
          <w:sz w:val="18"/>
          <w:szCs w:val="18"/>
          <w:i w:val="1"/>
          <w:iCs w:val="1"/>
          <w:color w:val="auto"/>
        </w:rPr>
        <w:t>Chief Executive Officer, President,</w:t>
      </w:r>
    </w:p>
    <w:p>
      <w:pPr>
        <w:spacing w:after="0" w:line="63" w:lineRule="exact"/>
        <w:rPr>
          <w:sz w:val="20"/>
          <w:szCs w:val="20"/>
          <w:color w:val="auto"/>
        </w:rPr>
      </w:pPr>
    </w:p>
    <w:p>
      <w:pPr>
        <w:ind w:left="5360"/>
        <w:spacing w:after="0"/>
        <w:rPr>
          <w:sz w:val="20"/>
          <w:szCs w:val="20"/>
          <w:color w:val="auto"/>
        </w:rPr>
      </w:pPr>
      <w:r>
        <w:rPr>
          <w:rFonts w:ascii="Arial" w:cs="Arial" w:eastAsia="Arial" w:hAnsi="Arial"/>
          <w:sz w:val="18"/>
          <w:szCs w:val="18"/>
          <w:i w:val="1"/>
          <w:iCs w:val="1"/>
          <w:color w:val="auto"/>
        </w:rPr>
        <w:t>Secretary, Treasurer and Director</w:t>
      </w:r>
    </w:p>
    <w:p>
      <w:pPr>
        <w:spacing w:after="0" w:line="50" w:lineRule="exact"/>
        <w:rPr>
          <w:sz w:val="20"/>
          <w:szCs w:val="20"/>
          <w:color w:val="auto"/>
        </w:rPr>
      </w:pPr>
    </w:p>
    <w:p>
      <w:pPr>
        <w:ind w:left="536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520700</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RULE 13A-14(A)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Alex Weil, certify that:</w:t>
      </w:r>
    </w:p>
    <w:p>
      <w:pPr>
        <w:spacing w:after="0" w:line="225" w:lineRule="exact"/>
        <w:rPr>
          <w:sz w:val="20"/>
          <w:szCs w:val="20"/>
          <w:color w:val="auto"/>
        </w:rPr>
      </w:pPr>
    </w:p>
    <w:p>
      <w:pPr>
        <w:ind w:left="180" w:hanging="172"/>
        <w:spacing w:after="0"/>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Chardan NexTech Acquisition 2 Corp;</w:t>
      </w:r>
    </w:p>
    <w:p>
      <w:pPr>
        <w:spacing w:after="0" w:line="225" w:lineRule="exact"/>
        <w:rPr>
          <w:rFonts w:ascii="Arial" w:cs="Arial" w:eastAsia="Arial" w:hAnsi="Arial"/>
          <w:sz w:val="18"/>
          <w:szCs w:val="18"/>
          <w:color w:val="auto"/>
        </w:rPr>
      </w:pPr>
    </w:p>
    <w:p>
      <w:pPr>
        <w:jc w:val="both"/>
        <w:ind w:firstLine="8"/>
        <w:spacing w:after="0" w:line="263" w:lineRule="auto"/>
        <w:tabs>
          <w:tab w:leader="none" w:pos="186"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20" w:firstLine="8"/>
        <w:spacing w:after="0" w:line="342" w:lineRule="auto"/>
        <w:tabs>
          <w:tab w:leader="none" w:pos="185"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firstLine="8"/>
        <w:spacing w:after="0" w:line="277" w:lineRule="auto"/>
        <w:tabs>
          <w:tab w:leader="none" w:pos="181"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660" w:hanging="4"/>
        <w:spacing w:after="0" w:line="263" w:lineRule="auto"/>
        <w:tabs>
          <w:tab w:leader="none" w:pos="8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183" w:lineRule="exact"/>
        <w:rPr>
          <w:rFonts w:ascii="Arial" w:cs="Arial" w:eastAsia="Arial" w:hAnsi="Arial"/>
          <w:sz w:val="18"/>
          <w:szCs w:val="18"/>
          <w:color w:val="auto"/>
        </w:rPr>
      </w:pPr>
    </w:p>
    <w:p>
      <w:pPr>
        <w:ind w:left="860" w:hanging="204"/>
        <w:spacing w:after="0"/>
        <w:tabs>
          <w:tab w:leader="none" w:pos="8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225" w:lineRule="exact"/>
        <w:rPr>
          <w:rFonts w:ascii="Arial" w:cs="Arial" w:eastAsia="Arial" w:hAnsi="Arial"/>
          <w:sz w:val="18"/>
          <w:szCs w:val="18"/>
          <w:color w:val="auto"/>
        </w:rPr>
      </w:pPr>
    </w:p>
    <w:p>
      <w:pPr>
        <w:jc w:val="both"/>
        <w:ind w:left="660" w:hanging="4"/>
        <w:spacing w:after="0" w:line="263" w:lineRule="auto"/>
        <w:tabs>
          <w:tab w:leader="none" w:pos="85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660" w:hanging="4"/>
        <w:spacing w:after="0" w:line="286" w:lineRule="auto"/>
        <w:tabs>
          <w:tab w:leader="none" w:pos="886" w:val="left"/>
        </w:tabs>
        <w:numPr>
          <w:ilvl w:val="1"/>
          <w:numId w:val="2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jc w:val="both"/>
        <w:ind w:firstLine="8"/>
        <w:spacing w:after="0" w:line="263" w:lineRule="auto"/>
        <w:tabs>
          <w:tab w:leader="none" w:pos="18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660" w:hanging="4"/>
        <w:spacing w:after="0" w:line="263" w:lineRule="auto"/>
        <w:tabs>
          <w:tab w:leader="none" w:pos="865"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60" w:right="20" w:hanging="4"/>
        <w:spacing w:after="0" w:line="277" w:lineRule="auto"/>
        <w:tabs>
          <w:tab w:leader="none" w:pos="892"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Date: August 15, 2022</w:t>
      </w:r>
    </w:p>
    <w:p>
      <w:pPr>
        <w:ind w:left="5000"/>
        <w:spacing w:after="0" w:line="182" w:lineRule="auto"/>
        <w:rPr>
          <w:sz w:val="20"/>
          <w:szCs w:val="20"/>
          <w:color w:val="auto"/>
        </w:rPr>
      </w:pPr>
      <w:r>
        <w:rPr>
          <w:rFonts w:ascii="Arial" w:cs="Arial" w:eastAsia="Arial" w:hAnsi="Arial"/>
          <w:sz w:val="32"/>
          <w:szCs w:val="32"/>
          <w:color w:val="auto"/>
          <w:vertAlign w:val="subscript"/>
        </w:rPr>
        <w:t>By:</w:t>
      </w:r>
      <w:r>
        <w:rPr>
          <w:rFonts w:ascii="Arial" w:cs="Arial" w:eastAsia="Arial" w:hAnsi="Arial"/>
          <w:sz w:val="17"/>
          <w:szCs w:val="17"/>
          <w:color w:val="auto"/>
        </w:rPr>
        <w:t xml:space="preserve"> /s/ Alex Weil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635</wp:posOffset>
            </wp:positionV>
            <wp:extent cx="29317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ind w:left="5360"/>
        <w:spacing w:after="0"/>
        <w:rPr>
          <w:sz w:val="20"/>
          <w:szCs w:val="20"/>
          <w:color w:val="auto"/>
        </w:rPr>
      </w:pPr>
      <w:r>
        <w:rPr>
          <w:rFonts w:ascii="Arial" w:cs="Arial" w:eastAsia="Arial" w:hAnsi="Arial"/>
          <w:sz w:val="18"/>
          <w:szCs w:val="18"/>
          <w:color w:val="auto"/>
        </w:rPr>
        <w:t>Alex Weil</w:t>
      </w:r>
    </w:p>
    <w:p>
      <w:pPr>
        <w:spacing w:after="0" w:line="49" w:lineRule="exact"/>
        <w:rPr>
          <w:sz w:val="20"/>
          <w:szCs w:val="20"/>
          <w:color w:val="auto"/>
        </w:rPr>
      </w:pPr>
    </w:p>
    <w:p>
      <w:pPr>
        <w:ind w:left="5360"/>
        <w:spacing w:after="0"/>
        <w:rPr>
          <w:sz w:val="20"/>
          <w:szCs w:val="20"/>
          <w:color w:val="auto"/>
        </w:rPr>
      </w:pPr>
      <w:r>
        <w:rPr>
          <w:rFonts w:ascii="Arial" w:cs="Arial" w:eastAsia="Arial" w:hAnsi="Arial"/>
          <w:sz w:val="18"/>
          <w:szCs w:val="18"/>
          <w:i w:val="1"/>
          <w:iCs w:val="1"/>
          <w:color w:val="auto"/>
        </w:rPr>
        <w:t>Chief Financial Officer</w:t>
      </w:r>
    </w:p>
    <w:p>
      <w:pPr>
        <w:spacing w:after="0" w:line="50" w:lineRule="exact"/>
        <w:rPr>
          <w:sz w:val="20"/>
          <w:szCs w:val="20"/>
          <w:color w:val="auto"/>
        </w:rPr>
      </w:pPr>
    </w:p>
    <w:p>
      <w:pPr>
        <w:ind w:left="536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520700</wp:posOffset>
            </wp:positionV>
            <wp:extent cx="629221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Chardan NexTech Acquisition 2 Corp (the “Company”) on Form 10-Q for the quarterly period ended June 30, 2022, as filed with the Securities and Exchange Commission (the “Report”), I, Jonas Grossman, Chief Executive Officer of the Company, certify, pursuant to 18 U.S.C. §1350, as added by §906 of the Sarbanes-Oxley Act of 2002, that:</w:t>
      </w:r>
    </w:p>
    <w:p>
      <w:pPr>
        <w:spacing w:after="0" w:line="165" w:lineRule="exact"/>
        <w:rPr>
          <w:sz w:val="20"/>
          <w:szCs w:val="20"/>
          <w:color w:val="auto"/>
        </w:rPr>
      </w:pPr>
    </w:p>
    <w:p>
      <w:pPr>
        <w:ind w:left="840" w:hanging="184"/>
        <w:spacing w:after="0"/>
        <w:tabs>
          <w:tab w:leader="none" w:pos="8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660" w:hanging="4"/>
        <w:spacing w:after="0" w:line="277" w:lineRule="auto"/>
        <w:tabs>
          <w:tab w:leader="none" w:pos="843"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August 15, 2022</w:t>
      </w:r>
    </w:p>
    <w:p>
      <w:pPr>
        <w:spacing w:after="0" w:line="5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 /s/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3417570</wp:posOffset>
            </wp:positionH>
            <wp:positionV relativeFrom="paragraph">
              <wp:posOffset>14605</wp:posOffset>
            </wp:positionV>
            <wp:extent cx="288036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2880360" cy="8890"/>
                    </a:xfrm>
                    <a:prstGeom prst="rect">
                      <a:avLst/>
                    </a:prstGeom>
                    <a:noFill/>
                  </pic:spPr>
                </pic:pic>
              </a:graphicData>
            </a:graphic>
          </wp:anchor>
        </w:drawing>
      </w:r>
    </w:p>
    <w:p>
      <w:pPr>
        <w:spacing w:after="0" w:line="4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Jonas Grossman</w:t>
      </w:r>
    </w:p>
    <w:p>
      <w:pPr>
        <w:spacing w:after="0" w:line="23" w:lineRule="exact"/>
        <w:rPr>
          <w:sz w:val="20"/>
          <w:szCs w:val="20"/>
          <w:color w:val="auto"/>
        </w:rPr>
      </w:pPr>
    </w:p>
    <w:p>
      <w:pPr>
        <w:ind w:left="5440"/>
        <w:spacing w:after="0"/>
        <w:rPr>
          <w:sz w:val="20"/>
          <w:szCs w:val="20"/>
          <w:color w:val="auto"/>
        </w:rPr>
      </w:pPr>
      <w:r>
        <w:rPr>
          <w:rFonts w:ascii="Arial" w:cs="Arial" w:eastAsia="Arial" w:hAnsi="Arial"/>
          <w:sz w:val="18"/>
          <w:szCs w:val="18"/>
          <w:i w:val="1"/>
          <w:iCs w:val="1"/>
          <w:color w:val="auto"/>
        </w:rPr>
        <w:t>Chief Executive Officer, President,</w:t>
      </w:r>
    </w:p>
    <w:p>
      <w:pPr>
        <w:spacing w:after="0" w:line="49" w:lineRule="exact"/>
        <w:rPr>
          <w:sz w:val="20"/>
          <w:szCs w:val="20"/>
          <w:color w:val="auto"/>
        </w:rPr>
      </w:pPr>
    </w:p>
    <w:p>
      <w:pPr>
        <w:ind w:left="5440"/>
        <w:spacing w:after="0"/>
        <w:rPr>
          <w:sz w:val="20"/>
          <w:szCs w:val="20"/>
          <w:color w:val="auto"/>
        </w:rPr>
      </w:pPr>
      <w:r>
        <w:rPr>
          <w:rFonts w:ascii="Arial" w:cs="Arial" w:eastAsia="Arial" w:hAnsi="Arial"/>
          <w:sz w:val="18"/>
          <w:szCs w:val="18"/>
          <w:i w:val="1"/>
          <w:iCs w:val="1"/>
          <w:color w:val="auto"/>
        </w:rPr>
        <w:t>Secretary, Treasurer and Director</w:t>
      </w:r>
    </w:p>
    <w:p>
      <w:pPr>
        <w:spacing w:after="0" w:line="50" w:lineRule="exact"/>
        <w:rPr>
          <w:sz w:val="20"/>
          <w:szCs w:val="20"/>
          <w:color w:val="auto"/>
        </w:rPr>
      </w:pPr>
    </w:p>
    <w:p>
      <w:pPr>
        <w:ind w:left="544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Chardan NexTech Acquisition 2 Corp (the “Company”) on Form 10-Q for the quarterly period ended June 30, 2022, as filed with the Securities and Exchange Commission (the “Report”), I, Alex Weil, Chief Financial Officer of the Company, certify, pursuant to 18 U.S.C. §1350, as added by §906 of the Sarbanes-Oxley Act of 2002, that:</w:t>
      </w:r>
    </w:p>
    <w:p>
      <w:pPr>
        <w:spacing w:after="0" w:line="165" w:lineRule="exact"/>
        <w:rPr>
          <w:sz w:val="20"/>
          <w:szCs w:val="20"/>
          <w:color w:val="auto"/>
        </w:rPr>
      </w:pPr>
    </w:p>
    <w:p>
      <w:pPr>
        <w:ind w:left="840" w:hanging="184"/>
        <w:spacing w:after="0"/>
        <w:tabs>
          <w:tab w:leader="none" w:pos="8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660" w:hanging="4"/>
        <w:spacing w:after="0" w:line="277" w:lineRule="auto"/>
        <w:tabs>
          <w:tab w:leader="none" w:pos="843"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August 15, 2022</w:t>
      </w:r>
    </w:p>
    <w:p>
      <w:pPr>
        <w:spacing w:after="0" w:line="90"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By: /s/ Alex Weil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14605</wp:posOffset>
            </wp:positionV>
            <wp:extent cx="293179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4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Alex Weil</w:t>
      </w:r>
    </w:p>
    <w:p>
      <w:pPr>
        <w:spacing w:after="0" w:line="50" w:lineRule="exact"/>
        <w:rPr>
          <w:sz w:val="20"/>
          <w:szCs w:val="20"/>
          <w:color w:val="auto"/>
        </w:rPr>
      </w:pPr>
    </w:p>
    <w:p>
      <w:pPr>
        <w:ind w:left="5360"/>
        <w:spacing w:after="0"/>
        <w:rPr>
          <w:sz w:val="20"/>
          <w:szCs w:val="20"/>
          <w:color w:val="auto"/>
        </w:rPr>
      </w:pPr>
      <w:r>
        <w:rPr>
          <w:rFonts w:ascii="Arial" w:cs="Arial" w:eastAsia="Arial" w:hAnsi="Arial"/>
          <w:sz w:val="18"/>
          <w:szCs w:val="18"/>
          <w:i w:val="1"/>
          <w:iCs w:val="1"/>
          <w:color w:val="auto"/>
        </w:rPr>
        <w:t>Chief Financial Officer</w:t>
      </w:r>
    </w:p>
    <w:p>
      <w:pPr>
        <w:spacing w:after="0" w:line="50" w:lineRule="exact"/>
        <w:rPr>
          <w:sz w:val="20"/>
          <w:szCs w:val="20"/>
          <w:color w:val="auto"/>
        </w:rPr>
      </w:pPr>
    </w:p>
    <w:p>
      <w:pPr>
        <w:ind w:left="536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lvl w:ilvl="1">
      <w:lvlJc w:val="left"/>
      <w:lvlText w:val="☒"/>
      <w:numFmt w:val="bullet"/>
      <w:start w:val="1"/>
    </w:lvl>
  </w:abstractNum>
  <w:abstractNum w:abstractNumId="1">
    <w:nsid w:val="3352255A"/>
    <w:multiLevelType w:val="hybridMultilevel"/>
    <w:lvl w:ilvl="0">
      <w:lvlJc w:val="left"/>
      <w:lvlText w:val="%1)"/>
      <w:numFmt w:val="decimal"/>
      <w:start w:val="5"/>
    </w:lvl>
  </w:abstractNum>
  <w:abstractNum w:abstractNumId="2">
    <w:nsid w:val="109CF92E"/>
    <w:multiLevelType w:val="hybridMultilevel"/>
    <w:lvl w:ilvl="0">
      <w:lvlJc w:val="left"/>
      <w:lvlText w:val="(%1)"/>
      <w:numFmt w:val="lowerRoman"/>
      <w:start w:val="1"/>
    </w:lvl>
  </w:abstractNum>
  <w:abstractNum w:abstractNumId="3">
    <w:nsid w:val="DED7263"/>
    <w:multiLevelType w:val="hybridMultilevel"/>
    <w:lvl w:ilvl="0">
      <w:lvlJc w:val="left"/>
      <w:lvlText w:val="(%1)"/>
      <w:numFmt w:val="upperLetter"/>
      <w:start w:val="1"/>
    </w:lvl>
  </w:abstractNum>
  <w:abstractNum w:abstractNumId="4">
    <w:nsid w:val="7FDCC233"/>
    <w:multiLevelType w:val="hybridMultilevel"/>
    <w:lvl w:ilvl="0">
      <w:lvlJc w:val="left"/>
      <w:lvlText w:val="(%1)"/>
      <w:numFmt w:val="decimal"/>
      <w:start w:val="10"/>
    </w:lvl>
  </w:abstractNum>
  <w:abstractNum w:abstractNumId="5">
    <w:nsid w:val="1BEFD79F"/>
    <w:multiLevelType w:val="hybridMultilevel"/>
    <w:lvl w:ilvl="0">
      <w:lvlJc w:val="left"/>
      <w:lvlText w:val="(%1)"/>
      <w:numFmt w:val="lowerRoman"/>
      <w:start w:val="1"/>
    </w:lvl>
  </w:abstractNum>
  <w:abstractNum w:abstractNumId="6">
    <w:nsid w:val="41A7C4C9"/>
    <w:multiLevelType w:val="hybridMultilevel"/>
    <w:lvl w:ilvl="0">
      <w:lvlJc w:val="left"/>
      <w:lvlText w:val="(%1)"/>
      <w:numFmt w:val="upperLetter"/>
      <w:start w:val="1"/>
    </w:lvl>
  </w:abstractNum>
  <w:abstractNum w:abstractNumId="7">
    <w:nsid w:val="6B68079A"/>
    <w:multiLevelType w:val="hybridMultilevel"/>
    <w:lvl w:ilvl="0">
      <w:lvlJc w:val="left"/>
      <w:lvlText w:val="(%1)"/>
      <w:numFmt w:val="upperLetter"/>
      <w:start w:val="3"/>
    </w:lvl>
  </w:abstractNum>
  <w:abstractNum w:abstractNumId="8">
    <w:nsid w:val="4E6AFB66"/>
    <w:multiLevelType w:val="hybridMultilevel"/>
    <w:lvl w:ilvl="0">
      <w:lvlJc w:val="left"/>
      <w:lvlText w:val="(%1)"/>
      <w:numFmt w:val="lowerRoman"/>
      <w:start w:val="5"/>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1."/>
      <w:numFmt w:val="decimal"/>
      <w:start w:val="1"/>
    </w:lvl>
    <w:lvl w:ilvl="1">
      <w:lvlJc w:val="left"/>
      <w:lvlText w:val="%2."/>
      <w:numFmt w:val="upperLetter"/>
      <w:start w:val="1"/>
    </w:lvl>
  </w:abstractNum>
  <w:abstractNum w:abstractNumId="11">
    <w:nsid w:val="431BD7B7"/>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abstractNum>
  <w:abstractNum w:abstractNumId="12">
    <w:nsid w:val="3F2DBA31"/>
    <w:multiLevelType w:val="hybridMultilevel"/>
    <w:lvl w:ilvl="0">
      <w:lvlJc w:val="left"/>
      <w:lvlText w:val="%1"/>
      <w:numFmt w:val="decimal"/>
      <w:start w:val="1"/>
    </w:lvl>
    <w:lvl w:ilvl="1">
      <w:lvlJc w:val="left"/>
      <w:lvlText w:val="%2."/>
      <w:numFmt w:val="upperLetter"/>
      <w:start w:val="3"/>
    </w:lvl>
    <w:lvl w:ilvl="2">
      <w:lvlJc w:val="left"/>
      <w:lvlText w:val="%3"/>
      <w:numFmt w:val="decimal"/>
      <w:start w:val="1"/>
    </w:lvl>
  </w:abstractNum>
  <w:abstractNum w:abstractNumId="13">
    <w:nsid w:val="7C83E458"/>
    <w:multiLevelType w:val="hybridMultilevel"/>
    <w:lvl w:ilvl="0">
      <w:lvlJc w:val="left"/>
      <w:lvlText w:val="%1."/>
      <w:numFmt w:val="decimal"/>
      <w:start w:val="1"/>
    </w:lvl>
    <w:lvl w:ilvl="1">
      <w:lvlJc w:val="left"/>
      <w:lvlText w:val="%2"/>
      <w:numFmt w:val="upperLetter"/>
      <w:start w:val="1"/>
    </w:lvl>
    <w:lvl w:ilvl="2">
      <w:lvlJc w:val="left"/>
      <w:lvlText w:val="%3"/>
      <w:numFmt w:val="decimal"/>
      <w:start w:val="1"/>
    </w:lvl>
  </w:abstractNum>
  <w:abstractNum w:abstractNumId="14">
    <w:nsid w:val="257130A3"/>
    <w:multiLevelType w:val="hybridMultilevel"/>
    <w:lvl w:ilvl="0">
      <w:lvlJc w:val="left"/>
      <w:lvlText w:val="%1."/>
      <w:numFmt w:val="decimal"/>
      <w:start w:val="2"/>
    </w:lvl>
    <w:lvl w:ilvl="1">
      <w:lvlJc w:val="left"/>
      <w:lvlText w:val="%2."/>
      <w:numFmt w:val="lowerLetter"/>
      <w:start w:val="1"/>
    </w:lvl>
  </w:abstractNum>
  <w:abstractNum w:abstractNumId="15">
    <w:nsid w:val="62BBD95A"/>
    <w:multiLevelType w:val="hybridMultilevel"/>
    <w:lvl w:ilvl="0">
      <w:lvlJc w:val="left"/>
      <w:lvlText w:val="%1"/>
      <w:numFmt w:val="decimal"/>
      <w:start w:val="1"/>
    </w:lvl>
    <w:lvl w:ilvl="1">
      <w:lvlJc w:val="left"/>
      <w:lvlText w:val="%2."/>
      <w:numFmt w:val="lowerLetter"/>
      <w:start w:val="4"/>
    </w:lvl>
  </w:abstractNum>
  <w:abstractNum w:abstractNumId="16">
    <w:nsid w:val="436C6125"/>
    <w:multiLevelType w:val="hybridMultilevel"/>
    <w:lvl w:ilvl="0">
      <w:lvlJc w:val="left"/>
      <w:lvlText w:val="%1."/>
      <w:numFmt w:val="decimal"/>
      <w:start w:val="4"/>
    </w:lvl>
    <w:lvl w:ilvl="1">
      <w:lvlJc w:val="left"/>
      <w:lvlText w:val="%2"/>
      <w:numFmt w:val="lowerLetter"/>
      <w:start w:val="1"/>
    </w:lvl>
  </w:abstractNum>
  <w:abstractNum w:abstractNumId="17">
    <w:nsid w:val="628C895D"/>
    <w:multiLevelType w:val="hybridMultilevel"/>
    <w:lvl w:ilvl="0">
      <w:lvlJc w:val="left"/>
      <w:lvlText w:val="%1."/>
      <w:numFmt w:val="decimal"/>
      <w:start w:val="7"/>
    </w:lvl>
    <w:lvl w:ilvl="1">
      <w:lvlJc w:val="left"/>
      <w:lvlText w:val="%2."/>
      <w:numFmt w:val="lowerLetter"/>
      <w:start w:val="1"/>
    </w:lvl>
  </w:abstractNum>
  <w:abstractNum w:abstractNumId="18">
    <w:nsid w:val="333AB105"/>
    <w:multiLevelType w:val="hybridMultilevel"/>
    <w:lvl w:ilvl="0">
      <w:lvlJc w:val="left"/>
      <w:lvlText w:val="%1."/>
      <w:numFmt w:val="decimal"/>
      <w:start w:val="1"/>
    </w:lvl>
    <w:lvl w:ilvl="1">
      <w:lvlJc w:val="left"/>
      <w:lvlText w:val="(%2)"/>
      <w:numFmt w:val="lowerLetter"/>
      <w:start w:val="1"/>
    </w:lvl>
  </w:abstractNum>
  <w:abstractNum w:abstractNumId="19">
    <w:nsid w:val="721DA317"/>
    <w:multiLevelType w:val="hybridMultilevel"/>
    <w:lvl w:ilvl="0">
      <w:lvlJc w:val="left"/>
      <w:lvlText w:val="%1."/>
      <w:numFmt w:val="decimal"/>
      <w:start w:val="6"/>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46" Type="http://schemas.openxmlformats.org/officeDocument/2006/relationships/hyperlink" Target="https://www.sec.gov/Archives/edgar/data/1847986/000110465922061458/tm2214793d3_ex2-1.htm" TargetMode="External"/><Relationship Id="rId47" Type="http://schemas.openxmlformats.org/officeDocument/2006/relationships/hyperlink" Target="https://www.sec.gov/Archives/edgar/data/1847986/000110465922079011/tm2220847d1_ex2-1.htm" TargetMode="External"/><Relationship Id="rId48" Type="http://schemas.openxmlformats.org/officeDocument/2006/relationships/hyperlink" Target="https://www.sec.gov/Archives/edgar/data/1847986/000110465922061458/tm2214793d3_ex10-1.htm" TargetMode="External"/><Relationship Id="rId49" Type="http://schemas.openxmlformats.org/officeDocument/2006/relationships/hyperlink" Target="https://www.sec.gov/Archives/edgar/data/1847986/000110465922061458/tm2214793d3_ex10-2.htm" TargetMode="External"/><Relationship Id="rId50" Type="http://schemas.openxmlformats.org/officeDocument/2006/relationships/hyperlink" Target="https://www.sec.gov/Archives/edgar/data/1847986/000110465922061458/tm2214793d3_ex10-3.htm" TargetMode="External"/><Relationship Id="rId51" Type="http://schemas.openxmlformats.org/officeDocument/2006/relationships/hyperlink" Target="https://www.sec.gov/Archives/edgar/data/1847986/000110465922061458/tm2214793d3_ex10-4.htm" TargetMode="External"/><Relationship Id="rId52" Type="http://schemas.openxmlformats.org/officeDocument/2006/relationships/hyperlink" Target="https://www.sec.gov/Archives/edgar/data/1847986/000110465922061458/tm2214793d3_ex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2022-08-15T15:37:49Z</dcterms:created>
  <dcterms:modified xsi:type="dcterms:W3CDTF">2022-08-15T15:37:49Z</dcterms:modified>
</cp:coreProperties>
</file>