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252095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September 29, 2022 ( September 29,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Chardan NexTech Acquisition 2 Corp.</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3" w:right="339" w:bottom="1440" w:gutter="0" w:footer="0" w:header="0"/>
        </w:sectPr>
      </w:pPr>
    </w:p>
    <w:p>
      <w:pPr>
        <w:spacing w:after="0" w:line="200" w:lineRule="exact"/>
        <w:rPr>
          <w:sz w:val="24"/>
          <w:szCs w:val="24"/>
          <w:color w:val="auto"/>
        </w:rPr>
      </w:pPr>
    </w:p>
    <w:p>
      <w:pPr>
        <w:spacing w:after="0" w:line="309"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84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p>
      <w:pPr>
        <w:spacing w:after="0" w:line="9"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8"/>
          <w:szCs w:val="18"/>
          <w:b w:val="1"/>
          <w:bCs w:val="1"/>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9" w:lineRule="exact"/>
        <w:rPr>
          <w:sz w:val="24"/>
          <w:szCs w:val="24"/>
          <w:color w:val="auto"/>
        </w:rPr>
      </w:pPr>
    </w:p>
    <w:p>
      <w:pPr>
        <w:jc w:val="center"/>
        <w:ind w:right="1820"/>
        <w:spacing w:after="0"/>
        <w:rPr>
          <w:sz w:val="20"/>
          <w:szCs w:val="20"/>
          <w:color w:val="auto"/>
        </w:rPr>
      </w:pPr>
      <w:r>
        <w:rPr>
          <w:rFonts w:ascii="Times New Roman" w:cs="Times New Roman" w:eastAsia="Times New Roman" w:hAnsi="Times New Roman"/>
          <w:sz w:val="18"/>
          <w:szCs w:val="18"/>
          <w:b w:val="1"/>
          <w:bCs w:val="1"/>
          <w:color w:val="auto"/>
        </w:rPr>
        <w:t>001-40730</w:t>
      </w:r>
    </w:p>
    <w:p>
      <w:pPr>
        <w:spacing w:after="0" w:line="31" w:lineRule="exact"/>
        <w:rPr>
          <w:sz w:val="24"/>
          <w:szCs w:val="24"/>
          <w:color w:val="auto"/>
        </w:rPr>
      </w:pPr>
    </w:p>
    <w:p>
      <w:pPr>
        <w:jc w:val="center"/>
        <w:ind w:right="1820"/>
        <w:spacing w:after="0"/>
        <w:rPr>
          <w:sz w:val="20"/>
          <w:szCs w:val="20"/>
          <w:color w:val="auto"/>
        </w:rPr>
      </w:pPr>
      <w:r>
        <w:rPr>
          <w:rFonts w:ascii="Times New Roman" w:cs="Times New Roman" w:eastAsia="Times New Roman" w:hAnsi="Times New Roman"/>
          <w:sz w:val="18"/>
          <w:szCs w:val="18"/>
          <w:b w:val="1"/>
          <w:bCs w:val="1"/>
          <w:color w:val="auto"/>
        </w:rPr>
        <w:t>(Commission</w:t>
      </w:r>
    </w:p>
    <w:p>
      <w:pPr>
        <w:spacing w:after="0" w:line="9" w:lineRule="exact"/>
        <w:rPr>
          <w:sz w:val="24"/>
          <w:szCs w:val="24"/>
          <w:color w:val="auto"/>
        </w:rPr>
      </w:pPr>
    </w:p>
    <w:p>
      <w:pPr>
        <w:jc w:val="center"/>
        <w:ind w:right="1820"/>
        <w:spacing w:after="0"/>
        <w:rPr>
          <w:sz w:val="20"/>
          <w:szCs w:val="20"/>
          <w:color w:val="auto"/>
        </w:rPr>
      </w:pPr>
      <w:r>
        <w:rPr>
          <w:rFonts w:ascii="Times New Roman" w:cs="Times New Roman" w:eastAsia="Times New Roman" w:hAnsi="Times New Roman"/>
          <w:sz w:val="17"/>
          <w:szCs w:val="17"/>
          <w:b w:val="1"/>
          <w:bCs w:val="1"/>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9"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85-1873463</w:t>
      </w:r>
    </w:p>
    <w:p>
      <w:pPr>
        <w:spacing w:after="0" w:line="31"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(I.R.S. Employer</w:t>
      </w:r>
    </w:p>
    <w:p>
      <w:pPr>
        <w:spacing w:after="0" w:line="9"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Identification No.)</w:t>
      </w:r>
    </w:p>
    <w:p>
      <w:pPr>
        <w:spacing w:after="0" w:line="200" w:lineRule="exact"/>
        <w:rPr>
          <w:sz w:val="24"/>
          <w:szCs w:val="24"/>
          <w:color w:val="auto"/>
        </w:rPr>
      </w:pPr>
    </w:p>
    <w:p>
      <w:pPr>
        <w:sectPr>
          <w:pgSz w:w="11900" w:h="16838" w:orient="portrait"/>
          <w:cols w:equalWidth="0" w:num="3">
            <w:col w:w="4400" w:space="720"/>
            <w:col w:w="2840" w:space="720"/>
            <w:col w:w="2560"/>
          </w:cols>
          <w:pgMar w:left="320" w:top="583" w:right="339" w:bottom="1440" w:gutter="0" w:footer="0" w:header="0"/>
          <w:type w:val="continuous"/>
        </w:sectPr>
      </w:pPr>
    </w:p>
    <w:p>
      <w:pPr>
        <w:spacing w:after="0" w:line="3"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17 State Street, 21st Floor</w:t>
      </w:r>
    </w:p>
    <w:p>
      <w:pPr>
        <w:spacing w:after="0" w:line="31"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New York, NY</w:t>
      </w:r>
    </w:p>
    <w:p>
      <w:pPr>
        <w:spacing w:after="0" w:line="9"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400"/>
        <w:spacing w:after="0"/>
        <w:rPr>
          <w:sz w:val="20"/>
          <w:szCs w:val="20"/>
          <w:color w:val="auto"/>
        </w:rPr>
      </w:pPr>
      <w:r>
        <w:rPr>
          <w:rFonts w:ascii="Times New Roman" w:cs="Times New Roman" w:eastAsia="Times New Roman" w:hAnsi="Times New Roman"/>
          <w:sz w:val="18"/>
          <w:szCs w:val="18"/>
          <w:b w:val="1"/>
          <w:bCs w:val="1"/>
          <w:color w:val="auto"/>
        </w:rPr>
        <w:t>10004</w:t>
      </w:r>
    </w:p>
    <w:p>
      <w:pPr>
        <w:spacing w:after="0" w:line="31" w:lineRule="exact"/>
        <w:rPr>
          <w:sz w:val="24"/>
          <w:szCs w:val="24"/>
          <w:color w:val="auto"/>
        </w:rPr>
      </w:pPr>
    </w:p>
    <w:p>
      <w:pPr>
        <w:jc w:val="center"/>
        <w:ind w:right="2400"/>
        <w:spacing w:after="0"/>
        <w:rPr>
          <w:sz w:val="20"/>
          <w:szCs w:val="20"/>
          <w:color w:val="auto"/>
        </w:rPr>
      </w:pPr>
      <w:r>
        <w:rPr>
          <w:rFonts w:ascii="Times New Roman" w:cs="Times New Roman" w:eastAsia="Times New Roman" w:hAnsi="Times New Roman"/>
          <w:sz w:val="17"/>
          <w:szCs w:val="17"/>
          <w:b w:val="1"/>
          <w:bCs w:val="1"/>
          <w:color w:val="auto"/>
        </w:rPr>
        <w:t>(Zip Code)</w:t>
      </w:r>
    </w:p>
    <w:p>
      <w:pPr>
        <w:spacing w:after="0" w:line="200" w:lineRule="exact"/>
        <w:rPr>
          <w:sz w:val="24"/>
          <w:szCs w:val="24"/>
          <w:color w:val="auto"/>
        </w:rPr>
      </w:pPr>
    </w:p>
    <w:p>
      <w:pPr>
        <w:sectPr>
          <w:pgSz w:w="11900" w:h="16838" w:orient="portrait"/>
          <w:cols w:equalWidth="0" w:num="2">
            <w:col w:w="7300" w:space="720"/>
            <w:col w:w="3220"/>
          </w:cols>
          <w:pgMar w:left="320" w:top="583" w:right="339" w:bottom="1440" w:gutter="0" w:footer="0" w:header="0"/>
          <w:type w:val="continuous"/>
        </w:sectPr>
      </w:pP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(646) 465-9000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62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w:t>
            </w:r>
          </w:p>
        </w:tc>
        <w:tc>
          <w:tcPr>
            <w:tcW w:w="0" w:type="dxa"/>
            <w:vAlign w:val="bottom"/>
          </w:tcPr>
          <w:p>
            <w:pPr>
              <w:spacing w:after="0"/>
              <w:rPr>
                <w:sz w:val="1"/>
                <w:szCs w:val="1"/>
                <w:color w:val="auto"/>
              </w:rPr>
            </w:pPr>
          </w:p>
        </w:tc>
      </w:tr>
      <w:tr>
        <w:trPr>
          <w:trHeight w:val="238"/>
        </w:trPr>
        <w:tc>
          <w:tcPr>
            <w:tcW w:w="6280" w:type="dxa"/>
            <w:vAlign w:val="bottom"/>
            <w:gridSpan w:val="2"/>
            <w:vMerge w:val="continue"/>
          </w:tcPr>
          <w:p>
            <w:pPr>
              <w:spacing w:after="0"/>
              <w:rPr>
                <w:sz w:val="20"/>
                <w:szCs w:val="20"/>
                <w:color w:val="auto"/>
              </w:rPr>
            </w:pPr>
          </w:p>
        </w:tc>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which registered</w:t>
            </w:r>
          </w:p>
        </w:tc>
        <w:tc>
          <w:tcPr>
            <w:tcW w:w="0" w:type="dxa"/>
            <w:vAlign w:val="bottom"/>
          </w:tcPr>
          <w:p>
            <w:pPr>
              <w:spacing w:after="0"/>
              <w:rPr>
                <w:sz w:val="1"/>
                <w:szCs w:val="1"/>
                <w:color w:val="auto"/>
              </w:rPr>
            </w:pPr>
          </w:p>
        </w:tc>
      </w:tr>
      <w:tr>
        <w:trPr>
          <w:trHeight w:val="191"/>
        </w:trPr>
        <w:tc>
          <w:tcPr>
            <w:tcW w:w="61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Units, each consisting of one share of Common Stock, $0.0001 par value, and three-</w:t>
            </w:r>
          </w:p>
        </w:tc>
        <w:tc>
          <w:tcPr>
            <w:tcW w:w="120" w:type="dxa"/>
            <w:vAlign w:val="bottom"/>
          </w:tcPr>
          <w:p>
            <w:pPr>
              <w:spacing w:after="0"/>
              <w:rPr>
                <w:sz w:val="16"/>
                <w:szCs w:val="16"/>
                <w:color w:val="auto"/>
              </w:rPr>
            </w:pPr>
          </w:p>
        </w:tc>
        <w:tc>
          <w:tcPr>
            <w:tcW w:w="14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CNTQU</w:t>
            </w:r>
          </w:p>
        </w:tc>
        <w:tc>
          <w:tcPr>
            <w:tcW w:w="100" w:type="dxa"/>
            <w:vAlign w:val="bottom"/>
          </w:tcPr>
          <w:p>
            <w:pPr>
              <w:spacing w:after="0"/>
              <w:rPr>
                <w:sz w:val="16"/>
                <w:szCs w:val="16"/>
                <w:color w:val="auto"/>
              </w:rPr>
            </w:pPr>
          </w:p>
        </w:tc>
        <w:tc>
          <w:tcPr>
            <w:tcW w:w="34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NASDAQ Capital Market</w:t>
            </w:r>
          </w:p>
        </w:tc>
        <w:tc>
          <w:tcPr>
            <w:tcW w:w="0" w:type="dxa"/>
            <w:vAlign w:val="bottom"/>
          </w:tcPr>
          <w:p>
            <w:pPr>
              <w:spacing w:after="0"/>
              <w:rPr>
                <w:sz w:val="1"/>
                <w:szCs w:val="1"/>
                <w:color w:val="auto"/>
              </w:rPr>
            </w:pPr>
          </w:p>
        </w:tc>
      </w:tr>
      <w:tr>
        <w:trPr>
          <w:trHeight w:val="216"/>
        </w:trPr>
        <w:tc>
          <w:tcPr>
            <w:tcW w:w="62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quarters of one Redeemable Warrant</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Common Stock, par value $0.0001 per share, included as part of the Units</w:t>
            </w:r>
          </w:p>
        </w:tc>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CNTQ</w:t>
            </w:r>
          </w:p>
        </w:tc>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c>
          <w:tcPr>
            <w:tcW w:w="0" w:type="dxa"/>
            <w:vAlign w:val="bottom"/>
          </w:tcPr>
          <w:p>
            <w:pPr>
              <w:spacing w:after="0"/>
              <w:rPr>
                <w:sz w:val="1"/>
                <w:szCs w:val="1"/>
                <w:color w:val="auto"/>
              </w:rPr>
            </w:pPr>
          </w:p>
        </w:tc>
      </w:tr>
      <w:tr>
        <w:trPr>
          <w:trHeight w:val="216"/>
        </w:trPr>
        <w:tc>
          <w:tcPr>
            <w:tcW w:w="62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Redeemable Warrants included as part of the Units, each exercisable for one share of</w:t>
            </w:r>
          </w:p>
        </w:tc>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CNTQW</w:t>
            </w:r>
          </w:p>
        </w:tc>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c>
          <w:tcPr>
            <w:tcW w:w="0" w:type="dxa"/>
            <w:vAlign w:val="bottom"/>
          </w:tcPr>
          <w:p>
            <w:pPr>
              <w:spacing w:after="0"/>
              <w:rPr>
                <w:sz w:val="1"/>
                <w:szCs w:val="1"/>
                <w:color w:val="auto"/>
              </w:rPr>
            </w:pPr>
          </w:p>
        </w:tc>
      </w:tr>
      <w:tr>
        <w:trPr>
          <w:trHeight w:val="234"/>
        </w:trPr>
        <w:tc>
          <w:tcPr>
            <w:tcW w:w="62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Common Stock for $11.50 per share</w:t>
            </w: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3"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 Agreement</w:t>
      </w:r>
    </w:p>
    <w:p>
      <w:pPr>
        <w:spacing w:after="0" w:line="22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As previously disclosed in our Current Report on Form 8-K, dated May 16, 2022, concurrently with the execution of the Business Combination Agreement, dated May 15, 2022, and as amended by the Amendment to the Business Combination Agreement, dated July 12, 2022 (as so amended, the “</w:t>
      </w:r>
      <w:r>
        <w:rPr>
          <w:rFonts w:ascii="Times New Roman" w:cs="Times New Roman" w:eastAsia="Times New Roman" w:hAnsi="Times New Roman"/>
          <w:sz w:val="18"/>
          <w:szCs w:val="18"/>
          <w:u w:val="single" w:color="auto"/>
          <w:color w:val="auto"/>
        </w:rPr>
        <w:t>Business Combination Agreement</w:t>
      </w:r>
      <w:r>
        <w:rPr>
          <w:rFonts w:ascii="Times New Roman" w:cs="Times New Roman" w:eastAsia="Times New Roman" w:hAnsi="Times New Roman"/>
          <w:sz w:val="18"/>
          <w:szCs w:val="18"/>
          <w:color w:val="auto"/>
        </w:rPr>
        <w:t>”), by and among Chardan NexTech Acquisition 2 Corp., which will change its name to Dragonfly Energy Holdings Corp. upon closing (“</w:t>
      </w:r>
      <w:r>
        <w:rPr>
          <w:rFonts w:ascii="Times New Roman" w:cs="Times New Roman" w:eastAsia="Times New Roman" w:hAnsi="Times New Roman"/>
          <w:sz w:val="18"/>
          <w:szCs w:val="18"/>
          <w:u w:val="single" w:color="auto"/>
          <w:color w:val="auto"/>
        </w:rPr>
        <w:t>Chardan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Holdings</w:t>
      </w:r>
      <w:r>
        <w:rPr>
          <w:rFonts w:ascii="Times New Roman" w:cs="Times New Roman" w:eastAsia="Times New Roman" w:hAnsi="Times New Roman"/>
          <w:sz w:val="18"/>
          <w:szCs w:val="18"/>
          <w:color w:val="auto"/>
        </w:rPr>
        <w:t>”), Bronco Merger Sub, Inc., a Nevada corporation and a wholly owned subsidiary of Chardan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Sub</w:t>
      </w:r>
      <w:r>
        <w:rPr>
          <w:rFonts w:ascii="Times New Roman" w:cs="Times New Roman" w:eastAsia="Times New Roman" w:hAnsi="Times New Roman"/>
          <w:sz w:val="18"/>
          <w:szCs w:val="18"/>
          <w:color w:val="auto"/>
        </w:rPr>
        <w:t>”), and Dragonfly Energy Corp., a Nevada corporation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Chardan and Borrower entered into a commitment letter (the “</w:t>
      </w:r>
      <w:r>
        <w:rPr>
          <w:rFonts w:ascii="Times New Roman" w:cs="Times New Roman" w:eastAsia="Times New Roman" w:hAnsi="Times New Roman"/>
          <w:sz w:val="18"/>
          <w:szCs w:val="18"/>
          <w:u w:val="single" w:color="auto"/>
          <w:color w:val="auto"/>
        </w:rPr>
        <w:t>Debt Commitment Letter</w:t>
      </w:r>
      <w:r>
        <w:rPr>
          <w:rFonts w:ascii="Times New Roman" w:cs="Times New Roman" w:eastAsia="Times New Roman" w:hAnsi="Times New Roman"/>
          <w:sz w:val="18"/>
          <w:szCs w:val="18"/>
          <w:color w:val="auto"/>
        </w:rPr>
        <w:t>”) with CCM Investments 5 LLC, an affiliate of Chardan Capital Markets (“</w:t>
      </w:r>
      <w:r>
        <w:rPr>
          <w:rFonts w:ascii="Times New Roman" w:cs="Times New Roman" w:eastAsia="Times New Roman" w:hAnsi="Times New Roman"/>
          <w:sz w:val="18"/>
          <w:szCs w:val="18"/>
          <w:u w:val="single" w:color="auto"/>
          <w:color w:val="auto"/>
        </w:rPr>
        <w:t>CCM 5</w:t>
      </w:r>
      <w:r>
        <w:rPr>
          <w:rFonts w:ascii="Times New Roman" w:cs="Times New Roman" w:eastAsia="Times New Roman" w:hAnsi="Times New Roman"/>
          <w:sz w:val="18"/>
          <w:szCs w:val="18"/>
          <w:color w:val="auto"/>
        </w:rPr>
        <w:t>”, and in connection with the Term Loan, the “</w:t>
      </w:r>
      <w:r>
        <w:rPr>
          <w:rFonts w:ascii="Times New Roman" w:cs="Times New Roman" w:eastAsia="Times New Roman" w:hAnsi="Times New Roman"/>
          <w:sz w:val="18"/>
          <w:szCs w:val="18"/>
          <w:u w:val="single" w:color="auto"/>
          <w:color w:val="auto"/>
        </w:rPr>
        <w:t>Chardan Lender</w:t>
      </w:r>
      <w:r>
        <w:rPr>
          <w:rFonts w:ascii="Times New Roman" w:cs="Times New Roman" w:eastAsia="Times New Roman" w:hAnsi="Times New Roman"/>
          <w:sz w:val="18"/>
          <w:szCs w:val="18"/>
          <w:color w:val="auto"/>
        </w:rPr>
        <w:t>”), and EICF Agent LLC (“</w:t>
      </w:r>
      <w:r>
        <w:rPr>
          <w:rFonts w:ascii="Times New Roman" w:cs="Times New Roman" w:eastAsia="Times New Roman" w:hAnsi="Times New Roman"/>
          <w:sz w:val="18"/>
          <w:szCs w:val="18"/>
          <w:u w:val="single" w:color="auto"/>
          <w:color w:val="auto"/>
        </w:rPr>
        <w:t>EIP</w:t>
      </w:r>
      <w:r>
        <w:rPr>
          <w:rFonts w:ascii="Times New Roman" w:cs="Times New Roman" w:eastAsia="Times New Roman" w:hAnsi="Times New Roman"/>
          <w:sz w:val="18"/>
          <w:szCs w:val="18"/>
          <w:color w:val="auto"/>
        </w:rPr>
        <w:t>” and, collectively with the Chardan Lender, the “</w:t>
      </w:r>
      <w:r>
        <w:rPr>
          <w:rFonts w:ascii="Times New Roman" w:cs="Times New Roman" w:eastAsia="Times New Roman" w:hAnsi="Times New Roman"/>
          <w:sz w:val="18"/>
          <w:szCs w:val="18"/>
          <w:u w:val="single" w:color="auto"/>
          <w:color w:val="auto"/>
        </w:rPr>
        <w:t>Initial Term Loan Lenders</w:t>
      </w:r>
      <w:r>
        <w:rPr>
          <w:rFonts w:ascii="Times New Roman" w:cs="Times New Roman" w:eastAsia="Times New Roman" w:hAnsi="Times New Roman"/>
          <w:sz w:val="18"/>
          <w:szCs w:val="18"/>
          <w:color w:val="auto"/>
        </w:rPr>
        <w:t>”), pursuant to which the Initial Term Loan Lenders committed to provide Borrower with a senior secured term loan facility in an aggregate principal amount of $75 million (the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Loan</w:t>
      </w:r>
      <w:r>
        <w:rPr>
          <w:rFonts w:ascii="Times New Roman" w:cs="Times New Roman" w:eastAsia="Times New Roman" w:hAnsi="Times New Roman"/>
          <w:sz w:val="18"/>
          <w:szCs w:val="18"/>
          <w:color w:val="auto"/>
        </w:rPr>
        <w:t>”) concurrently with the closing under the Business Combination Agreement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The Chardan Lender has backstopped its commitment under the Debt Commitment Letter by entering into a backstop commitment letter, dated as of May 20, 2022 (the “</w:t>
      </w:r>
      <w:r>
        <w:rPr>
          <w:rFonts w:ascii="Times New Roman" w:cs="Times New Roman" w:eastAsia="Times New Roman" w:hAnsi="Times New Roman"/>
          <w:sz w:val="18"/>
          <w:szCs w:val="18"/>
          <w:i w:val="1"/>
          <w:iCs w:val="1"/>
          <w:color w:val="auto"/>
        </w:rPr>
        <w:t>Backstop Commitment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Letter</w:t>
      </w:r>
      <w:r>
        <w:rPr>
          <w:rFonts w:ascii="Times New Roman" w:cs="Times New Roman" w:eastAsia="Times New Roman" w:hAnsi="Times New Roman"/>
          <w:sz w:val="18"/>
          <w:szCs w:val="18"/>
          <w:color w:val="auto"/>
        </w:rPr>
        <w:t>”), with a certain third-party financing source (the “</w:t>
      </w:r>
      <w:r>
        <w:rPr>
          <w:rFonts w:ascii="Times New Roman" w:cs="Times New Roman" w:eastAsia="Times New Roman" w:hAnsi="Times New Roman"/>
          <w:sz w:val="18"/>
          <w:szCs w:val="18"/>
          <w:i w:val="1"/>
          <w:iCs w:val="1"/>
          <w:color w:val="auto"/>
        </w:rPr>
        <w:t>Backstop Lender</w:t>
      </w:r>
      <w:r>
        <w:rPr>
          <w:rFonts w:ascii="Times New Roman" w:cs="Times New Roman" w:eastAsia="Times New Roman" w:hAnsi="Times New Roman"/>
          <w:sz w:val="18"/>
          <w:szCs w:val="18"/>
          <w:color w:val="auto"/>
        </w:rPr>
        <w:t>”), pursuant to which the Backstop Lender has committed to purchase from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Chardan Lender the aggregate amount of the Term Loan held by the Chardan Lender (the “</w:t>
      </w:r>
      <w:r>
        <w:rPr>
          <w:rFonts w:ascii="Times New Roman" w:cs="Times New Roman" w:eastAsia="Times New Roman" w:hAnsi="Times New Roman"/>
          <w:sz w:val="18"/>
          <w:szCs w:val="18"/>
          <w:i w:val="1"/>
          <w:iCs w:val="1"/>
          <w:color w:val="auto"/>
        </w:rPr>
        <w:t>Backstopped Loans</w:t>
      </w:r>
      <w:r>
        <w:rPr>
          <w:rFonts w:ascii="Times New Roman" w:cs="Times New Roman" w:eastAsia="Times New Roman" w:hAnsi="Times New Roman"/>
          <w:sz w:val="18"/>
          <w:szCs w:val="18"/>
          <w:color w:val="auto"/>
        </w:rPr>
        <w:t>”) immediately following the issuance of the Term Loan on the Closing Date subject only to final documentation that is consistent in all material respects with the Debt Commitment Letter and the Summary of Terms and Conditions attached thereto. The proceeds of the Term Loan will be used (i) to refinance on the Closing Date, prior indebtedness,</w:t>
      </w:r>
    </w:p>
    <w:p>
      <w:pPr>
        <w:spacing w:after="0" w:line="12" w:lineRule="exact"/>
        <w:rPr>
          <w:sz w:val="20"/>
          <w:szCs w:val="20"/>
          <w:color w:val="auto"/>
        </w:rPr>
      </w:pPr>
    </w:p>
    <w:p>
      <w:pPr>
        <w:jc w:val="both"/>
        <w:ind w:firstLine="8"/>
        <w:spacing w:after="0" w:line="255" w:lineRule="auto"/>
        <w:tabs>
          <w:tab w:leader="none" w:pos="267"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support the combination under the Business Combination Agreement, (iii) for working capital purposes and other corporate purposes, and (iv) to pay any fees associated with transactions contemplated under the definitive agreement for the Term Loan and the other loan documents entered into in connection therewith, including the transactions described in the foregoing clauses (i) and (ii) and fees and expenses related to the business combination.</w:t>
      </w:r>
    </w:p>
    <w:p>
      <w:pPr>
        <w:spacing w:after="0" w:line="186"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7"/>
          <w:szCs w:val="17"/>
          <w:color w:val="auto"/>
        </w:rPr>
        <w:t>In connection with the Debt Commitment Letter, Holdings and Borrower have negotiated the terms of a Term Loan, Guarantee and Security Agreement (the “</w:t>
      </w:r>
      <w:r>
        <w:rPr>
          <w:rFonts w:ascii="Times New Roman" w:cs="Times New Roman" w:eastAsia="Times New Roman" w:hAnsi="Times New Roman"/>
          <w:sz w:val="17"/>
          <w:szCs w:val="17"/>
          <w:u w:val="single" w:color="auto"/>
          <w:color w:val="auto"/>
        </w:rPr>
        <w:t>Term Loan Agreement</w:t>
      </w:r>
      <w:r>
        <w:rPr>
          <w:rFonts w:ascii="Times New Roman" w:cs="Times New Roman" w:eastAsia="Times New Roman" w:hAnsi="Times New Roman"/>
          <w:sz w:val="17"/>
          <w:szCs w:val="17"/>
          <w:color w:val="auto"/>
        </w:rPr>
        <w:t>”) setting forth the terms of the Term Loan. Pursuant to the terms of the Term Loan Agreement, the Term Loan will be advanced in one tranche on the Closing Date. The Term Loan will amortize in the amount of 5% per annum beginning 24 months after closing and mature on the fourth anniversary of the Closing Date (“</w:t>
      </w:r>
      <w:r>
        <w:rPr>
          <w:rFonts w:ascii="Times New Roman" w:cs="Times New Roman" w:eastAsia="Times New Roman" w:hAnsi="Times New Roman"/>
          <w:sz w:val="17"/>
          <w:szCs w:val="17"/>
          <w:u w:val="single" w:color="auto"/>
          <w:color w:val="auto"/>
        </w:rPr>
        <w:t>Maturity Date</w:t>
      </w:r>
      <w:r>
        <w:rPr>
          <w:rFonts w:ascii="Times New Roman" w:cs="Times New Roman" w:eastAsia="Times New Roman" w:hAnsi="Times New Roman"/>
          <w:sz w:val="17"/>
          <w:szCs w:val="17"/>
          <w:color w:val="auto"/>
        </w:rPr>
        <w:t>”). The Term Loan will accrue interest (i) until April 1, 2023 at a per annum rate equal to adjusted Secured Overnight Financing Rate (“</w:t>
      </w:r>
      <w:r>
        <w:rPr>
          <w:rFonts w:ascii="Times New Roman" w:cs="Times New Roman" w:eastAsia="Times New Roman" w:hAnsi="Times New Roman"/>
          <w:sz w:val="17"/>
          <w:szCs w:val="17"/>
          <w:u w:val="single" w:color="auto"/>
          <w:color w:val="auto"/>
        </w:rPr>
        <w:t>SOFR</w:t>
      </w:r>
      <w:r>
        <w:rPr>
          <w:rFonts w:ascii="Times New Roman" w:cs="Times New Roman" w:eastAsia="Times New Roman" w:hAnsi="Times New Roman"/>
          <w:sz w:val="17"/>
          <w:szCs w:val="17"/>
          <w:color w:val="auto"/>
        </w:rPr>
        <w:t>”) plus a margin equal to 13.5%, of which 7% will be payable in cash and 6.5% will be paid in-kind,</w:t>
      </w:r>
    </w:p>
    <w:p>
      <w:pPr>
        <w:spacing w:after="0" w:line="3" w:lineRule="exact"/>
        <w:rPr>
          <w:sz w:val="20"/>
          <w:szCs w:val="20"/>
          <w:color w:val="auto"/>
        </w:rPr>
      </w:pPr>
    </w:p>
    <w:p>
      <w:pPr>
        <w:jc w:val="both"/>
        <w:ind w:firstLine="8"/>
        <w:spacing w:after="0" w:line="253" w:lineRule="auto"/>
        <w:tabs>
          <w:tab w:leader="none" w:pos="28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thereafter until October 1, 2024, at a per annum rate equal to adjusted SOFR plus 7% payable in cash plus an amount ranging from 4.5% to 6.5%, depending on the senior leverage ratio of the consolidated company, which will be paid-in-kind and (iii) at all times thereafter, at a per annum rate equal to adjusted SOFR plus a margin ranging from 11.5% to 13.5% payable in cash, depending on the senior leverage ratio of the consolidated company. In each of the foregoing cases, adjusted SOFR will be no less than 1%.</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may elect to prepay all or any portion of the amounts owed prior to the Maturity Date, provided that the Company provides notice to the Administrative Agent and the amount is accompanied by the applicable prepayment premium, if any. Prepayments of the Term Loan will be required</w:t>
      </w:r>
    </w:p>
    <w:p>
      <w:pPr>
        <w:jc w:val="both"/>
        <w:spacing w:after="0" w:line="185" w:lineRule="auto"/>
        <w:rPr>
          <w:sz w:val="20"/>
          <w:szCs w:val="20"/>
          <w:color w:val="auto"/>
        </w:rPr>
      </w:pPr>
      <w:r>
        <w:rPr>
          <w:rFonts w:ascii="Times New Roman" w:cs="Times New Roman" w:eastAsia="Times New Roman" w:hAnsi="Times New Roman"/>
          <w:sz w:val="18"/>
          <w:szCs w:val="18"/>
          <w:color w:val="auto"/>
        </w:rPr>
        <w:t>to be accompanied by a premium of 5% of the principal amount so prepaid if made prior to the 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anniversary of the Closing Date, 3% if made on and after the 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anniversary but prior to the 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xml:space="preserve"> anniversary of the Closing Date, 1% if made after the 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xml:space="preserve"> anniversary of the Closing Date but prior to the 3</w:t>
      </w:r>
      <w:r>
        <w:rPr>
          <w:rFonts w:ascii="Times New Roman" w:cs="Times New Roman" w:eastAsia="Times New Roman" w:hAnsi="Times New Roman"/>
          <w:sz w:val="29"/>
          <w:szCs w:val="29"/>
          <w:color w:val="auto"/>
          <w:vertAlign w:val="superscript"/>
        </w:rPr>
        <w:t>rd</w:t>
      </w:r>
    </w:p>
    <w:p>
      <w:pPr>
        <w:jc w:val="both"/>
        <w:spacing w:after="0" w:line="220" w:lineRule="auto"/>
        <w:rPr>
          <w:sz w:val="20"/>
          <w:szCs w:val="20"/>
          <w:color w:val="auto"/>
        </w:rPr>
      </w:pPr>
      <w:r>
        <w:rPr>
          <w:rFonts w:ascii="Times New Roman" w:cs="Times New Roman" w:eastAsia="Times New Roman" w:hAnsi="Times New Roman"/>
          <w:sz w:val="18"/>
          <w:szCs w:val="18"/>
          <w:color w:val="auto"/>
        </w:rPr>
        <w:t>anniversary of the Closing Date, and 0% if made on or after the 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xml:space="preserve"> anniversary of the Closing Date. If the Term Loan is accelerated following the occurrence of an event of default, the Borrower will be required to immediately pay to lenders the sum of all obligations for principal, accrued interest, and the applicable prepayment premium.</w:t>
      </w:r>
    </w:p>
    <w:p>
      <w:pPr>
        <w:spacing w:after="0" w:line="20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to the foregoing, Borrower will be required to prepay the Term Loan with the net cash proceeds of certain asset sales and casualty events (subject to certain customary exceptions), with the net cash proceeds of the issuance of indebtedness that is not otherwise permitted to be incurred under the Term Loan Agreement, upon the receipt of net cash proceeds from an equity issuance in an amount equal to 25% of such net cash proceeds, and commencing with the fiscal year ending December 31, 2023, with the excess cash flow for each such fiscal year in an amount equal to either 25% or 50% of such excess cash flow, depending on the senior leverage ratio of the consolidated company, less the amount of any voluntary prepayments made during such fiscal year.</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Pursuant to the Term Loan Agreement, the obligations of Borrower will be guaranteed by Holdings and Borrower’s subsidiaries that are party thereto from time to time as guarantors. Pursuant to the Term Loan Agreement, each of Holdings, Borrower and its subsidiaries party thereto from time to time will grant Alter Domus (US) LLC, as administrative agent for the lenders (the “</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a security interest in substantially all of its personal property, rights and assets to secure the payment of all amounts owed to lenders under the Term Loan Agreement. In addition, Holdings will be required to enter into a Pledge Agreement (the “</w:t>
      </w:r>
      <w:r>
        <w:rPr>
          <w:rFonts w:ascii="Times New Roman" w:cs="Times New Roman" w:eastAsia="Times New Roman" w:hAnsi="Times New Roman"/>
          <w:sz w:val="18"/>
          <w:szCs w:val="18"/>
          <w:u w:val="single" w:color="auto"/>
          <w:color w:val="auto"/>
        </w:rPr>
        <w:t>Pledge Agreement</w:t>
      </w:r>
      <w:r>
        <w:rPr>
          <w:rFonts w:ascii="Times New Roman" w:cs="Times New Roman" w:eastAsia="Times New Roman" w:hAnsi="Times New Roman"/>
          <w:sz w:val="18"/>
          <w:szCs w:val="18"/>
          <w:color w:val="auto"/>
        </w:rPr>
        <w:t>”) pursuant to which Holdings would pledge to the Administrative Agent its equity interests in the Borrower as further collateral security for the obligations under the Term Loan Agreement.</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Term Loan Agreement contains affirmative and restrictive covenants and representations and warranties. The Company and its subsidiaries will be bound by certain affirmative covenants setting forth actions that are required during the term of the Term Loan Agreement, including, without limitation, certain information delivery requirements, obligations to maintain certain insurance, and certain notice requirements. Additionally, Holdings, Borrower and each of its subsidiaries that are guarantors from time to time will be bound by certain restrictive covenants setting forth actions that are not permitted to be taken during the term of the Term Loan Agreement without prior written consent, including, without limitation, incurring certain additional indebtedness, consummating certain mergers, acquisitions or other business combination transactions, and incurring any non-permitted lien or other encumbrance on assets. The Term Loan Agreement will also contain other customary provisions, such as confidentiality obligations and indemnification rights for the benefit of the administrative agent and lenders. The Term Loan Agreement will contain financial covenants requiring the credit parties to (a) maintain minimum liquidity (generally, the balance of unrestricted cash and cash equivalents in the Company’s account that is subject to a control agreement in favor of the Administrative Agent) of at least $10,000,000 as of the last day of each fiscal month commencing with the fiscal month ending December 31, 2022, (b) if the daily average liquidity for any fiscal quarter ending on December 31, 2022, March 31, 2023, June 30, 2023, or September 30, 2023 is less than $17,500,000 and for each fiscal quarter thereafter (commencing with the fiscal quarter ending December 31, 2023), maintain a senior leverage ratio (generally, aggregate debt divided by consolidated EBITDA) of not more than 6.75 to 1.00 for fiscal quarters ending December 31, 2022 to March 31, 2023, 6.00 to 1.00 for fiscal quarters ending June 30, 2023 to September 30, 2023, 5.00 to 1.00 for fiscal quarters ending December 1, 2023 to March 31, 2024, 4.00 to 1.00 for fiscal quarters ending June 30, 2024 to September 30, 2024, 3.25 to 1.00 for fiscal quarters ending December 31, 2024 to March 31, 2025, and 3.00 to 1.00 for fiscal quarters ending June 30, 2025 and thereafter, (c) if liquidity is less than $15,000,000 as of the last day of any fiscal quarter (commencing with the fiscal quarter ending December 31, 2022), maintain a fixed charge coverage ratio for the trailing four fiscal quarter period of no less than 1.15:1.00 as of the last day of such fiscal quarter, and (d) if consolidated EBITDA is less than $15,000,000 for any trailing twelve month period ending on the last day of the most recently completed fiscal quarter, cause capital expenditures to not exceed $500,000 for the immediately succeeding fiscal quarter (subject to certain exceptions set forth in the Term Loan Agreement).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Agreements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connection with the entry into the Term Loan Agreement, and as a required term and condition thereof, Holdings shall enter into (i) the Penny Warrant to issue penny warrants to the Initial Term Loan Lenders under the Term Loan exercisable to purchase an aggregate number of shares equal to 5.6% of Holding’s common stock on a fully diluted basis (the “</w:t>
      </w:r>
      <w:r>
        <w:rPr>
          <w:rFonts w:ascii="Times New Roman" w:cs="Times New Roman" w:eastAsia="Times New Roman" w:hAnsi="Times New Roman"/>
          <w:sz w:val="18"/>
          <w:szCs w:val="18"/>
          <w:u w:val="single" w:color="auto"/>
          <w:color w:val="auto"/>
        </w:rPr>
        <w:t>Penny Warrants</w:t>
      </w:r>
      <w:r>
        <w:rPr>
          <w:rFonts w:ascii="Times New Roman" w:cs="Times New Roman" w:eastAsia="Times New Roman" w:hAnsi="Times New Roman"/>
          <w:sz w:val="18"/>
          <w:szCs w:val="18"/>
          <w:color w:val="auto"/>
        </w:rPr>
        <w:t>”) and (ii) the $10 Warrant to issue warrants to the Initial Term Loan Lenders under the Term Loan exercisable to purchase 1.6 million shares of Holding’s common stock at $10 per share (the “</w:t>
      </w:r>
      <w:r>
        <w:rPr>
          <w:rFonts w:ascii="Times New Roman" w:cs="Times New Roman" w:eastAsia="Times New Roman" w:hAnsi="Times New Roman"/>
          <w:sz w:val="18"/>
          <w:szCs w:val="18"/>
          <w:u w:val="single" w:color="auto"/>
          <w:color w:val="auto"/>
        </w:rPr>
        <w:t>$10 Warrants</w:t>
      </w:r>
      <w:r>
        <w:rPr>
          <w:rFonts w:ascii="Times New Roman" w:cs="Times New Roman" w:eastAsia="Times New Roman" w:hAnsi="Times New Roman"/>
          <w:sz w:val="18"/>
          <w:szCs w:val="18"/>
          <w:color w:val="auto"/>
        </w:rPr>
        <w:t>” and, together with the Penny Warrants, the “</w:t>
      </w:r>
      <w:r>
        <w:rPr>
          <w:rFonts w:ascii="Times New Roman" w:cs="Times New Roman" w:eastAsia="Times New Roman" w:hAnsi="Times New Roman"/>
          <w:sz w:val="18"/>
          <w:szCs w:val="18"/>
          <w:u w:val="single" w:color="auto"/>
          <w:color w:val="auto"/>
        </w:rPr>
        <w:t>Warrants</w:t>
      </w:r>
      <w:r>
        <w:rPr>
          <w:rFonts w:ascii="Times New Roman" w:cs="Times New Roman" w:eastAsia="Times New Roman" w:hAnsi="Times New Roman"/>
          <w:sz w:val="18"/>
          <w:szCs w:val="18"/>
          <w:color w:val="auto"/>
        </w:rPr>
        <w:t>”). The amount of Penny Warrants was increased from 3.6% (as previously disclosed) to 5.6% of Holding’s common stock on a fully basis as of the Closing Date. The additional shares of common stock will dilute the pro forma ownership of the other Holdings stockholders proportionately.</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Penny Warrants will have an exercise period of 10 years from the date of issuance. In addition, the calculation of ownership of common stock “on a fully diluted basis” will include (i) all outstanding common stock, (ii) shares of common stock issuable upon conversion of outstanding convertible bonds, preferred stock and other securities convertible to common stock on an as-converted to common stock basis, and (iii) all shares of common stock subject to outstanding options.</w:t>
      </w:r>
    </w:p>
    <w:p>
      <w:pPr>
        <w:spacing w:after="0" w:line="3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$10 Warrants will have an exercise period of 5 years from the date of issuance and will have customary cashless exercise provisions. In addition, in the event the registration statement registering the shares of common stock related to Holdings’ planned $150 million equity line of credit has not been declared effective by the Securities and Exchange Commission on or before the date that is 121 days after the issuance date, the number of shares of common stock to be issued pursuant to the $10 Warrants shall increase by an additional 200,000 shares on such date and at the beginning of each subsequent 30 day period, until such registration statement is declared effective.</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Warrants will have specified weighted average anti-dilution protection against subsequent equity sales or distributions, subject to customary exclusions including for issuances upon conversion exercise or exchange of securities outstanding as of the Closing Date, issuances pursuant to agreements in effect as of the Closing Date (provided such issuances are taken into account in the calculation of “on a fully diluted basis” as provided above), issuances pursuant to employee benefit plans and similar arrangements, issuances in joint ventures, strategic arrangements or other non-financing type transactions, issuances in debt financings as equity kickers, issuances in public offerings and similar transactions. In addition, no anti-dilution adjustment will be made with respect to issuances of Holdings common stock pursuant to Holdings’ planned $150 million equity line of credit (or replacement thereof) sold at a per share price above $5.00. The shares issuable upon exercise of the Warrants shall have customary registration rights requiring Holdings to file and keep effective a resale registration statement registering the resale of the shares of common stock underlying the Warrants.</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Penny Warrants and $10 Warrants, does not purport to be complete and is qualified in its entirety by reference to the full text of such Penny Warrant Agreement and $10 Warrant Agreement, which are filed as Exhibits 4.1 and 4.2, respectively, to this Current Report on Form 8-K and are incorporated herein by reference.</w:t>
      </w:r>
    </w:p>
    <w:p>
      <w:pPr>
        <w:spacing w:after="0" w:line="3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Current Report on Form 8-K contains certain “forward-looking statements” within the meaning of the United States Private Securities Litigation Reform Act of 1995, Section 27A of the Securities Act of 1933, as amended (the “Securities Act”) and Section 21E of the Securities Exchange Act of 1934, as amended, including certain financial forecasts and projections. All statements other than statements of historical fact contained in this Current Report on Form 8-K, including statements as to the transactions contemplated by the business combination and related agreements, future results of operations and financial position, revenue and other metrics, planned products and services, business strategy and plans, objectives of management for future operations of Dragonfly, market size and growth opportunities, competitive position and technological and market trends, are forward-looking statements. Some of these forward-looking statements can be identified by the use of forward-looking words, including “may,” “should,” “expect,” “intend,” “will,” “estimate,” “anticipate,” “believe,” “predict,” “plan,” “targets,” “projects,” “could,” “would,” “continue,” “forecast” or the negatives of these terms or variations of them or similar expressions. All forward-looking statements are subject to risks, uncertainties, and other factors (some of which are beyond the control of Dragonfly or CNTQ) which could cause actual results to differ materially from those expressed or implied by such forward-looking statements. All forward-looking statements are based upon estimates, forecasts and assumptions that, while considered reasonable by CNTQ and its management, and Dragonfly and its management, as the case may be, are inherently uncertain and many factors may cause the actual results to differ materially from current expectations which include, but are not limited to: 1) the occurrence of any event, change or other circumstances that could give rise to the termination of the definitive merger agreement with respect to the business combination; 2) the outcome of any legal proceedings that may be instituted against Dragonfly, CNTQ, the combined company or others following the announcement of the business combination and the transactions contemplated thereby; 3) the inability to complete the business combination due to the failure to obtain approval of the stockholders of CNTQ, or to satisfy other conditions to closing the business combination; 4) changes to the proposed structure of the business combination that may be required or appropriate as a result of applicable laws or regulations or as a condition to obtaining regulatory approval of the business combination; 5) the ability to meet Nasdaq's listing standards following the consummation of the business combination; 6) the risk that the business combination disrupts current plans and operations of Dragonfly as a result of the announcement and consummation of the business combination; 7) the inability to recognize the anticipated benefits of the business combination; 8) ability of Dragonfly to successfully increase market penetration into its target markets; 9) the addressable markets that Dragonfly intends to target do not grow as expected; 10) the loss of any key executives; 11) the loss of any relationships with key suppliers including suppliers in China; 12) the loss of any relationships with key customers; 13) the inability to protect Dragonfly’s patents and other intellectual property; 14) the failure to successfully optimize solid state cells or to produce commercially viable solid state cells in a timely manner or at all, or to scale to mass production; 15) costs related to the business combination; 16) changes in applicable laws or regulations; 17) the possibility that Dragonfly or the combined company may be adversely affected by other economic, business and/or competitive factors; 18) Dragonfly’s estimates of its growth and projected financial results for 2022 and 2023 and meeting or satisfying the underlying assumptions with respect thereto; 19) the risk that the business combination may not be completed in a timely manner or at all, which may adversely affect the price of CNTQ’s securities; 20) the risk that the transaction may not be completed by CNTQ’s business combination deadline (as may be extended pursuant to CNTQ’s governing documents); 21) the impact of the novel coronavirus disease pandemic, including any mutations or variants thereof and the Russian/Ukrainian conflict, and any resulting effect on business and financial conditions; 22) inability to complete the PIPE investment, the term loan and equity line (ChEF) in connection with the business combination; 23) the potential for events or circumstances that result in Dragonfly’s failure to timely achieve the anticipated benefits of Dragonfly’s customer arrangements with Thor; and 24) other risks and uncertainties set forth in the sections entitled “Risk Factors” and “Cautionary Note Regarding Forward-Looking Statements” in CNTQ’s Form S-1 (File Nos. 333-252449 and 333-253016), Annual Report on Form 10-K for the year ended December 31, 2021, Quarterly Report on Form 10-Q for the three months ended June 30, 2022 and registration statement on Form S-4 (File No. 333-266273) filed with the SEC on July 22, 2022, as amended, which is subject to change and will include a document that serves as a prospectus and proxy statement of CNTQ, referred to as a proxy statement/prospectus and other documents filed by CNTQ from time to time with the SEC. These filings identify and address other important risks and uncertainties that could cause actual events and results to differ materially from those contained in the forward-looking statements. Nothing in this Current Report on Form 8-K should be regarded as a representation by any person that the forward-looking statements set forth herein will be achieved or that any of the contemplated results of such forward looking statements will be achieved. You should not place undue reliance on forward-looking statements, which speak only as of the date they are made. Neither CNTQ nor Dragonfly gives any assurance that either CNTQ or Dragonfly or the combined company will achieve its expected results. Neither CNTQ nor Dragonfly undertakes any duty to update these forward-looking statements, except as otherwise required by law. For additional information, see “Risk Considerations” in the investor presentation, filed on a Current Report on Form 8-K by CNTQ with the SEC and available at www.sec.gov.</w:t>
      </w:r>
    </w:p>
    <w:p>
      <w:pPr>
        <w:spacing w:after="0" w:line="200" w:lineRule="exact"/>
        <w:rPr>
          <w:sz w:val="20"/>
          <w:szCs w:val="20"/>
          <w:color w:val="auto"/>
        </w:rPr>
      </w:pPr>
    </w:p>
    <w:p>
      <w:pPr>
        <w:spacing w:after="0" w:line="21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Current Report on Form 8-K relates to a proposed transaction between CNTQ and Dragonfly. CNTQ has filed a registration statement on Form S-4 (File No. 333-266273) with the SEC on July 22, 2022, as amended, which is subject to change and includes a document that serves as a prospectus and proxy statement of CNTQ, referred to as a proxy statement/prospectus. The definitive proxy statement/prospectus has been sent to all CNTQ stockholders of record as of August 11, 2022. CNTQ has also filed other documents regarding the proposed transaction with the SEC. Before making any voting decision, investors and security holders of CNTQ are urged to read the registration statement, the proxy statement/prospectus and all other relevant documents filed or that will be filed with the SEC in connection with the proposed transaction because they contain important information about the proposed transaction.</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documents filed by CNTQ with the SEC also may be obtained by contacting Chardan NexTech Acquisition 2 Corp. at 17 State Street, 21st Floor, New York, New York 10004, or by calling (646) 465-9001.</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NEITHER THE SEC NOR ANY STATE SECURITIES REGULATORY AGENCY HAS APPROVED OR DISAPPROVED THE TRANSACTIONS DESCRIBED IN THIS CURRENT REPORT ON FORM 8-K, PASSED UPON THE MERITS OR FAIRNESS OF THE BUSINESS COMBINATION OR RELATED TRANSACTIONS OR PASSED UPON THE ADEQUACY OR ACCURACY OF THE DISCLOSURE IN THIS CURRENT REPORT ON FORM 8-K. ANY REPRESENTATION TO THE CONTRARY CONSTITUTES A CRIMINAL OFFENSE.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Dragonfly, CNTQ and certain of their respective directors, executive officers and other members of management and employees may, under SEC rules, be deemed to be participants in the solicitation of proxies from CNTQ’s stockholders in connection with the proposed business combination. A list of the names of such persons and information regarding their interests in the proposed business combination are contained in the definitive proxy statement/prospectus. You may obtain free copies of these documents free of charge by directing a written request to CNTQ or Dragonfly. The definitive proxy statement will be mailed to CNTQ’s stockholders as of a record date to be established for voting on the proposed business combination when it becomes available.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This Current Report on Form 8-K and the information contained therein are not intended to and do not constitute an offer to sell or the solicitation of an offer to buy, sell or solicit any securities or any proxy, vote or approval, nor shall there be any sale of securities in any jurisdiction in which such offer, solicitation or sale would be unlawful prior to registration or qualification under the securities laws of any such jurisdiction. No offer of securities shall be deemed to be made except by means of a prospectus meeting the requirements of Section 10 of the Securities Act or an exemption therefrom.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ind w:left="44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No.</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ind w:left="460"/>
        <w:spacing w:after="0"/>
        <w:tabs>
          <w:tab w:leader="none" w:pos="1240" w:val="left"/>
        </w:tabs>
        <w:rPr>
          <w:sz w:val="20"/>
          <w:szCs w:val="20"/>
          <w:color w:val="auto"/>
        </w:rPr>
      </w:pPr>
      <w:r>
        <w:rPr>
          <w:rFonts w:ascii="Times New Roman" w:cs="Times New Roman" w:eastAsia="Times New Roman" w:hAnsi="Times New Roman"/>
          <w:sz w:val="18"/>
          <w:szCs w:val="18"/>
          <w:u w:val="single" w:color="auto"/>
          <w:color w:val="0000EE"/>
        </w:rPr>
        <w:t>4.1</w:t>
      </w:r>
      <w:r>
        <w:rPr>
          <w:sz w:val="20"/>
          <w:szCs w:val="20"/>
          <w:color w:val="auto"/>
        </w:rPr>
        <w:tab/>
      </w:r>
      <w:r>
        <w:rPr>
          <w:rFonts w:ascii="Times New Roman" w:cs="Times New Roman" w:eastAsia="Times New Roman" w:hAnsi="Times New Roman"/>
          <w:sz w:val="17"/>
          <w:szCs w:val="17"/>
          <w:u w:val="single" w:color="auto"/>
          <w:color w:val="0000EE"/>
        </w:rPr>
        <w:t>Form of Penny Warrants</w:t>
      </w:r>
    </w:p>
    <w:p>
      <w:pPr>
        <w:spacing w:after="0" w:line="27" w:lineRule="exact"/>
        <w:rPr>
          <w:sz w:val="20"/>
          <w:szCs w:val="20"/>
          <w:color w:val="auto"/>
        </w:rPr>
      </w:pPr>
    </w:p>
    <w:p>
      <w:pPr>
        <w:ind w:left="460"/>
        <w:spacing w:after="0"/>
        <w:tabs>
          <w:tab w:leader="none" w:pos="1240" w:val="left"/>
        </w:tabs>
        <w:rPr>
          <w:sz w:val="20"/>
          <w:szCs w:val="20"/>
          <w:color w:val="auto"/>
        </w:rPr>
      </w:pPr>
      <w:r>
        <w:rPr>
          <w:rFonts w:ascii="Times New Roman" w:cs="Times New Roman" w:eastAsia="Times New Roman" w:hAnsi="Times New Roman"/>
          <w:sz w:val="18"/>
          <w:szCs w:val="18"/>
          <w:u w:val="single" w:color="auto"/>
          <w:color w:val="0000EE"/>
        </w:rPr>
        <w:t>4.2</w:t>
      </w:r>
      <w:r>
        <w:rPr>
          <w:sz w:val="20"/>
          <w:szCs w:val="20"/>
          <w:color w:val="auto"/>
        </w:rPr>
        <w:tab/>
      </w:r>
      <w:r>
        <w:rPr>
          <w:rFonts w:ascii="Times New Roman" w:cs="Times New Roman" w:eastAsia="Times New Roman" w:hAnsi="Times New Roman"/>
          <w:sz w:val="17"/>
          <w:szCs w:val="17"/>
          <w:u w:val="single" w:color="auto"/>
          <w:color w:val="0000EE"/>
        </w:rPr>
        <w:t>Form of $10 Warrants</w:t>
      </w:r>
    </w:p>
    <w:p>
      <w:pPr>
        <w:spacing w:after="0" w:line="9" w:lineRule="exact"/>
        <w:rPr>
          <w:sz w:val="20"/>
          <w:szCs w:val="20"/>
          <w:color w:val="auto"/>
        </w:rPr>
      </w:pPr>
    </w:p>
    <w:p>
      <w:pPr>
        <w:ind w:left="5560" w:right="4220" w:hanging="5120"/>
        <w:spacing w:after="0" w:line="761" w:lineRule="auto"/>
        <w:tabs>
          <w:tab w:leader="none" w:pos="125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Chardan NexTech Acquisition 2 Corp.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29, 2022</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Jonas Grossman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17145</wp:posOffset>
            </wp:positionV>
            <wp:extent cx="213423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Jonas Grossman</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0" w:lineRule="exact"/>
        <w:rPr>
          <w:sz w:val="20"/>
          <w:szCs w:val="20"/>
          <w:color w:val="auto"/>
        </w:rPr>
      </w:pPr>
    </w:p>
    <w:p>
      <w:pPr>
        <w:spacing w:after="0" w:line="25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ind w:left="10240"/>
        <w:spacing w:after="0"/>
        <w:rPr>
          <w:sz w:val="20"/>
          <w:szCs w:val="20"/>
          <w:color w:val="auto"/>
        </w:rPr>
      </w:pPr>
      <w:r>
        <w:rPr>
          <w:rFonts w:ascii="Times New Roman" w:cs="Times New Roman" w:eastAsia="Times New Roman" w:hAnsi="Times New Roman"/>
          <w:sz w:val="21"/>
          <w:szCs w:val="21"/>
          <w:b w:val="1"/>
          <w:bCs w:val="1"/>
          <w:color w:val="auto"/>
        </w:rPr>
        <w:t>Exhibit 4.1</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FORM OF PENNY WARRANT</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THIS WARRANT HAS NOT BEEN REGISTERED UNDER THE SECURITIES ACT OF 1933, AS AMENDED (THE “SECURITIES ACT”), OR ANY STATE SECURITIES LAWS, AND MAY NOT BE OFFERED, SOLD, TRANSFERRED OR OTHERWISE DISPOSED OF UNLESS REGISTERED UNDER THE ACT, AND ANY APPLICABLE STATE SECURITIES LAWS OR AN EXEMPTION FROM REGISTRATION IS AVAILABLE. THIS WARRANT MUST BE SURRENDERED TO THE COMPANY OR ITS TRANSFER AGENT AS A CONDITION PRECEDENT TO THE SALE, TRANSFER, PLEDGE OR HYPOTHECATION OF ANY INTEREST IN ANY OF THE SECURITIES REPRESENTED HEREBY.</w:t>
      </w:r>
    </w:p>
    <w:p>
      <w:pPr>
        <w:spacing w:after="0" w:line="182" w:lineRule="exact"/>
        <w:rPr>
          <w:sz w:val="20"/>
          <w:szCs w:val="20"/>
          <w:color w:val="auto"/>
        </w:rPr>
      </w:pPr>
    </w:p>
    <w:p>
      <w:pPr>
        <w:ind w:left="180"/>
        <w:spacing w:after="0"/>
        <w:tabs>
          <w:tab w:leader="none" w:pos="9380" w:val="left"/>
        </w:tabs>
        <w:rPr>
          <w:sz w:val="20"/>
          <w:szCs w:val="20"/>
          <w:color w:val="auto"/>
        </w:rPr>
      </w:pPr>
      <w:r>
        <w:rPr>
          <w:rFonts w:ascii="Times New Roman" w:cs="Times New Roman" w:eastAsia="Times New Roman" w:hAnsi="Times New Roman"/>
          <w:sz w:val="18"/>
          <w:szCs w:val="18"/>
          <w:b w:val="1"/>
          <w:bCs w:val="1"/>
          <w:color w:val="auto"/>
        </w:rPr>
        <w:t>NUMBER W-_______-</w:t>
      </w:r>
      <w:r>
        <w:rPr>
          <w:sz w:val="20"/>
          <w:szCs w:val="20"/>
          <w:color w:val="auto"/>
        </w:rPr>
        <w:tab/>
      </w:r>
      <w:r>
        <w:rPr>
          <w:rFonts w:ascii="Times New Roman" w:cs="Times New Roman" w:eastAsia="Times New Roman" w:hAnsi="Times New Roman"/>
          <w:sz w:val="17"/>
          <w:szCs w:val="17"/>
          <w:b w:val="1"/>
          <w:bCs w:val="1"/>
          <w:color w:val="auto"/>
        </w:rPr>
        <w:t>_______WARRANTS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THIS WARRANT WILL BE VOID IF NOT EXERCISED PRIOR TO THE EXPIRATION DATE (DEFINED BELOW)</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THIS WARRANT CERTIFIES THAT, for value received ____________, is the registered holder (the “</w:t>
      </w:r>
      <w:r>
        <w:rPr>
          <w:rFonts w:ascii="Times New Roman" w:cs="Times New Roman" w:eastAsia="Times New Roman" w:hAnsi="Times New Roman"/>
          <w:sz w:val="17"/>
          <w:szCs w:val="17"/>
          <w:u w:val="single" w:color="auto"/>
          <w:color w:val="auto"/>
        </w:rPr>
        <w:t>Holder</w:t>
      </w:r>
      <w:r>
        <w:rPr>
          <w:rFonts w:ascii="Times New Roman" w:cs="Times New Roman" w:eastAsia="Times New Roman" w:hAnsi="Times New Roman"/>
          <w:sz w:val="17"/>
          <w:szCs w:val="17"/>
          <w:color w:val="auto"/>
        </w:rPr>
        <w:t>”) of a warrant or warrants (the “</w:t>
      </w:r>
      <w:r>
        <w:rPr>
          <w:rFonts w:ascii="Times New Roman" w:cs="Times New Roman" w:eastAsia="Times New Roman" w:hAnsi="Times New Roman"/>
          <w:sz w:val="17"/>
          <w:szCs w:val="17"/>
          <w:u w:val="single" w:color="auto"/>
          <w:color w:val="auto"/>
        </w:rPr>
        <w:t>Warrant(s)</w:t>
      </w:r>
      <w:r>
        <w:rPr>
          <w:rFonts w:ascii="Times New Roman" w:cs="Times New Roman" w:eastAsia="Times New Roman" w:hAnsi="Times New Roman"/>
          <w:sz w:val="17"/>
          <w:szCs w:val="17"/>
          <w:color w:val="auto"/>
        </w:rPr>
        <w:t>”)</w:t>
      </w:r>
    </w:p>
    <w:p>
      <w:pPr>
        <w:spacing w:after="0" w:line="213" w:lineRule="auto"/>
        <w:rPr>
          <w:sz w:val="20"/>
          <w:szCs w:val="20"/>
          <w:color w:val="auto"/>
        </w:rPr>
      </w:pPr>
      <w:r>
        <w:rPr>
          <w:rFonts w:ascii="Times New Roman" w:cs="Times New Roman" w:eastAsia="Times New Roman" w:hAnsi="Times New Roman"/>
          <w:sz w:val="18"/>
          <w:szCs w:val="18"/>
          <w:color w:val="auto"/>
        </w:rPr>
        <w:t>and is entitled to purchase up to ____________</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fully paid and non-assessable shares of common stock, par value $0.0001 per share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of</w:t>
      </w:r>
    </w:p>
    <w:p>
      <w:pPr>
        <w:spacing w:after="0" w:line="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Dragonfly Energy Holdings Corp.,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at a purchase price per Share (the “</w:t>
      </w:r>
      <w:r>
        <w:rPr>
          <w:rFonts w:ascii="Times New Roman" w:cs="Times New Roman" w:eastAsia="Times New Roman" w:hAnsi="Times New Roman"/>
          <w:sz w:val="18"/>
          <w:szCs w:val="18"/>
          <w:u w:val="single" w:color="auto"/>
          <w:color w:val="auto"/>
        </w:rPr>
        <w:t>Warrant Price</w:t>
      </w:r>
      <w:r>
        <w:rPr>
          <w:rFonts w:ascii="Times New Roman" w:cs="Times New Roman" w:eastAsia="Times New Roman" w:hAnsi="Times New Roman"/>
          <w:sz w:val="18"/>
          <w:szCs w:val="18"/>
          <w:color w:val="auto"/>
        </w:rPr>
        <w:t>”) of $0.01 per share (as adjusted from time to time in accordance with this Warrant). This Warrant is issued in connection with that certain term loan, guarantee and security agreement among Alter Domus (US) LLC, Dragonfly Energy Corp., EICF Agent LLC and the other credit parties signatory thereto (the “</w:t>
      </w:r>
      <w:r>
        <w:rPr>
          <w:rFonts w:ascii="Times New Roman" w:cs="Times New Roman" w:eastAsia="Times New Roman" w:hAnsi="Times New Roman"/>
          <w:sz w:val="18"/>
          <w:szCs w:val="18"/>
          <w:u w:val="single" w:color="auto"/>
          <w:color w:val="auto"/>
        </w:rPr>
        <w:t>Loan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The Warrant represented by this certificate is referred to herein as the “</w:t>
      </w:r>
      <w:r>
        <w:rPr>
          <w:rFonts w:ascii="Times New Roman" w:cs="Times New Roman" w:eastAsia="Times New Roman" w:hAnsi="Times New Roman"/>
          <w:sz w:val="18"/>
          <w:szCs w:val="18"/>
          <w:u w:val="single" w:color="auto"/>
          <w:color w:val="auto"/>
        </w:rPr>
        <w:t>Warrant Certificate</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and Exercise of Warrants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and conditions set forth herein, this Warrant shall be exercisable, in whole or in part, commencing the date hereof (the “</w:t>
      </w:r>
      <w:r>
        <w:rPr>
          <w:rFonts w:ascii="Times New Roman" w:cs="Times New Roman" w:eastAsia="Times New Roman" w:hAnsi="Times New Roman"/>
          <w:sz w:val="18"/>
          <w:szCs w:val="18"/>
          <w:u w:val="single" w:color="auto"/>
          <w:color w:val="auto"/>
        </w:rPr>
        <w:t>Issuance Date</w:t>
      </w:r>
      <w:r>
        <w:rPr>
          <w:rFonts w:ascii="Times New Roman" w:cs="Times New Roman" w:eastAsia="Times New Roman" w:hAnsi="Times New Roman"/>
          <w:sz w:val="18"/>
          <w:szCs w:val="18"/>
          <w:color w:val="auto"/>
        </w:rPr>
        <w:t>”) and ending on the ten-year anniversary of the issuance date of this Warrant (the “</w:t>
      </w:r>
      <w:r>
        <w:rPr>
          <w:rFonts w:ascii="Times New Roman" w:cs="Times New Roman" w:eastAsia="Times New Roman" w:hAnsi="Times New Roman"/>
          <w:sz w:val="18"/>
          <w:szCs w:val="18"/>
          <w:u w:val="single" w:color="auto"/>
          <w:color w:val="auto"/>
        </w:rPr>
        <w:t>Expiration Date</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55" w:lineRule="auto"/>
        <w:tabs>
          <w:tab w:leader="none" w:pos="9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Warrant entitles the holder thereof to purchase Shares from the Company, commencing on the Issuance Date upon surrender of this Warrant, the Notice of Exercise form attached hereto (the “</w:t>
      </w:r>
      <w:r>
        <w:rPr>
          <w:rFonts w:ascii="Times New Roman" w:cs="Times New Roman" w:eastAsia="Times New Roman" w:hAnsi="Times New Roman"/>
          <w:sz w:val="18"/>
          <w:szCs w:val="18"/>
          <w:u w:val="single" w:color="auto"/>
          <w:color w:val="auto"/>
        </w:rPr>
        <w:t>Notice of Exercise</w:t>
      </w:r>
      <w:r>
        <w:rPr>
          <w:rFonts w:ascii="Times New Roman" w:cs="Times New Roman" w:eastAsia="Times New Roman" w:hAnsi="Times New Roman"/>
          <w:sz w:val="18"/>
          <w:szCs w:val="18"/>
          <w:color w:val="auto"/>
        </w:rPr>
        <w:t>”) duly executed to the office of the Company, Dragonfly Energy Holdings Corp., Attention: Chief Financial Officer, 1190 Trademark Dr. #108, Reno, NV 89521 (or such other office or agency of the Company as it may designate by notice in writing to the Holder at the address of the Holder appearing on the books of the Company) and payment of the Warrant Price (by cash or by check or bank draft payable to the order of the Company) whereupon the Holder shall be entitled to receive from the Company a stock certificate representing the number of Shares so purchased. In no event will the Company be required to net cash settle any warrant exercise.</w:t>
      </w:r>
    </w:p>
    <w:p>
      <w:pPr>
        <w:spacing w:after="0" w:line="188"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shall have the right, in lieu of paying the Warrant Price in cash, to surrender a number of Warrants having a Fair Market Value equal to the aggregate Warrant Price (a “</w:t>
      </w:r>
      <w:r>
        <w:rPr>
          <w:rFonts w:ascii="Times New Roman" w:cs="Times New Roman" w:eastAsia="Times New Roman" w:hAnsi="Times New Roman"/>
          <w:sz w:val="18"/>
          <w:szCs w:val="18"/>
          <w:u w:val="single" w:color="auto"/>
          <w:color w:val="auto"/>
        </w:rPr>
        <w:t>Cashless Exercise</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left="98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Fair Market Value</w:t>
      </w:r>
      <w:r>
        <w:rPr>
          <w:rFonts w:ascii="Times New Roman" w:cs="Times New Roman" w:eastAsia="Times New Roman" w:hAnsi="Times New Roman"/>
          <w:sz w:val="18"/>
          <w:szCs w:val="18"/>
          <w:color w:val="auto"/>
        </w:rPr>
        <w:t>” shall mean, as of any particular date of determination, (i) if the Shares are then traded or quoted on a nationally recognized securities exchange, inter-dealer quotation system or over-the-counter market (a “</w:t>
      </w:r>
      <w:r>
        <w:rPr>
          <w:rFonts w:ascii="Times New Roman" w:cs="Times New Roman" w:eastAsia="Times New Roman" w:hAnsi="Times New Roman"/>
          <w:sz w:val="18"/>
          <w:szCs w:val="18"/>
          <w:u w:val="single" w:color="auto"/>
          <w:color w:val="auto"/>
        </w:rPr>
        <w:t>Trading Market</w:t>
      </w:r>
      <w:r>
        <w:rPr>
          <w:rFonts w:ascii="Times New Roman" w:cs="Times New Roman" w:eastAsia="Times New Roman" w:hAnsi="Times New Roman"/>
          <w:sz w:val="18"/>
          <w:szCs w:val="18"/>
          <w:color w:val="auto"/>
        </w:rPr>
        <w:t>”), the average closing price or last sale price of the Shares reported for the five (5) business days prior to the applicable date of determination (or, if the Shares have not been actively trading during the 5 business days prior to the applicable date of determination, the last sale price of the Shares for the business day immediately prior to the applicable date of determination) and (ii) if the Shares are not traded or quoted on a Trading Market, the Board of Directors of the Company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shall determine the fair market value of a Share in its reasonable, good faith judgment, subject to the Holder’s right to dispute such determination as provided in Section 1(d)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17830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33" w:lineRule="exact"/>
        <w:rPr>
          <w:sz w:val="20"/>
          <w:szCs w:val="20"/>
          <w:color w:val="auto"/>
        </w:rPr>
      </w:pPr>
    </w:p>
    <w:p>
      <w:pPr>
        <w:ind w:left="120" w:hanging="112"/>
        <w:spacing w:after="0"/>
        <w:tabs>
          <w:tab w:leader="none" w:pos="120" w:val="left"/>
        </w:tabs>
        <w:numPr>
          <w:ilvl w:val="0"/>
          <w:numId w:val="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To equal 5.6% of the Company’s fully diluted equity securities at the time of issuance.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8" w:name="page9"/>
    <w:bookmarkEnd w:id="8"/>
    <w:p>
      <w:pPr>
        <w:ind w:left="972"/>
        <w:spacing w:after="0"/>
        <w:rPr>
          <w:sz w:val="20"/>
          <w:szCs w:val="20"/>
          <w:color w:val="auto"/>
        </w:rPr>
      </w:pPr>
      <w:r>
        <w:rPr>
          <w:rFonts w:ascii="Times New Roman" w:cs="Times New Roman" w:eastAsia="Times New Roman" w:hAnsi="Times New Roman"/>
          <w:sz w:val="18"/>
          <w:szCs w:val="18"/>
          <w:color w:val="auto"/>
        </w:rPr>
        <w:t>In the event of such a Cashless Exercise, the number of Shares to be issued to the Holder shall be determined as follows:</w:t>
      </w:r>
    </w:p>
    <w:p>
      <w:pPr>
        <w:spacing w:after="0" w:line="225" w:lineRule="exact"/>
        <w:rPr>
          <w:sz w:val="20"/>
          <w:szCs w:val="20"/>
          <w:color w:val="auto"/>
        </w:rPr>
      </w:pPr>
    </w:p>
    <w:p>
      <w:pPr>
        <w:jc w:val="center"/>
        <w:ind w:right="-331"/>
        <w:spacing w:after="0"/>
        <w:rPr>
          <w:sz w:val="20"/>
          <w:szCs w:val="20"/>
          <w:color w:val="auto"/>
        </w:rPr>
      </w:pPr>
      <w:r>
        <w:rPr>
          <w:rFonts w:ascii="Times New Roman" w:cs="Times New Roman" w:eastAsia="Times New Roman" w:hAnsi="Times New Roman"/>
          <w:sz w:val="18"/>
          <w:szCs w:val="18"/>
          <w:color w:val="auto"/>
        </w:rPr>
        <w:t>X = Y[(A - B)/A]</w:t>
      </w:r>
    </w:p>
    <w:p>
      <w:pPr>
        <w:spacing w:after="0" w:line="225" w:lineRule="exact"/>
        <w:rPr>
          <w:sz w:val="20"/>
          <w:szCs w:val="20"/>
          <w:color w:val="auto"/>
        </w:rPr>
      </w:pPr>
    </w:p>
    <w:p>
      <w:pPr>
        <w:ind w:left="972"/>
        <w:spacing w:after="0"/>
        <w:rPr>
          <w:sz w:val="20"/>
          <w:szCs w:val="20"/>
          <w:color w:val="auto"/>
        </w:rPr>
      </w:pPr>
      <w:r>
        <w:rPr>
          <w:rFonts w:ascii="Times New Roman" w:cs="Times New Roman" w:eastAsia="Times New Roman" w:hAnsi="Times New Roman"/>
          <w:sz w:val="18"/>
          <w:szCs w:val="18"/>
          <w:color w:val="auto"/>
        </w:rPr>
        <w:t>X = the number of Shares to be issued to the Holder</w:t>
      </w:r>
    </w:p>
    <w:p>
      <w:pPr>
        <w:spacing w:after="0" w:line="27" w:lineRule="exact"/>
        <w:rPr>
          <w:sz w:val="20"/>
          <w:szCs w:val="20"/>
          <w:color w:val="auto"/>
        </w:rPr>
      </w:pPr>
    </w:p>
    <w:p>
      <w:pPr>
        <w:ind w:left="972"/>
        <w:spacing w:after="0"/>
        <w:rPr>
          <w:sz w:val="20"/>
          <w:szCs w:val="20"/>
          <w:color w:val="auto"/>
        </w:rPr>
      </w:pPr>
      <w:r>
        <w:rPr>
          <w:rFonts w:ascii="Times New Roman" w:cs="Times New Roman" w:eastAsia="Times New Roman" w:hAnsi="Times New Roman"/>
          <w:sz w:val="18"/>
          <w:szCs w:val="18"/>
          <w:color w:val="auto"/>
        </w:rPr>
        <w:t>Y = the number of Shares with respect to which this Warrant is being exercised</w:t>
      </w:r>
    </w:p>
    <w:p>
      <w:pPr>
        <w:spacing w:after="0" w:line="9" w:lineRule="exact"/>
        <w:rPr>
          <w:sz w:val="20"/>
          <w:szCs w:val="20"/>
          <w:color w:val="auto"/>
        </w:rPr>
      </w:pPr>
    </w:p>
    <w:p>
      <w:pPr>
        <w:ind w:left="972"/>
        <w:spacing w:after="0"/>
        <w:rPr>
          <w:sz w:val="20"/>
          <w:szCs w:val="20"/>
          <w:color w:val="auto"/>
        </w:rPr>
      </w:pPr>
      <w:r>
        <w:rPr>
          <w:rFonts w:ascii="Times New Roman" w:cs="Times New Roman" w:eastAsia="Times New Roman" w:hAnsi="Times New Roman"/>
          <w:sz w:val="18"/>
          <w:szCs w:val="18"/>
          <w:color w:val="auto"/>
        </w:rPr>
        <w:t>A = the Fair Market Value of one Share</w:t>
      </w:r>
    </w:p>
    <w:p>
      <w:pPr>
        <w:spacing w:after="0" w:line="9" w:lineRule="exact"/>
        <w:rPr>
          <w:sz w:val="20"/>
          <w:szCs w:val="20"/>
          <w:color w:val="auto"/>
        </w:rPr>
      </w:pPr>
    </w:p>
    <w:p>
      <w:pPr>
        <w:ind w:left="972"/>
        <w:spacing w:after="0"/>
        <w:rPr>
          <w:sz w:val="20"/>
          <w:szCs w:val="20"/>
          <w:color w:val="auto"/>
        </w:rPr>
      </w:pPr>
      <w:r>
        <w:rPr>
          <w:rFonts w:ascii="Times New Roman" w:cs="Times New Roman" w:eastAsia="Times New Roman" w:hAnsi="Times New Roman"/>
          <w:sz w:val="18"/>
          <w:szCs w:val="18"/>
          <w:color w:val="auto"/>
        </w:rPr>
        <w:t>B = the Warrant Price</w:t>
      </w:r>
    </w:p>
    <w:p>
      <w:pPr>
        <w:spacing w:after="0" w:line="207" w:lineRule="exact"/>
        <w:rPr>
          <w:sz w:val="20"/>
          <w:szCs w:val="20"/>
          <w:color w:val="auto"/>
        </w:rPr>
      </w:pPr>
    </w:p>
    <w:p>
      <w:pPr>
        <w:jc w:val="both"/>
        <w:ind w:left="972" w:hanging="324"/>
        <w:spacing w:after="0" w:line="255" w:lineRule="auto"/>
        <w:tabs>
          <w:tab w:leader="none" w:pos="972"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dispute as to the determination of Fair Market Value, any closing price or sales price of the Shares, the arithmetic calculation of the Warrant Price or the number of Shares for which this Warrant is exercisable, or any other computation required to be made hereunder, if the Holder and the Company are unable to settle such dispute within five business days (or such longer period as the parties may agree), then either party may elect to submit the disputed matter(s) for resolution by an independent accountant, appraiser or investment bank with relevant experience mutually acceptable to the Company and the Holder. Such independent party’s determination of such disputed matter(s) shall be binding upon all parties absent demonstrable error, and the Company and the Holder shall each pay one half of the fees and expenses of the independent party.</w:t>
      </w:r>
    </w:p>
    <w:p>
      <w:pPr>
        <w:spacing w:after="0" w:line="188" w:lineRule="exact"/>
        <w:rPr>
          <w:rFonts w:ascii="Times New Roman" w:cs="Times New Roman" w:eastAsia="Times New Roman" w:hAnsi="Times New Roman"/>
          <w:sz w:val="18"/>
          <w:szCs w:val="18"/>
          <w:color w:val="auto"/>
        </w:rPr>
      </w:pPr>
    </w:p>
    <w:p>
      <w:pPr>
        <w:jc w:val="both"/>
        <w:ind w:left="972" w:hanging="324"/>
        <w:spacing w:after="0" w:line="258" w:lineRule="auto"/>
        <w:tabs>
          <w:tab w:leader="none" w:pos="972"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upon the Expiration Date, the Fair Market Value of one Share (or other security issuable upon the exercise hereof) is greater than the Warrant Price in effect on such date, then this Warrant shall automatically be deemed to be exercised on a Cashless Exercise basis as of the Expiration Date as to all the Shares for which it shall not previously have been exercised, and the Company shall, within a reasonable time, deliver a certificate representing the Shares issued upon such exercise to the Holder (and if the Company’s shares are uncertificated, the Company shall deliver reasonably satisfactory evidence to the Holder signifying the valid issuance of such uncertificated shares).</w:t>
      </w:r>
    </w:p>
    <w:p>
      <w:pPr>
        <w:spacing w:after="0" w:line="183"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Shares; No Fractional Shares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972" w:hanging="324"/>
        <w:spacing w:after="0" w:line="256" w:lineRule="auto"/>
        <w:tabs>
          <w:tab w:leader="none" w:pos="972"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three business days after the exercise of this Warrant and the clearance of the funds in payment of the applicable Warrant Price (if any) (the “</w:t>
      </w:r>
      <w:r>
        <w:rPr>
          <w:rFonts w:ascii="Times New Roman" w:cs="Times New Roman" w:eastAsia="Times New Roman" w:hAnsi="Times New Roman"/>
          <w:sz w:val="18"/>
          <w:szCs w:val="18"/>
          <w:u w:val="single" w:color="auto"/>
          <w:color w:val="auto"/>
        </w:rPr>
        <w:t>Delivery Deadline</w:t>
      </w:r>
      <w:r>
        <w:rPr>
          <w:rFonts w:ascii="Times New Roman" w:cs="Times New Roman" w:eastAsia="Times New Roman" w:hAnsi="Times New Roman"/>
          <w:sz w:val="18"/>
          <w:szCs w:val="18"/>
          <w:color w:val="auto"/>
        </w:rPr>
        <w:t>”), the Company, at its expense, shall issue to the registered holder of such Warrant a certificate or certificates, or book entry position, for the number of Shares to which he, she or it is entitled, registered in such name or names as may be directed by him, her or it. Upon any exercise of the Warrant for less than the total number of full Shares provided for herein, there shall be issued to the registered holder hereof or the registered holder’s assignee a new Warrant Certificate covering the number of Shares for which the Warrant has not been exercised.</w:t>
      </w:r>
    </w:p>
    <w:p>
      <w:pPr>
        <w:spacing w:after="0" w:line="187" w:lineRule="exact"/>
        <w:rPr>
          <w:rFonts w:ascii="Times New Roman" w:cs="Times New Roman" w:eastAsia="Times New Roman" w:hAnsi="Times New Roman"/>
          <w:sz w:val="18"/>
          <w:szCs w:val="18"/>
          <w:color w:val="auto"/>
        </w:rPr>
      </w:pPr>
    </w:p>
    <w:p>
      <w:pPr>
        <w:jc w:val="both"/>
        <w:ind w:left="972" w:hanging="324"/>
        <w:spacing w:after="0" w:line="255" w:lineRule="auto"/>
        <w:tabs>
          <w:tab w:leader="none" w:pos="972"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the time of exercise, the Company has a transfer agent (the “</w:t>
      </w: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then upon the exercise of this Warrant in whole or in part, the Company shall, at its expense, take all necessary action, including (if necessary) obtaining and delivering an opinion from its counsel, to ensure that the Transfer Agent shall issue Shares in the name of the Holder (or its nominee) or such other persons as designated by the Holder and in such denominations to be specified in the applicable Notice of Exercise. The Company represents and warrants that if the Unrestricted Conditions set forth in Section 6 below are met, the Shares will be free-trading, and freely transferable, and will not contain a legend restricting the resale or transferability of the Shares and that no instructions other than the foregoing instructions will be given to the Transfer Agent.</w:t>
      </w:r>
    </w:p>
    <w:p>
      <w:pPr>
        <w:spacing w:after="0" w:line="188" w:lineRule="exact"/>
        <w:rPr>
          <w:rFonts w:ascii="Times New Roman" w:cs="Times New Roman" w:eastAsia="Times New Roman" w:hAnsi="Times New Roman"/>
          <w:sz w:val="18"/>
          <w:szCs w:val="18"/>
          <w:color w:val="auto"/>
        </w:rPr>
      </w:pPr>
    </w:p>
    <w:p>
      <w:pPr>
        <w:jc w:val="both"/>
        <w:ind w:left="972" w:hanging="324"/>
        <w:spacing w:after="0" w:line="256" w:lineRule="auto"/>
        <w:tabs>
          <w:tab w:leader="none" w:pos="972"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Transfer Agent is participating in the DTC Fast Automated Securities Transfer (“</w:t>
      </w:r>
      <w:r>
        <w:rPr>
          <w:rFonts w:ascii="Times New Roman" w:cs="Times New Roman" w:eastAsia="Times New Roman" w:hAnsi="Times New Roman"/>
          <w:sz w:val="18"/>
          <w:szCs w:val="18"/>
          <w:u w:val="single" w:color="auto"/>
          <w:color w:val="auto"/>
        </w:rPr>
        <w:t>FAST</w:t>
      </w:r>
      <w:r>
        <w:rPr>
          <w:rFonts w:ascii="Times New Roman" w:cs="Times New Roman" w:eastAsia="Times New Roman" w:hAnsi="Times New Roman"/>
          <w:sz w:val="18"/>
          <w:szCs w:val="18"/>
          <w:color w:val="auto"/>
        </w:rPr>
        <w:t>”) program, upon written request of the Holder and in lieu of delivering physical certificates representing Shares to be delivered under or in connection with this Warrant Certificate, the Company shall use its commercially reasonable efforts to cause the Transfer Agent to electronically transmit the Shares to the Holder by crediting the account of the Holder’s prime broker with the DTC through its Deposit Withdrawal Agent Commission (“</w:t>
      </w:r>
      <w:r>
        <w:rPr>
          <w:rFonts w:ascii="Times New Roman" w:cs="Times New Roman" w:eastAsia="Times New Roman" w:hAnsi="Times New Roman"/>
          <w:sz w:val="18"/>
          <w:szCs w:val="18"/>
          <w:u w:val="single" w:color="auto"/>
          <w:color w:val="auto"/>
        </w:rPr>
        <w:t>DWAC</w:t>
      </w:r>
      <w:r>
        <w:rPr>
          <w:rFonts w:ascii="Times New Roman" w:cs="Times New Roman" w:eastAsia="Times New Roman" w:hAnsi="Times New Roman"/>
          <w:sz w:val="18"/>
          <w:szCs w:val="18"/>
          <w:color w:val="auto"/>
        </w:rPr>
        <w:t>”) system. The time periods for delivery and penalties described herein shall apply to the electronic transmittals described herein. Any delivery not effected by electronic transmission shall be effected by delivery of physical certificates.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405130</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9" w:name="page10"/>
    <w:bookmarkEnd w:id="9"/>
    <w:p>
      <w:pPr>
        <w:ind w:left="972" w:hanging="324"/>
        <w:spacing w:after="0" w:line="282" w:lineRule="auto"/>
        <w:tabs>
          <w:tab w:leader="none" w:pos="972"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fails to transmit, or cause the Transfer Agent to transmit, to the Holder the Shares by the Delivery Deadline, then the Holder will have the right to rescind such Warrant exercise.</w:t>
      </w:r>
    </w:p>
    <w:p>
      <w:pPr>
        <w:spacing w:after="0" w:line="161" w:lineRule="exact"/>
        <w:rPr>
          <w:rFonts w:ascii="Times New Roman" w:cs="Times New Roman" w:eastAsia="Times New Roman" w:hAnsi="Times New Roman"/>
          <w:sz w:val="18"/>
          <w:szCs w:val="18"/>
          <w:color w:val="auto"/>
        </w:rPr>
      </w:pPr>
    </w:p>
    <w:p>
      <w:pPr>
        <w:jc w:val="both"/>
        <w:ind w:left="972" w:hanging="324"/>
        <w:spacing w:after="0" w:line="253" w:lineRule="auto"/>
        <w:tabs>
          <w:tab w:leader="none" w:pos="972"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any other rights available to the Holder, including the right to rescind the exercise as provided above, if as a result of a failure to deliver the Shares by the Delivery Deadline (so long as the failure to deliver the Shares is not caused by any action or inaction by the Holder) (a “</w:t>
      </w:r>
      <w:r>
        <w:rPr>
          <w:rFonts w:ascii="Times New Roman" w:cs="Times New Roman" w:eastAsia="Times New Roman" w:hAnsi="Times New Roman"/>
          <w:sz w:val="18"/>
          <w:szCs w:val="18"/>
          <w:u w:val="single" w:color="auto"/>
          <w:color w:val="auto"/>
        </w:rPr>
        <w:t>Delivery Failure</w:t>
      </w:r>
      <w:r>
        <w:rPr>
          <w:rFonts w:ascii="Times New Roman" w:cs="Times New Roman" w:eastAsia="Times New Roman" w:hAnsi="Times New Roman"/>
          <w:sz w:val="18"/>
          <w:szCs w:val="18"/>
          <w:color w:val="auto"/>
        </w:rPr>
        <w:t>”) the Holder is required by its broker to purchase (in an open market transaction or otherwise) or the Holder’s brokerage firm otherwise purchases shares of the Company’s capital stock to deliver in satisfaction of a sale anticipated to be made by the Holder of all or portion of such Shares which are the subject of such Delivery Failure (an “</w:t>
      </w:r>
      <w:r>
        <w:rPr>
          <w:rFonts w:ascii="Times New Roman" w:cs="Times New Roman" w:eastAsia="Times New Roman" w:hAnsi="Times New Roman"/>
          <w:sz w:val="18"/>
          <w:szCs w:val="18"/>
          <w:u w:val="single" w:color="auto"/>
          <w:color w:val="auto"/>
        </w:rPr>
        <w:t>Anticipated Sale</w:t>
      </w:r>
      <w:r>
        <w:rPr>
          <w:rFonts w:ascii="Times New Roman" w:cs="Times New Roman" w:eastAsia="Times New Roman" w:hAnsi="Times New Roman"/>
          <w:sz w:val="18"/>
          <w:szCs w:val="18"/>
          <w:color w:val="auto"/>
        </w:rPr>
        <w:t>”), then the Company shall (i) pay in cash to the Holder the amount by which (x) the Holder’s total purchase price (including brokerage commissions, if any) for the shares of the Company’s capital stock so purchased exceeds (y) an amount equal to the product of (A) the number of Shares that the Holder anticipated to sell in such Anticipated Sale, multiplied by (B) the Warrant Price that would have been payable for such Shares, and (ii) at the option of the Holder, either reinstate the portion of this Warrant and equivalent number of Shares in respect of which such Delivery Failure occurred or deliver to the Holder the number of Shares that would have been issued had the Company timely complied with its obligations hereunder to issue such Shares upon such exercise. The Holder shall provide the Company written notice indicating the amounts payable to the Holder, together with applicable confirmations and other evidence reasonably requested by the Company.</w:t>
      </w:r>
    </w:p>
    <w:p>
      <w:pPr>
        <w:spacing w:after="0" w:line="189" w:lineRule="exact"/>
        <w:rPr>
          <w:rFonts w:ascii="Times New Roman" w:cs="Times New Roman" w:eastAsia="Times New Roman" w:hAnsi="Times New Roman"/>
          <w:sz w:val="18"/>
          <w:szCs w:val="18"/>
          <w:color w:val="auto"/>
        </w:rPr>
      </w:pPr>
    </w:p>
    <w:p>
      <w:pPr>
        <w:jc w:val="both"/>
        <w:ind w:left="972" w:hanging="324"/>
        <w:spacing w:after="0" w:line="266" w:lineRule="auto"/>
        <w:tabs>
          <w:tab w:leader="none" w:pos="972"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fraction of a Share will be issued upon any exercise of a Warrant. If the holder of a Warrant would be entitled to receive a fraction of a Share upon any exercise of a Warrant, the Company shall, upon such exercise, issue or cause to be issued only the largest whole number of Shares issuable on such exercise (and such fraction of a Share will be disregarded).</w:t>
      </w:r>
    </w:p>
    <w:p>
      <w:pPr>
        <w:spacing w:after="0" w:line="175" w:lineRule="exact"/>
        <w:rPr>
          <w:rFonts w:ascii="Times New Roman" w:cs="Times New Roman" w:eastAsia="Times New Roman" w:hAnsi="Times New Roman"/>
          <w:sz w:val="18"/>
          <w:szCs w:val="18"/>
          <w:color w:val="auto"/>
        </w:rPr>
      </w:pPr>
    </w:p>
    <w:p>
      <w:pPr>
        <w:jc w:val="both"/>
        <w:ind w:left="972" w:hanging="324"/>
        <w:spacing w:after="0" w:line="266" w:lineRule="auto"/>
        <w:tabs>
          <w:tab w:leader="none" w:pos="972"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Rule 144, it is acknowledged and agreed that (i) the Shares issuable upon any exercise of this Warrant in any Cashless Exercise transaction shall be deemed to have been acquired on the Issuance Date, and (ii) the holding period for any of the Shares issuable upon the exercise of this Warrant in any Cashless Exercise transaction shall be deemed to have commenced on the Issuance Date.</w:t>
      </w:r>
    </w:p>
    <w:p>
      <w:pPr>
        <w:spacing w:after="0" w:line="175"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Exchange and Registry of Warrant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972" w:hanging="324"/>
        <w:spacing w:after="0" w:line="266" w:lineRule="auto"/>
        <w:tabs>
          <w:tab w:leader="none" w:pos="972"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 Certificates, when surrendered at the office of the Company by the Holder in person or by attorney duly authorized in writing, may be exchanged without payment of any service charge, for another Warrant Certificate or Warrant Certificates of like tenor and evidencing in the aggregate a like number of Warrants.</w:t>
      </w:r>
    </w:p>
    <w:p>
      <w:pPr>
        <w:spacing w:after="0" w:line="175" w:lineRule="exact"/>
        <w:rPr>
          <w:rFonts w:ascii="Times New Roman" w:cs="Times New Roman" w:eastAsia="Times New Roman" w:hAnsi="Times New Roman"/>
          <w:sz w:val="18"/>
          <w:szCs w:val="18"/>
          <w:color w:val="auto"/>
        </w:rPr>
      </w:pPr>
    </w:p>
    <w:p>
      <w:pPr>
        <w:jc w:val="both"/>
        <w:ind w:left="972" w:hanging="324"/>
        <w:spacing w:after="0" w:line="266" w:lineRule="auto"/>
        <w:tabs>
          <w:tab w:leader="none" w:pos="972"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due presentment for registration of transfer of the Warrant Certificate at the office of the Company, a new Warrant Certificate or Warrant Certificates of like tenor and evidencing in the aggregate a like number of Warrants shall be issued to the transferee in exchange for this Warrant Certificate, without charge except for any applicable tax or other governmental charge.</w:t>
      </w:r>
    </w:p>
    <w:p>
      <w:pPr>
        <w:spacing w:after="0" w:line="175" w:lineRule="exact"/>
        <w:rPr>
          <w:rFonts w:ascii="Times New Roman" w:cs="Times New Roman" w:eastAsia="Times New Roman" w:hAnsi="Times New Roman"/>
          <w:sz w:val="18"/>
          <w:szCs w:val="18"/>
          <w:color w:val="auto"/>
        </w:rPr>
      </w:pPr>
    </w:p>
    <w:p>
      <w:pPr>
        <w:jc w:val="both"/>
        <w:ind w:left="972" w:hanging="324"/>
        <w:spacing w:after="0" w:line="261" w:lineRule="auto"/>
        <w:tabs>
          <w:tab w:leader="none" w:pos="972"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keep and properly maintain at its principal executive offices a register for the registration of this Warrant and any transfers thereof. The Company may deem and treat the person in whose name this Warrant is registered on such register as the Holder thereof for all purposes, and the Company shall not be affected by any notice to the contrary, except any assignment, division, combination or other transfer of this Warrant effected in accordance with the provisions of this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400050</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10" w:name="page11"/>
    <w:bookmarkEnd w:id="10"/>
    <w:p>
      <w:pPr>
        <w:ind w:left="332" w:hanging="332"/>
        <w:spacing w:after="0"/>
        <w:tabs>
          <w:tab w:leader="none" w:pos="33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Anti-Dilution Adjustments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972" w:hanging="324"/>
        <w:spacing w:after="0"/>
        <w:tabs>
          <w:tab w:leader="none" w:pos="972"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 for Change in Shares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612" w:hanging="316"/>
        <w:spacing w:after="0" w:line="254" w:lineRule="auto"/>
        <w:tabs>
          <w:tab w:leader="none" w:pos="1612"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after the Issuance Date and prior to the exercise in full of this Warrant, the outstanding the number of Shares shall be subdivided (by distribution, subdivision or otherwise), into a greater number of Shares, the number of Shares issuable on the exercise of each Warrant then in effect shall, concurrently with the effectiveness of such subdivision, be equally, ratably and proportionally increased, as determined in good faith by the Board, which determination shall be final and binding on the Holders absent manifest error. In the event the outstanding Shares shall be combined or consolidated, by reclassification or otherwise, into a lesser number of Shares, the number of Shares issuable on the exercise of each Warrant then in effect shall, concurrently with the effectiveness of such subdivision, be equally, ratably and proportionally decreased, as determined in good faith by the Board, which determination shall be final and binding on the Holders absent manifest error.</w:t>
      </w:r>
    </w:p>
    <w:p>
      <w:pPr>
        <w:spacing w:after="0" w:line="191" w:lineRule="exact"/>
        <w:rPr>
          <w:rFonts w:ascii="Times New Roman" w:cs="Times New Roman" w:eastAsia="Times New Roman" w:hAnsi="Times New Roman"/>
          <w:sz w:val="18"/>
          <w:szCs w:val="18"/>
          <w:color w:val="auto"/>
        </w:rPr>
      </w:pPr>
    </w:p>
    <w:p>
      <w:pPr>
        <w:jc w:val="both"/>
        <w:ind w:left="1612" w:hanging="316"/>
        <w:spacing w:after="0" w:line="256" w:lineRule="auto"/>
        <w:tabs>
          <w:tab w:leader="none" w:pos="1612"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after the Issuance Date and prior to the exercise in full of this Warrant, the Shares are exchanged for, or converted into, another form of equity security of the Company or of any other entity, this Warrant shall be exercisable for an equivalent number of such equity securities, at an equivalent Warrant Price, in each case as determined by the Board acting reasonably, so as to provide the Holder with rights equitably equivalent to the rights held by the Holder by virtue of this Warrant in effect immediately prior to such exchange or conversion, and each reference herein to the Shares issuable on exercise of this Warrant shall be deemed to be a reference to such other equity securities.</w:t>
      </w:r>
    </w:p>
    <w:p>
      <w:pPr>
        <w:spacing w:after="0" w:line="187" w:lineRule="exact"/>
        <w:rPr>
          <w:rFonts w:ascii="Times New Roman" w:cs="Times New Roman" w:eastAsia="Times New Roman" w:hAnsi="Times New Roman"/>
          <w:sz w:val="18"/>
          <w:szCs w:val="18"/>
          <w:color w:val="auto"/>
        </w:rPr>
      </w:pPr>
    </w:p>
    <w:p>
      <w:pPr>
        <w:jc w:val="both"/>
        <w:ind w:left="972" w:hanging="324"/>
        <w:spacing w:after="0" w:line="255" w:lineRule="auto"/>
        <w:tabs>
          <w:tab w:leader="none" w:pos="972"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for Issuance of Applicable Shares</w:t>
      </w:r>
      <w:r>
        <w:rPr>
          <w:rFonts w:ascii="Times New Roman" w:cs="Times New Roman" w:eastAsia="Times New Roman" w:hAnsi="Times New Roman"/>
          <w:sz w:val="18"/>
          <w:szCs w:val="18"/>
          <w:color w:val="auto"/>
        </w:rPr>
        <w:t>. If, after the Issuance Date, the Company shall issue or sell any Shares (other than shares included in the Excluded Issuances, as defined below) (the “</w:t>
      </w:r>
      <w:r>
        <w:rPr>
          <w:rFonts w:ascii="Times New Roman" w:cs="Times New Roman" w:eastAsia="Times New Roman" w:hAnsi="Times New Roman"/>
          <w:sz w:val="18"/>
          <w:szCs w:val="18"/>
          <w:u w:val="single" w:color="auto"/>
          <w:color w:val="auto"/>
        </w:rPr>
        <w:t>Applicable Shares</w:t>
      </w:r>
      <w:r>
        <w:rPr>
          <w:rFonts w:ascii="Times New Roman" w:cs="Times New Roman" w:eastAsia="Times New Roman" w:hAnsi="Times New Roman"/>
          <w:sz w:val="18"/>
          <w:szCs w:val="18"/>
          <w:color w:val="auto"/>
        </w:rPr>
        <w:t>”), or options, warrants, convertible securities and similar instruments exercisable or otherwise convertible or exchangeable for Applicable Shares, in each case without consideration or for a consideration per Share initially deliverable upon issuance, conversion or exchange of such securities less than $10 (as proportionately adjusted to account for stock splits, stock combinations, stock dividends or other distributions and recapitalizations affecting the Common Stock) (the “</w:t>
      </w:r>
      <w:r>
        <w:rPr>
          <w:rFonts w:ascii="Times New Roman" w:cs="Times New Roman" w:eastAsia="Times New Roman" w:hAnsi="Times New Roman"/>
          <w:sz w:val="18"/>
          <w:szCs w:val="18"/>
          <w:u w:val="single" w:color="auto"/>
          <w:color w:val="auto"/>
        </w:rPr>
        <w:t>Original Price</w:t>
      </w:r>
      <w:r>
        <w:rPr>
          <w:rFonts w:ascii="Times New Roman" w:cs="Times New Roman" w:eastAsia="Times New Roman" w:hAnsi="Times New Roman"/>
          <w:sz w:val="18"/>
          <w:szCs w:val="18"/>
          <w:color w:val="auto"/>
        </w:rPr>
        <w:t>”), then effective immediately upon such issuance or sale, the number of Shares issuable upon exercise of this Warrant immediately prior to any such issuance or sale shall be increased, and shall not be reduced, in accordance with the following formula:</w:t>
      </w:r>
    </w:p>
    <w:p>
      <w:pPr>
        <w:spacing w:after="0" w:line="59" w:lineRule="exact"/>
        <w:rPr>
          <w:sz w:val="20"/>
          <w:szCs w:val="20"/>
          <w:color w:val="auto"/>
        </w:rPr>
      </w:pPr>
    </w:p>
    <w:p>
      <w:pPr>
        <w:ind w:left="4952"/>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29"/>
          <w:szCs w:val="29"/>
          <w:color w:val="auto"/>
          <w:vertAlign w:val="subscript"/>
        </w:rPr>
        <w:t>1</w:t>
      </w:r>
      <w:r>
        <w:rPr>
          <w:rFonts w:ascii="Times New Roman" w:cs="Times New Roman" w:eastAsia="Times New Roman" w:hAnsi="Times New Roman"/>
          <w:sz w:val="18"/>
          <w:szCs w:val="18"/>
          <w:color w:val="auto"/>
        </w:rPr>
        <w:t xml:space="preserve"> = S x [(OS + D) / (OS + PS)]</w:t>
      </w:r>
    </w:p>
    <w:p>
      <w:pPr>
        <w:spacing w:after="0" w:line="112" w:lineRule="exact"/>
        <w:rPr>
          <w:sz w:val="20"/>
          <w:szCs w:val="20"/>
          <w:color w:val="auto"/>
        </w:rPr>
      </w:pPr>
    </w:p>
    <w:p>
      <w:pPr>
        <w:ind w:left="972"/>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29"/>
          <w:szCs w:val="29"/>
          <w:color w:val="auto"/>
          <w:vertAlign w:val="subscript"/>
        </w:rPr>
        <w:t>1</w:t>
      </w:r>
      <w:r>
        <w:rPr>
          <w:rFonts w:ascii="Times New Roman" w:cs="Times New Roman" w:eastAsia="Times New Roman" w:hAnsi="Times New Roman"/>
          <w:sz w:val="18"/>
          <w:szCs w:val="18"/>
          <w:color w:val="auto"/>
        </w:rPr>
        <w:t xml:space="preserve"> = new number of Shares issuable upon exercise of this Warrant</w:t>
      </w:r>
    </w:p>
    <w:p>
      <w:pPr>
        <w:spacing w:after="0" w:line="45" w:lineRule="exact"/>
        <w:rPr>
          <w:sz w:val="20"/>
          <w:szCs w:val="20"/>
          <w:color w:val="auto"/>
        </w:rPr>
      </w:pPr>
    </w:p>
    <w:p>
      <w:pPr>
        <w:ind w:left="972"/>
        <w:spacing w:after="0"/>
        <w:rPr>
          <w:sz w:val="20"/>
          <w:szCs w:val="20"/>
          <w:color w:val="auto"/>
        </w:rPr>
      </w:pPr>
      <w:r>
        <w:rPr>
          <w:rFonts w:ascii="Times New Roman" w:cs="Times New Roman" w:eastAsia="Times New Roman" w:hAnsi="Times New Roman"/>
          <w:sz w:val="18"/>
          <w:szCs w:val="18"/>
          <w:color w:val="auto"/>
        </w:rPr>
        <w:t>S = then applicable number of Shares issuable upon exercise of this Warrant immediately prior to the issuance or sale</w:t>
      </w:r>
    </w:p>
    <w:p>
      <w:pPr>
        <w:spacing w:after="0" w:line="7" w:lineRule="exact"/>
        <w:rPr>
          <w:sz w:val="20"/>
          <w:szCs w:val="20"/>
          <w:color w:val="auto"/>
        </w:rPr>
      </w:pPr>
    </w:p>
    <w:p>
      <w:pPr>
        <w:ind w:left="972"/>
        <w:spacing w:after="0"/>
        <w:rPr>
          <w:sz w:val="20"/>
          <w:szCs w:val="20"/>
          <w:color w:val="auto"/>
        </w:rPr>
      </w:pPr>
      <w:r>
        <w:rPr>
          <w:rFonts w:ascii="Times New Roman" w:cs="Times New Roman" w:eastAsia="Times New Roman" w:hAnsi="Times New Roman"/>
          <w:sz w:val="18"/>
          <w:szCs w:val="18"/>
          <w:color w:val="auto"/>
        </w:rPr>
        <w:t>OS = the number of Shares outstanding immediately prior to the issuance of such securities</w:t>
      </w:r>
    </w:p>
    <w:p>
      <w:pPr>
        <w:spacing w:after="0" w:line="9" w:lineRule="exact"/>
        <w:rPr>
          <w:sz w:val="20"/>
          <w:szCs w:val="20"/>
          <w:color w:val="auto"/>
        </w:rPr>
      </w:pPr>
    </w:p>
    <w:p>
      <w:pPr>
        <w:ind w:left="972"/>
        <w:spacing w:after="0"/>
        <w:rPr>
          <w:sz w:val="20"/>
          <w:szCs w:val="20"/>
          <w:color w:val="auto"/>
        </w:rPr>
      </w:pPr>
      <w:r>
        <w:rPr>
          <w:rFonts w:ascii="Times New Roman" w:cs="Times New Roman" w:eastAsia="Times New Roman" w:hAnsi="Times New Roman"/>
          <w:sz w:val="18"/>
          <w:szCs w:val="18"/>
          <w:color w:val="auto"/>
        </w:rPr>
        <w:t>D = the maximum number of Shares deliverable upon issuance of such securities</w:t>
      </w:r>
    </w:p>
    <w:p>
      <w:pPr>
        <w:spacing w:after="0" w:line="9" w:lineRule="exact"/>
        <w:rPr>
          <w:sz w:val="20"/>
          <w:szCs w:val="20"/>
          <w:color w:val="auto"/>
        </w:rPr>
      </w:pPr>
    </w:p>
    <w:p>
      <w:pPr>
        <w:ind w:left="972"/>
        <w:spacing w:after="0" w:line="260" w:lineRule="auto"/>
        <w:rPr>
          <w:sz w:val="20"/>
          <w:szCs w:val="20"/>
          <w:color w:val="auto"/>
        </w:rPr>
      </w:pPr>
      <w:r>
        <w:rPr>
          <w:rFonts w:ascii="Times New Roman" w:cs="Times New Roman" w:eastAsia="Times New Roman" w:hAnsi="Times New Roman"/>
          <w:sz w:val="18"/>
          <w:szCs w:val="18"/>
          <w:color w:val="auto"/>
        </w:rPr>
        <w:t>PS = the aggregate number of Shares which the aggregate amount of consideration received by the Company upon such issuance or sale would have purchased at the Original Price</w:t>
      </w:r>
    </w:p>
    <w:p>
      <w:pPr>
        <w:spacing w:after="0" w:line="181" w:lineRule="exact"/>
        <w:rPr>
          <w:sz w:val="20"/>
          <w:szCs w:val="20"/>
          <w:color w:val="auto"/>
        </w:rPr>
      </w:pPr>
    </w:p>
    <w:p>
      <w:pPr>
        <w:jc w:val="both"/>
        <w:ind w:left="972" w:hanging="324"/>
        <w:spacing w:after="0" w:line="253" w:lineRule="auto"/>
        <w:tabs>
          <w:tab w:leader="none" w:pos="97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Dividends and Distributions</w:t>
      </w:r>
      <w:r>
        <w:rPr>
          <w:rFonts w:ascii="Times New Roman" w:cs="Times New Roman" w:eastAsia="Times New Roman" w:hAnsi="Times New Roman"/>
          <w:sz w:val="18"/>
          <w:szCs w:val="18"/>
          <w:color w:val="auto"/>
        </w:rPr>
        <w:t xml:space="preserve">. If the Company shall make or declare, or fix a record date for the determination of holders of equity securities entitled to receive, a dividend or any other distribution payable in cash, securities of the Company or other property, then, and in each such event, the Company shall ensure that provisions are made so that the Holder shall receive upon exercise of this Warrant, in addition to the number of the Shares receivable thereupon, the kind and amount of cash, securities of the Company or other property which the Holder would have been entitled to receive had this Warrant been exercised in full into the Shares on the date of such event and had the Holder thereafter, during the period from the date of such event to and including the date this Warrant is exercised, retained such cash, securities or other property receivable by them as aforesaid during such period, giving application to all adjustments called for during such period under this Section with respect to the rights of the Holder;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no such provision shall be made if the Holder receives, simultaneously with the distribution to the holders of equity securities, a dividend or other distribution of such securities, cash or other property in an amount equal to the amount of such securities, cash or other property as the Holder would have received if this Warrant had been exercised in full into the Shares on the date of such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407670</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11" w:name="page12"/>
    <w:bookmarkEnd w:id="11"/>
    <w:p>
      <w:pPr>
        <w:jc w:val="both"/>
        <w:ind w:left="324" w:hanging="324"/>
        <w:spacing w:after="0" w:line="258" w:lineRule="auto"/>
        <w:tabs>
          <w:tab w:leader="none" w:pos="32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Events</w:t>
      </w:r>
      <w:r>
        <w:rPr>
          <w:rFonts w:ascii="Times New Roman" w:cs="Times New Roman" w:eastAsia="Times New Roman" w:hAnsi="Times New Roman"/>
          <w:sz w:val="18"/>
          <w:szCs w:val="18"/>
          <w:color w:val="auto"/>
        </w:rPr>
        <w:t xml:space="preserve">. If any event of the type contemplated by the provisions of this Section but not expressly provided for by such provisions (including, without limitation, the granting of stock appreciation rights, phantom stock rights or other rights with equity features) occurs, then the Board shall make an appropriate adjustment in the number of the Shares issuable upon exercise of this Warrant so as to protect the rights of the Holder in a manner consistent with the provisions of this Section;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no such adjustment pursuant to this Section 4(d) shall increase the Warrant Price or decrease the number of the Shares issuable hereunder.</w:t>
      </w:r>
    </w:p>
    <w:p>
      <w:pPr>
        <w:spacing w:after="0" w:line="183" w:lineRule="exact"/>
        <w:rPr>
          <w:rFonts w:ascii="Times New Roman" w:cs="Times New Roman" w:eastAsia="Times New Roman" w:hAnsi="Times New Roman"/>
          <w:sz w:val="18"/>
          <w:szCs w:val="18"/>
          <w:color w:val="auto"/>
        </w:rPr>
      </w:pPr>
    </w:p>
    <w:p>
      <w:pPr>
        <w:jc w:val="both"/>
        <w:ind w:left="324" w:hanging="324"/>
        <w:spacing w:after="0" w:line="252" w:lineRule="auto"/>
        <w:tabs>
          <w:tab w:leader="none" w:pos="32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Exceptions to Adjustments</w:t>
      </w:r>
      <w:r>
        <w:rPr>
          <w:rFonts w:ascii="Times New Roman" w:cs="Times New Roman" w:eastAsia="Times New Roman" w:hAnsi="Times New Roman"/>
          <w:sz w:val="18"/>
          <w:szCs w:val="18"/>
          <w:color w:val="auto"/>
        </w:rPr>
        <w:t>. Except as specifically provided for herein, there shall be no adjustment or readjustment to the number of Shares issuable in the following circumstances (each of the following, an “</w:t>
      </w:r>
      <w:r>
        <w:rPr>
          <w:rFonts w:ascii="Times New Roman" w:cs="Times New Roman" w:eastAsia="Times New Roman" w:hAnsi="Times New Roman"/>
          <w:sz w:val="18"/>
          <w:szCs w:val="18"/>
          <w:u w:val="single" w:color="auto"/>
          <w:color w:val="auto"/>
        </w:rPr>
        <w:t>Excluded Issuance</w:t>
      </w:r>
      <w:r>
        <w:rPr>
          <w:rFonts w:ascii="Times New Roman" w:cs="Times New Roman" w:eastAsia="Times New Roman" w:hAnsi="Times New Roman"/>
          <w:sz w:val="18"/>
          <w:szCs w:val="18"/>
          <w:color w:val="auto"/>
        </w:rPr>
        <w:t xml:space="preserve">”): (1) upon the exercise of this Warrant or any of the other Warrants issued to the Company’s other lenders on the Issuance Date; (2) upon conversion, exercise or exchange of securities, including convertible debt securities, outstanding prior to the Issuance Date; (3) pursuant to agreements in effect as of the Issuance Date (provided that such agreements are not amended after the Issuance Date to increase the number of securities, reduce the consideration payable in connection with such securities, or otherwise change the terms of such agreements so as to have a dilutive effect on this Warrant); (4) pursuant to the Company’s management, directors or other service providers as part of compensation and incentive programs approved by the Board; (5) pursuant to any joint venture arrangement, strategic arrangements, real property lease, financing transaction or other similar transaction in which equity financing is not the purpose of the transaction; and (6) pursuant to any public equity offerings. Notwithstanding the foregoing, the parties agree that any equity securities issued in “PIPE” transactions, and any equity securities issued pursuant to the Committed Equity Facility shall be “Excluded Issuances” if the securities issued in such “PIPE” transactions or pursuant to the Committed Equity Facility are issued for consideration equal to at at least $5 per share (as proportionately adjusted to account for stock splits, stock combinations, stock dividends or other distributions or recapitalizations affecting the Common Stock). For example (x) if the Company issues equity securities in a PIPE Transaction or pursuant to the Committed Equity Facility, and the consideration paid for those equity securities is $4 per equity security, then such issuance shall not be an Excluded Issuance and the adjustment set forth in </w:t>
      </w:r>
      <w:r>
        <w:rPr>
          <w:rFonts w:ascii="Times New Roman" w:cs="Times New Roman" w:eastAsia="Times New Roman" w:hAnsi="Times New Roman"/>
          <w:sz w:val="18"/>
          <w:szCs w:val="18"/>
          <w:u w:val="single" w:color="auto"/>
          <w:color w:val="auto"/>
        </w:rPr>
        <w:t>Section 4(b)</w:t>
      </w:r>
      <w:r>
        <w:rPr>
          <w:rFonts w:ascii="Times New Roman" w:cs="Times New Roman" w:eastAsia="Times New Roman" w:hAnsi="Times New Roman"/>
          <w:sz w:val="18"/>
          <w:szCs w:val="18"/>
          <w:color w:val="auto"/>
        </w:rPr>
        <w:t xml:space="preserve"> shall apply, and (y) if the Company issues equity securities in a PIPE Transaction or pursuant to the Committed Equity Facility, and the consideration paid for those equity securities is $5 per equity security, then such issuance shall be an Excluded Issuance and the adjustment set forth in </w:t>
      </w:r>
      <w:r>
        <w:rPr>
          <w:rFonts w:ascii="Times New Roman" w:cs="Times New Roman" w:eastAsia="Times New Roman" w:hAnsi="Times New Roman"/>
          <w:sz w:val="18"/>
          <w:szCs w:val="18"/>
          <w:u w:val="single" w:color="auto"/>
          <w:color w:val="auto"/>
        </w:rPr>
        <w:t>Section 4(b)</w:t>
      </w:r>
      <w:r>
        <w:rPr>
          <w:rFonts w:ascii="Times New Roman" w:cs="Times New Roman" w:eastAsia="Times New Roman" w:hAnsi="Times New Roman"/>
          <w:sz w:val="18"/>
          <w:szCs w:val="18"/>
          <w:color w:val="auto"/>
        </w:rPr>
        <w:t xml:space="preserve"> shall </w:t>
      </w:r>
      <w:r>
        <w:rPr>
          <w:rFonts w:ascii="Times New Roman" w:cs="Times New Roman" w:eastAsia="Times New Roman" w:hAnsi="Times New Roman"/>
          <w:sz w:val="18"/>
          <w:szCs w:val="18"/>
          <w:u w:val="single" w:color="auto"/>
          <w:color w:val="auto"/>
        </w:rPr>
        <w:t>not</w:t>
      </w:r>
      <w:r>
        <w:rPr>
          <w:rFonts w:ascii="Times New Roman" w:cs="Times New Roman" w:eastAsia="Times New Roman" w:hAnsi="Times New Roman"/>
          <w:sz w:val="18"/>
          <w:szCs w:val="18"/>
          <w:color w:val="auto"/>
        </w:rPr>
        <w:t xml:space="preserve"> apply. As used herein, “</w:t>
      </w:r>
      <w:r>
        <w:rPr>
          <w:rFonts w:ascii="Times New Roman" w:cs="Times New Roman" w:eastAsia="Times New Roman" w:hAnsi="Times New Roman"/>
          <w:sz w:val="18"/>
          <w:szCs w:val="18"/>
          <w:u w:val="single" w:color="auto"/>
          <w:color w:val="auto"/>
        </w:rPr>
        <w:t>Committed Equity Facility</w:t>
      </w:r>
      <w:r>
        <w:rPr>
          <w:rFonts w:ascii="Times New Roman" w:cs="Times New Roman" w:eastAsia="Times New Roman" w:hAnsi="Times New Roman"/>
          <w:sz w:val="18"/>
          <w:szCs w:val="18"/>
          <w:color w:val="auto"/>
        </w:rPr>
        <w:t>” means the ChEF Purchase Agreement by and between Chardan Capital Markets LLC and Dragonfly Energy Holdings Corp., including any modification, amendment or replacement thereof.</w:t>
      </w:r>
    </w:p>
    <w:p>
      <w:pPr>
        <w:spacing w:after="0" w:line="190" w:lineRule="exact"/>
        <w:rPr>
          <w:rFonts w:ascii="Times New Roman" w:cs="Times New Roman" w:eastAsia="Times New Roman" w:hAnsi="Times New Roman"/>
          <w:sz w:val="18"/>
          <w:szCs w:val="18"/>
          <w:color w:val="auto"/>
        </w:rPr>
      </w:pPr>
    </w:p>
    <w:p>
      <w:pPr>
        <w:jc w:val="both"/>
        <w:ind w:left="324" w:hanging="324"/>
        <w:spacing w:after="0" w:line="261" w:lineRule="auto"/>
        <w:tabs>
          <w:tab w:leader="none" w:pos="32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Adjustment</w:t>
      </w:r>
      <w:r>
        <w:rPr>
          <w:rFonts w:ascii="Times New Roman" w:cs="Times New Roman" w:eastAsia="Times New Roman" w:hAnsi="Times New Roman"/>
          <w:sz w:val="18"/>
          <w:szCs w:val="18"/>
          <w:color w:val="auto"/>
        </w:rPr>
        <w:t>. Upon the occurrence of each adjustment or readjustment of the number of Shares issuable on the exercise of each Warrant, the Company (at its expense) shall promptly compute such adjustment or readjustment in accordance with the terms hereof and furnish to the Holder a notice setting forth (1) such adjustment or readjustment and showing in detail the facts upon which such adjustment or readjustment is based and (2) the number of Shares issuable on the exercise of each Warrant at the time in effect.</w:t>
      </w:r>
    </w:p>
    <w:p>
      <w:pPr>
        <w:spacing w:after="0" w:line="179"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of Books</w:t>
      </w:r>
      <w:r>
        <w:rPr>
          <w:rFonts w:ascii="Times New Roman" w:cs="Times New Roman" w:eastAsia="Times New Roman" w:hAnsi="Times New Roman"/>
          <w:sz w:val="18"/>
          <w:szCs w:val="18"/>
          <w:color w:val="auto"/>
        </w:rPr>
        <w:t>. The Company will not close its stockholder books or records, other than in the ordinary course, in any manner which prevents the timely exercise of this Warrant, pursuant to the terms hereof.</w:t>
      </w:r>
    </w:p>
    <w:p>
      <w:pPr>
        <w:spacing w:after="0" w:line="161" w:lineRule="exact"/>
        <w:rPr>
          <w:rFonts w:ascii="Times New Roman" w:cs="Times New Roman" w:eastAsia="Times New Roman" w:hAnsi="Times New Roman"/>
          <w:sz w:val="18"/>
          <w:szCs w:val="18"/>
          <w:color w:val="auto"/>
        </w:rPr>
      </w:pPr>
    </w:p>
    <w:p>
      <w:pPr>
        <w:ind w:left="324" w:right="20" w:hanging="324"/>
        <w:spacing w:after="0" w:line="282" w:lineRule="auto"/>
        <w:tabs>
          <w:tab w:leader="none" w:pos="32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 All calculations hereunder shall be made to the nearest cent or to the nearest twentieth decimal place of a fractional Share, as the case may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388620</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2" w:name="page13"/>
    <w:bookmarkEnd w:id="12"/>
    <w:p>
      <w:pPr>
        <w:ind w:left="332" w:hanging="332"/>
        <w:spacing w:after="0"/>
        <w:tabs>
          <w:tab w:leader="none" w:pos="33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Rights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972" w:hanging="324"/>
        <w:spacing w:after="0" w:line="252" w:lineRule="auto"/>
        <w:tabs>
          <w:tab w:leader="none" w:pos="972"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practicable following the Issuance Date but no later than thirty (30) calendar days after the Issuance Date, the Company shall submit to or file with the SEC a registration statement registering the resale of this Warrant, the Shares, and any securities issued or issuable with respect to the Shares by way of a stock dividend or stock split or in connection with a combination of shares, recapitalization, merger, consolidation, spin-off, reclassification or other reorganization or similar transaction (including Shares received pursuant to Section 4 above) (the “</w:t>
      </w:r>
      <w:r>
        <w:rPr>
          <w:rFonts w:ascii="Times New Roman" w:cs="Times New Roman" w:eastAsia="Times New Roman" w:hAnsi="Times New Roman"/>
          <w:sz w:val="18"/>
          <w:szCs w:val="18"/>
          <w:u w:val="single" w:color="auto"/>
          <w:color w:val="auto"/>
        </w:rPr>
        <w:t>Registrable Securities</w:t>
      </w:r>
      <w:r>
        <w:rPr>
          <w:rFonts w:ascii="Times New Roman" w:cs="Times New Roman" w:eastAsia="Times New Roman" w:hAnsi="Times New Roman"/>
          <w:sz w:val="18"/>
          <w:szCs w:val="18"/>
          <w:color w:val="auto"/>
        </w:rPr>
        <w:t>”) on any form of registration statement (a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as is then available to effect a registration for resale of such Registrable Securities, which may be on Form S-1, for an offering to be made on a continuous basis pursuant to Rule 415 of the Securities Act registering the resale from time to time by the Holder(s) (or a bona fide pledgee thereof) of all of the Registrable Securities held by the Holder (or bona fide pledgee thereof) (the “</w:t>
      </w:r>
      <w:r>
        <w:rPr>
          <w:rFonts w:ascii="Times New Roman" w:cs="Times New Roman" w:eastAsia="Times New Roman" w:hAnsi="Times New Roman"/>
          <w:sz w:val="18"/>
          <w:szCs w:val="18"/>
          <w:u w:val="single" w:color="auto"/>
          <w:color w:val="auto"/>
        </w:rPr>
        <w:t>Initial Registration Statement</w:t>
      </w:r>
      <w:r>
        <w:rPr>
          <w:rFonts w:ascii="Times New Roman" w:cs="Times New Roman" w:eastAsia="Times New Roman" w:hAnsi="Times New Roman"/>
          <w:sz w:val="18"/>
          <w:szCs w:val="18"/>
          <w:color w:val="auto"/>
        </w:rPr>
        <w:t>”). The Holder shall not be named as an underwriter on any Registration Statement, provided, that if the SEC requires that the Holder be identified as a statutory underwriter in a Registration Statement, the Holder will have the option, in its sole and absolute discretion, to either (i) withdraw from the Registration Statement, it being understood that such withdrawal shall not relieve the Company of its obligation to register for resale such Holder’s Registrable Securities at a later date or (ii) be included as such in the Registration Statement. In the event that a Holder elects to include its Registrable Securities on a Registration Statement in accordance with the foregoing clause (ii), the Company shall provide such Holder with a draft of such Registration Statement (and any amendments or supplements thereto) as soon as reasonably practicable, and any disclosures contained therein relating to such Holder shall be subject to the approval of such Holder (which approval shall not be unreasonably withheld or delayed). Such Registrable Securities will cease to become Registrable Securities upon the earliest to occur of: (A) a Registration Statement with respect to the sale of such securities shall have become effective under the Securities Act and all Registrable Securities held by the Holder shall have been sold, transferred, disposed of or exchanged in accordance with such Registration Statement by the applicable Holder; (B) such securities shall have ceased to be outstanding; (C) such securities may be sold without restriction on volume or manner of sale in any three-month period pursuant to Rule 144 or any successor rule promulgated under the Securities Act; and (D) all Registrable Securities held by the Holder have been sold to, or through, a broker, dealer or underwriter in a public distribution or other public securities transaction.</w:t>
      </w:r>
    </w:p>
    <w:p>
      <w:pPr>
        <w:spacing w:after="0" w:line="187" w:lineRule="exact"/>
        <w:rPr>
          <w:rFonts w:ascii="Times New Roman" w:cs="Times New Roman" w:eastAsia="Times New Roman" w:hAnsi="Times New Roman"/>
          <w:sz w:val="18"/>
          <w:szCs w:val="18"/>
          <w:color w:val="auto"/>
        </w:rPr>
      </w:pPr>
    </w:p>
    <w:p>
      <w:pPr>
        <w:jc w:val="both"/>
        <w:ind w:left="972" w:hanging="324"/>
        <w:spacing w:after="0" w:line="253" w:lineRule="auto"/>
        <w:tabs>
          <w:tab w:leader="none" w:pos="972"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use commercially reasonable efforts to have the Initial Registration Statement declared effective as soon as practicable after the filing thereof, but no later than the earlier of (i) the ninetieth (90th) calendar day following the filing date thereof if the SEC notifies the Company that it will “review” the Registration Statement and (ii) the tenth (10th) business day after the date the Company is notified (orally or in writing, whichever is earlier) by the SEC that the Registration Statement will not be “reviewed” or will not be subject to further review. The Company shall notify the Holders as promptly as practicable after the Registration Statement is declared effective and shall simultaneously or prior thereto file with the SEC pursuant to Rule 424(b) promulgated under the Securities Act, and provide the Holders with copies of, any related prospectus to be used in connection with the sale or other disposition of the securities covered thereby (each, a “</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The Registration Statement shall contain a Prospectus in such form as to permit any Holder to sell such Registrable Securities pursuant to Rule 415 under the Securities Act (or any successor or similar provision adopted by the Commission then in effect) at any time beginning on the effective date for such Registration Statement, and shall provide that such Registrable Securities may be sold pursuant to any method or combination of methods legally available to, and requested by, the Holders.</w:t>
      </w:r>
    </w:p>
    <w:p>
      <w:pPr>
        <w:spacing w:after="0" w:line="191" w:lineRule="exact"/>
        <w:rPr>
          <w:rFonts w:ascii="Times New Roman" w:cs="Times New Roman" w:eastAsia="Times New Roman" w:hAnsi="Times New Roman"/>
          <w:sz w:val="18"/>
          <w:szCs w:val="18"/>
          <w:color w:val="auto"/>
        </w:rPr>
      </w:pPr>
    </w:p>
    <w:p>
      <w:pPr>
        <w:jc w:val="both"/>
        <w:ind w:left="972" w:hanging="324"/>
        <w:spacing w:after="0" w:line="258" w:lineRule="auto"/>
        <w:tabs>
          <w:tab w:leader="none" w:pos="972"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maintain the Initial Registration Statement and any subsequent Registration Statement in accordance with the terms hereof, and shall prepare and file with the SEC such amendments, including post-effective amendments, and supplements as may be necessary to keep the Initial Registration Statement and any subsequent Registration Statement continuously effective, available for use to permit the Holders named therein to sell their Registrable Securities included therein and in compliance with the provisions of the Securities Act until such time as there are no longer any Registrable Securities (the “</w:t>
      </w:r>
      <w:r>
        <w:rPr>
          <w:rFonts w:ascii="Times New Roman" w:cs="Times New Roman" w:eastAsia="Times New Roman" w:hAnsi="Times New Roman"/>
          <w:sz w:val="18"/>
          <w:szCs w:val="18"/>
          <w:u w:val="single" w:color="auto"/>
          <w:color w:val="auto"/>
        </w:rPr>
        <w:t>Effectiveness Period</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402590</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13" w:name="page14"/>
    <w:bookmarkEnd w:id="13"/>
    <w:p>
      <w:pPr>
        <w:ind w:left="324" w:hanging="324"/>
        <w:spacing w:after="0"/>
        <w:tabs>
          <w:tab w:leader="none" w:pos="32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furtherance of the foregoing, the Company shall:</w:t>
      </w:r>
    </w:p>
    <w:p>
      <w:pPr>
        <w:spacing w:after="0" w:line="225" w:lineRule="exact"/>
        <w:rPr>
          <w:rFonts w:ascii="Times New Roman" w:cs="Times New Roman" w:eastAsia="Times New Roman" w:hAnsi="Times New Roman"/>
          <w:sz w:val="18"/>
          <w:szCs w:val="18"/>
          <w:color w:val="auto"/>
        </w:rPr>
      </w:pPr>
    </w:p>
    <w:p>
      <w:pPr>
        <w:jc w:val="both"/>
        <w:ind w:left="1124" w:hanging="195"/>
        <w:spacing w:after="0" w:line="256" w:lineRule="auto"/>
        <w:tabs>
          <w:tab w:leader="none" w:pos="112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copies to, and permit the Holder to review, the Registration Statement and all amendments and supplements thereto not less than five (5) business days prior to the filing of the Registration Statement and not less than one (1) business day prior to the filing of any related Prospectus or any amendment or supplement thereto (except any amendment or supplement in relation to annual reports on Form 10-K, quarterly reports on Form 10-Q and current reports on Form 8-K and any similar or successor reports) and provide the Holder a reasonable opportunity to comment thereon, and the Company shall consider such comments in good faith before filing any Registration Statement or amendment or supplement thereto;</w:t>
      </w:r>
    </w:p>
    <w:p>
      <w:pPr>
        <w:spacing w:after="0" w:line="187" w:lineRule="exact"/>
        <w:rPr>
          <w:rFonts w:ascii="Times New Roman" w:cs="Times New Roman" w:eastAsia="Times New Roman" w:hAnsi="Times New Roman"/>
          <w:sz w:val="18"/>
          <w:szCs w:val="18"/>
          <w:color w:val="auto"/>
        </w:rPr>
      </w:pPr>
    </w:p>
    <w:p>
      <w:pPr>
        <w:ind w:left="1124" w:hanging="245"/>
        <w:spacing w:after="0" w:line="282" w:lineRule="auto"/>
        <w:tabs>
          <w:tab w:leader="none" w:pos="112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commercially reasonable efforts to (x) prevent the issuance of any stop order or other suspension of effectiveness and (y) if such order is issued, obtain the withdrawal of any such order as soon as practicable;</w:t>
      </w:r>
    </w:p>
    <w:p>
      <w:pPr>
        <w:spacing w:after="0" w:line="161" w:lineRule="exact"/>
        <w:rPr>
          <w:rFonts w:ascii="Times New Roman" w:cs="Times New Roman" w:eastAsia="Times New Roman" w:hAnsi="Times New Roman"/>
          <w:sz w:val="18"/>
          <w:szCs w:val="18"/>
          <w:color w:val="auto"/>
        </w:rPr>
      </w:pPr>
    </w:p>
    <w:p>
      <w:pPr>
        <w:jc w:val="both"/>
        <w:ind w:left="1124" w:hanging="295"/>
        <w:spacing w:after="0" w:line="254" w:lineRule="auto"/>
        <w:tabs>
          <w:tab w:leader="none" w:pos="112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any public offering of Registrable Securities, use commercially reasonable efforts to register or qualify or cooperate with the Holder and its counsel in connection with the registration or qualification of such Registrable Securities for the offer and sale under the securities or blue sky laws of such jurisdictions upon notice and as requested by the Holder and do any and all other commercially reasonable acts or things necessary or advisable as requested by the Holder to enable the distribution in such jurisdictions of the Registrable Securities covered by the Registration Statement; provided, that the Company shall not be required in connection therewith or as a condition thereto to (i) qualify to do business in any jurisdiction where it would not otherwise be required to qualify but for this provision; (ii) subject itself to general taxation in any jurisdiction where it would not otherwise be so subject but for this provision; or (iii) file a general consent to service of process in any such jurisdiction;</w:t>
      </w:r>
    </w:p>
    <w:p>
      <w:pPr>
        <w:spacing w:after="0" w:line="191" w:lineRule="exact"/>
        <w:rPr>
          <w:rFonts w:ascii="Times New Roman" w:cs="Times New Roman" w:eastAsia="Times New Roman" w:hAnsi="Times New Roman"/>
          <w:sz w:val="18"/>
          <w:szCs w:val="18"/>
          <w:color w:val="auto"/>
        </w:rPr>
      </w:pPr>
    </w:p>
    <w:p>
      <w:pPr>
        <w:ind w:left="1124" w:hanging="274"/>
        <w:spacing w:after="0" w:line="282" w:lineRule="auto"/>
        <w:tabs>
          <w:tab w:leader="none" w:pos="112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commercially reasonable efforts to cause all Registrable Securities covered by a Registration Statement to be listed on each national securities exchange or other market on which similar securities issued by the Company are then listed;</w:t>
      </w:r>
    </w:p>
    <w:p>
      <w:pPr>
        <w:spacing w:after="0" w:line="161" w:lineRule="exact"/>
        <w:rPr>
          <w:rFonts w:ascii="Times New Roman" w:cs="Times New Roman" w:eastAsia="Times New Roman" w:hAnsi="Times New Roman"/>
          <w:sz w:val="18"/>
          <w:szCs w:val="18"/>
          <w:color w:val="auto"/>
        </w:rPr>
      </w:pPr>
    </w:p>
    <w:p>
      <w:pPr>
        <w:ind w:left="1124" w:hanging="224"/>
        <w:spacing w:after="0" w:line="282" w:lineRule="auto"/>
        <w:tabs>
          <w:tab w:leader="none" w:pos="112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 transfer agent or warrant agent, if any, as applicable, and registrar for all such Registrable Securities no later than the effective date of such Registration Statement;</w:t>
      </w:r>
    </w:p>
    <w:p>
      <w:pPr>
        <w:spacing w:after="0" w:line="161" w:lineRule="exact"/>
        <w:rPr>
          <w:rFonts w:ascii="Times New Roman" w:cs="Times New Roman" w:eastAsia="Times New Roman" w:hAnsi="Times New Roman"/>
          <w:sz w:val="18"/>
          <w:szCs w:val="18"/>
          <w:color w:val="auto"/>
        </w:rPr>
      </w:pPr>
    </w:p>
    <w:p>
      <w:pPr>
        <w:jc w:val="both"/>
        <w:ind w:left="1124" w:hanging="285"/>
        <w:spacing w:after="0" w:line="254" w:lineRule="auto"/>
        <w:tabs>
          <w:tab w:leader="none" w:pos="112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notify the Holder at any time prior to the end of the Effectiveness Period, upon discovery that, or upon the happening of any event as a result of which, the Prospectus included in the Registration Statement, as then in effect, includes a untrue statement of a material fact or an omission to state a material fact required to be stated in a Registration Statement or Prospectus or necessary to make the statements in a Registration Statement or Prospectus (in the case of a Prospectus, in the light of the circumstances under which they were made) not misleading (a “</w:t>
      </w:r>
      <w:r>
        <w:rPr>
          <w:rFonts w:ascii="Times New Roman" w:cs="Times New Roman" w:eastAsia="Times New Roman" w:hAnsi="Times New Roman"/>
          <w:sz w:val="18"/>
          <w:szCs w:val="18"/>
          <w:u w:val="single" w:color="auto"/>
          <w:color w:val="auto"/>
        </w:rPr>
        <w:t>Misstatement</w:t>
      </w:r>
      <w:r>
        <w:rPr>
          <w:rFonts w:ascii="Times New Roman" w:cs="Times New Roman" w:eastAsia="Times New Roman" w:hAnsi="Times New Roman"/>
          <w:sz w:val="18"/>
          <w:szCs w:val="18"/>
          <w:color w:val="auto"/>
        </w:rPr>
        <w:t>”), which the Holder will maintain in confidence, and (i) promptly prepare, file with the SEC and furnish to such holder a supplement to or an amendment of such Prospectus as may be necessary so that such Prospectus shall not include such Misstatement or (ii) suspend the filing, initial effectiveness or continued use of any Registration Statement in accordance with Section 5(g) below;</w:t>
      </w:r>
    </w:p>
    <w:p>
      <w:pPr>
        <w:spacing w:after="0" w:line="191" w:lineRule="exact"/>
        <w:rPr>
          <w:rFonts w:ascii="Times New Roman" w:cs="Times New Roman" w:eastAsia="Times New Roman" w:hAnsi="Times New Roman"/>
          <w:sz w:val="18"/>
          <w:szCs w:val="18"/>
          <w:color w:val="auto"/>
        </w:rPr>
      </w:pPr>
    </w:p>
    <w:p>
      <w:pPr>
        <w:ind w:left="1124" w:hanging="335"/>
        <w:spacing w:after="0" w:line="282" w:lineRule="auto"/>
        <w:tabs>
          <w:tab w:leader="none" w:pos="112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commercially reasonable efforts to comply with all applicable rules and regulations of the SEC under the Securities Act and the Exchange Act; and</w:t>
      </w:r>
    </w:p>
    <w:p>
      <w:pPr>
        <w:spacing w:after="0" w:line="161" w:lineRule="exact"/>
        <w:rPr>
          <w:rFonts w:ascii="Times New Roman" w:cs="Times New Roman" w:eastAsia="Times New Roman" w:hAnsi="Times New Roman"/>
          <w:sz w:val="18"/>
          <w:szCs w:val="18"/>
          <w:color w:val="auto"/>
        </w:rPr>
      </w:pPr>
    </w:p>
    <w:p>
      <w:pPr>
        <w:ind w:left="1124" w:hanging="385"/>
        <w:spacing w:after="0" w:line="282" w:lineRule="auto"/>
        <w:tabs>
          <w:tab w:leader="none" w:pos="112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in good faith, cooperate reasonably with, and take such customary actions as may reasonably be requested by the Holder, consistent with the terms of this Warrant, in connection with such registration.</w:t>
      </w:r>
    </w:p>
    <w:p>
      <w:pPr>
        <w:spacing w:after="0" w:line="161" w:lineRule="exact"/>
        <w:rPr>
          <w:rFonts w:ascii="Times New Roman" w:cs="Times New Roman" w:eastAsia="Times New Roman" w:hAnsi="Times New Roman"/>
          <w:sz w:val="18"/>
          <w:szCs w:val="18"/>
          <w:color w:val="auto"/>
        </w:rPr>
      </w:pPr>
    </w:p>
    <w:p>
      <w:pPr>
        <w:jc w:val="both"/>
        <w:ind w:left="324" w:hanging="324"/>
        <w:spacing w:after="0" w:line="258" w:lineRule="auto"/>
        <w:tabs>
          <w:tab w:leader="none" w:pos="32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Holder holds Registrable Securities that are not registered for resale on a delayed or continuous basis, the Company, upon written request of such Holder, shall promptly use its commercially reasonable efforts to cause the resale of such Registrable Securities to be covered by either, at the Company’s option, any then available Registration Statement (including by means of a post-effective amendment) or by filing a subsequent Registration Statement and causing the same to become effective as soon as reasonably practicable after such filing and such subsequent Registration Statement shall be subject to the terms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402590</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4" w:name="page15"/>
    <w:bookmarkEnd w:id="14"/>
    <w:p>
      <w:pPr>
        <w:jc w:val="both"/>
        <w:ind w:left="324" w:hanging="324"/>
        <w:spacing w:after="0" w:line="258" w:lineRule="auto"/>
        <w:tabs>
          <w:tab w:leader="none" w:pos="3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Initial Registration Statement ceases to be effective under Securities Act for any reason at any time while Registrable Securities are still outstanding, the Company shall use its commercially reasonable efforts to as promptly as is reasonably practicable to cause such Initial Registration Statement to again become effective under the Securities Act or file a subsequent Registration Statement registering the resale of all Registrable Securities (determined as of two (2) business days prior to such filing) pursuant to any method or combination of methods legally available to the Company.</w:t>
      </w:r>
    </w:p>
    <w:p>
      <w:pPr>
        <w:spacing w:after="0" w:line="183" w:lineRule="exact"/>
        <w:rPr>
          <w:rFonts w:ascii="Times New Roman" w:cs="Times New Roman" w:eastAsia="Times New Roman" w:hAnsi="Times New Roman"/>
          <w:sz w:val="18"/>
          <w:szCs w:val="18"/>
          <w:color w:val="auto"/>
        </w:rPr>
      </w:pPr>
    </w:p>
    <w:p>
      <w:pPr>
        <w:jc w:val="both"/>
        <w:ind w:left="324" w:hanging="324"/>
        <w:spacing w:after="0" w:line="253" w:lineRule="auto"/>
        <w:tabs>
          <w:tab w:leader="none" w:pos="3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not more than ninety (90) consecutive days or for a total of not more than one-hundred twenty (120) days, in each case, in any twelve (12) month period, the Company may suspend the filing, initial effectiveness or continued use of any Registration Statement in respect of any registration contemplated by this Section 5 in the event that the Company determines in good faith that such suspension is necessary to (A) delay the disclosure of material non-public information concerning the Company, the disclosure of which at the time is not, in the good faith opinion of the Company, in the best interests of the Company; (B) amend or supplement the affected Registration Statement or the related prospectus so that such Registration Statement or prospectus shall not include any misstatement; or (C) require the inclusion in such Registration Statement of financial statements that are unavailable to the Company for reasons beyond the Company’s control (each, an “</w:t>
      </w:r>
      <w:r>
        <w:rPr>
          <w:rFonts w:ascii="Times New Roman" w:cs="Times New Roman" w:eastAsia="Times New Roman" w:hAnsi="Times New Roman"/>
          <w:sz w:val="18"/>
          <w:szCs w:val="18"/>
          <w:u w:val="single" w:color="auto"/>
          <w:color w:val="auto"/>
        </w:rPr>
        <w:t>Allowed Delay</w:t>
      </w:r>
      <w:r>
        <w:rPr>
          <w:rFonts w:ascii="Times New Roman" w:cs="Times New Roman" w:eastAsia="Times New Roman" w:hAnsi="Times New Roman"/>
          <w:sz w:val="18"/>
          <w:szCs w:val="18"/>
          <w:color w:val="auto"/>
        </w:rPr>
        <w:t>”); provided that the Company shall promptly (1) notify the Holder in writing of the commencement of an Allowed Delay, but shall not (without the prior written consent of a Holder) disclose to such Holder any material non-public information giving rise to an Allowed Delay, (2) advise the Holder in writing to cease all sales under such Registration Statement until the end of the Allowed Delay (but not, for the avoidance of doubt, any sale pursuant to Rule 144 or other applicable exemption under the Securities Act) and (3) use commercially reasonable efforts to terminate an Allowed Delay as promptly as reasonably practicable.</w:t>
      </w:r>
    </w:p>
    <w:p>
      <w:pPr>
        <w:spacing w:after="0" w:line="189" w:lineRule="exact"/>
        <w:rPr>
          <w:rFonts w:ascii="Times New Roman" w:cs="Times New Roman" w:eastAsia="Times New Roman" w:hAnsi="Times New Roman"/>
          <w:sz w:val="18"/>
          <w:szCs w:val="18"/>
          <w:color w:val="auto"/>
        </w:rPr>
      </w:pPr>
    </w:p>
    <w:p>
      <w:pPr>
        <w:jc w:val="both"/>
        <w:ind w:left="324" w:hanging="324"/>
        <w:spacing w:after="0" w:line="261" w:lineRule="auto"/>
        <w:tabs>
          <w:tab w:leader="none" w:pos="3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Holder holds Registrable Securities that are not registered for resale on a delayed or continuous basis, the Company, upon request of a Holder, shall promptly use its commercially reasonable efforts to cause the resale of such Registrable Securities to be covered by either, at the Company’s option, the Initial Registration Statement or a subsequent Registration Statement and cause the same to become effective as soon as practicable after such filing and such Registration Statement shall be subject to the terms hereof.</w:t>
      </w:r>
    </w:p>
    <w:p>
      <w:pPr>
        <w:spacing w:after="0" w:line="179" w:lineRule="exact"/>
        <w:rPr>
          <w:rFonts w:ascii="Times New Roman" w:cs="Times New Roman" w:eastAsia="Times New Roman" w:hAnsi="Times New Roman"/>
          <w:sz w:val="18"/>
          <w:szCs w:val="18"/>
          <w:color w:val="auto"/>
        </w:rPr>
      </w:pPr>
    </w:p>
    <w:p>
      <w:pPr>
        <w:jc w:val="both"/>
        <w:ind w:left="324" w:hanging="324"/>
        <w:spacing w:after="0" w:line="261" w:lineRule="auto"/>
        <w:tabs>
          <w:tab w:leader="none" w:pos="3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pay all expenses associated with each Registration Statement, including filing and printing fees, the fees and expenses of the Company’s counsel and accounting fees and expenses, costs associated with clearing the Registrable Securities for sale under applicable state securities laws and listing fees, but excluding discounts, commissions, fees of underwriters, selling brokers, dealer managers or similar securities industry professionals with respect to the Registrable Securities being sold.</w:t>
      </w:r>
    </w:p>
    <w:p>
      <w:pPr>
        <w:spacing w:after="0" w:line="179" w:lineRule="exact"/>
        <w:rPr>
          <w:rFonts w:ascii="Times New Roman" w:cs="Times New Roman" w:eastAsia="Times New Roman" w:hAnsi="Times New Roman"/>
          <w:sz w:val="18"/>
          <w:szCs w:val="18"/>
          <w:color w:val="auto"/>
        </w:rPr>
      </w:pPr>
    </w:p>
    <w:p>
      <w:pPr>
        <w:jc w:val="both"/>
        <w:ind w:left="324" w:hanging="324"/>
        <w:spacing w:after="0" w:line="252" w:lineRule="auto"/>
        <w:tabs>
          <w:tab w:leader="none" w:pos="3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to indemnify and hold harmless the Holder, and each of its officers, employees, affiliates, directors, partners, members, managers, equityholders, attorneys, advisors and agents, and each person or entity, if any, who controls (within the meaning of Section 15 of the Securities Act or Section 20 of the Securities and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the Holder (each, a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Indemnified Party</w:t>
      </w:r>
      <w:r>
        <w:rPr>
          <w:rFonts w:ascii="Times New Roman" w:cs="Times New Roman" w:eastAsia="Times New Roman" w:hAnsi="Times New Roman"/>
          <w:sz w:val="18"/>
          <w:szCs w:val="18"/>
          <w:color w:val="auto"/>
        </w:rPr>
        <w:t>”), to the fullest extent permitted by applicable law, from and against any expenses, losses, judgments, actions, claims, proceedings (whether commenced or threatened), damages, liabilities or costs (including, without limitation, reasonable attorneys’ fees) (collectively, “</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as incurred, arising out of or based upon any Misstatement contained in any Registration Statement under which the sale of such Registrable Securities was registered under the Securities Act, any preliminary Prospectus, final Prospectus or summary Prospectus contained in such Registration Statement, any amendment or supplement to such Registration Statement, preliminary Prospectus, final Prospectus or summary Prospectus, or any free writing prospectus relating to such Registration Statement, or any violation by the Company of the Securities Act or any rule or regulation promulgated thereunder applicable to the Company or any state securities (or Blue Sky) law, rule or regulation and relating to action or inaction required of the Company in connection with any such registration; and the Company shall promptly reimburse the Holder Indemnified Party for any reasonable, customary and documented out-of-pocket legal and any other expenses reasonably incurred, as incurred, by such Holder Indemnified Party in connection with investigating and defending any such Losses, except to the extent the Holder is liable to indemnify the Company for such Losses pursuant to Section 5(k) below; provided, however, that the indemnity agreement contained in this Section 5(j) shall not apply to amounts paid in settlement of any claim or proceeding if such settlement is effected without the consent of the Company, which consent shall not be unreasonably withheld, and the Company will not be liable in any such case to the extent that any such losses, judgments, claims, damages, liabilities or out-of-pocket expenses arises out of or is based upon any Misstatement made in such Registration Statement in reliance upon and in conformity with information furnished to the Company, in writing, by the applicable Holder Indemnified Party expressly for use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407035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5" w:name="page16"/>
    <w:bookmarkEnd w:id="15"/>
    <w:p>
      <w:pPr>
        <w:jc w:val="both"/>
        <w:ind w:left="972" w:hanging="324"/>
        <w:spacing w:after="0" w:line="253" w:lineRule="auto"/>
        <w:tabs>
          <w:tab w:leader="none" w:pos="972"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will, in the event that any registration of any Registrable Securities held by the Holder is being effected under the Securities Act pursuant to this Agreement and the Company has required the Holder to provide such an undertaking on the same terms, indemnify and hold harmless the Company, each of its directors and officers and each underwriter (if any), and each other person, if any, who controls such underwriter within the meaning of the Securities Act, against any Losses, insofar as such Losses arise out of or are based upon any Misstatement contained in any Registration Statement under which the sale of such Registrable Securities was registered under the Securities Act, any preliminary Prospectus, final Prospectus or summary Prospectus contained in the Registration Statement, or any amendment or supplement thereto, if the Misstatement was made (or not made, in the case of an omission) in reliance upon and in conformity with information furnished in writing to the Company by or on behalf of such Holder expressly for use therein, and shall reimburse the Company and its directors and officers for any reasonable, customary and documented out-of-pocket legal or other expenses incurred by any of them in connection with investigation or defending any such Loss.</w:t>
      </w:r>
    </w:p>
    <w:p>
      <w:pPr>
        <w:spacing w:after="0" w:line="194"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 Compliance with Securities Laws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972" w:hanging="324"/>
        <w:spacing w:after="0" w:line="256" w:lineRule="auto"/>
        <w:tabs>
          <w:tab w:leader="none" w:pos="972"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Warrant may not be transferred or assigned in whole or in part without compliance with all applicable United States, state, and foreign securities laws by the transferor and transferee (including the delivery of investment representation letters and legal opinions reasonably satisfactory to the Company, if requested by the Company). Subject to such restrictions, prior to the Expiration Date, this Warrant and all rights hereunder are transferable by the Holder hereof, in whole or in part, at the office or agency of the Company referred to in Section 1(b) above. Any such transfer shall be made in person or by the Holder’s duly authorized attorney, upon surrender of this Warrant together with the Form of Transfer attached hereto properly endorsed.</w:t>
      </w:r>
    </w:p>
    <w:p>
      <w:pPr>
        <w:spacing w:after="0" w:line="187" w:lineRule="exact"/>
        <w:rPr>
          <w:rFonts w:ascii="Times New Roman" w:cs="Times New Roman" w:eastAsia="Times New Roman" w:hAnsi="Times New Roman"/>
          <w:sz w:val="18"/>
          <w:szCs w:val="18"/>
          <w:color w:val="auto"/>
        </w:rPr>
      </w:pPr>
    </w:p>
    <w:p>
      <w:pPr>
        <w:jc w:val="both"/>
        <w:ind w:left="972" w:hanging="324"/>
        <w:spacing w:after="0" w:line="255" w:lineRule="auto"/>
        <w:tabs>
          <w:tab w:leader="none" w:pos="972"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of this Warrant, by acceptance hereof, acknowledges that this Warrant and the Shares issuable upon exercise hereof are being acquired solely for the Holder’s own account and not as a nominee for any other party, and for investment, and that the Holder will not offer, sell, or otherwise dispose of this Warrant or any Shares to be issued upon exercise hereof except under circumstances that will not result in a violation of the Securities Act or any state or foreign securities laws. Upon exercise of this Warrant, the Holder shall, if reasonably requested by the Company and if required by applicable law or regulation, confirm in writing, in a form satisfactory to the Company, that the Shares so purchased are being acquired solely for Holder’s own account and not as a nominee for any other party, for investment, and not with a view toward distribution or resale.</w:t>
      </w:r>
    </w:p>
    <w:p>
      <w:pPr>
        <w:spacing w:after="0" w:line="188" w:lineRule="exact"/>
        <w:rPr>
          <w:rFonts w:ascii="Times New Roman" w:cs="Times New Roman" w:eastAsia="Times New Roman" w:hAnsi="Times New Roman"/>
          <w:sz w:val="18"/>
          <w:szCs w:val="18"/>
          <w:color w:val="auto"/>
        </w:rPr>
      </w:pPr>
    </w:p>
    <w:p>
      <w:pPr>
        <w:jc w:val="both"/>
        <w:ind w:left="972" w:hanging="324"/>
        <w:spacing w:after="0" w:line="258" w:lineRule="auto"/>
        <w:tabs>
          <w:tab w:leader="none" w:pos="972"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have not been registered under the Securities Act, and this Warrant may not be exercised except by (1) the original purchaser of this Warrant from the Company or (2) an “accredited investor” as defined in Rule 501(a) under the Securities Act. Each certificate representing Shares issued on exercise of this Warrant or other securities issued in respect of such Shares upon any stock split, stock dividend, recapitalization, merger, consolidation or similar event, shall be stamped or otherwise imprinted with a legend substantially in the following form (in addition to any other legend required under applicable securities laws):</w:t>
      </w:r>
    </w:p>
    <w:p>
      <w:pPr>
        <w:spacing w:after="0" w:line="183" w:lineRule="exact"/>
        <w:rPr>
          <w:rFonts w:ascii="Times New Roman" w:cs="Times New Roman" w:eastAsia="Times New Roman" w:hAnsi="Times New Roman"/>
          <w:sz w:val="18"/>
          <w:szCs w:val="18"/>
          <w:color w:val="auto"/>
        </w:rPr>
      </w:pPr>
    </w:p>
    <w:p>
      <w:pPr>
        <w:jc w:val="both"/>
        <w:ind w:left="972"/>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COMMON STOCK EVIDENCED HEREBY HAVE NOT BEEN REGISTERED UNDER THE SECURITIES ACT OF 1933, AS AMENDED (THE “SECURITIES ACT”), OR ANY APPLICABLE STATE SECURITIES LAWS AND MAY NOT BE SOLD, TRANSFERRED OR OTHERWISE DISPOSED OF UNLESS THERE IS AN EFFECTIVE REGISTRATION STATEMENT UNDER THE SECURITIES ACT AND APPLICABLE STATE SECURITIES LAWS COVERING ANY SUCH TRANSACTION OR UNLESS THE COMPANY SHALL HAVE RECEIVED AN OPINION OF ITS COUNSEL THAT REGISTRATION OF SUCH SHARES UNDER THE SECURITIES ACT AND UNDER THE PROVISIONS OF APPLICABLE STATE SECURITIES LAWS IS NOT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405130</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16" w:name="page17"/>
    <w:bookmarkEnd w:id="16"/>
    <w:p>
      <w:pPr>
        <w:jc w:val="both"/>
        <w:ind w:left="332" w:hanging="332"/>
        <w:spacing w:after="0" w:line="253" w:lineRule="auto"/>
        <w:tabs>
          <w:tab w:leader="none" w:pos="33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Removal of Restrictive Legends</w:t>
      </w:r>
      <w:r>
        <w:rPr>
          <w:rFonts w:ascii="Times New Roman" w:cs="Times New Roman" w:eastAsia="Times New Roman" w:hAnsi="Times New Roman"/>
          <w:sz w:val="18"/>
          <w:szCs w:val="18"/>
          <w:color w:val="auto"/>
        </w:rPr>
        <w:t>. Neither this Warrant nor any certificates evidencing the Shares or any other equity securities issuable or deliverable under or in connection with this Warrant shall contain any legend restricting the transfer thereof in any of the following circumstances: (i) while a registration statement covering the sale or resale of the Shares is effective under the Securities Act; (ii) following any sale of this Warrant, any of the Shares or any other equity securities issued or delivered to the Holder under or in connection herewith pursuant to Rule 144; (iii) if this Warrant, the Shares or any other equity securities are eligible for sale under Rule 144(b)(1); or (iv) if such legend is not required under applicable requirements of the Securities Act (including judicial interpretations and pronouncements issued by the staff of the Commission) (collectively, the “</w:t>
      </w:r>
      <w:r>
        <w:rPr>
          <w:rFonts w:ascii="Times New Roman" w:cs="Times New Roman" w:eastAsia="Times New Roman" w:hAnsi="Times New Roman"/>
          <w:sz w:val="18"/>
          <w:szCs w:val="18"/>
          <w:u w:val="single" w:color="auto"/>
          <w:color w:val="auto"/>
        </w:rPr>
        <w:t>Unrestricted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Conditions</w:t>
      </w:r>
      <w:r>
        <w:rPr>
          <w:rFonts w:ascii="Times New Roman" w:cs="Times New Roman" w:eastAsia="Times New Roman" w:hAnsi="Times New Roman"/>
          <w:sz w:val="18"/>
          <w:szCs w:val="18"/>
          <w:color w:val="auto"/>
        </w:rPr>
        <w:t>”). If the Unrestricted Conditions are met at the time of the issuance of the Shares, the Company shall cause its counsel, at its expense, to issue a legal opinion to the Transfer Agent, if required by such Transfer Agent to effect the issuance of the Shares or any other shares of equity securities issuable or deliverable under or in connection with this Warrant, as applicable, without a restrictive legend or removal of the legend hereunder. If the Unrestricted Conditions are met at the time of issuance of the Shares, then the Shares shall be issued free of all legends.</w:t>
      </w:r>
    </w:p>
    <w:p>
      <w:pPr>
        <w:spacing w:after="0" w:line="194" w:lineRule="exact"/>
        <w:rPr>
          <w:rFonts w:ascii="Times New Roman" w:cs="Times New Roman" w:eastAsia="Times New Roman" w:hAnsi="Times New Roman"/>
          <w:sz w:val="18"/>
          <w:szCs w:val="18"/>
          <w:color w:val="auto"/>
        </w:rPr>
      </w:pPr>
    </w:p>
    <w:p>
      <w:pPr>
        <w:ind w:left="332" w:right="20" w:hanging="332"/>
        <w:spacing w:after="0" w:line="282" w:lineRule="auto"/>
        <w:tabs>
          <w:tab w:leader="none" w:pos="33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Taxes</w:t>
      </w:r>
      <w:r>
        <w:rPr>
          <w:rFonts w:ascii="Times New Roman" w:cs="Times New Roman" w:eastAsia="Times New Roman" w:hAnsi="Times New Roman"/>
          <w:sz w:val="18"/>
          <w:szCs w:val="18"/>
          <w:color w:val="auto"/>
        </w:rPr>
        <w:t>. The Company will from time to time promptly pay all taxes and charges that may be imposed in respect of the issuance or delivery of shares upon the exercise of Warrants, but the Company shall not be obligated to pay any transfer taxes in respect of the Warrants or such shares.</w:t>
      </w:r>
    </w:p>
    <w:p>
      <w:pPr>
        <w:spacing w:after="0" w:line="161"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The Company represents and warrants to, and agrees with, the Holder as follows:</w:t>
      </w:r>
    </w:p>
    <w:p>
      <w:pPr>
        <w:spacing w:after="0" w:line="225" w:lineRule="exact"/>
        <w:rPr>
          <w:rFonts w:ascii="Times New Roman" w:cs="Times New Roman" w:eastAsia="Times New Roman" w:hAnsi="Times New Roman"/>
          <w:sz w:val="18"/>
          <w:szCs w:val="18"/>
          <w:color w:val="auto"/>
        </w:rPr>
      </w:pPr>
    </w:p>
    <w:p>
      <w:pPr>
        <w:jc w:val="both"/>
        <w:ind w:left="972" w:hanging="324"/>
        <w:spacing w:after="0" w:line="261" w:lineRule="auto"/>
        <w:tabs>
          <w:tab w:leader="none" w:pos="972"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Due Organization</w:t>
      </w:r>
      <w:r>
        <w:rPr>
          <w:rFonts w:ascii="Times New Roman" w:cs="Times New Roman" w:eastAsia="Times New Roman" w:hAnsi="Times New Roman"/>
          <w:sz w:val="18"/>
          <w:szCs w:val="18"/>
          <w:color w:val="auto"/>
        </w:rPr>
        <w:t>. The Company is a corporation duly organized, validly existing, and in good standing under the laws of the state of its formation and has all requisite corporate power and authority to carry on its business as now conducted. The Company is duly qualified to transact business and is in good standing in each jurisdiction in which the failure to so qualify would have a material adverse effect on its business or properties.</w:t>
      </w:r>
    </w:p>
    <w:p>
      <w:pPr>
        <w:spacing w:after="0" w:line="179" w:lineRule="exact"/>
        <w:rPr>
          <w:rFonts w:ascii="Times New Roman" w:cs="Times New Roman" w:eastAsia="Times New Roman" w:hAnsi="Times New Roman"/>
          <w:sz w:val="18"/>
          <w:szCs w:val="18"/>
          <w:color w:val="auto"/>
        </w:rPr>
      </w:pPr>
    </w:p>
    <w:p>
      <w:pPr>
        <w:jc w:val="both"/>
        <w:ind w:left="972" w:hanging="324"/>
        <w:spacing w:after="0" w:line="268" w:lineRule="auto"/>
        <w:tabs>
          <w:tab w:leader="none" w:pos="972"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Authorization; Binding Obligation</w:t>
      </w:r>
      <w:r>
        <w:rPr>
          <w:rFonts w:ascii="Times New Roman" w:cs="Times New Roman" w:eastAsia="Times New Roman" w:hAnsi="Times New Roman"/>
          <w:sz w:val="17"/>
          <w:szCs w:val="17"/>
          <w:color w:val="auto"/>
        </w:rPr>
        <w:t>. This Warrant has been duly executed by the Company and constitutes its legal, valid and binding obligation, enforceable against it in accordance with the terms of this Warrant. Except as may be limited by applicable bankruptcy, insolvency, reorganization or similar laws relating to or affecting the enforcement of creditors’ rights, all corporate action has been taken on the part of the Company, its officers, directors, and stockholders necessary for the authorization, execution and delivery of this Warrant. The Company has taken all corporate action required to make all the obligations of the Company reflected in the provisions of this Warrant the valid and enforceable obligations they purport to be. The issuance of this Warrant and the Shares issuable upon exercise of this Warrant will not be subject to preemptive rights of any stockholders of the Company. No consent, waiver, approval, authorization, exemption, registration, license or declaration is required to be made or obtained by the Company, other than those which have been made or obtained, in connection with</w:t>
      </w:r>
    </w:p>
    <w:p>
      <w:pPr>
        <w:ind w:left="972" w:right="20"/>
        <w:spacing w:after="0" w:line="260" w:lineRule="auto"/>
        <w:tabs>
          <w:tab w:leader="none" w:pos="1209" w:val="left"/>
        </w:tabs>
        <w:numPr>
          <w:ilvl w:val="2"/>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or enforceability of this Warrant or (ii) the consummation of any of the transactions contemplated hereby, including the issuance of the Shares upon exercise of this Warrant.</w:t>
      </w:r>
    </w:p>
    <w:p>
      <w:pPr>
        <w:spacing w:after="0" w:line="181" w:lineRule="exact"/>
        <w:rPr>
          <w:rFonts w:ascii="Times New Roman" w:cs="Times New Roman" w:eastAsia="Times New Roman" w:hAnsi="Times New Roman"/>
          <w:sz w:val="18"/>
          <w:szCs w:val="18"/>
          <w:color w:val="auto"/>
        </w:rPr>
      </w:pPr>
    </w:p>
    <w:p>
      <w:pPr>
        <w:jc w:val="both"/>
        <w:ind w:left="972" w:hanging="324"/>
        <w:spacing w:after="0" w:line="266" w:lineRule="auto"/>
        <w:tabs>
          <w:tab w:leader="none" w:pos="972"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Other Instruments</w:t>
      </w:r>
      <w:r>
        <w:rPr>
          <w:rFonts w:ascii="Times New Roman" w:cs="Times New Roman" w:eastAsia="Times New Roman" w:hAnsi="Times New Roman"/>
          <w:sz w:val="18"/>
          <w:szCs w:val="18"/>
          <w:color w:val="auto"/>
        </w:rPr>
        <w:t>. The authorization, execution and delivery of the Warrant will not constitute or result in a default or violation of any law or regulation applicable to the Company or any term or provision of the Company’s Certificate of Incorporation or bylaws, or any material agreement or instrument by which it is bound or to which its properties or assets are subject.</w:t>
      </w:r>
    </w:p>
    <w:p>
      <w:pPr>
        <w:spacing w:after="0" w:line="175" w:lineRule="exact"/>
        <w:rPr>
          <w:rFonts w:ascii="Times New Roman" w:cs="Times New Roman" w:eastAsia="Times New Roman" w:hAnsi="Times New Roman"/>
          <w:sz w:val="18"/>
          <w:szCs w:val="18"/>
          <w:color w:val="auto"/>
        </w:rPr>
      </w:pPr>
    </w:p>
    <w:p>
      <w:pPr>
        <w:jc w:val="both"/>
        <w:ind w:left="972" w:hanging="324"/>
        <w:spacing w:after="0" w:line="254" w:lineRule="auto"/>
        <w:tabs>
          <w:tab w:leader="none" w:pos="972"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Valid Issuance</w:t>
      </w:r>
      <w:r>
        <w:rPr>
          <w:rFonts w:ascii="Times New Roman" w:cs="Times New Roman" w:eastAsia="Times New Roman" w:hAnsi="Times New Roman"/>
          <w:sz w:val="18"/>
          <w:szCs w:val="18"/>
          <w:color w:val="auto"/>
        </w:rPr>
        <w:t>. This Warrant, and all the Shares which may be issued upon the exercise of this Warrant, and all securities, if any, issuable upon conversion of the Shares, shall, upon issuance, be duly authorized, validly issued, fully paid and non-assessable, and free of any liens and encumbrances (including preemptive or similar rights) except for restrictions on transfer provided for (i) in this Warrant, (ii) under applicable federal and state securities laws, or (iii) in the Company’s Certificate of Incorporation. Based in part upon the representations and warranties of the Holder in this Warrant, this Warrant and all the Shares issuable upon exercise of this Warrant will be issued in compliance with all applicable federal and state securities laws. The Company covenants that it shall at all times cause to be reserved and kept available out of its authorized and unissued capital stock such number of the Shares and other securities for which this Warrant may be exercisable or for which the Shares may be convertible as will be sufficient to permit the exercise in full of this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407670</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17" w:name="page18"/>
    <w:bookmarkEnd w:id="17"/>
    <w:p>
      <w:pPr>
        <w:jc w:val="both"/>
        <w:ind w:left="972" w:hanging="324"/>
        <w:spacing w:after="0" w:line="256" w:lineRule="auto"/>
        <w:tabs>
          <w:tab w:leader="none" w:pos="972"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 xml:space="preserve">. The Company’s summary capitalization table attached hereto as </w:t>
      </w:r>
      <w:r>
        <w:rPr>
          <w:rFonts w:ascii="Times New Roman" w:cs="Times New Roman" w:eastAsia="Times New Roman" w:hAnsi="Times New Roman"/>
          <w:sz w:val="18"/>
          <w:szCs w:val="18"/>
          <w:b w:val="1"/>
          <w:bCs w:val="1"/>
          <w:color w:val="auto"/>
        </w:rPr>
        <w:t>Schedule 1</w:t>
      </w:r>
      <w:r>
        <w:rPr>
          <w:rFonts w:ascii="Times New Roman" w:cs="Times New Roman" w:eastAsia="Times New Roman" w:hAnsi="Times New Roman"/>
          <w:sz w:val="18"/>
          <w:szCs w:val="18"/>
          <w:color w:val="auto"/>
        </w:rPr>
        <w:t xml:space="preserve"> is true and complete, in all material respects, as of the Issuance Date. Except as described on </w:t>
      </w:r>
      <w:r>
        <w:rPr>
          <w:rFonts w:ascii="Times New Roman" w:cs="Times New Roman" w:eastAsia="Times New Roman" w:hAnsi="Times New Roman"/>
          <w:sz w:val="18"/>
          <w:szCs w:val="18"/>
          <w:b w:val="1"/>
          <w:bCs w:val="1"/>
          <w:color w:val="auto"/>
        </w:rPr>
        <w:t>Schedule 1</w:t>
      </w:r>
      <w:r>
        <w:rPr>
          <w:rFonts w:ascii="Times New Roman" w:cs="Times New Roman" w:eastAsia="Times New Roman" w:hAnsi="Times New Roman"/>
          <w:sz w:val="18"/>
          <w:szCs w:val="18"/>
          <w:color w:val="auto"/>
        </w:rPr>
        <w:t xml:space="preserve">, there are no outstanding warrants, options, convertible securities or other rights, agreements or arrangements of any character (other than equity grants promised to service providers in offer letters or similar agreements in the ordinary course of business, all of which grants will be made from the existing pool that is reflected in the fully diluted capitalization of the Company shown on </w:t>
      </w:r>
      <w:r>
        <w:rPr>
          <w:rFonts w:ascii="Times New Roman" w:cs="Times New Roman" w:eastAsia="Times New Roman" w:hAnsi="Times New Roman"/>
          <w:sz w:val="18"/>
          <w:szCs w:val="18"/>
          <w:b w:val="1"/>
          <w:bCs w:val="1"/>
          <w:color w:val="auto"/>
        </w:rPr>
        <w:t>Schedule 1</w:t>
      </w:r>
      <w:r>
        <w:rPr>
          <w:rFonts w:ascii="Times New Roman" w:cs="Times New Roman" w:eastAsia="Times New Roman" w:hAnsi="Times New Roman"/>
          <w:sz w:val="18"/>
          <w:szCs w:val="18"/>
          <w:color w:val="auto"/>
        </w:rPr>
        <w:t>) under which the Company and any of its subsidiaries is or may be obligated to issue any equity securities of any kind, and neither the Company nor any of its subsidiaries is currently in negotiations for the issuance of any equity securities of any kind.</w:t>
      </w:r>
    </w:p>
    <w:p>
      <w:pPr>
        <w:spacing w:after="0" w:line="186" w:lineRule="exact"/>
        <w:rPr>
          <w:rFonts w:ascii="Times New Roman" w:cs="Times New Roman" w:eastAsia="Times New Roman" w:hAnsi="Times New Roman"/>
          <w:sz w:val="18"/>
          <w:szCs w:val="18"/>
          <w:color w:val="auto"/>
        </w:rPr>
      </w:pPr>
    </w:p>
    <w:p>
      <w:pPr>
        <w:jc w:val="both"/>
        <w:ind w:left="972" w:hanging="324"/>
        <w:spacing w:after="0" w:line="255" w:lineRule="auto"/>
        <w:tabs>
          <w:tab w:leader="none" w:pos="972"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Violation; Registration</w:t>
      </w:r>
      <w:r>
        <w:rPr>
          <w:rFonts w:ascii="Times New Roman" w:cs="Times New Roman" w:eastAsia="Times New Roman" w:hAnsi="Times New Roman"/>
          <w:sz w:val="18"/>
          <w:szCs w:val="18"/>
          <w:color w:val="auto"/>
        </w:rPr>
        <w:t>. The Company shall take all such actions as may be necessary to ensure that all the Shares are issued without violation by the Company of any applicable law or governmental regulation or any requirements of any trading market or securities exchange upon which shares of the Company’s common stock or other securities constituting the Shares may be listed at the time of such exercise (except for official notice of issuance which shall be immediately delivered by the Company upon each such issuance). If the Unrestricted Conditions are satisfied at the time of exercise of this Warrant, the Company shall cause the Shares, immediately upon such exercise, to be listed on any such trading market or securities exchange upon which shares of common stock or other securities constituting the Shares are listed at the time of such exercise.</w:t>
      </w:r>
    </w:p>
    <w:p>
      <w:pPr>
        <w:spacing w:after="0" w:line="188" w:lineRule="exact"/>
        <w:rPr>
          <w:rFonts w:ascii="Times New Roman" w:cs="Times New Roman" w:eastAsia="Times New Roman" w:hAnsi="Times New Roman"/>
          <w:sz w:val="18"/>
          <w:szCs w:val="18"/>
          <w:color w:val="auto"/>
        </w:rPr>
      </w:pPr>
    </w:p>
    <w:p>
      <w:pPr>
        <w:jc w:val="both"/>
        <w:ind w:left="332" w:hanging="332"/>
        <w:spacing w:after="0" w:line="256" w:lineRule="auto"/>
        <w:tabs>
          <w:tab w:leader="none" w:pos="33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Rights as a Stockholder; No Liability</w:t>
      </w:r>
      <w:r>
        <w:rPr>
          <w:rFonts w:ascii="Times New Roman" w:cs="Times New Roman" w:eastAsia="Times New Roman" w:hAnsi="Times New Roman"/>
          <w:sz w:val="18"/>
          <w:szCs w:val="18"/>
          <w:color w:val="auto"/>
        </w:rPr>
        <w:t>. Except as specifically set forth herein, this Warrant, by itself, does not entitle the registered holder thereof to any of the rights of a stockholder of the Company, including, without limitation, the right to receive dividends, or other distributions, exercise any preemptive rights to vote or to consent or to receive notice as stockholders in respect of the meetings of stockholders or the election of directors of the Company or any other matter. No provision hereof, in the absence of any affirmative action by the Holder to exercise this Warrant to purchase the Shares, and no enumeration herein of the rights or privileges of the Holder, shall give rise to any liability of the Holder for the purchase price of any Shares or as a stockholder of the Company, whether such liability is asserted by the Company or by creditors of the Company.</w:t>
      </w:r>
    </w:p>
    <w:p>
      <w:pPr>
        <w:spacing w:after="0" w:line="187"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Impairment.</w:t>
      </w:r>
    </w:p>
    <w:p>
      <w:pPr>
        <w:spacing w:after="0" w:line="225" w:lineRule="exact"/>
        <w:rPr>
          <w:rFonts w:ascii="Times New Roman" w:cs="Times New Roman" w:eastAsia="Times New Roman" w:hAnsi="Times New Roman"/>
          <w:sz w:val="18"/>
          <w:szCs w:val="18"/>
          <w:color w:val="auto"/>
        </w:rPr>
      </w:pPr>
    </w:p>
    <w:p>
      <w:pPr>
        <w:jc w:val="both"/>
        <w:ind w:left="972" w:hanging="324"/>
        <w:spacing w:after="0" w:line="254" w:lineRule="auto"/>
        <w:tabs>
          <w:tab w:leader="none" w:pos="972"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to the contrary, nothing contained in this Warrant shall affect, limit or impair the rights and remedies of the Holder or its affiliates (x) in their capacity as a lender, creditor, or similar, as applicable, to the Company or any of its subsidiaries or affiliates, or (y) pursuant to any other agreements or instruments entered into by the Holder (or its affiliates) and the Company or any of its subsidiaries or affiliates. Without limiting the generality of the foregoing, neither the Administrative Agent (as defined in the Loan Agreement) nor any of its affiliates, in exercising their rights as lenders will have any duty to consider (i) its (or its affiliates’) status as a direct or indirect shareholder of the Company and its subsidiaries, (ii) its (or its affiliates’) direct or indirect ownership of the Shares of the Company or any of its subsidiaries, or (iii) any duty it (or its affiliates) may have to any other direct or indirect shareholders of the Company and its subsidiaries, except as may be required under the applicable loan documents.</w:t>
      </w:r>
    </w:p>
    <w:p>
      <w:pPr>
        <w:spacing w:after="0" w:line="191" w:lineRule="exact"/>
        <w:rPr>
          <w:rFonts w:ascii="Times New Roman" w:cs="Times New Roman" w:eastAsia="Times New Roman" w:hAnsi="Times New Roman"/>
          <w:sz w:val="18"/>
          <w:szCs w:val="18"/>
          <w:color w:val="auto"/>
        </w:rPr>
      </w:pPr>
    </w:p>
    <w:p>
      <w:pPr>
        <w:jc w:val="both"/>
        <w:ind w:left="972" w:hanging="324"/>
        <w:spacing w:after="0" w:line="253" w:lineRule="auto"/>
        <w:tabs>
          <w:tab w:leader="none" w:pos="972"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by amendment of its Certificate of Incorporation or bylaws, through any shareholders, voting or similar agreement, or through any reorganization, transfer of assets, consolidation, merger, dissolution, issue or sale of securities, or any other voluntary action, avoid or seek to avoid the observance or performance of any of the terms to be observed or performed by it hereunder, but shall at all times in good faith assist in the carrying out of all the provisions of this Warrant and in the taking of all such action as may reasonably be requested by the Holder in order to protect the exercise rights of the Holder against dilution or other impairment, consistent with the tenor and purpose of this Warrant. Without limiting the generality of the foregoing, the Company (x) will not increase the par value of any the Shares above the then-applicable Warrant Price, (y) will take all such action as may be necessary or appropriate in order that the Company may validly and legally issue fully paid and nonassessable Shares upon the exercise of this Warrant, and (z) will use commercially reasonable efforts to obtain all such authorizations, exemptions or consents from any public regulatory body having jurisdiction thereof, as may be, necessary to enable the Company to perform its obligations under this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408940</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900" w:right="339" w:bottom="1440" w:gutter="0" w:footer="0" w:header="0"/>
        </w:sectPr>
      </w:pPr>
    </w:p>
    <w:bookmarkStart w:id="18" w:name="page19"/>
    <w:bookmarkEnd w:id="18"/>
    <w:p>
      <w:pPr>
        <w:ind w:left="332" w:hanging="332"/>
        <w:spacing w:after="0"/>
        <w:tabs>
          <w:tab w:leader="none" w:pos="33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Headings</w:t>
      </w:r>
      <w:r>
        <w:rPr>
          <w:rFonts w:ascii="Times New Roman" w:cs="Times New Roman" w:eastAsia="Times New Roman" w:hAnsi="Times New Roman"/>
          <w:sz w:val="18"/>
          <w:szCs w:val="18"/>
          <w:color w:val="auto"/>
        </w:rPr>
        <w:t>. The section headings herein are for convenience only and are not part of this Warrant and shall not affect the interpretation thereof.</w:t>
      </w:r>
    </w:p>
    <w:p>
      <w:pPr>
        <w:spacing w:after="0" w:line="225" w:lineRule="exact"/>
        <w:rPr>
          <w:rFonts w:ascii="Times New Roman" w:cs="Times New Roman" w:eastAsia="Times New Roman" w:hAnsi="Times New Roman"/>
          <w:sz w:val="18"/>
          <w:szCs w:val="18"/>
          <w:color w:val="auto"/>
        </w:rPr>
      </w:pPr>
    </w:p>
    <w:p>
      <w:pPr>
        <w:ind w:left="332" w:hanging="332"/>
        <w:spacing w:after="0" w:line="282" w:lineRule="auto"/>
        <w:tabs>
          <w:tab w:leader="none" w:pos="33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Modification and Waiver</w:t>
      </w:r>
      <w:r>
        <w:rPr>
          <w:rFonts w:ascii="Times New Roman" w:cs="Times New Roman" w:eastAsia="Times New Roman" w:hAnsi="Times New Roman"/>
          <w:sz w:val="18"/>
          <w:szCs w:val="18"/>
          <w:color w:val="auto"/>
        </w:rPr>
        <w:t>. This Warrant and any provision hereof may be changed, waived, discharged or terminated only by an instrument in writing signed by the party against which enforcement of the same is sought.</w:t>
      </w:r>
    </w:p>
    <w:p>
      <w:pPr>
        <w:spacing w:after="0" w:line="161" w:lineRule="exact"/>
        <w:rPr>
          <w:rFonts w:ascii="Times New Roman" w:cs="Times New Roman" w:eastAsia="Times New Roman" w:hAnsi="Times New Roman"/>
          <w:sz w:val="18"/>
          <w:szCs w:val="18"/>
          <w:color w:val="auto"/>
        </w:rPr>
      </w:pPr>
    </w:p>
    <w:p>
      <w:pPr>
        <w:jc w:val="both"/>
        <w:ind w:left="332" w:hanging="332"/>
        <w:spacing w:after="0" w:line="266" w:lineRule="auto"/>
        <w:tabs>
          <w:tab w:leader="none" w:pos="33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xml:space="preserve"> Any notice, request or other document required or permitted to be given or delivered to the Holder or the Company shall be delivered, or shall be sent by certified or registered mail, postage prepaid, to the Holder at its address as shown on the books of the Company or to the Company at the address indicated therefor in the first paragraph of this Warrant.</w:t>
      </w:r>
    </w:p>
    <w:p>
      <w:pPr>
        <w:spacing w:after="0" w:line="175" w:lineRule="exact"/>
        <w:rPr>
          <w:rFonts w:ascii="Times New Roman" w:cs="Times New Roman" w:eastAsia="Times New Roman" w:hAnsi="Times New Roman"/>
          <w:sz w:val="18"/>
          <w:szCs w:val="18"/>
          <w:color w:val="auto"/>
        </w:rPr>
      </w:pPr>
    </w:p>
    <w:p>
      <w:pPr>
        <w:ind w:left="332" w:hanging="332"/>
        <w:spacing w:after="0" w:line="282" w:lineRule="auto"/>
        <w:tabs>
          <w:tab w:leader="none" w:pos="33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Warrant shall be construed and enforced in accordance with, and the rights of the parties shall be governed by, the laws of the State of New York.</w:t>
      </w:r>
    </w:p>
    <w:p>
      <w:pPr>
        <w:spacing w:after="0" w:line="161" w:lineRule="exact"/>
        <w:rPr>
          <w:rFonts w:ascii="Times New Roman" w:cs="Times New Roman" w:eastAsia="Times New Roman" w:hAnsi="Times New Roman"/>
          <w:sz w:val="18"/>
          <w:szCs w:val="18"/>
          <w:color w:val="auto"/>
        </w:rPr>
      </w:pPr>
    </w:p>
    <w:p>
      <w:pPr>
        <w:jc w:val="both"/>
        <w:ind w:left="332" w:hanging="332"/>
        <w:spacing w:after="0" w:line="258" w:lineRule="auto"/>
        <w:tabs>
          <w:tab w:leader="none" w:pos="33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Nonwaiver and Expenses</w:t>
      </w:r>
      <w:r>
        <w:rPr>
          <w:rFonts w:ascii="Times New Roman" w:cs="Times New Roman" w:eastAsia="Times New Roman" w:hAnsi="Times New Roman"/>
          <w:sz w:val="18"/>
          <w:szCs w:val="18"/>
          <w:color w:val="auto"/>
        </w:rPr>
        <w:t>. No course of dealing or any delay or failure to exercise any right hereunder on the part of the Holder shall operate as a waiver of such right or otherwise prejudice the Holder’s rights, powers or remedies provided herein.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spacing w:after="0" w:line="183" w:lineRule="exact"/>
        <w:rPr>
          <w:rFonts w:ascii="Times New Roman" w:cs="Times New Roman" w:eastAsia="Times New Roman" w:hAnsi="Times New Roman"/>
          <w:sz w:val="18"/>
          <w:szCs w:val="18"/>
          <w:color w:val="auto"/>
        </w:rPr>
      </w:pPr>
    </w:p>
    <w:p>
      <w:pPr>
        <w:jc w:val="both"/>
        <w:ind w:left="332" w:hanging="332"/>
        <w:spacing w:after="0" w:line="261" w:lineRule="auto"/>
        <w:tabs>
          <w:tab w:leader="none" w:pos="33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Subject to applicable securities laws, this Warrant and the rights and obligations evidenced hereby shall inure to the benefit of and be binding upon the successors and permitted assigns of the Company and the successors and permitted assigns of the Holder. The provisions of this Warrant are intended to be for the benefit of the Holder from time to time of this Warrant and shall be enforceable by the Holder or holder of the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400050</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color w:val="auto"/>
        </w:rPr>
        <w:t>IN WITNESS WHEREOF, the Company has caused this Warrant to be executed by its duly authorized officer.</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 2022</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DRAGONFLY ENERGY HOLDINGS CORP.</w:t>
      </w:r>
    </w:p>
    <w:p>
      <w:pPr>
        <w:spacing w:after="0" w:line="23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SCHEDULE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Fully Diluted Capitalization of the Company as of the Issuance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438785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21" w:name="page22"/>
    <w:bookmarkEnd w:id="2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NOTICE OF EXERCISE</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To Be Executed by the Registered Holder in Order to Exercise Warrants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undersigned Registered Holder irrevocably elects to exercise ______________ Warrants represented by this Warrant Certificate, and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 the Shares issuable upon the exercise of such Warrants, and requests that Certificates for such shares shall be issued in the name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606933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0693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563245</wp:posOffset>
            </wp:positionV>
            <wp:extent cx="606933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0693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845820</wp:posOffset>
            </wp:positionV>
            <wp:extent cx="606933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0693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1129030</wp:posOffset>
            </wp:positionV>
            <wp:extent cx="606933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069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TYPE OR PRINT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606933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06933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(SOCIAL SECURITY OR TAX IDENTIFICATION NUMBER)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be delivered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17145</wp:posOffset>
            </wp:positionV>
            <wp:extent cx="513461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34610" cy="8255"/>
                    </a:xfrm>
                    <a:prstGeom prst="rect">
                      <a:avLst/>
                    </a:prstGeom>
                    <a:noFill/>
                  </pic:spPr>
                </pic:pic>
              </a:graphicData>
            </a:graphic>
          </wp:anchor>
        </w:drawing>
      </w:r>
    </w:p>
    <w:p>
      <w:pPr>
        <w:spacing w:after="0" w:line="21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(PLEASE PRINT OR TYPE NAME AND ADDRESS)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if such number of Warrants shall not be all the Warrants evidenced by this Warrant Certificate, that a new Warrant Certificate for the balance of such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Warrants be registered in the name of, and delivered to, the Registered Holder at the address stated below:</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_________________</w:t>
      </w:r>
    </w:p>
    <w:p>
      <w:pPr>
        <w:spacing w:after="0" w:line="200" w:lineRule="exact"/>
        <w:rPr>
          <w:sz w:val="20"/>
          <w:szCs w:val="20"/>
          <w:color w:val="auto"/>
        </w:rPr>
      </w:pPr>
    </w:p>
    <w:p>
      <w:pPr>
        <w:spacing w:after="0" w:line="25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-127635</wp:posOffset>
            </wp:positionV>
            <wp:extent cx="356616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-127635</wp:posOffset>
            </wp:positionV>
            <wp:extent cx="356616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(TAX IDENTIFICATION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-127635</wp:posOffset>
            </wp:positionV>
            <wp:extent cx="356616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56616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FORM OF TRANSFER</w:t>
      </w:r>
    </w:p>
    <w:p>
      <w:pPr>
        <w:spacing w:after="0" w:line="229"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color w:val="auto"/>
        </w:rPr>
        <w:t>To Be Executed by the Registered Holder in Order to Transfer Warrants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Value Received, _______________________ hereby sell, assign, and transfer unto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(PLEASE TYPE OR PRINT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582930</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(SOCIAL SECURITY OR TAX IDENTIFICATION NUMBER)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be delivered to _________________________________________________________________________________________</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(PLEASE PRINT OR TYPE NAME AND ADDRESS)</w:t>
      </w:r>
    </w:p>
    <w:p>
      <w:pPr>
        <w:spacing w:after="0" w:line="207" w:lineRule="exact"/>
        <w:rPr>
          <w:sz w:val="20"/>
          <w:szCs w:val="20"/>
          <w:color w:val="auto"/>
        </w:rPr>
      </w:pPr>
    </w:p>
    <w:p>
      <w:pPr>
        <w:spacing w:after="0"/>
        <w:tabs>
          <w:tab w:leader="none" w:pos="2140" w:val="left"/>
          <w:tab w:leader="none" w:pos="2480" w:val="left"/>
          <w:tab w:leader="none" w:pos="2880" w:val="left"/>
          <w:tab w:leader="none" w:pos="3700" w:val="left"/>
          <w:tab w:leader="none" w:pos="4720" w:val="left"/>
          <w:tab w:leader="none" w:pos="5080" w:val="left"/>
          <w:tab w:leader="none" w:pos="5520" w:val="left"/>
          <w:tab w:leader="none" w:pos="6260" w:val="left"/>
          <w:tab w:leader="none" w:pos="7260" w:val="left"/>
          <w:tab w:leader="none" w:pos="7680" w:val="left"/>
          <w:tab w:leader="none" w:pos="8360" w:val="left"/>
          <w:tab w:leader="none" w:pos="9360" w:val="left"/>
          <w:tab w:leader="none" w:pos="10240" w:val="left"/>
          <w:tab w:leader="none" w:pos="10680" w:val="left"/>
        </w:tabs>
        <w:rPr>
          <w:sz w:val="20"/>
          <w:szCs w:val="20"/>
          <w:color w:val="auto"/>
        </w:rPr>
      </w:pPr>
      <w:r>
        <w:rPr>
          <w:rFonts w:ascii="Times New Roman" w:cs="Times New Roman" w:eastAsia="Times New Roman" w:hAnsi="Times New Roman"/>
          <w:sz w:val="18"/>
          <w:szCs w:val="18"/>
          <w:color w:val="auto"/>
        </w:rPr>
        <w:t>______________________</w:t>
        <w:tab/>
        <w:t>of</w:t>
        <w:tab/>
        <w:t>the</w:t>
        <w:tab/>
        <w:t>Warrants</w:t>
        <w:tab/>
        <w:t>represented</w:t>
        <w:tab/>
        <w:t>by</w:t>
        <w:tab/>
        <w:t>this</w:t>
        <w:tab/>
        <w:t>Warrant</w:t>
        <w:tab/>
        <w:t>Certificate,</w:t>
        <w:tab/>
        <w:t>and</w:t>
        <w:tab/>
        <w:t>hereby</w:t>
        <w:tab/>
        <w:t>irrevocably</w:t>
        <w:tab/>
        <w:t>constitute</w:t>
        <w:tab/>
        <w:t>and</w:t>
        <w:tab/>
        <w:t>appoint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 Attorney to transfer this Warrant Certificate on the books of the Company, with full power of substitution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premises.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______________</w:t>
      </w:r>
    </w:p>
    <w:p>
      <w:pPr>
        <w:spacing w:after="0" w:line="200" w:lineRule="exact"/>
        <w:rPr>
          <w:sz w:val="20"/>
          <w:szCs w:val="20"/>
          <w:color w:val="auto"/>
        </w:rPr>
      </w:pPr>
    </w:p>
    <w:p>
      <w:pPr>
        <w:spacing w:after="0" w:line="25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-127635</wp:posOffset>
            </wp:positionV>
            <wp:extent cx="356616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5"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2"/>
          <w:szCs w:val="12"/>
          <w:color w:val="auto"/>
        </w:rPr>
        <w:t>he signature to the assignment of the</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2"/>
          <w:szCs w:val="12"/>
          <w:color w:val="auto"/>
        </w:rPr>
        <w:t>ubscription</w:t>
      </w:r>
      <w:r>
        <w:rPr>
          <w:rFonts w:ascii="Times New Roman" w:cs="Times New Roman" w:eastAsia="Times New Roman" w:hAnsi="Times New Roman"/>
          <w:sz w:val="18"/>
          <w:szCs w:val="18"/>
          <w:color w:val="auto"/>
        </w:rPr>
        <w:t xml:space="preserve"> F</w:t>
      </w:r>
      <w:r>
        <w:rPr>
          <w:rFonts w:ascii="Times New Roman" w:cs="Times New Roman" w:eastAsia="Times New Roman" w:hAnsi="Times New Roman"/>
          <w:sz w:val="12"/>
          <w:szCs w:val="12"/>
          <w:color w:val="auto"/>
        </w:rPr>
        <w:t>orm must correspond to the name written upon the face of this</w:t>
      </w:r>
      <w:r>
        <w:rPr>
          <w:rFonts w:ascii="Times New Roman" w:cs="Times New Roman" w:eastAsia="Times New Roman" w:hAnsi="Times New Roman"/>
          <w:sz w:val="18"/>
          <w:szCs w:val="18"/>
          <w:color w:val="auto"/>
        </w:rPr>
        <w:t xml:space="preserve"> W</w:t>
      </w:r>
      <w:r>
        <w:rPr>
          <w:rFonts w:ascii="Times New Roman" w:cs="Times New Roman" w:eastAsia="Times New Roman" w:hAnsi="Times New Roman"/>
          <w:sz w:val="12"/>
          <w:szCs w:val="12"/>
          <w:color w:val="auto"/>
        </w:rPr>
        <w:t>arrant</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ertificate in every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2"/>
          <w:szCs w:val="12"/>
          <w:color w:val="auto"/>
        </w:rPr>
        <w:t>particular</w:t>
      </w:r>
      <w:r>
        <w:rPr>
          <w:rFonts w:ascii="Times New Roman" w:cs="Times New Roman" w:eastAsia="Times New Roman" w:hAnsi="Times New Roman"/>
          <w:sz w:val="17"/>
          <w:szCs w:val="17"/>
          <w:color w:val="auto"/>
        </w:rPr>
        <w:t>,</w:t>
      </w:r>
      <w:r>
        <w:rPr>
          <w:rFonts w:ascii="Times New Roman" w:cs="Times New Roman" w:eastAsia="Times New Roman" w:hAnsi="Times New Roman"/>
          <w:sz w:val="12"/>
          <w:szCs w:val="12"/>
          <w:color w:val="auto"/>
        </w:rPr>
        <w:t xml:space="preserve"> without alteration or enlargement or any change whatsoever</w:t>
      </w:r>
      <w:r>
        <w:rPr>
          <w:rFonts w:ascii="Times New Roman" w:cs="Times New Roman" w:eastAsia="Times New Roman" w:hAnsi="Times New Roman"/>
          <w:sz w:val="17"/>
          <w:szCs w:val="17"/>
          <w:color w:val="auto"/>
        </w:rPr>
        <w:t>,</w:t>
      </w:r>
      <w:r>
        <w:rPr>
          <w:rFonts w:ascii="Times New Roman" w:cs="Times New Roman" w:eastAsia="Times New Roman" w:hAnsi="Times New Roman"/>
          <w:sz w:val="12"/>
          <w:szCs w:val="12"/>
          <w:color w:val="auto"/>
        </w:rPr>
        <w:t xml:space="preserve"> and must be guaranteed by a commercial bank or trust company or a member firm of the </w:t>
      </w:r>
      <w:r>
        <w:rPr>
          <w:rFonts w:ascii="Times New Roman" w:cs="Times New Roman" w:eastAsia="Times New Roman" w:hAnsi="Times New Roman"/>
          <w:sz w:val="17"/>
          <w:szCs w:val="17"/>
          <w:color w:val="auto"/>
        </w:rPr>
        <w:t>NYSE A</w:t>
      </w:r>
      <w:r>
        <w:rPr>
          <w:rFonts w:ascii="Times New Roman" w:cs="Times New Roman" w:eastAsia="Times New Roman" w:hAnsi="Times New Roman"/>
          <w:sz w:val="12"/>
          <w:szCs w:val="12"/>
          <w:color w:val="auto"/>
        </w:rPr>
        <w:t>merican</w:t>
      </w:r>
      <w:r>
        <w:rPr>
          <w:rFonts w:ascii="Times New Roman" w:cs="Times New Roman" w:eastAsia="Times New Roman" w:hAnsi="Times New Roman"/>
          <w:sz w:val="17"/>
          <w:szCs w:val="17"/>
          <w:color w:val="auto"/>
        </w:rPr>
        <w:t>, N</w:t>
      </w:r>
      <w:r>
        <w:rPr>
          <w:rFonts w:ascii="Times New Roman" w:cs="Times New Roman" w:eastAsia="Times New Roman" w:hAnsi="Times New Roman"/>
          <w:sz w:val="12"/>
          <w:szCs w:val="12"/>
          <w:color w:val="auto"/>
        </w:rPr>
        <w:t>asdaq</w:t>
      </w:r>
      <w:r>
        <w:rPr>
          <w:rFonts w:ascii="Times New Roman" w:cs="Times New Roman" w:eastAsia="Times New Roman" w:hAnsi="Times New Roman"/>
          <w:sz w:val="17"/>
          <w:szCs w:val="17"/>
          <w:color w:val="auto"/>
        </w:rPr>
        <w:t>, N</w:t>
      </w:r>
      <w:r>
        <w:rPr>
          <w:rFonts w:ascii="Times New Roman" w:cs="Times New Roman" w:eastAsia="Times New Roman" w:hAnsi="Times New Roman"/>
          <w:sz w:val="12"/>
          <w:szCs w:val="12"/>
          <w:color w:val="auto"/>
        </w:rPr>
        <w:t xml:space="preserve">ew </w:t>
      </w:r>
      <w:r>
        <w:rPr>
          <w:rFonts w:ascii="Times New Roman" w:cs="Times New Roman" w:eastAsia="Times New Roman" w:hAnsi="Times New Roman"/>
          <w:sz w:val="17"/>
          <w:szCs w:val="17"/>
          <w:color w:val="auto"/>
        </w:rPr>
        <w:t>Y</w:t>
      </w:r>
      <w:r>
        <w:rPr>
          <w:rFonts w:ascii="Times New Roman" w:cs="Times New Roman" w:eastAsia="Times New Roman" w:hAnsi="Times New Roman"/>
          <w:sz w:val="12"/>
          <w:szCs w:val="12"/>
          <w:color w:val="auto"/>
        </w:rPr>
        <w:t xml:space="preserve">ork </w:t>
      </w:r>
      <w:r>
        <w:rPr>
          <w:rFonts w:ascii="Times New Roman" w:cs="Times New Roman" w:eastAsia="Times New Roman" w:hAnsi="Times New Roman"/>
          <w:sz w:val="17"/>
          <w:szCs w:val="17"/>
          <w:color w:val="auto"/>
        </w:rPr>
        <w:t>S</w:t>
      </w:r>
      <w:r>
        <w:rPr>
          <w:rFonts w:ascii="Times New Roman" w:cs="Times New Roman" w:eastAsia="Times New Roman" w:hAnsi="Times New Roman"/>
          <w:sz w:val="12"/>
          <w:szCs w:val="12"/>
          <w:color w:val="auto"/>
        </w:rPr>
        <w:t xml:space="preserve">tock </w:t>
      </w:r>
      <w:r>
        <w:rPr>
          <w:rFonts w:ascii="Times New Roman" w:cs="Times New Roman" w:eastAsia="Times New Roman" w:hAnsi="Times New Roman"/>
          <w:sz w:val="17"/>
          <w:szCs w:val="17"/>
          <w:color w:val="auto"/>
        </w:rPr>
        <w:t>E</w:t>
      </w:r>
      <w:r>
        <w:rPr>
          <w:rFonts w:ascii="Times New Roman" w:cs="Times New Roman" w:eastAsia="Times New Roman" w:hAnsi="Times New Roman"/>
          <w:sz w:val="12"/>
          <w:szCs w:val="12"/>
          <w:color w:val="auto"/>
        </w:rPr>
        <w:t>xchange</w:t>
      </w:r>
      <w:r>
        <w:rPr>
          <w:rFonts w:ascii="Times New Roman" w:cs="Times New Roman" w:eastAsia="Times New Roman" w:hAnsi="Times New Roman"/>
          <w:sz w:val="17"/>
          <w:szCs w:val="17"/>
          <w:color w:val="auto"/>
        </w:rPr>
        <w:t>, P</w:t>
      </w:r>
      <w:r>
        <w:rPr>
          <w:rFonts w:ascii="Times New Roman" w:cs="Times New Roman" w:eastAsia="Times New Roman" w:hAnsi="Times New Roman"/>
          <w:sz w:val="12"/>
          <w:szCs w:val="12"/>
          <w:color w:val="auto"/>
        </w:rPr>
        <w:t xml:space="preserve">acific </w:t>
      </w:r>
      <w:r>
        <w:rPr>
          <w:rFonts w:ascii="Times New Roman" w:cs="Times New Roman" w:eastAsia="Times New Roman" w:hAnsi="Times New Roman"/>
          <w:sz w:val="17"/>
          <w:szCs w:val="17"/>
          <w:color w:val="auto"/>
        </w:rPr>
        <w:t>S</w:t>
      </w:r>
      <w:r>
        <w:rPr>
          <w:rFonts w:ascii="Times New Roman" w:cs="Times New Roman" w:eastAsia="Times New Roman" w:hAnsi="Times New Roman"/>
          <w:sz w:val="12"/>
          <w:szCs w:val="12"/>
          <w:color w:val="auto"/>
        </w:rPr>
        <w:t xml:space="preserve">tock </w:t>
      </w:r>
      <w:r>
        <w:rPr>
          <w:rFonts w:ascii="Times New Roman" w:cs="Times New Roman" w:eastAsia="Times New Roman" w:hAnsi="Times New Roman"/>
          <w:sz w:val="17"/>
          <w:szCs w:val="17"/>
          <w:color w:val="auto"/>
        </w:rPr>
        <w:t>E</w:t>
      </w:r>
      <w:r>
        <w:rPr>
          <w:rFonts w:ascii="Times New Roman" w:cs="Times New Roman" w:eastAsia="Times New Roman" w:hAnsi="Times New Roman"/>
          <w:sz w:val="12"/>
          <w:szCs w:val="12"/>
          <w:color w:val="auto"/>
        </w:rPr>
        <w:t>xchange</w:t>
      </w:r>
      <w:r>
        <w:rPr>
          <w:rFonts w:ascii="Times New Roman" w:cs="Times New Roman" w:eastAsia="Times New Roman" w:hAnsi="Times New Roman"/>
          <w:sz w:val="17"/>
          <w:szCs w:val="17"/>
          <w:color w:val="auto"/>
        </w:rPr>
        <w:t>,</w:t>
      </w:r>
      <w:r>
        <w:rPr>
          <w:rFonts w:ascii="Times New Roman" w:cs="Times New Roman" w:eastAsia="Times New Roman" w:hAnsi="Times New Roman"/>
          <w:sz w:val="12"/>
          <w:szCs w:val="12"/>
          <w:color w:val="auto"/>
        </w:rPr>
        <w:t xml:space="preserve"> or </w:t>
      </w:r>
      <w:r>
        <w:rPr>
          <w:rFonts w:ascii="Times New Roman" w:cs="Times New Roman" w:eastAsia="Times New Roman" w:hAnsi="Times New Roman"/>
          <w:sz w:val="17"/>
          <w:szCs w:val="17"/>
          <w:color w:val="auto"/>
        </w:rPr>
        <w:t>C</w:t>
      </w:r>
      <w:r>
        <w:rPr>
          <w:rFonts w:ascii="Times New Roman" w:cs="Times New Roman" w:eastAsia="Times New Roman" w:hAnsi="Times New Roman"/>
          <w:sz w:val="12"/>
          <w:szCs w:val="12"/>
          <w:color w:val="auto"/>
        </w:rPr>
        <w:t xml:space="preserve">hicago </w:t>
      </w:r>
      <w:r>
        <w:rPr>
          <w:rFonts w:ascii="Times New Roman" w:cs="Times New Roman" w:eastAsia="Times New Roman" w:hAnsi="Times New Roman"/>
          <w:sz w:val="17"/>
          <w:szCs w:val="17"/>
          <w:color w:val="auto"/>
        </w:rPr>
        <w:t>S</w:t>
      </w:r>
      <w:r>
        <w:rPr>
          <w:rFonts w:ascii="Times New Roman" w:cs="Times New Roman" w:eastAsia="Times New Roman" w:hAnsi="Times New Roman"/>
          <w:sz w:val="12"/>
          <w:szCs w:val="12"/>
          <w:color w:val="auto"/>
        </w:rPr>
        <w:t xml:space="preserve">tock </w:t>
      </w:r>
      <w:r>
        <w:rPr>
          <w:rFonts w:ascii="Times New Roman" w:cs="Times New Roman" w:eastAsia="Times New Roman" w:hAnsi="Times New Roman"/>
          <w:sz w:val="17"/>
          <w:szCs w:val="17"/>
          <w:color w:val="auto"/>
        </w:rPr>
        <w:t>E</w:t>
      </w:r>
      <w:r>
        <w:rPr>
          <w:rFonts w:ascii="Times New Roman" w:cs="Times New Roman" w:eastAsia="Times New Roman" w:hAnsi="Times New Roman"/>
          <w:sz w:val="12"/>
          <w:szCs w:val="12"/>
          <w:color w:val="auto"/>
        </w:rPr>
        <w:t>xchange</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524510</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3" w:name="page24"/>
    <w:bookmarkEnd w:id="23"/>
    <w:p>
      <w:pPr>
        <w:jc w:val="right"/>
        <w:spacing w:after="0"/>
        <w:rPr>
          <w:sz w:val="20"/>
          <w:szCs w:val="20"/>
          <w:color w:val="auto"/>
        </w:rPr>
      </w:pPr>
      <w:r>
        <w:rPr>
          <w:rFonts w:ascii="Times New Roman" w:cs="Times New Roman" w:eastAsia="Times New Roman" w:hAnsi="Times New Roman"/>
          <w:sz w:val="22"/>
          <w:szCs w:val="22"/>
          <w:b w:val="1"/>
          <w:bCs w:val="1"/>
          <w:color w:val="auto"/>
        </w:rPr>
        <w:t>Exhibit 4.2</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FORM OF $10 WARRANT</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THIS WARRANT HAS NOT BEEN REGISTERED UNDER THE SECURITIES ACT OF 1933, AS AMENDED (THE “SECURITIES ACT”), OR ANY STATE SECURITIES LAWS, AND MAY NOT BE OFFERED, SOLD, TRANSFERRED OR OTHERWISE DISPOSED OF UNLESS REGISTERED UNDER THE ACT, AND ANY APPLICABLE STATE SECURITIES LAWS OR AN EXEMPTION FROM REGISTRATION IS AVAILABLE. THIS WARRANT MUST BE SURRENDERED TO THE COMPANY OR ITS TRANSFER AGENT AS A CONDITION PRECEDENT TO THE SALE, TRANSFER, PLEDGE OR HYPOTHECATION OF ANY INTEREST IN ANY OF THE SECURITIES REPRESENTED HEREBY.</w:t>
      </w:r>
    </w:p>
    <w:p>
      <w:pPr>
        <w:spacing w:after="0" w:line="182" w:lineRule="exact"/>
        <w:rPr>
          <w:sz w:val="20"/>
          <w:szCs w:val="20"/>
          <w:color w:val="auto"/>
        </w:rPr>
      </w:pPr>
    </w:p>
    <w:p>
      <w:pPr>
        <w:ind w:left="240"/>
        <w:spacing w:after="0"/>
        <w:tabs>
          <w:tab w:leader="none" w:pos="9340" w:val="left"/>
        </w:tabs>
        <w:rPr>
          <w:sz w:val="20"/>
          <w:szCs w:val="20"/>
          <w:color w:val="auto"/>
        </w:rPr>
      </w:pPr>
      <w:r>
        <w:rPr>
          <w:rFonts w:ascii="Times New Roman" w:cs="Times New Roman" w:eastAsia="Times New Roman" w:hAnsi="Times New Roman"/>
          <w:sz w:val="18"/>
          <w:szCs w:val="18"/>
          <w:b w:val="1"/>
          <w:bCs w:val="1"/>
          <w:color w:val="auto"/>
        </w:rPr>
        <w:t>NUMBER W-_______-</w:t>
      </w:r>
      <w:r>
        <w:rPr>
          <w:sz w:val="20"/>
          <w:szCs w:val="20"/>
          <w:color w:val="auto"/>
        </w:rPr>
        <w:tab/>
      </w:r>
      <w:r>
        <w:rPr>
          <w:rFonts w:ascii="Times New Roman" w:cs="Times New Roman" w:eastAsia="Times New Roman" w:hAnsi="Times New Roman"/>
          <w:sz w:val="17"/>
          <w:szCs w:val="17"/>
          <w:b w:val="1"/>
          <w:bCs w:val="1"/>
          <w:color w:val="auto"/>
        </w:rPr>
        <w:t>_______WARRANTS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THIS WARRANT WILL BE VOID IF NOT EXERCISED PRIOR TO THE EXPIRATION DATE (DEFINED BELOW)</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WARRANT CERTIFIES THAT, for value received ____________, is the registered holder (the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of a warrant or warrants (the</w:t>
      </w:r>
    </w:p>
    <w:p>
      <w:pPr>
        <w:spacing w:after="0" w:line="2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Warrant(s)</w:t>
      </w:r>
      <w:r>
        <w:rPr>
          <w:rFonts w:ascii="Times New Roman" w:cs="Times New Roman" w:eastAsia="Times New Roman" w:hAnsi="Times New Roman"/>
          <w:sz w:val="17"/>
          <w:szCs w:val="17"/>
          <w:color w:val="auto"/>
        </w:rPr>
        <w:t>”) and is entitled to purchase up to that number of fully paid and non-assessable shares of common stock, par value $0.0001 per share calculated in accordance with Section 1(c) below (the “</w:t>
      </w:r>
      <w:r>
        <w:rPr>
          <w:rFonts w:ascii="Times New Roman" w:cs="Times New Roman" w:eastAsia="Times New Roman" w:hAnsi="Times New Roman"/>
          <w:sz w:val="17"/>
          <w:szCs w:val="17"/>
          <w:u w:val="single" w:color="auto"/>
          <w:color w:val="auto"/>
        </w:rPr>
        <w:t>Shares</w:t>
      </w:r>
      <w:r>
        <w:rPr>
          <w:rFonts w:ascii="Times New Roman" w:cs="Times New Roman" w:eastAsia="Times New Roman" w:hAnsi="Times New Roman"/>
          <w:sz w:val="17"/>
          <w:szCs w:val="17"/>
          <w:color w:val="auto"/>
        </w:rPr>
        <w:t>”), of Dragonfly Energy Holdings Corp., a Delaware corporation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at a purchase price per Share (the “</w:t>
      </w:r>
      <w:r>
        <w:rPr>
          <w:rFonts w:ascii="Times New Roman" w:cs="Times New Roman" w:eastAsia="Times New Roman" w:hAnsi="Times New Roman"/>
          <w:sz w:val="17"/>
          <w:szCs w:val="17"/>
          <w:u w:val="single" w:color="auto"/>
          <w:color w:val="auto"/>
        </w:rPr>
        <w:t>Warrant Price</w:t>
      </w:r>
      <w:r>
        <w:rPr>
          <w:rFonts w:ascii="Times New Roman" w:cs="Times New Roman" w:eastAsia="Times New Roman" w:hAnsi="Times New Roman"/>
          <w:sz w:val="17"/>
          <w:szCs w:val="17"/>
          <w:color w:val="auto"/>
        </w:rPr>
        <w:t>”) of $10.00 per share (as adjusted from time to time in accordance with this Warrant). This Warrant is issued in connection with that certain term loan, guarantee and security agreement among Alter Domus (US) LLC, Dragonfly Energy Corp., EICF Agent LLC and the other credit parties signatory thereto (the “</w:t>
      </w:r>
      <w:r>
        <w:rPr>
          <w:rFonts w:ascii="Times New Roman" w:cs="Times New Roman" w:eastAsia="Times New Roman" w:hAnsi="Times New Roman"/>
          <w:sz w:val="17"/>
          <w:szCs w:val="17"/>
          <w:u w:val="single" w:color="auto"/>
          <w:color w:val="auto"/>
        </w:rPr>
        <w:t>Loan Agreement</w:t>
      </w:r>
      <w:r>
        <w:rPr>
          <w:rFonts w:ascii="Times New Roman" w:cs="Times New Roman" w:eastAsia="Times New Roman" w:hAnsi="Times New Roman"/>
          <w:sz w:val="17"/>
          <w:szCs w:val="17"/>
          <w:color w:val="auto"/>
        </w:rPr>
        <w:t>”). The Warrant represented by this certificate is referred to herein as the “</w:t>
      </w:r>
      <w:r>
        <w:rPr>
          <w:rFonts w:ascii="Times New Roman" w:cs="Times New Roman" w:eastAsia="Times New Roman" w:hAnsi="Times New Roman"/>
          <w:sz w:val="17"/>
          <w:szCs w:val="17"/>
          <w:u w:val="single" w:color="auto"/>
          <w:color w:val="auto"/>
        </w:rPr>
        <w:t>Warrant Certificate</w:t>
      </w:r>
      <w:r>
        <w:rPr>
          <w:rFonts w:ascii="Times New Roman" w:cs="Times New Roman" w:eastAsia="Times New Roman" w:hAnsi="Times New Roman"/>
          <w:sz w:val="17"/>
          <w:szCs w:val="17"/>
          <w:color w:val="auto"/>
        </w:rPr>
        <w:t>”.</w:t>
      </w:r>
    </w:p>
    <w:p>
      <w:pPr>
        <w:spacing w:after="0" w:line="174" w:lineRule="exact"/>
        <w:rPr>
          <w:sz w:val="20"/>
          <w:szCs w:val="20"/>
          <w:color w:val="auto"/>
        </w:rPr>
      </w:pPr>
    </w:p>
    <w:p>
      <w:pPr>
        <w:ind w:left="340" w:hanging="332"/>
        <w:spacing w:after="0"/>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and Exercise of Warrants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and conditions set forth herein, this Warrant shall be exercisable, in whole or in part, commencing the date hereof (the “</w:t>
      </w:r>
      <w:r>
        <w:rPr>
          <w:rFonts w:ascii="Times New Roman" w:cs="Times New Roman" w:eastAsia="Times New Roman" w:hAnsi="Times New Roman"/>
          <w:sz w:val="18"/>
          <w:szCs w:val="18"/>
          <w:u w:val="single" w:color="auto"/>
          <w:color w:val="auto"/>
        </w:rPr>
        <w:t>Issuance Date</w:t>
      </w:r>
      <w:r>
        <w:rPr>
          <w:rFonts w:ascii="Times New Roman" w:cs="Times New Roman" w:eastAsia="Times New Roman" w:hAnsi="Times New Roman"/>
          <w:sz w:val="18"/>
          <w:szCs w:val="18"/>
          <w:color w:val="auto"/>
        </w:rPr>
        <w:t>”) and ending on the five-year anniversary of the issuance date of this Warrant (the “</w:t>
      </w:r>
      <w:r>
        <w:rPr>
          <w:rFonts w:ascii="Times New Roman" w:cs="Times New Roman" w:eastAsia="Times New Roman" w:hAnsi="Times New Roman"/>
          <w:sz w:val="18"/>
          <w:szCs w:val="18"/>
          <w:u w:val="single" w:color="auto"/>
          <w:color w:val="auto"/>
        </w:rPr>
        <w:t>Expiration Date</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55" w:lineRule="auto"/>
        <w:tabs>
          <w:tab w:leader="none" w:pos="98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Warrant entitles the holder thereof to purchase that number of Shares from the Company calculated in accordance with </w:t>
      </w:r>
      <w:r>
        <w:rPr>
          <w:rFonts w:ascii="Times New Roman" w:cs="Times New Roman" w:eastAsia="Times New Roman" w:hAnsi="Times New Roman"/>
          <w:sz w:val="18"/>
          <w:szCs w:val="18"/>
          <w:u w:val="single" w:color="auto"/>
          <w:color w:val="auto"/>
        </w:rPr>
        <w:t>Section 1(c)</w:t>
      </w:r>
      <w:r>
        <w:rPr>
          <w:rFonts w:ascii="Times New Roman" w:cs="Times New Roman" w:eastAsia="Times New Roman" w:hAnsi="Times New Roman"/>
          <w:sz w:val="18"/>
          <w:szCs w:val="18"/>
          <w:color w:val="auto"/>
        </w:rPr>
        <w:t xml:space="preserve"> below, commencing on the Issuance Date upon surrender of this Warrant, the Notice of Exercise form attached hereto (the “</w:t>
      </w:r>
      <w:r>
        <w:rPr>
          <w:rFonts w:ascii="Times New Roman" w:cs="Times New Roman" w:eastAsia="Times New Roman" w:hAnsi="Times New Roman"/>
          <w:sz w:val="18"/>
          <w:szCs w:val="18"/>
          <w:u w:val="single" w:color="auto"/>
          <w:color w:val="auto"/>
        </w:rPr>
        <w:t>Notice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Exercise</w:t>
      </w:r>
      <w:r>
        <w:rPr>
          <w:rFonts w:ascii="Times New Roman" w:cs="Times New Roman" w:eastAsia="Times New Roman" w:hAnsi="Times New Roman"/>
          <w:sz w:val="18"/>
          <w:szCs w:val="18"/>
          <w:color w:val="auto"/>
        </w:rPr>
        <w:t>”) duly executed to the office of the Company, Dragonfly Energy Holdings Corp., Attention: Chief Financial Officer, 1190 Trademark Dr. #108, Reno, NV 89521 (or such other office or agency of the Company as it may designate by notice in writing to the Holder at the address of the Holder appearing on the books of the Company) and payment of the Warrant Price (by cash or by check or bank draft payable to the order of the Company) whereupon the Holder shall be entitled to receive from the Company a stock certificate representing the number of Shares so purchased. In no event will the Company be required to net cash settle any warrant exercise.</w:t>
      </w:r>
    </w:p>
    <w:p>
      <w:pPr>
        <w:spacing w:after="0" w:line="18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for which this Warrant is exercisable shall be calculated as follows:</w:t>
      </w:r>
    </w:p>
    <w:p>
      <w:pPr>
        <w:spacing w:after="0" w:line="225" w:lineRule="exact"/>
        <w:rPr>
          <w:rFonts w:ascii="Times New Roman" w:cs="Times New Roman" w:eastAsia="Times New Roman" w:hAnsi="Times New Roman"/>
          <w:sz w:val="18"/>
          <w:szCs w:val="18"/>
          <w:color w:val="auto"/>
        </w:rPr>
      </w:pPr>
    </w:p>
    <w:p>
      <w:pPr>
        <w:ind w:left="1800" w:hanging="334"/>
        <w:spacing w:after="0"/>
        <w:tabs>
          <w:tab w:leader="none" w:pos="1800"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Initially, this Warrant shall be exercisable for 1,600,000 Shares.</w:t>
      </w:r>
    </w:p>
    <w:p>
      <w:pPr>
        <w:spacing w:after="0" w:line="225" w:lineRule="exact"/>
        <w:rPr>
          <w:rFonts w:ascii="Times New Roman" w:cs="Times New Roman" w:eastAsia="Times New Roman" w:hAnsi="Times New Roman"/>
          <w:sz w:val="18"/>
          <w:szCs w:val="18"/>
          <w:color w:val="auto"/>
        </w:rPr>
      </w:pPr>
    </w:p>
    <w:p>
      <w:pPr>
        <w:jc w:val="both"/>
        <w:ind w:left="1800" w:hanging="334"/>
        <w:spacing w:after="0" w:line="258" w:lineRule="auto"/>
        <w:tabs>
          <w:tab w:leader="none" w:pos="1800"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registration statement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registering the shares of Common Stock to be issued pursuant to that certain ChEF Purchase Agreement by and between Chardan Capital Markets LLC and Dragonfly Energy Holdings Corp., including any modification, amendment or replacement thereof (the “</w:t>
      </w:r>
      <w:r>
        <w:rPr>
          <w:rFonts w:ascii="Times New Roman" w:cs="Times New Roman" w:eastAsia="Times New Roman" w:hAnsi="Times New Roman"/>
          <w:sz w:val="18"/>
          <w:szCs w:val="18"/>
          <w:u w:val="single" w:color="auto"/>
          <w:color w:val="auto"/>
        </w:rPr>
        <w:t>Committed Equity Facility</w:t>
      </w:r>
      <w:r>
        <w:rPr>
          <w:rFonts w:ascii="Times New Roman" w:cs="Times New Roman" w:eastAsia="Times New Roman" w:hAnsi="Times New Roman"/>
          <w:sz w:val="18"/>
          <w:szCs w:val="18"/>
          <w:color w:val="auto"/>
        </w:rPr>
        <w:t>”) has not been declared effective by SEC on or before the date that is 121 days after the Issuance Date, the number of Shares for which this Warrant is exercisable shall be increased by an additional 200,000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4" w:name="page25"/>
    <w:bookmarkEnd w:id="24"/>
    <w:p>
      <w:pPr>
        <w:ind w:left="1144" w:right="20" w:hanging="334"/>
        <w:spacing w:after="0" w:line="282" w:lineRule="auto"/>
        <w:tabs>
          <w:tab w:leader="none" w:pos="114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Registration Statement has not been declared effective by the SEC by the date that is 151 days after the Issuance Date, the number of Shares for which this Warrant is exercisable shall be increased by an additional 200,000 Shares.</w:t>
      </w:r>
    </w:p>
    <w:p>
      <w:pPr>
        <w:spacing w:after="0" w:line="161" w:lineRule="exact"/>
        <w:rPr>
          <w:rFonts w:ascii="Times New Roman" w:cs="Times New Roman" w:eastAsia="Times New Roman" w:hAnsi="Times New Roman"/>
          <w:sz w:val="18"/>
          <w:szCs w:val="18"/>
          <w:color w:val="auto"/>
        </w:rPr>
      </w:pPr>
    </w:p>
    <w:p>
      <w:pPr>
        <w:jc w:val="both"/>
        <w:ind w:left="1144" w:hanging="334"/>
        <w:spacing w:after="0" w:line="258" w:lineRule="auto"/>
        <w:tabs>
          <w:tab w:leader="none" w:pos="114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Registration Statement has not been declared effective by the SEC by the date that is 181 days after the Issuance Date, the number of Shares for which this Warrant is exercisable shall be increased by an additional 200,000 Shares, and an additional 200,000 Shares shall be added to the number of Shares for which this Warrant is exercisable on each date that is 30 days following the prior date on which an additional 200,000 Shares were added to the number of Shares for which this Warrant is exercisable, until the Registration Statement is declared effective.</w:t>
      </w:r>
    </w:p>
    <w:p>
      <w:pPr>
        <w:spacing w:after="0" w:line="183" w:lineRule="exact"/>
        <w:rPr>
          <w:rFonts w:ascii="Times New Roman" w:cs="Times New Roman" w:eastAsia="Times New Roman" w:hAnsi="Times New Roman"/>
          <w:sz w:val="18"/>
          <w:szCs w:val="18"/>
          <w:color w:val="auto"/>
        </w:rPr>
      </w:pPr>
    </w:p>
    <w:p>
      <w:pPr>
        <w:jc w:val="both"/>
        <w:ind w:left="1144" w:hanging="334"/>
        <w:spacing w:after="0" w:line="266" w:lineRule="auto"/>
        <w:tabs>
          <w:tab w:leader="none" w:pos="114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after the Issuance Date and prior to the exercise in full of this Warrant, the Company shall, at the Holder’s request, issue a certificate in a form and substance reasonably satisfactory to the Holder setting forth the number of Shares for which this Warrant is then exercisable.</w:t>
      </w:r>
    </w:p>
    <w:p>
      <w:pPr>
        <w:spacing w:after="0" w:line="175" w:lineRule="exact"/>
        <w:rPr>
          <w:rFonts w:ascii="Times New Roman" w:cs="Times New Roman" w:eastAsia="Times New Roman" w:hAnsi="Times New Roman"/>
          <w:sz w:val="18"/>
          <w:szCs w:val="18"/>
          <w:color w:val="auto"/>
        </w:rPr>
      </w:pPr>
    </w:p>
    <w:p>
      <w:pPr>
        <w:jc w:val="both"/>
        <w:ind w:left="1144" w:hanging="334"/>
        <w:spacing w:after="0" w:line="266" w:lineRule="auto"/>
        <w:tabs>
          <w:tab w:leader="none" w:pos="114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effectiveness of the Registration Statement, the Company shall, at the Holder’s request, issue a replacement Warrant, on terms identical to this Warrant except that this Section 1(c) shall be replaced with a statement setting forth the aggregate number of Shares for which this Warrant is exercisable.</w:t>
      </w:r>
    </w:p>
    <w:p>
      <w:pPr>
        <w:spacing w:after="0" w:line="175"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shall have the right, in lieu of paying the Warrant Price in cash, to surrender a number of Warrants having a Fair Market Value equal to the aggregate Warrant Price (a “</w:t>
      </w:r>
      <w:r>
        <w:rPr>
          <w:rFonts w:ascii="Times New Roman" w:cs="Times New Roman" w:eastAsia="Times New Roman" w:hAnsi="Times New Roman"/>
          <w:sz w:val="18"/>
          <w:szCs w:val="18"/>
          <w:u w:val="single" w:color="auto"/>
          <w:color w:val="auto"/>
        </w:rPr>
        <w:t>Cashless Exercise</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left="324"/>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Fair Market Value</w:t>
      </w:r>
      <w:r>
        <w:rPr>
          <w:rFonts w:ascii="Times New Roman" w:cs="Times New Roman" w:eastAsia="Times New Roman" w:hAnsi="Times New Roman"/>
          <w:sz w:val="18"/>
          <w:szCs w:val="18"/>
          <w:color w:val="auto"/>
        </w:rPr>
        <w:t>” shall mean, as of any particular date of determination, (i) if the Shares are then traded or quoted on a nationally recognized securities exchange, inter-dealer quotation system or over-the-counter market (a “</w:t>
      </w:r>
      <w:r>
        <w:rPr>
          <w:rFonts w:ascii="Times New Roman" w:cs="Times New Roman" w:eastAsia="Times New Roman" w:hAnsi="Times New Roman"/>
          <w:sz w:val="18"/>
          <w:szCs w:val="18"/>
          <w:u w:val="single" w:color="auto"/>
          <w:color w:val="auto"/>
        </w:rPr>
        <w:t>Trading Market</w:t>
      </w:r>
      <w:r>
        <w:rPr>
          <w:rFonts w:ascii="Times New Roman" w:cs="Times New Roman" w:eastAsia="Times New Roman" w:hAnsi="Times New Roman"/>
          <w:sz w:val="18"/>
          <w:szCs w:val="18"/>
          <w:color w:val="auto"/>
        </w:rPr>
        <w:t>”), the average closing price or last sale price of the Shares reported for the five (5) business days prior to the applicable date of determination (or, if the Shares have not been actively trading during the 5 business days prior to the applicable date of determination, the last sale price of the Shares for the business day immediately prior to the applicable date of determination) and (ii) if the Shares are not traded or quoted on a Trading Market, the Board of Directors of the Company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shall determine the fair market value of a Share in its reasonable, good faith judgment, subject to the Holder’s right to dispute such determination as provided in Section 1(e) below.</w:t>
      </w:r>
    </w:p>
    <w:p>
      <w:pPr>
        <w:spacing w:after="0" w:line="189" w:lineRule="exact"/>
        <w:rPr>
          <w:sz w:val="20"/>
          <w:szCs w:val="20"/>
          <w:color w:val="auto"/>
        </w:rPr>
      </w:pPr>
    </w:p>
    <w:p>
      <w:pPr>
        <w:ind w:left="324"/>
        <w:spacing w:after="0"/>
        <w:rPr>
          <w:sz w:val="20"/>
          <w:szCs w:val="20"/>
          <w:color w:val="auto"/>
        </w:rPr>
      </w:pPr>
      <w:r>
        <w:rPr>
          <w:rFonts w:ascii="Times New Roman" w:cs="Times New Roman" w:eastAsia="Times New Roman" w:hAnsi="Times New Roman"/>
          <w:sz w:val="18"/>
          <w:szCs w:val="18"/>
          <w:color w:val="auto"/>
        </w:rPr>
        <w:t>In the event of such a Cashless Exercise, the number of Shares to be issued to the Holder shall be determined as follows:</w:t>
      </w:r>
    </w:p>
    <w:p>
      <w:pPr>
        <w:spacing w:after="0" w:line="225" w:lineRule="exact"/>
        <w:rPr>
          <w:sz w:val="20"/>
          <w:szCs w:val="20"/>
          <w:color w:val="auto"/>
        </w:rPr>
      </w:pPr>
    </w:p>
    <w:p>
      <w:pPr>
        <w:jc w:val="center"/>
        <w:ind w:right="316"/>
        <w:spacing w:after="0"/>
        <w:rPr>
          <w:sz w:val="20"/>
          <w:szCs w:val="20"/>
          <w:color w:val="auto"/>
        </w:rPr>
      </w:pPr>
      <w:r>
        <w:rPr>
          <w:rFonts w:ascii="Times New Roman" w:cs="Times New Roman" w:eastAsia="Times New Roman" w:hAnsi="Times New Roman"/>
          <w:sz w:val="18"/>
          <w:szCs w:val="18"/>
          <w:color w:val="auto"/>
        </w:rPr>
        <w:t>X = Y[(A - B)/A]</w:t>
      </w:r>
    </w:p>
    <w:p>
      <w:pPr>
        <w:spacing w:after="0" w:line="225" w:lineRule="exact"/>
        <w:rPr>
          <w:sz w:val="20"/>
          <w:szCs w:val="20"/>
          <w:color w:val="auto"/>
        </w:rPr>
      </w:pPr>
    </w:p>
    <w:p>
      <w:pPr>
        <w:ind w:left="324"/>
        <w:spacing w:after="0"/>
        <w:rPr>
          <w:sz w:val="20"/>
          <w:szCs w:val="20"/>
          <w:color w:val="auto"/>
        </w:rPr>
      </w:pPr>
      <w:r>
        <w:rPr>
          <w:rFonts w:ascii="Times New Roman" w:cs="Times New Roman" w:eastAsia="Times New Roman" w:hAnsi="Times New Roman"/>
          <w:sz w:val="18"/>
          <w:szCs w:val="18"/>
          <w:color w:val="auto"/>
        </w:rPr>
        <w:t>X = the number of Shares to be issued to the Holder</w:t>
      </w:r>
    </w:p>
    <w:p>
      <w:pPr>
        <w:spacing w:after="0" w:line="27" w:lineRule="exact"/>
        <w:rPr>
          <w:sz w:val="20"/>
          <w:szCs w:val="20"/>
          <w:color w:val="auto"/>
        </w:rPr>
      </w:pPr>
    </w:p>
    <w:p>
      <w:pPr>
        <w:ind w:left="324"/>
        <w:spacing w:after="0"/>
        <w:rPr>
          <w:sz w:val="20"/>
          <w:szCs w:val="20"/>
          <w:color w:val="auto"/>
        </w:rPr>
      </w:pPr>
      <w:r>
        <w:rPr>
          <w:rFonts w:ascii="Times New Roman" w:cs="Times New Roman" w:eastAsia="Times New Roman" w:hAnsi="Times New Roman"/>
          <w:sz w:val="18"/>
          <w:szCs w:val="18"/>
          <w:color w:val="auto"/>
        </w:rPr>
        <w:t>Y = the number of Shares with respect to which this Warrant is being exercised</w:t>
      </w:r>
    </w:p>
    <w:p>
      <w:pPr>
        <w:spacing w:after="0" w:line="9" w:lineRule="exact"/>
        <w:rPr>
          <w:sz w:val="20"/>
          <w:szCs w:val="20"/>
          <w:color w:val="auto"/>
        </w:rPr>
      </w:pPr>
    </w:p>
    <w:p>
      <w:pPr>
        <w:ind w:left="324"/>
        <w:spacing w:after="0"/>
        <w:rPr>
          <w:sz w:val="20"/>
          <w:szCs w:val="20"/>
          <w:color w:val="auto"/>
        </w:rPr>
      </w:pPr>
      <w:r>
        <w:rPr>
          <w:rFonts w:ascii="Times New Roman" w:cs="Times New Roman" w:eastAsia="Times New Roman" w:hAnsi="Times New Roman"/>
          <w:sz w:val="18"/>
          <w:szCs w:val="18"/>
          <w:color w:val="auto"/>
        </w:rPr>
        <w:t>A = the Fair Market Value of one Share</w:t>
      </w:r>
    </w:p>
    <w:p>
      <w:pPr>
        <w:spacing w:after="0" w:line="9" w:lineRule="exact"/>
        <w:rPr>
          <w:sz w:val="20"/>
          <w:szCs w:val="20"/>
          <w:color w:val="auto"/>
        </w:rPr>
      </w:pPr>
    </w:p>
    <w:p>
      <w:pPr>
        <w:ind w:left="324"/>
        <w:spacing w:after="0"/>
        <w:rPr>
          <w:sz w:val="20"/>
          <w:szCs w:val="20"/>
          <w:color w:val="auto"/>
        </w:rPr>
      </w:pPr>
      <w:r>
        <w:rPr>
          <w:rFonts w:ascii="Times New Roman" w:cs="Times New Roman" w:eastAsia="Times New Roman" w:hAnsi="Times New Roman"/>
          <w:sz w:val="18"/>
          <w:szCs w:val="18"/>
          <w:color w:val="auto"/>
        </w:rPr>
        <w:t>B = the Warrant Price</w:t>
      </w:r>
    </w:p>
    <w:p>
      <w:pPr>
        <w:spacing w:after="0" w:line="207" w:lineRule="exact"/>
        <w:rPr>
          <w:sz w:val="20"/>
          <w:szCs w:val="20"/>
          <w:color w:val="auto"/>
        </w:rPr>
      </w:pPr>
    </w:p>
    <w:p>
      <w:pPr>
        <w:jc w:val="both"/>
        <w:ind w:left="324" w:hanging="324"/>
        <w:spacing w:after="0" w:line="255" w:lineRule="auto"/>
        <w:tabs>
          <w:tab w:leader="none" w:pos="32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dispute as to the determination of Fair Market Value, any closing price or sales price of the Shares, the arithmetic calculation of the Warrant Price or the number of Shares for which this Warrant is exercisable, or any other computation required to be made hereunder, if the Holder and the Company are unable to settle such dispute within five business days (or such longer period as the parties may agree), then either party may elect to submit the disputed matter(s) for resolution by an independent accountant, appraiser or investment bank with relevant experience mutually acceptable to the Company and the Holder. Such independent party’s determination of such disputed matter(s) shall be binding upon all parties absent demonstrable error, and the Company and the Holder shall each pay one half of the fees and expenses of the independent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268605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25" w:name="page26"/>
    <w:bookmarkEnd w:id="25"/>
    <w:p>
      <w:pPr>
        <w:jc w:val="both"/>
        <w:ind w:left="972" w:hanging="324"/>
        <w:spacing w:after="0" w:line="258" w:lineRule="auto"/>
        <w:tabs>
          <w:tab w:leader="none" w:pos="972"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upon the Expiration Date, the Fair Market Value of one Share (or other security issuable upon the exercise hereof) is greater than the Warrant Price in effect on such date, then this Warrant shall automatically be deemed to be exercised on a Cashless Exercise basis as of the Expiration Date as to all the Shares for which it shall not previously have been exercised, and the Company shall, within a reasonable time, deliver a certificate representing the Shares issued upon such exercise to the Holder (and if the Company’s shares are uncertificated, the Company shall deliver reasonably satisfactory evidence to the Holder signifying the valid issuance of such uncertificated shares).</w:t>
      </w:r>
    </w:p>
    <w:p>
      <w:pPr>
        <w:spacing w:after="0" w:line="183"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Shares; No Fractional Shares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972" w:hanging="324"/>
        <w:spacing w:after="0" w:line="256" w:lineRule="auto"/>
        <w:tabs>
          <w:tab w:leader="none" w:pos="972"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three business days after the exercise of this Warrant and the clearance of the funds in payment of the applicable Warrant Price (if any) (the “</w:t>
      </w:r>
      <w:r>
        <w:rPr>
          <w:rFonts w:ascii="Times New Roman" w:cs="Times New Roman" w:eastAsia="Times New Roman" w:hAnsi="Times New Roman"/>
          <w:sz w:val="18"/>
          <w:szCs w:val="18"/>
          <w:u w:val="single" w:color="auto"/>
          <w:color w:val="auto"/>
        </w:rPr>
        <w:t>Delivery Deadline</w:t>
      </w:r>
      <w:r>
        <w:rPr>
          <w:rFonts w:ascii="Times New Roman" w:cs="Times New Roman" w:eastAsia="Times New Roman" w:hAnsi="Times New Roman"/>
          <w:sz w:val="18"/>
          <w:szCs w:val="18"/>
          <w:color w:val="auto"/>
        </w:rPr>
        <w:t>”), the Company, at its expense, shall issue to the registered holder of such Warrant a certificate or certificates, or book entry position, for the number of Shares to which he, she or it is entitled, registered in such name or names as may be directed by him, her or it. Upon any exercise of the Warrant for less than the total number of full Shares provided for herein, there shall be issued to the registered holder hereof or the registered holder’s assignee a new Warrant Certificate covering the number of Shares for which the Warrant has not been exercised.</w:t>
      </w:r>
    </w:p>
    <w:p>
      <w:pPr>
        <w:spacing w:after="0" w:line="187" w:lineRule="exact"/>
        <w:rPr>
          <w:rFonts w:ascii="Times New Roman" w:cs="Times New Roman" w:eastAsia="Times New Roman" w:hAnsi="Times New Roman"/>
          <w:sz w:val="18"/>
          <w:szCs w:val="18"/>
          <w:color w:val="auto"/>
        </w:rPr>
      </w:pPr>
    </w:p>
    <w:p>
      <w:pPr>
        <w:jc w:val="both"/>
        <w:ind w:left="972" w:hanging="324"/>
        <w:spacing w:after="0" w:line="255" w:lineRule="auto"/>
        <w:tabs>
          <w:tab w:leader="none" w:pos="972"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the time of exercise, the Company has a transfer agent (the “</w:t>
      </w: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then upon the exercise of this Warrant in whole or in part, the Company shall, at its expense, take all necessary action, including (if necessary) obtaining and delivering an opinion from its counsel, to ensure that the Transfer Agent shall issue Shares in the name of the Holder (or its nominee) or such other persons as designated by the Holder and in such denominations to be specified in the applicable Notice of Exercise. The Company represents and warrants that if the Unrestricted Conditions set forth in Section 6 below are met, the Shares will be free-trading, and freely transferable, and will not contain a legend restricting the resale or transferability of the Shares and that no instructions other than the foregoing instructions will be given to the Transfer Agent.</w:t>
      </w:r>
    </w:p>
    <w:p>
      <w:pPr>
        <w:spacing w:after="0" w:line="188" w:lineRule="exact"/>
        <w:rPr>
          <w:rFonts w:ascii="Times New Roman" w:cs="Times New Roman" w:eastAsia="Times New Roman" w:hAnsi="Times New Roman"/>
          <w:sz w:val="18"/>
          <w:szCs w:val="18"/>
          <w:color w:val="auto"/>
        </w:rPr>
      </w:pPr>
    </w:p>
    <w:p>
      <w:pPr>
        <w:jc w:val="both"/>
        <w:ind w:left="972" w:hanging="324"/>
        <w:spacing w:after="0" w:line="256" w:lineRule="auto"/>
        <w:tabs>
          <w:tab w:leader="none" w:pos="972"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Transfer Agent is participating in the DTC Fast Automated Securities Transfer (“</w:t>
      </w:r>
      <w:r>
        <w:rPr>
          <w:rFonts w:ascii="Times New Roman" w:cs="Times New Roman" w:eastAsia="Times New Roman" w:hAnsi="Times New Roman"/>
          <w:sz w:val="18"/>
          <w:szCs w:val="18"/>
          <w:u w:val="single" w:color="auto"/>
          <w:color w:val="auto"/>
        </w:rPr>
        <w:t>FAST</w:t>
      </w:r>
      <w:r>
        <w:rPr>
          <w:rFonts w:ascii="Times New Roman" w:cs="Times New Roman" w:eastAsia="Times New Roman" w:hAnsi="Times New Roman"/>
          <w:sz w:val="18"/>
          <w:szCs w:val="18"/>
          <w:color w:val="auto"/>
        </w:rPr>
        <w:t>”) program, upon written request of the Holder and in lieu of delivering physical certificates representing Shares to be delivered under or in connection with this Warrant Certificate, the Company shall use its commercially reasonable efforts to cause the Transfer Agent to electronically transmit the Shares to the Holder by crediting the account of the Holder’s prime broker with the DTC through its Deposit Withdrawal Agent Commission (“</w:t>
      </w:r>
      <w:r>
        <w:rPr>
          <w:rFonts w:ascii="Times New Roman" w:cs="Times New Roman" w:eastAsia="Times New Roman" w:hAnsi="Times New Roman"/>
          <w:sz w:val="18"/>
          <w:szCs w:val="18"/>
          <w:u w:val="single" w:color="auto"/>
          <w:color w:val="auto"/>
        </w:rPr>
        <w:t>DWAC</w:t>
      </w:r>
      <w:r>
        <w:rPr>
          <w:rFonts w:ascii="Times New Roman" w:cs="Times New Roman" w:eastAsia="Times New Roman" w:hAnsi="Times New Roman"/>
          <w:sz w:val="18"/>
          <w:szCs w:val="18"/>
          <w:color w:val="auto"/>
        </w:rPr>
        <w:t>”) system. The time periods for delivery and penalties described herein shall apply to the electronic transmittals described herein. Any delivery not effected by electronic transmission shall be effected by delivery of physical certificates.</w:t>
      </w:r>
    </w:p>
    <w:p>
      <w:pPr>
        <w:spacing w:after="0" w:line="187" w:lineRule="exact"/>
        <w:rPr>
          <w:rFonts w:ascii="Times New Roman" w:cs="Times New Roman" w:eastAsia="Times New Roman" w:hAnsi="Times New Roman"/>
          <w:sz w:val="18"/>
          <w:szCs w:val="18"/>
          <w:color w:val="auto"/>
        </w:rPr>
      </w:pPr>
    </w:p>
    <w:p>
      <w:pPr>
        <w:ind w:left="972" w:hanging="324"/>
        <w:spacing w:after="0" w:line="282" w:lineRule="auto"/>
        <w:tabs>
          <w:tab w:leader="none" w:pos="972"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fails to transmit, or cause the Transfer Agent to transmit, to the Holder the Shares by the Delivery Deadline, then the Holder will have the right to rescind such Warrant exercise.</w:t>
      </w:r>
    </w:p>
    <w:p>
      <w:pPr>
        <w:spacing w:after="0" w:line="161" w:lineRule="exact"/>
        <w:rPr>
          <w:rFonts w:ascii="Times New Roman" w:cs="Times New Roman" w:eastAsia="Times New Roman" w:hAnsi="Times New Roman"/>
          <w:sz w:val="18"/>
          <w:szCs w:val="18"/>
          <w:color w:val="auto"/>
        </w:rPr>
      </w:pPr>
    </w:p>
    <w:p>
      <w:pPr>
        <w:jc w:val="both"/>
        <w:ind w:left="972" w:hanging="324"/>
        <w:spacing w:after="0" w:line="253" w:lineRule="auto"/>
        <w:tabs>
          <w:tab w:leader="none" w:pos="972"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any other rights available to the Holder, including the right to rescind the exercise as provided above, if as a result of a failure to deliver the Shares by the Delivery Deadline (so long as the failure to deliver the Shares is not caused by any action or inaction by the Holder) (a “</w:t>
      </w:r>
      <w:r>
        <w:rPr>
          <w:rFonts w:ascii="Times New Roman" w:cs="Times New Roman" w:eastAsia="Times New Roman" w:hAnsi="Times New Roman"/>
          <w:sz w:val="18"/>
          <w:szCs w:val="18"/>
          <w:u w:val="single" w:color="auto"/>
          <w:color w:val="auto"/>
        </w:rPr>
        <w:t>Delivery Failure</w:t>
      </w:r>
      <w:r>
        <w:rPr>
          <w:rFonts w:ascii="Times New Roman" w:cs="Times New Roman" w:eastAsia="Times New Roman" w:hAnsi="Times New Roman"/>
          <w:sz w:val="18"/>
          <w:szCs w:val="18"/>
          <w:color w:val="auto"/>
        </w:rPr>
        <w:t>”) the Holder is required by its broker to purchase (in an open market transaction or otherwise) or the Holder’s brokerage firm otherwise purchases shares of the Company’s capital stock to deliver in satisfaction of a sale anticipated to be made by the Holder of all or portion of such Shares which are the subject of such Delivery Failure (an “</w:t>
      </w:r>
      <w:r>
        <w:rPr>
          <w:rFonts w:ascii="Times New Roman" w:cs="Times New Roman" w:eastAsia="Times New Roman" w:hAnsi="Times New Roman"/>
          <w:sz w:val="18"/>
          <w:szCs w:val="18"/>
          <w:u w:val="single" w:color="auto"/>
          <w:color w:val="auto"/>
        </w:rPr>
        <w:t>Anticipated Sale</w:t>
      </w:r>
      <w:r>
        <w:rPr>
          <w:rFonts w:ascii="Times New Roman" w:cs="Times New Roman" w:eastAsia="Times New Roman" w:hAnsi="Times New Roman"/>
          <w:sz w:val="18"/>
          <w:szCs w:val="18"/>
          <w:color w:val="auto"/>
        </w:rPr>
        <w:t>”), then the Company shall (i) pay in cash to the Holder the amount by which (x) the Holder’s total purchase price (including brokerage commissions, if any) for the shares of the Company’s capital stock so purchased exceeds (y) an amount equal to the product of (A) the number of Shares that the Holder anticipated to sell in such Anticipated Sale, multiplied by (B) the Warrant Price that would have been payable for such Shares, and (ii) at the option of the Holder, either reinstate the portion of this Warrant and equivalent number of Shares in respect of which such Delivery Failure occurred or deliver to the Holder the number of Shares that would have been issued had the Company timely complied with its obligations hereunder to issue such Shares upon such exercise. The Holder shall provide the Company written notice indicating the amounts payable to the Holder, together with applicable confirmations and other evidence reasonably requested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269240</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26" w:name="page27"/>
    <w:bookmarkEnd w:id="26"/>
    <w:p>
      <w:pPr>
        <w:jc w:val="both"/>
        <w:ind w:left="972" w:hanging="324"/>
        <w:spacing w:after="0" w:line="266" w:lineRule="auto"/>
        <w:tabs>
          <w:tab w:leader="none" w:pos="972"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fraction of a Share will be issued upon any exercise of a Warrant. If the holder of a Warrant would be entitled to receive a fraction of a Share upon any exercise of a Warrant, the Company shall, upon such exercise, issue or cause to be issued only the largest whole number of Shares issuable on such exercise (and such fraction of a Share will be disregarded).</w:t>
      </w:r>
    </w:p>
    <w:p>
      <w:pPr>
        <w:spacing w:after="0" w:line="175" w:lineRule="exact"/>
        <w:rPr>
          <w:rFonts w:ascii="Times New Roman" w:cs="Times New Roman" w:eastAsia="Times New Roman" w:hAnsi="Times New Roman"/>
          <w:sz w:val="18"/>
          <w:szCs w:val="18"/>
          <w:color w:val="auto"/>
        </w:rPr>
      </w:pPr>
    </w:p>
    <w:p>
      <w:pPr>
        <w:jc w:val="both"/>
        <w:ind w:left="972" w:hanging="324"/>
        <w:spacing w:after="0" w:line="266" w:lineRule="auto"/>
        <w:tabs>
          <w:tab w:leader="none" w:pos="972"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Rule 144, it is acknowledged and agreed that (i) the Shares issuable upon any exercise of this Warrant in any Cashless Exercise transaction shall be deemed to have been acquired on the Issuance Date, and (ii) the holding period for any of the Shares issuable upon the exercise of this Warrant in any Cashless Exercise transaction shall be deemed to have commenced on the Issuance Date.</w:t>
      </w:r>
    </w:p>
    <w:p>
      <w:pPr>
        <w:spacing w:after="0" w:line="175"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Exchange and Registry of Warrant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972" w:hanging="324"/>
        <w:spacing w:after="0" w:line="266" w:lineRule="auto"/>
        <w:tabs>
          <w:tab w:leader="none" w:pos="972"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 Certificates, when surrendered at the office of the Company by the Holder in person or by attorney duly authorized in writing, may be exchanged without payment of any service charge, for another Warrant Certificate or Warrant Certificates of like tenor and evidencing in the aggregate a like number of Warrants.</w:t>
      </w:r>
    </w:p>
    <w:p>
      <w:pPr>
        <w:spacing w:after="0" w:line="175" w:lineRule="exact"/>
        <w:rPr>
          <w:rFonts w:ascii="Times New Roman" w:cs="Times New Roman" w:eastAsia="Times New Roman" w:hAnsi="Times New Roman"/>
          <w:sz w:val="18"/>
          <w:szCs w:val="18"/>
          <w:color w:val="auto"/>
        </w:rPr>
      </w:pPr>
    </w:p>
    <w:p>
      <w:pPr>
        <w:jc w:val="both"/>
        <w:ind w:left="972" w:hanging="324"/>
        <w:spacing w:after="0" w:line="266" w:lineRule="auto"/>
        <w:tabs>
          <w:tab w:leader="none" w:pos="972"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due presentment for registration of transfer of the Warrant Certificate at the office of the Company, a new Warrant Certificate or Warrant Certificates of like tenor and evidencing in the aggregate a like number of Warrants shall be issued to the transferee in exchange for this Warrant Certificate, without charge except for any applicable tax or other governmental charge.</w:t>
      </w:r>
    </w:p>
    <w:p>
      <w:pPr>
        <w:spacing w:after="0" w:line="175" w:lineRule="exact"/>
        <w:rPr>
          <w:rFonts w:ascii="Times New Roman" w:cs="Times New Roman" w:eastAsia="Times New Roman" w:hAnsi="Times New Roman"/>
          <w:sz w:val="18"/>
          <w:szCs w:val="18"/>
          <w:color w:val="auto"/>
        </w:rPr>
      </w:pPr>
    </w:p>
    <w:p>
      <w:pPr>
        <w:jc w:val="both"/>
        <w:ind w:left="972" w:hanging="324"/>
        <w:spacing w:after="0" w:line="261" w:lineRule="auto"/>
        <w:tabs>
          <w:tab w:leader="none" w:pos="972"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keep and properly maintain at its principal executive offices a register for the registration of this Warrant and any transfers thereof. The Company may deem and treat the person in whose name this Warrant is registered on such register as the Holder thereof for all purposes, and the Company shall not be affected by any notice to the contrary, except any assignment, division, combination or other transfer of this Warrant effected in accordance with the provisions of this Warrant.</w:t>
      </w:r>
    </w:p>
    <w:p>
      <w:pPr>
        <w:spacing w:after="0" w:line="179"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Anti-Dilution Adjustments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972" w:hanging="324"/>
        <w:spacing w:after="0"/>
        <w:tabs>
          <w:tab w:leader="none" w:pos="972"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 for Change in Shares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792" w:hanging="334"/>
        <w:spacing w:after="0" w:line="254" w:lineRule="auto"/>
        <w:tabs>
          <w:tab w:leader="none" w:pos="1792" w:val="left"/>
        </w:tabs>
        <w:numPr>
          <w:ilvl w:val="2"/>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after the Issuance Date and prior to the exercise in full of this Warrant, the outstanding the number of Shares shall be subdivided (by distribution, subdivision or otherwise), into a greater number of Shares, the number of Shares issuable on the exercise of each Warrant then in effect shall, concurrently with the effectiveness of such subdivision, be equally, ratably and proportionally increased, and the Warrant Price shall be ratably and proportionally decreased, in each case as determined in good faith by the Board, which determination shall be final and binding on the Holders absent manifest error. In the event the outstanding Shares shall be combined or consolidated, by reclassification or otherwise, into a lesser number of Shares, the number of Shares issuable on the exercise of each Warrant then in effect shall, concurrently with the effectiveness of such subdivision, be equally, ratably and proportionally decreased, and the Warrant Price shall be ratably and proportionally increased, in each case as determined in good faith by the Board, which determination shall be final and binding on the Holders absent manifest error.</w:t>
      </w:r>
    </w:p>
    <w:p>
      <w:pPr>
        <w:spacing w:after="0" w:line="188" w:lineRule="exact"/>
        <w:rPr>
          <w:rFonts w:ascii="Times New Roman" w:cs="Times New Roman" w:eastAsia="Times New Roman" w:hAnsi="Times New Roman"/>
          <w:sz w:val="18"/>
          <w:szCs w:val="18"/>
          <w:color w:val="auto"/>
        </w:rPr>
      </w:pPr>
    </w:p>
    <w:p>
      <w:pPr>
        <w:jc w:val="both"/>
        <w:ind w:left="1792" w:hanging="334"/>
        <w:spacing w:after="0" w:line="256" w:lineRule="auto"/>
        <w:tabs>
          <w:tab w:leader="none" w:pos="1792" w:val="left"/>
        </w:tabs>
        <w:numPr>
          <w:ilvl w:val="2"/>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after the Issuance Date and prior to the exercise in full of this Warrant, the Shares are exchanged for, or converted into, another form of equity security of the Company or of any other entity, this Warrant shall be exercisable for an equivalent number of such equity securities, at an equivalent Warrant Price, in each case as determined by the Board acting reasonably, so as to provide the Holder with rights equitably equivalent to the rights held by the Holder by virtue of this Warrant in effect immediately prior to such exchange or conversion, and each reference herein to the Shares issuable on exercise of this Warrant shall be deemed to be a reference to such other equity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267970</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27" w:name="page28"/>
    <w:bookmarkEnd w:id="27"/>
    <w:p>
      <w:pPr>
        <w:jc w:val="both"/>
        <w:ind w:left="324" w:hanging="324"/>
        <w:spacing w:after="0" w:line="256" w:lineRule="auto"/>
        <w:tabs>
          <w:tab w:leader="none" w:pos="32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for Issuance of Applicable Shares</w:t>
      </w:r>
      <w:r>
        <w:rPr>
          <w:rFonts w:ascii="Times New Roman" w:cs="Times New Roman" w:eastAsia="Times New Roman" w:hAnsi="Times New Roman"/>
          <w:sz w:val="18"/>
          <w:szCs w:val="18"/>
          <w:color w:val="auto"/>
        </w:rPr>
        <w:t>. If, after the Issuance Date, the Company shall issue or sell any Shares (other than shares included in the Excluded Issuances, as defined below) (the “</w:t>
      </w:r>
      <w:r>
        <w:rPr>
          <w:rFonts w:ascii="Times New Roman" w:cs="Times New Roman" w:eastAsia="Times New Roman" w:hAnsi="Times New Roman"/>
          <w:sz w:val="18"/>
          <w:szCs w:val="18"/>
          <w:u w:val="single" w:color="auto"/>
          <w:color w:val="auto"/>
        </w:rPr>
        <w:t>Applicable Shares</w:t>
      </w:r>
      <w:r>
        <w:rPr>
          <w:rFonts w:ascii="Times New Roman" w:cs="Times New Roman" w:eastAsia="Times New Roman" w:hAnsi="Times New Roman"/>
          <w:sz w:val="18"/>
          <w:szCs w:val="18"/>
          <w:color w:val="auto"/>
        </w:rPr>
        <w:t>”), or options, warrants, convertible securities and similar instruments exercisable or otherwise convertible or exchangeable for Applicable Shares, in each case without consideration or for a consideration per Share initially deliverable upon issuance, conversion or exchange of such securities less than the then applicable Warrant Price, then effective immediately upon such issuance or sale, the Warrant Price shall be reduced, and shall not be increased, in accordance with the following formula:</w:t>
      </w:r>
    </w:p>
    <w:p>
      <w:pPr>
        <w:spacing w:after="0" w:line="58" w:lineRule="exact"/>
        <w:rPr>
          <w:sz w:val="20"/>
          <w:szCs w:val="20"/>
          <w:color w:val="auto"/>
        </w:rPr>
      </w:pPr>
    </w:p>
    <w:p>
      <w:pPr>
        <w:jc w:val="center"/>
        <w:ind w:right="-323"/>
        <w:spacing w:after="0"/>
        <w:rPr>
          <w:sz w:val="20"/>
          <w:szCs w:val="20"/>
          <w:color w:val="auto"/>
        </w:rPr>
      </w:pPr>
      <w:r>
        <w:rPr>
          <w:rFonts w:ascii="Times New Roman" w:cs="Times New Roman" w:eastAsia="Times New Roman" w:hAnsi="Times New Roman"/>
          <w:sz w:val="18"/>
          <w:szCs w:val="18"/>
          <w:color w:val="auto"/>
        </w:rPr>
        <w:t>E</w:t>
      </w:r>
      <w:r>
        <w:rPr>
          <w:rFonts w:ascii="Times New Roman" w:cs="Times New Roman" w:eastAsia="Times New Roman" w:hAnsi="Times New Roman"/>
          <w:sz w:val="29"/>
          <w:szCs w:val="29"/>
          <w:color w:val="auto"/>
          <w:vertAlign w:val="subscript"/>
        </w:rPr>
        <w:t>1</w:t>
      </w:r>
      <w:r>
        <w:rPr>
          <w:rFonts w:ascii="Times New Roman" w:cs="Times New Roman" w:eastAsia="Times New Roman" w:hAnsi="Times New Roman"/>
          <w:sz w:val="18"/>
          <w:szCs w:val="18"/>
          <w:color w:val="auto"/>
        </w:rPr>
        <w:t xml:space="preserve"> = E x (O + (M/E) / (O + D)</w:t>
      </w:r>
    </w:p>
    <w:p>
      <w:pPr>
        <w:spacing w:after="0" w:line="112" w:lineRule="exact"/>
        <w:rPr>
          <w:sz w:val="20"/>
          <w:szCs w:val="20"/>
          <w:color w:val="auto"/>
        </w:rPr>
      </w:pPr>
    </w:p>
    <w:p>
      <w:pPr>
        <w:ind w:left="324"/>
        <w:spacing w:after="0"/>
        <w:rPr>
          <w:sz w:val="20"/>
          <w:szCs w:val="20"/>
          <w:color w:val="auto"/>
        </w:rPr>
      </w:pPr>
      <w:r>
        <w:rPr>
          <w:rFonts w:ascii="Times New Roman" w:cs="Times New Roman" w:eastAsia="Times New Roman" w:hAnsi="Times New Roman"/>
          <w:sz w:val="18"/>
          <w:szCs w:val="18"/>
          <w:color w:val="auto"/>
        </w:rPr>
        <w:t>E</w:t>
      </w:r>
      <w:r>
        <w:rPr>
          <w:rFonts w:ascii="Times New Roman" w:cs="Times New Roman" w:eastAsia="Times New Roman" w:hAnsi="Times New Roman"/>
          <w:sz w:val="29"/>
          <w:szCs w:val="29"/>
          <w:color w:val="auto"/>
          <w:vertAlign w:val="subscript"/>
        </w:rPr>
        <w:t>1</w:t>
      </w:r>
      <w:r>
        <w:rPr>
          <w:rFonts w:ascii="Times New Roman" w:cs="Times New Roman" w:eastAsia="Times New Roman" w:hAnsi="Times New Roman"/>
          <w:sz w:val="18"/>
          <w:szCs w:val="18"/>
          <w:color w:val="auto"/>
        </w:rPr>
        <w:t xml:space="preserve"> = New Warrant Price</w:t>
      </w:r>
    </w:p>
    <w:p>
      <w:pPr>
        <w:spacing w:after="0" w:line="45" w:lineRule="exact"/>
        <w:rPr>
          <w:sz w:val="20"/>
          <w:szCs w:val="20"/>
          <w:color w:val="auto"/>
        </w:rPr>
      </w:pPr>
    </w:p>
    <w:p>
      <w:pPr>
        <w:ind w:left="324"/>
        <w:spacing w:after="0"/>
        <w:rPr>
          <w:sz w:val="20"/>
          <w:szCs w:val="20"/>
          <w:color w:val="auto"/>
        </w:rPr>
      </w:pPr>
      <w:r>
        <w:rPr>
          <w:rFonts w:ascii="Times New Roman" w:cs="Times New Roman" w:eastAsia="Times New Roman" w:hAnsi="Times New Roman"/>
          <w:sz w:val="18"/>
          <w:szCs w:val="18"/>
          <w:color w:val="auto"/>
        </w:rPr>
        <w:t>E = then applicable Warrant Price</w:t>
      </w:r>
    </w:p>
    <w:p>
      <w:pPr>
        <w:spacing w:after="0" w:line="7" w:lineRule="exact"/>
        <w:rPr>
          <w:sz w:val="20"/>
          <w:szCs w:val="20"/>
          <w:color w:val="auto"/>
        </w:rPr>
      </w:pPr>
    </w:p>
    <w:p>
      <w:pPr>
        <w:ind w:left="324"/>
        <w:spacing w:after="0"/>
        <w:rPr>
          <w:sz w:val="20"/>
          <w:szCs w:val="20"/>
          <w:color w:val="auto"/>
        </w:rPr>
      </w:pPr>
      <w:r>
        <w:rPr>
          <w:rFonts w:ascii="Times New Roman" w:cs="Times New Roman" w:eastAsia="Times New Roman" w:hAnsi="Times New Roman"/>
          <w:sz w:val="18"/>
          <w:szCs w:val="18"/>
          <w:color w:val="auto"/>
        </w:rPr>
        <w:t>O = the number of Shares outstanding immediately prior to the issuance of such securities</w:t>
      </w:r>
    </w:p>
    <w:p>
      <w:pPr>
        <w:spacing w:after="0" w:line="9" w:lineRule="exact"/>
        <w:rPr>
          <w:sz w:val="20"/>
          <w:szCs w:val="20"/>
          <w:color w:val="auto"/>
        </w:rPr>
      </w:pPr>
    </w:p>
    <w:p>
      <w:pPr>
        <w:ind w:left="324"/>
        <w:spacing w:after="0"/>
        <w:rPr>
          <w:sz w:val="20"/>
          <w:szCs w:val="20"/>
          <w:color w:val="auto"/>
        </w:rPr>
      </w:pPr>
      <w:r>
        <w:rPr>
          <w:rFonts w:ascii="Times New Roman" w:cs="Times New Roman" w:eastAsia="Times New Roman" w:hAnsi="Times New Roman"/>
          <w:sz w:val="18"/>
          <w:szCs w:val="18"/>
          <w:color w:val="auto"/>
        </w:rPr>
        <w:t>M = the total consideration received upon issuance of such securities</w:t>
      </w:r>
    </w:p>
    <w:p>
      <w:pPr>
        <w:spacing w:after="0" w:line="9" w:lineRule="exact"/>
        <w:rPr>
          <w:sz w:val="20"/>
          <w:szCs w:val="20"/>
          <w:color w:val="auto"/>
        </w:rPr>
      </w:pPr>
    </w:p>
    <w:p>
      <w:pPr>
        <w:ind w:left="324"/>
        <w:spacing w:after="0"/>
        <w:rPr>
          <w:sz w:val="20"/>
          <w:szCs w:val="20"/>
          <w:color w:val="auto"/>
        </w:rPr>
      </w:pPr>
      <w:r>
        <w:rPr>
          <w:rFonts w:ascii="Times New Roman" w:cs="Times New Roman" w:eastAsia="Times New Roman" w:hAnsi="Times New Roman"/>
          <w:sz w:val="18"/>
          <w:szCs w:val="18"/>
          <w:color w:val="auto"/>
        </w:rPr>
        <w:t>D = the maximum number of Shares deliverable upon issuance of such securities</w:t>
      </w:r>
    </w:p>
    <w:p>
      <w:pPr>
        <w:spacing w:after="0" w:line="207" w:lineRule="exact"/>
        <w:rPr>
          <w:sz w:val="20"/>
          <w:szCs w:val="20"/>
          <w:color w:val="auto"/>
        </w:rPr>
      </w:pPr>
    </w:p>
    <w:p>
      <w:pPr>
        <w:jc w:val="both"/>
        <w:ind w:left="324"/>
        <w:spacing w:after="0" w:line="261" w:lineRule="auto"/>
        <w:rPr>
          <w:sz w:val="20"/>
          <w:szCs w:val="20"/>
          <w:color w:val="auto"/>
        </w:rPr>
      </w:pPr>
      <w:r>
        <w:rPr>
          <w:rFonts w:ascii="Times New Roman" w:cs="Times New Roman" w:eastAsia="Times New Roman" w:hAnsi="Times New Roman"/>
          <w:sz w:val="18"/>
          <w:szCs w:val="18"/>
          <w:color w:val="auto"/>
        </w:rPr>
        <w:t>Upon any and each adjustment to the Warrant Price as provided above, the number of the Shares issuable upon the exercise of this Warrant immediately prior to any such adjustment shall be increased to a number of the Shares equal to the quotient obtained by dividing (i) the product of (A) the Warrant Price in effect immediately prior to any such adjustment multiplied by (B) the number of the Shares issuable upon exercise of this Warrant immediately prior to such adjustment; by (ii) the Warrant Price resulting from such adjustment.</w:t>
      </w:r>
    </w:p>
    <w:p>
      <w:pPr>
        <w:spacing w:after="0" w:line="180" w:lineRule="exact"/>
        <w:rPr>
          <w:sz w:val="20"/>
          <w:szCs w:val="20"/>
          <w:color w:val="auto"/>
        </w:rPr>
      </w:pPr>
    </w:p>
    <w:p>
      <w:pPr>
        <w:jc w:val="both"/>
        <w:ind w:left="324" w:hanging="324"/>
        <w:spacing w:after="0" w:line="253" w:lineRule="auto"/>
        <w:tabs>
          <w:tab w:leader="none" w:pos="32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Dividends and Distributions</w:t>
      </w:r>
      <w:r>
        <w:rPr>
          <w:rFonts w:ascii="Times New Roman" w:cs="Times New Roman" w:eastAsia="Times New Roman" w:hAnsi="Times New Roman"/>
          <w:sz w:val="18"/>
          <w:szCs w:val="18"/>
          <w:color w:val="auto"/>
        </w:rPr>
        <w:t xml:space="preserve">. If the Company shall make or declare, or fix a record date for the determination of holders of equity securities entitled to receive, a dividend or any other distribution payable in cash, securities of the Company or other property, then, and in each such event, the Company shall ensure that provisions are made so that the Holder shall receive upon exercise of this Warrant, in addition to the number of the Shares receivable thereupon, the kind and amount of cash, securities of the Company or other property which the Holder would have been entitled to receive had this Warrant been exercised in full into the Shares on the date of such event and had the Holder thereafter, during the period from the date of such event to and including the date this Warrant is exercised, retained such cash, securities or other property receivable by them as aforesaid during such period, giving application to all adjustments called for during such period under this Section with respect to the rights of the Holder;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no such provision shall be made if the Holder receives, simultaneously with the distribution to the holders of equity securities, a dividend or other distribution of such securities, cash or other property in an amount equal to the amount of such securities, cash or other property as the Holder would have received if this Warrant had been exercised in full into the Shares on the date of such event.</w:t>
      </w:r>
    </w:p>
    <w:p>
      <w:pPr>
        <w:spacing w:after="0" w:line="191" w:lineRule="exact"/>
        <w:rPr>
          <w:rFonts w:ascii="Times New Roman" w:cs="Times New Roman" w:eastAsia="Times New Roman" w:hAnsi="Times New Roman"/>
          <w:sz w:val="18"/>
          <w:szCs w:val="18"/>
          <w:color w:val="auto"/>
        </w:rPr>
      </w:pPr>
    </w:p>
    <w:p>
      <w:pPr>
        <w:jc w:val="both"/>
        <w:ind w:left="324" w:hanging="324"/>
        <w:spacing w:after="0" w:line="258" w:lineRule="auto"/>
        <w:tabs>
          <w:tab w:leader="none" w:pos="32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Events</w:t>
      </w:r>
      <w:r>
        <w:rPr>
          <w:rFonts w:ascii="Times New Roman" w:cs="Times New Roman" w:eastAsia="Times New Roman" w:hAnsi="Times New Roman"/>
          <w:sz w:val="18"/>
          <w:szCs w:val="18"/>
          <w:color w:val="auto"/>
        </w:rPr>
        <w:t>. If any event of the type contemplated by the provisions of this Section but not expressly provided for by such provisions (including, without limitation, the granting of stock appreciation rights, phantom stock rights or other rights with equity features) occurs, then the Board shall make an appropriate adjustment in the Warrant Price and the number of the Shares issuable upon exercise of this Warrant so as to protect the rights of the Holder in a manner consistent with the provisions of this Section; provided, that no such adjustment pursuant to this Section 4(d) shall increase the Warrant Price or decrease the number of the Shares issuable hereunder.</w:t>
      </w:r>
    </w:p>
    <w:p>
      <w:pPr>
        <w:spacing w:after="0" w:line="183" w:lineRule="exact"/>
        <w:rPr>
          <w:rFonts w:ascii="Times New Roman" w:cs="Times New Roman" w:eastAsia="Times New Roman" w:hAnsi="Times New Roman"/>
          <w:sz w:val="18"/>
          <w:szCs w:val="18"/>
          <w:color w:val="auto"/>
        </w:rPr>
      </w:pPr>
    </w:p>
    <w:p>
      <w:pPr>
        <w:jc w:val="both"/>
        <w:ind w:left="324" w:hanging="324"/>
        <w:spacing w:after="0" w:line="252" w:lineRule="auto"/>
        <w:tabs>
          <w:tab w:leader="none" w:pos="32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Exceptions to Adjustments</w:t>
      </w:r>
      <w:r>
        <w:rPr>
          <w:rFonts w:ascii="Times New Roman" w:cs="Times New Roman" w:eastAsia="Times New Roman" w:hAnsi="Times New Roman"/>
          <w:sz w:val="18"/>
          <w:szCs w:val="18"/>
          <w:color w:val="auto"/>
        </w:rPr>
        <w:t>. Except as specifically provided for herein, there shall be no adjustment or readjustment to the number of Shares issuable in the following circumstances (each of the following, an “</w:t>
      </w:r>
      <w:r>
        <w:rPr>
          <w:rFonts w:ascii="Times New Roman" w:cs="Times New Roman" w:eastAsia="Times New Roman" w:hAnsi="Times New Roman"/>
          <w:sz w:val="18"/>
          <w:szCs w:val="18"/>
          <w:u w:val="single" w:color="auto"/>
          <w:color w:val="auto"/>
        </w:rPr>
        <w:t>Excluded Issuance</w:t>
      </w:r>
      <w:r>
        <w:rPr>
          <w:rFonts w:ascii="Times New Roman" w:cs="Times New Roman" w:eastAsia="Times New Roman" w:hAnsi="Times New Roman"/>
          <w:sz w:val="18"/>
          <w:szCs w:val="18"/>
          <w:color w:val="auto"/>
        </w:rPr>
        <w:t xml:space="preserve">”): (1) upon the exercise of this Warrant or any of the other Warrants issued to the Company’s other lenders on the Issuance Date; (2) upon conversion, exercise or exchange of securities, including convertible debt securities, outstanding prior to the Issuance Date; (3) pursuant to agreements in effect as of the Issuance Date (provided that such agreements are not amended after the Issuance Date to increase the number of securities, reduce the consideration payable in connection with such securities, or otherwise change the terms of such agreements so as to have a dilutive effect on this Warrant); (4) pursuant to the Company’s management, directors or other service providers as part of compensation and incentive programs approved by the Board; (5) pursuant to any joint venture arrangement, strategic arrangements, real property lease, financing transaction or other similar transaction in which equity financing is not the purpose of the transaction; and (6) pursuant to any public equity offerings. Notwithstanding the foregoing, the parties agree that any equity securities issued in “PIPE” transactions, and any equity securities issued pursuant to the Committed Equity Facility shall be “Excluded Issuances” if the securities issued in such “PIPE” transactions or pursuant to the Committed Equity Facility are issued for consideration equal to at least $5 per share (as proportionately adjusted to account for stock splits, stock combinations, stock dividends or other distributions or recapitalizations affecting the Common Stock). For example (x) if the Company issues equity securities in a PIPE Transaction or pursuant to the Committed Equity Facility, and the consideration paid for those equity securities is $4 per equity security, then such issuance shall not be an Excluded Issuance and the adjustment set forth in </w:t>
      </w:r>
      <w:r>
        <w:rPr>
          <w:rFonts w:ascii="Times New Roman" w:cs="Times New Roman" w:eastAsia="Times New Roman" w:hAnsi="Times New Roman"/>
          <w:sz w:val="18"/>
          <w:szCs w:val="18"/>
          <w:u w:val="single" w:color="auto"/>
          <w:color w:val="auto"/>
        </w:rPr>
        <w:t>Section 4(b)</w:t>
      </w:r>
      <w:r>
        <w:rPr>
          <w:rFonts w:ascii="Times New Roman" w:cs="Times New Roman" w:eastAsia="Times New Roman" w:hAnsi="Times New Roman"/>
          <w:sz w:val="18"/>
          <w:szCs w:val="18"/>
          <w:color w:val="auto"/>
        </w:rPr>
        <w:t xml:space="preserve"> shall apply, and (y) if the Company issues equity securities in a PIPE Transaction or pursuant to the Committed Equity Facility, and the consideration paid for those equity securities is $5 per equity security, then such issuance shall be an Excluded Issuance and the adjustment set forth in </w:t>
      </w:r>
      <w:r>
        <w:rPr>
          <w:rFonts w:ascii="Times New Roman" w:cs="Times New Roman" w:eastAsia="Times New Roman" w:hAnsi="Times New Roman"/>
          <w:sz w:val="18"/>
          <w:szCs w:val="18"/>
          <w:u w:val="single" w:color="auto"/>
          <w:color w:val="auto"/>
        </w:rPr>
        <w:t>Section 4(b)</w:t>
      </w:r>
      <w:r>
        <w:rPr>
          <w:rFonts w:ascii="Times New Roman" w:cs="Times New Roman" w:eastAsia="Times New Roman" w:hAnsi="Times New Roman"/>
          <w:sz w:val="18"/>
          <w:szCs w:val="18"/>
          <w:color w:val="auto"/>
        </w:rPr>
        <w:t xml:space="preserve"> shall </w:t>
      </w:r>
      <w:r>
        <w:rPr>
          <w:rFonts w:ascii="Times New Roman" w:cs="Times New Roman" w:eastAsia="Times New Roman" w:hAnsi="Times New Roman"/>
          <w:sz w:val="18"/>
          <w:szCs w:val="18"/>
          <w:u w:val="single" w:color="auto"/>
          <w:color w:val="auto"/>
        </w:rPr>
        <w:t>not</w:t>
      </w:r>
      <w:r>
        <w:rPr>
          <w:rFonts w:ascii="Times New Roman" w:cs="Times New Roman" w:eastAsia="Times New Roman" w:hAnsi="Times New Roman"/>
          <w:sz w:val="18"/>
          <w:szCs w:val="18"/>
          <w:color w:val="auto"/>
        </w:rPr>
        <w:t xml:space="preserve">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270510</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28" w:name="page29"/>
    <w:bookmarkEnd w:id="28"/>
    <w:p>
      <w:pPr>
        <w:jc w:val="both"/>
        <w:ind w:left="972" w:hanging="324"/>
        <w:spacing w:after="0" w:line="258" w:lineRule="auto"/>
        <w:tabs>
          <w:tab w:leader="none" w:pos="972"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Adjustment</w:t>
      </w:r>
      <w:r>
        <w:rPr>
          <w:rFonts w:ascii="Times New Roman" w:cs="Times New Roman" w:eastAsia="Times New Roman" w:hAnsi="Times New Roman"/>
          <w:sz w:val="18"/>
          <w:szCs w:val="18"/>
          <w:color w:val="auto"/>
        </w:rPr>
        <w:t>. Upon the occurrence of each adjustment or readjustment of the Warrant Price or the number of Shares issuable on the exercise of each Warrant, the Company (at its expense) shall promptly compute such adjustment or readjustment in accordance with the terms hereof and furnish to the Holder a notice setting forth (1) such adjustment or readjustment and showing in detail the facts upon which such adjustment or readjustment is based and (2) the number of Shares issuable on the exercise of each Warrant and the Warrant Price at the time in effect.</w:t>
      </w:r>
    </w:p>
    <w:p>
      <w:pPr>
        <w:spacing w:after="0" w:line="183" w:lineRule="exact"/>
        <w:rPr>
          <w:rFonts w:ascii="Times New Roman" w:cs="Times New Roman" w:eastAsia="Times New Roman" w:hAnsi="Times New Roman"/>
          <w:sz w:val="18"/>
          <w:szCs w:val="18"/>
          <w:color w:val="auto"/>
        </w:rPr>
      </w:pPr>
    </w:p>
    <w:p>
      <w:pPr>
        <w:ind w:left="972" w:hanging="324"/>
        <w:spacing w:after="0" w:line="282" w:lineRule="auto"/>
        <w:tabs>
          <w:tab w:leader="none" w:pos="972"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of Books</w:t>
      </w:r>
      <w:r>
        <w:rPr>
          <w:rFonts w:ascii="Times New Roman" w:cs="Times New Roman" w:eastAsia="Times New Roman" w:hAnsi="Times New Roman"/>
          <w:sz w:val="18"/>
          <w:szCs w:val="18"/>
          <w:color w:val="auto"/>
        </w:rPr>
        <w:t>. The Company will not close its stockholder books or records, other than in the ordinary course, in any manner which prevents the timely exercise of this Warrant, pursuant to the terms hereof.</w:t>
      </w:r>
    </w:p>
    <w:p>
      <w:pPr>
        <w:spacing w:after="0" w:line="161" w:lineRule="exact"/>
        <w:rPr>
          <w:rFonts w:ascii="Times New Roman" w:cs="Times New Roman" w:eastAsia="Times New Roman" w:hAnsi="Times New Roman"/>
          <w:sz w:val="18"/>
          <w:szCs w:val="18"/>
          <w:color w:val="auto"/>
        </w:rPr>
      </w:pPr>
    </w:p>
    <w:p>
      <w:pPr>
        <w:ind w:left="972" w:right="20" w:hanging="324"/>
        <w:spacing w:after="0" w:line="282" w:lineRule="auto"/>
        <w:tabs>
          <w:tab w:leader="none" w:pos="972"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 All calculations hereunder shall be made to the nearest cent or to the nearest twentieth decimal place of a fractional Share, as the case may be.</w:t>
      </w:r>
    </w:p>
    <w:p>
      <w:pPr>
        <w:spacing w:after="0" w:line="161"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Rights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972" w:hanging="324"/>
        <w:spacing w:after="0" w:line="252" w:lineRule="auto"/>
        <w:tabs>
          <w:tab w:leader="none" w:pos="972"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practicable following the Issuance Date but no later than thirty (30) calendar days after the Issuance Date, the Company shall submit to or file with the SEC a registration statement registering the resale of this Warrant, the Shares, and any securities issued or issuable with respect to the Shares by way of a stock dividend or stock split or in connection with a combination of shares, recapitalization, merger, consolidation, spin-off, reclassification or other reorganization or similar transaction (including Shares received pursuant to Section 4 above) (the “</w:t>
      </w:r>
      <w:r>
        <w:rPr>
          <w:rFonts w:ascii="Times New Roman" w:cs="Times New Roman" w:eastAsia="Times New Roman" w:hAnsi="Times New Roman"/>
          <w:sz w:val="18"/>
          <w:szCs w:val="18"/>
          <w:u w:val="single" w:color="auto"/>
          <w:color w:val="auto"/>
        </w:rPr>
        <w:t>Registrable Securities</w:t>
      </w:r>
      <w:r>
        <w:rPr>
          <w:rFonts w:ascii="Times New Roman" w:cs="Times New Roman" w:eastAsia="Times New Roman" w:hAnsi="Times New Roman"/>
          <w:sz w:val="18"/>
          <w:szCs w:val="18"/>
          <w:color w:val="auto"/>
        </w:rPr>
        <w:t>”) on any form of registration statement (a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as is then available to effect a registration for resale of such Registrable Securities, which may be on Form S-1, for an offering to be made on a continuous basis pursuant to Rule 415 of the Securities Act registering the resale from time to time by the Holder(s) (or a bona fide pledgee thereof) of all of the Registrable Securities held by the Holder (or bona fide pledgee thereof) (the “</w:t>
      </w:r>
      <w:r>
        <w:rPr>
          <w:rFonts w:ascii="Times New Roman" w:cs="Times New Roman" w:eastAsia="Times New Roman" w:hAnsi="Times New Roman"/>
          <w:sz w:val="18"/>
          <w:szCs w:val="18"/>
          <w:u w:val="single" w:color="auto"/>
          <w:color w:val="auto"/>
        </w:rPr>
        <w:t>Initial Registration Statement</w:t>
      </w:r>
      <w:r>
        <w:rPr>
          <w:rFonts w:ascii="Times New Roman" w:cs="Times New Roman" w:eastAsia="Times New Roman" w:hAnsi="Times New Roman"/>
          <w:sz w:val="18"/>
          <w:szCs w:val="18"/>
          <w:color w:val="auto"/>
        </w:rPr>
        <w:t>”). The Holder shall not be named as an underwriter on any Registration Statement, provided, that if the SEC requires that the Holder be identified as a statutory underwriter in a Registration Statement, the Holder will have the option, in its sole and absolute discretion, to either (i) withdraw from the Registration Statement, it being understood that such withdrawal shall not relieve the Company of its obligation to register for resale such Holder’s Registrable Securities at a later date or (ii) be included as such in the Registration Statement. In the event that a Holder elects to include its Registrable Securities on a Registration Statement in accordance with the foregoing clause (ii), the Company shall provide such Holder with a draft of such Registration Statement (and any amendments or supplements thereto) as soon as reasonably practicable, and any disclosures contained therein relating to such Holder shall be subject to the approval of such Holder (which approval shall not be unreasonably withheld or delayed). Such Registrable Securities will cease to become Registrable Securities upon the earliest to occur of: (A) a Registration Statement with respect to the sale of such securities shall have become effective under the Securities Act and all Registrable Securities held by the Holder shall have been sold, transferred, disposed of or exchanged in accordance with such Registration Statement by the applicable Holder; (B) such securities shall have ceased to be outstanding; (C) such securities may be sold without restriction on volume or manner of sale in any three-month period pursuant to Rule 144 or any successor rule promulgated under the Securities Act; and (D) all Registrable Securities held by the Holder have been sold to, or through, a broker, dealer or underwriter in a public distribution or other public securities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267970</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29" w:name="page30"/>
    <w:bookmarkEnd w:id="29"/>
    <w:p>
      <w:pPr>
        <w:jc w:val="both"/>
        <w:ind w:left="324" w:hanging="324"/>
        <w:spacing w:after="0" w:line="253" w:lineRule="auto"/>
        <w:tabs>
          <w:tab w:leader="none" w:pos="32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use commercially reasonable efforts to have the Initial Registration Statement declared effective as soon as practicable after the filing thereof, but no later than the earlier of (i) the ninetieth (90th) calendar day following the filing date thereof if the SEC notifies the Company that it will “review” the Registration Statement and (ii) the tenth (10th) business day after the date the Company is notified (orally or in writing, whichever is earlier) by the SEC that the Registration Statement will not be “reviewed” or will not be subject to further review. The Company shall notify the Holders as promptly as practicable after the Registration Statement is declared effective and shall simultaneously or prior thereto file with the SEC pursuant to Rule 424(b) promulgated under the Securities Act, and provide the Holders with copies of, any related prospectus to be used in connection with the sale or other disposition of the securities covered thereby (each, a “</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The Registration Statement shall contain a Prospectus in such form as to permit any Holder to sell such Registrable Securities pursuant to Rule 415 under the Securities Act (or any successor or similar provision adopted by the Commission then in effect) at any time beginning on the effective date for such Registration Statement, and shall provide that such Registrable Securities may be sold pursuant to any method or combination of methods legally available to, and requested by, the Holders.</w:t>
      </w:r>
    </w:p>
    <w:p>
      <w:pPr>
        <w:spacing w:after="0" w:line="191" w:lineRule="exact"/>
        <w:rPr>
          <w:rFonts w:ascii="Times New Roman" w:cs="Times New Roman" w:eastAsia="Times New Roman" w:hAnsi="Times New Roman"/>
          <w:sz w:val="18"/>
          <w:szCs w:val="18"/>
          <w:color w:val="auto"/>
        </w:rPr>
      </w:pPr>
    </w:p>
    <w:p>
      <w:pPr>
        <w:jc w:val="both"/>
        <w:ind w:left="324" w:hanging="324"/>
        <w:spacing w:after="0" w:line="258" w:lineRule="auto"/>
        <w:tabs>
          <w:tab w:leader="none" w:pos="32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maintain the Initial Registration Statement and any subsequent Registration Statement in accordance with the terms hereof, and shall prepare and file with the SEC such amendments, including post-effective amendments, and supplements as may be necessary to keep the Initial Registration Statement and any subsequent Registration Statement continuously effective, available for use to permit the Holders named therein to sell their Registrable Securities included therein and in compliance with the provisions of the Securities Act until such time as there are no longer any Registrable Securities (the “</w:t>
      </w:r>
      <w:r>
        <w:rPr>
          <w:rFonts w:ascii="Times New Roman" w:cs="Times New Roman" w:eastAsia="Times New Roman" w:hAnsi="Times New Roman"/>
          <w:sz w:val="18"/>
          <w:szCs w:val="18"/>
          <w:u w:val="single" w:color="auto"/>
          <w:color w:val="auto"/>
        </w:rPr>
        <w:t>Effectiveness Period</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furtherance of the foregoing, the Company shall:</w:t>
      </w:r>
    </w:p>
    <w:p>
      <w:pPr>
        <w:spacing w:after="0" w:line="225" w:lineRule="exact"/>
        <w:rPr>
          <w:rFonts w:ascii="Times New Roman" w:cs="Times New Roman" w:eastAsia="Times New Roman" w:hAnsi="Times New Roman"/>
          <w:sz w:val="18"/>
          <w:szCs w:val="18"/>
          <w:color w:val="auto"/>
        </w:rPr>
      </w:pPr>
    </w:p>
    <w:p>
      <w:pPr>
        <w:jc w:val="both"/>
        <w:ind w:left="1144" w:hanging="334"/>
        <w:spacing w:after="0" w:line="256" w:lineRule="auto"/>
        <w:tabs>
          <w:tab w:leader="none" w:pos="1144"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copies to, and permit the Holder to review, the Registration Statement and all amendments and supplements thereto not less than five (5) business days prior to the filing of the Registration Statement and not less than one (1) business day prior to the filing of any related Prospectus or any amendment or supplement thereto (except any amendment or supplement in relation to annual reports on Form 10-K, quarterly reports on Form 10-Q and current reports on Form 8-K and any similar or successor reports) and provide the Holder a reasonable opportunity to comment thereon, and the Company shall consider such comments in good faith before filing any Registration Statement or amendment or supplement thereto;</w:t>
      </w:r>
    </w:p>
    <w:p>
      <w:pPr>
        <w:spacing w:after="0" w:line="187" w:lineRule="exact"/>
        <w:rPr>
          <w:rFonts w:ascii="Times New Roman" w:cs="Times New Roman" w:eastAsia="Times New Roman" w:hAnsi="Times New Roman"/>
          <w:sz w:val="18"/>
          <w:szCs w:val="18"/>
          <w:color w:val="auto"/>
        </w:rPr>
      </w:pPr>
    </w:p>
    <w:p>
      <w:pPr>
        <w:ind w:left="1144" w:hanging="334"/>
        <w:spacing w:after="0" w:line="282" w:lineRule="auto"/>
        <w:tabs>
          <w:tab w:leader="none" w:pos="1144"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commercially reasonable efforts to (x) prevent the issuance of any stop order or other suspension of effectiveness and (y) if such order is issued, obtain the withdrawal of any such order as soon as practicable;</w:t>
      </w:r>
    </w:p>
    <w:p>
      <w:pPr>
        <w:spacing w:after="0" w:line="161" w:lineRule="exact"/>
        <w:rPr>
          <w:rFonts w:ascii="Times New Roman" w:cs="Times New Roman" w:eastAsia="Times New Roman" w:hAnsi="Times New Roman"/>
          <w:sz w:val="18"/>
          <w:szCs w:val="18"/>
          <w:color w:val="auto"/>
        </w:rPr>
      </w:pPr>
    </w:p>
    <w:p>
      <w:pPr>
        <w:jc w:val="both"/>
        <w:ind w:left="1144" w:hanging="334"/>
        <w:spacing w:after="0" w:line="254" w:lineRule="auto"/>
        <w:tabs>
          <w:tab w:leader="none" w:pos="1144"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any public offering of Registrable Securities, use commercially reasonable efforts to register or qualify or cooperate with the Holder and its counsel in connection with the registration or qualification of such Registrable Securities for the offer and sale under the securities or blue sky laws of such jurisdictions upon notice and as requested by the Holder and do any and all other commercially reasonable acts or things necessary or advisable as requested by the Holder to enable the distribution in such jurisdictions of the Registrable Securities covered by the Registration Statement; provided, that the Company shall not be required in connection therewith or as a condition thereto to (i) qualify to do business in any jurisdiction where it would not otherwise be required to qualify but for this provision; (ii) subject itself to general taxation in any jurisdiction where it would not otherwise be so subject but for this provision; or (iii) file a general consent to service of process in any such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270510</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30" w:name="page31"/>
    <w:bookmarkEnd w:id="30"/>
    <w:p>
      <w:pPr>
        <w:ind w:left="1144" w:hanging="334"/>
        <w:spacing w:after="0" w:line="282" w:lineRule="auto"/>
        <w:tabs>
          <w:tab w:leader="none" w:pos="1144"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commercially reasonable efforts to cause all Registrable Securities covered by a Registration Statement to be listed on each national securities exchange or other market on which similar securities issued by the Company are then listed;</w:t>
      </w:r>
    </w:p>
    <w:p>
      <w:pPr>
        <w:spacing w:after="0" w:line="161" w:lineRule="exact"/>
        <w:rPr>
          <w:rFonts w:ascii="Times New Roman" w:cs="Times New Roman" w:eastAsia="Times New Roman" w:hAnsi="Times New Roman"/>
          <w:sz w:val="18"/>
          <w:szCs w:val="18"/>
          <w:color w:val="auto"/>
        </w:rPr>
      </w:pPr>
    </w:p>
    <w:p>
      <w:pPr>
        <w:ind w:left="1144" w:hanging="334"/>
        <w:spacing w:after="0" w:line="282" w:lineRule="auto"/>
        <w:tabs>
          <w:tab w:leader="none" w:pos="1144"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 transfer agent or warrant agent, if any, as applicable, and registrar for all such Registrable Securities no later than the effective date of such Registration Statement;</w:t>
      </w:r>
    </w:p>
    <w:p>
      <w:pPr>
        <w:spacing w:after="0" w:line="161" w:lineRule="exact"/>
        <w:rPr>
          <w:rFonts w:ascii="Times New Roman" w:cs="Times New Roman" w:eastAsia="Times New Roman" w:hAnsi="Times New Roman"/>
          <w:sz w:val="18"/>
          <w:szCs w:val="18"/>
          <w:color w:val="auto"/>
        </w:rPr>
      </w:pPr>
    </w:p>
    <w:p>
      <w:pPr>
        <w:jc w:val="both"/>
        <w:ind w:left="1144" w:hanging="334"/>
        <w:spacing w:after="0" w:line="254" w:lineRule="auto"/>
        <w:tabs>
          <w:tab w:leader="none" w:pos="1144"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notify the Holder at any time prior to the end of the Effectiveness Period, upon discovery that, or upon the happening of any event as a result of which, the Prospectus included in the Registration Statement, as then in effect, includes a untrue statement of a material fact or an omission to state a material fact required to be stated in a Registration Statement or Prospectus or necessary to make the statements in a Registration Statement or Prospectus (in the case of a Prospectus, in the light of the circumstances under which they were made) not misleading (a “</w:t>
      </w:r>
      <w:r>
        <w:rPr>
          <w:rFonts w:ascii="Times New Roman" w:cs="Times New Roman" w:eastAsia="Times New Roman" w:hAnsi="Times New Roman"/>
          <w:sz w:val="18"/>
          <w:szCs w:val="18"/>
          <w:u w:val="single" w:color="auto"/>
          <w:color w:val="auto"/>
        </w:rPr>
        <w:t>Misstatement</w:t>
      </w:r>
      <w:r>
        <w:rPr>
          <w:rFonts w:ascii="Times New Roman" w:cs="Times New Roman" w:eastAsia="Times New Roman" w:hAnsi="Times New Roman"/>
          <w:sz w:val="18"/>
          <w:szCs w:val="18"/>
          <w:color w:val="auto"/>
        </w:rPr>
        <w:t>”), which the Holder will maintain in confidence, and (i) promptly prepare, file with the SEC and furnish to such holder a supplement to or an amendment of such Prospectus as may be necessary so that such Prospectus shall not include such Misstatement or (ii) suspend the filing, initial effectiveness or continued use of any Registration Statement in accordance with Section 5(g) below;</w:t>
      </w:r>
    </w:p>
    <w:p>
      <w:pPr>
        <w:spacing w:after="0" w:line="191" w:lineRule="exact"/>
        <w:rPr>
          <w:rFonts w:ascii="Times New Roman" w:cs="Times New Roman" w:eastAsia="Times New Roman" w:hAnsi="Times New Roman"/>
          <w:sz w:val="18"/>
          <w:szCs w:val="18"/>
          <w:color w:val="auto"/>
        </w:rPr>
      </w:pPr>
    </w:p>
    <w:p>
      <w:pPr>
        <w:ind w:left="1144" w:hanging="334"/>
        <w:spacing w:after="0" w:line="282" w:lineRule="auto"/>
        <w:tabs>
          <w:tab w:leader="none" w:pos="1144"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commercially reasonable efforts to comply with all applicable rules and regulations of the SEC under the Securities Act and the Exchange Act; and</w:t>
      </w:r>
    </w:p>
    <w:p>
      <w:pPr>
        <w:spacing w:after="0" w:line="161" w:lineRule="exact"/>
        <w:rPr>
          <w:rFonts w:ascii="Times New Roman" w:cs="Times New Roman" w:eastAsia="Times New Roman" w:hAnsi="Times New Roman"/>
          <w:sz w:val="18"/>
          <w:szCs w:val="18"/>
          <w:color w:val="auto"/>
        </w:rPr>
      </w:pPr>
    </w:p>
    <w:p>
      <w:pPr>
        <w:ind w:left="1144" w:hanging="334"/>
        <w:spacing w:after="0" w:line="282" w:lineRule="auto"/>
        <w:tabs>
          <w:tab w:leader="none" w:pos="1144"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in good faith, cooperate reasonably with, and take such customary actions as may reasonably be requested by the Holder, consistent with the terms of this Warrant, in connection with such registration.</w:t>
      </w:r>
    </w:p>
    <w:p>
      <w:pPr>
        <w:spacing w:after="0" w:line="161" w:lineRule="exact"/>
        <w:rPr>
          <w:rFonts w:ascii="Times New Roman" w:cs="Times New Roman" w:eastAsia="Times New Roman" w:hAnsi="Times New Roman"/>
          <w:sz w:val="18"/>
          <w:szCs w:val="18"/>
          <w:color w:val="auto"/>
        </w:rPr>
      </w:pPr>
    </w:p>
    <w:p>
      <w:pPr>
        <w:jc w:val="both"/>
        <w:ind w:left="324" w:hanging="324"/>
        <w:spacing w:after="0" w:line="258" w:lineRule="auto"/>
        <w:tabs>
          <w:tab w:leader="none" w:pos="32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Holder holds Registrable Securities that are not registered for resale on a delayed or continuous basis, the Company, upon written request of such Holder, shall promptly use its commercially reasonable efforts to cause the resale of such Registrable Securities to be covered by either, at the Company’s option, any then available Registration Statement (including by means of a post-effective amendment) or by filing a subsequent Registration Statement and causing the same to become effective as soon as reasonably practicable after such filing and such subsequent Registration Statement shall be subject to the terms hereof.</w:t>
      </w:r>
    </w:p>
    <w:p>
      <w:pPr>
        <w:spacing w:after="0" w:line="183" w:lineRule="exact"/>
        <w:rPr>
          <w:rFonts w:ascii="Times New Roman" w:cs="Times New Roman" w:eastAsia="Times New Roman" w:hAnsi="Times New Roman"/>
          <w:sz w:val="18"/>
          <w:szCs w:val="18"/>
          <w:color w:val="auto"/>
        </w:rPr>
      </w:pPr>
    </w:p>
    <w:p>
      <w:pPr>
        <w:jc w:val="both"/>
        <w:ind w:left="324" w:hanging="324"/>
        <w:spacing w:after="0" w:line="258" w:lineRule="auto"/>
        <w:tabs>
          <w:tab w:leader="none" w:pos="32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Initial Registration Statement ceases to be effective under Securities Act for any reason at any time while Registrable Securities are still outstanding, the Company shall use its commercially reasonable efforts to as promptly as is reasonably practicable to cause such Initial Registration Statement to again become effective under the Securities Act or file a subsequent Registration Statement registering the resale of all Registrable Securities (determined as of two (2) business days prior to such filing) pursuant to any method or combination of methods legally available to the Company.</w:t>
      </w:r>
    </w:p>
    <w:p>
      <w:pPr>
        <w:spacing w:after="0" w:line="183" w:lineRule="exact"/>
        <w:rPr>
          <w:rFonts w:ascii="Times New Roman" w:cs="Times New Roman" w:eastAsia="Times New Roman" w:hAnsi="Times New Roman"/>
          <w:sz w:val="18"/>
          <w:szCs w:val="18"/>
          <w:color w:val="auto"/>
        </w:rPr>
      </w:pPr>
    </w:p>
    <w:p>
      <w:pPr>
        <w:jc w:val="both"/>
        <w:ind w:left="324" w:hanging="324"/>
        <w:spacing w:after="0" w:line="253" w:lineRule="auto"/>
        <w:tabs>
          <w:tab w:leader="none" w:pos="32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not more than ninety (90) consecutive days or for a total of not more than one-hundred twenty (120) days, in each case, in any twelve (12) month period, the Company may suspend the filing, initial effectiveness or continued use of any Registration Statement in respect of any registration contemplated by this Section 5 in the event that the Company determines in good faith that such suspension is necessary to (A) delay the disclosure of material non-public information concerning the Company, the disclosure of which at the time is not, in the good faith opinion of the Company, in the best interests of the Company; (B) amend or supplement the affected Registration Statement or the related prospectus so that such Registration Statement or prospectus shall not include any misstatement; or (C) require the inclusion in such Registration Statement of financial statements that are unavailable to the Company for reasons beyond the Company’s control (each, an “</w:t>
      </w:r>
      <w:r>
        <w:rPr>
          <w:rFonts w:ascii="Times New Roman" w:cs="Times New Roman" w:eastAsia="Times New Roman" w:hAnsi="Times New Roman"/>
          <w:sz w:val="18"/>
          <w:szCs w:val="18"/>
          <w:u w:val="single" w:color="auto"/>
          <w:color w:val="auto"/>
        </w:rPr>
        <w:t>Allowed Delay</w:t>
      </w:r>
      <w:r>
        <w:rPr>
          <w:rFonts w:ascii="Times New Roman" w:cs="Times New Roman" w:eastAsia="Times New Roman" w:hAnsi="Times New Roman"/>
          <w:sz w:val="18"/>
          <w:szCs w:val="18"/>
          <w:color w:val="auto"/>
        </w:rPr>
        <w:t>”); provided that the Company shall promptly (1) notify the Holder in writing of the commencement of an Allowed Delay, but shall not (without the prior written consent of a Holder) disclose to such Holder any material non-public information giving rise to an Allowed Delay, (2) advise the Holder in writing to cease all sales under such Registration Statement until the end of the Allowed Delay (but not, for the avoidance of doubt, any sale pursuant to Rule 144 or other applicable exemption under the Securities Act) and (3) use commercially reasonable efforts to terminate an Allowed Delay as promptly as reasonably practicable.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269240</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31" w:name="page32"/>
    <w:bookmarkEnd w:id="31"/>
    <w:p>
      <w:pPr>
        <w:jc w:val="both"/>
        <w:ind w:left="324" w:hanging="324"/>
        <w:spacing w:after="0" w:line="261" w:lineRule="auto"/>
        <w:tabs>
          <w:tab w:leader="none" w:pos="32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Holder holds Registrable Securities that are not registered for resale on a delayed or continuous basis, the Company, upon request of a Holder, shall promptly use its commercially reasonable efforts to cause the resale of such Registrable Securities to be covered by either, at the Company’s option, the Initial Registration Statement or a subsequent Registration Statement and cause the same to become effective as soon as practicable after such filing and such Registration Statement shall be subject to the terms hereof.</w:t>
      </w:r>
    </w:p>
    <w:p>
      <w:pPr>
        <w:spacing w:after="0" w:line="179" w:lineRule="exact"/>
        <w:rPr>
          <w:rFonts w:ascii="Times New Roman" w:cs="Times New Roman" w:eastAsia="Times New Roman" w:hAnsi="Times New Roman"/>
          <w:sz w:val="18"/>
          <w:szCs w:val="18"/>
          <w:color w:val="auto"/>
        </w:rPr>
      </w:pPr>
    </w:p>
    <w:p>
      <w:pPr>
        <w:jc w:val="both"/>
        <w:ind w:left="324" w:hanging="324"/>
        <w:spacing w:after="0" w:line="261" w:lineRule="auto"/>
        <w:tabs>
          <w:tab w:leader="none" w:pos="32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pay all expenses associated with each Registration Statement, including filing and printing fees, the fees and expenses of the Company’s counsel and accounting fees and expenses, costs associated with clearing the Registrable Securities for sale under applicable state securities laws and listing fees, but excluding discounts, commissions, fees of underwriters, selling brokers, dealer managers or similar securities industry professionals with respect to the Registrable Securities being sold.</w:t>
      </w:r>
    </w:p>
    <w:p>
      <w:pPr>
        <w:spacing w:after="0" w:line="179" w:lineRule="exact"/>
        <w:rPr>
          <w:rFonts w:ascii="Times New Roman" w:cs="Times New Roman" w:eastAsia="Times New Roman" w:hAnsi="Times New Roman"/>
          <w:sz w:val="18"/>
          <w:szCs w:val="18"/>
          <w:color w:val="auto"/>
        </w:rPr>
      </w:pPr>
    </w:p>
    <w:p>
      <w:pPr>
        <w:jc w:val="both"/>
        <w:ind w:left="324" w:hanging="324"/>
        <w:spacing w:after="0" w:line="252" w:lineRule="auto"/>
        <w:tabs>
          <w:tab w:leader="none" w:pos="32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to indemnify and hold harmless the Holder, and each of its officers, employees, affiliates, directors, partners, members, managers, equityholders, attorneys, advisors and agents, and each person or entity, if any, who controls (within the meaning of Section 15 of the Securities Act or Section 20 of the Securities and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the Holder (each, a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Indemnified Party</w:t>
      </w:r>
      <w:r>
        <w:rPr>
          <w:rFonts w:ascii="Times New Roman" w:cs="Times New Roman" w:eastAsia="Times New Roman" w:hAnsi="Times New Roman"/>
          <w:sz w:val="18"/>
          <w:szCs w:val="18"/>
          <w:color w:val="auto"/>
        </w:rPr>
        <w:t>”), to the fullest extent permitted by applicable law, from and against any expenses, losses, judgments, actions, claims, proceedings (whether commenced or threatened), damages, liabilities or costs (including, without limitation, reasonable attorneys’ fees) (collectively, “</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as incurred, arising out of or based upon any Misstatement contained in any Registration Statement under which the sale of such Registrable Securities was registered under the Securities Act, any preliminary Prospectus, final Prospectus or summary Prospectus contained in such Registration Statement, any amendment or supplement to such Registration Statement, preliminary Prospectus, final Prospectus or summary Prospectus, or any free writing prospectus relating to such Registration Statement, or any violation by the Company of the Securities Act or any rule or regulation promulgated thereunder applicable to the Company or any state securities (or Blue Sky) law, rule or regulation and relating to action or inaction required of the Company in connection with any such registration; and the Company shall promptly reimburse the Holder Indemnified Party for any reasonable, customary and documented out-of-pocket legal and any other expenses reasonably incurred, as incurred, by such Holder Indemnified Party in connection with investigating and defending any such Losses, except to the extent the Holder is liable to indemnify the Company for such Losses pursuant to Section 5(k) below; provided, however, that the indemnity agreement contained in this Section 5(j) shall not apply to amounts paid in settlement of any claim or proceeding if such settlement is effected without the consent of the Company, which consent shall not be unreasonably withheld, and the Company will not be liable in any such case to the extent that any such losses, judgments, claims, damages, liabilities or out-of-pocket expenses arises out of or is based upon any Misstatement made in such Registration Statement in reliance upon and in conformity with information furnished to the Company, in writing, by the applicable Holder Indemnified Party expressly for use therein.</w:t>
      </w:r>
    </w:p>
    <w:p>
      <w:pPr>
        <w:spacing w:after="0" w:line="190" w:lineRule="exact"/>
        <w:rPr>
          <w:rFonts w:ascii="Times New Roman" w:cs="Times New Roman" w:eastAsia="Times New Roman" w:hAnsi="Times New Roman"/>
          <w:sz w:val="18"/>
          <w:szCs w:val="18"/>
          <w:color w:val="auto"/>
        </w:rPr>
      </w:pPr>
    </w:p>
    <w:p>
      <w:pPr>
        <w:jc w:val="both"/>
        <w:ind w:left="324" w:hanging="324"/>
        <w:spacing w:after="0" w:line="253" w:lineRule="auto"/>
        <w:tabs>
          <w:tab w:leader="none" w:pos="32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will, in the event that any registration of any Registrable Securities held by the Holder is being effected under the Securities Act pursuant to this Agreement and the Company has required the Holder to provide such an undertaking on the same terms, indemnify and hold harmless the Company, each of its directors and officers and each underwriter (if any), and each other person, if any, who controls such underwriter within the meaning of the Securities Act, against any Losses, insofar as such Losses arise out of or are based upon any Misstatement contained in any Registration Statement under which the sale of such Registrable Securities was registered under the Securities Act, any preliminary Prospectus, final Prospectus or summary Prospectus contained in the Registration Statement, or any amendment or supplement thereto, if the Misstatement was made (or not made, in the case of an omission) in reliance upon and in conformity with information furnished in writing to the Company by or on behalf of such Holder expressly for use therein, and shall reimburse the Company and its directors and officers for any reasonable, customary and documented out-of-pocket legal or other expenses incurred by any of them in connection with investigation or defending any such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271780</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32" w:name="page33"/>
    <w:bookmarkEnd w:id="32"/>
    <w:p>
      <w:pPr>
        <w:ind w:left="332" w:hanging="332"/>
        <w:spacing w:after="0"/>
        <w:tabs>
          <w:tab w:leader="none" w:pos="332"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 Compliance with Securities Laws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972" w:hanging="324"/>
        <w:spacing w:after="0" w:line="256" w:lineRule="auto"/>
        <w:tabs>
          <w:tab w:leader="none" w:pos="972"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Warrant may not be transferred or assigned in whole or in part without compliance with all applicable United States, state, and foreign securities laws by the transferor and transferee (including the delivery of investment representation letters and legal opinions reasonably satisfactory to the Company, if requested by the Company). Subject to such restrictions, prior to the Expiration Date, this Warrant and all rights hereunder are transferable by the Holder hereof, in whole or in part, at the office or agency of the Company referred to in Section 1(b) above. Any such transfer shall be made in person or by the Holder’s duly authorized attorney, upon surrender of this Warrant together with the Form of Transfer attached hereto properly endorsed.</w:t>
      </w:r>
    </w:p>
    <w:p>
      <w:pPr>
        <w:spacing w:after="0" w:line="187" w:lineRule="exact"/>
        <w:rPr>
          <w:rFonts w:ascii="Times New Roman" w:cs="Times New Roman" w:eastAsia="Times New Roman" w:hAnsi="Times New Roman"/>
          <w:sz w:val="18"/>
          <w:szCs w:val="18"/>
          <w:color w:val="auto"/>
        </w:rPr>
      </w:pPr>
    </w:p>
    <w:p>
      <w:pPr>
        <w:jc w:val="both"/>
        <w:ind w:left="972" w:hanging="324"/>
        <w:spacing w:after="0" w:line="255" w:lineRule="auto"/>
        <w:tabs>
          <w:tab w:leader="none" w:pos="972"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of this Warrant, by acceptance hereof, acknowledges that this Warrant and the Shares issuable upon exercise hereof are being acquired solely for the Holder’s own account and not as a nominee for any other party, and for investment, and that the Holder will not offer, sell, or otherwise dispose of this Warrant or any Shares to be issued upon exercise hereof except under circumstances that will not result in a violation of the Securities Act or any state or foreign securities laws. Upon exercise of this Warrant, the Holder shall, if reasonably requested by the Company and if required by applicable law or regulation, confirm in writing, in a form satisfactory to the Company, that the Shares so purchased are being acquired solely for Holder’s own account and not as a nominee for any other party, for investment, and not with a view toward distribution or resale.</w:t>
      </w:r>
    </w:p>
    <w:p>
      <w:pPr>
        <w:spacing w:after="0" w:line="188" w:lineRule="exact"/>
        <w:rPr>
          <w:rFonts w:ascii="Times New Roman" w:cs="Times New Roman" w:eastAsia="Times New Roman" w:hAnsi="Times New Roman"/>
          <w:sz w:val="18"/>
          <w:szCs w:val="18"/>
          <w:color w:val="auto"/>
        </w:rPr>
      </w:pPr>
    </w:p>
    <w:p>
      <w:pPr>
        <w:jc w:val="both"/>
        <w:ind w:left="972" w:hanging="324"/>
        <w:spacing w:after="0" w:line="258" w:lineRule="auto"/>
        <w:tabs>
          <w:tab w:leader="none" w:pos="972"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have not been registered under the Securities Act, and this Warrant may not be exercised except by (1) the original purchaser of this Warrant from the Company or (2) an “accredited investor” as defined in Rule 501(a) under the Securities Act. Each certificate representing Shares issued on exercise of this Warrant or other securities issued in respect of such Shares upon any stock split, stock dividend, recapitalization, merger, consolidation or similar event, shall be stamped or otherwise imprinted with a legend substantially in the following form (in addition to any other legend required under applicable securities laws):</w:t>
      </w:r>
    </w:p>
    <w:p>
      <w:pPr>
        <w:spacing w:after="0" w:line="183" w:lineRule="exact"/>
        <w:rPr>
          <w:rFonts w:ascii="Times New Roman" w:cs="Times New Roman" w:eastAsia="Times New Roman" w:hAnsi="Times New Roman"/>
          <w:sz w:val="18"/>
          <w:szCs w:val="18"/>
          <w:color w:val="auto"/>
        </w:rPr>
      </w:pPr>
    </w:p>
    <w:p>
      <w:pPr>
        <w:jc w:val="both"/>
        <w:ind w:left="972"/>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COMMON STOCK EVIDENCED HEREBY HAVE NOT BEEN REGISTERED UNDER THE SECURITIES ACT OF 1933, AS AMENDED (THE “SECURITIES ACT”), OR ANY APPLICABLE STATE SECURITIES LAWS AND MAY NOT BE SOLD, TRANSFERRED OR OTHERWISE DISPOSED OF UNLESS THERE IS AN EFFECTIVE REGISTRATION STATEMENT UNDER THE SECURITIES ACT AND APPLICABLE STATE SECURITIES LAWS COVERING ANY SUCH TRANSACTION OR UNLESS THE COMPANY SHALL HAVE RECEIVED AN OPINION OF ITS COUNSEL THAT REGISTRATION OF SUCH SHARES UNDER THE SECURITIES ACT AND UNDER THE PROVISIONS OF APPLICABLE STATE SECURITIES LAWS IS NOT REQUIRED.</w:t>
      </w:r>
    </w:p>
    <w:p>
      <w:pPr>
        <w:spacing w:after="0" w:line="187" w:lineRule="exact"/>
        <w:rPr>
          <w:rFonts w:ascii="Times New Roman" w:cs="Times New Roman" w:eastAsia="Times New Roman" w:hAnsi="Times New Roman"/>
          <w:sz w:val="18"/>
          <w:szCs w:val="18"/>
          <w:color w:val="auto"/>
        </w:rPr>
      </w:pPr>
    </w:p>
    <w:p>
      <w:pPr>
        <w:jc w:val="both"/>
        <w:ind w:left="332" w:hanging="332"/>
        <w:spacing w:after="0" w:line="253" w:lineRule="auto"/>
        <w:tabs>
          <w:tab w:leader="none" w:pos="332"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Removal of Restrictive Legends</w:t>
      </w:r>
      <w:r>
        <w:rPr>
          <w:rFonts w:ascii="Times New Roman" w:cs="Times New Roman" w:eastAsia="Times New Roman" w:hAnsi="Times New Roman"/>
          <w:sz w:val="18"/>
          <w:szCs w:val="18"/>
          <w:color w:val="auto"/>
        </w:rPr>
        <w:t>. Neither this Warrant nor any certificates evidencing the Shares or any other equity securities issuable or deliverable under or in connection with this Warrant shall contain any legend restricting the transfer thereof in any of the following circumstances: (i) while a registration statement covering the sale or resale of the Shares is effective under the Securities Act; (ii) following any sale of this Warrant, any of the Shares or any other equity securities issued or delivered to the Holder under or in connection herewith pursuant to Rule 144; (iii) if this Warrant, the Shares or any other equity securities are eligible for sale under Rule 144(b)(1); or (iv) if such legend is not required under applicable requirements of the Securities Act (including judicial interpretations and pronouncements issued by the staff of the Commission) (collectively, the “</w:t>
      </w:r>
      <w:r>
        <w:rPr>
          <w:rFonts w:ascii="Times New Roman" w:cs="Times New Roman" w:eastAsia="Times New Roman" w:hAnsi="Times New Roman"/>
          <w:sz w:val="18"/>
          <w:szCs w:val="18"/>
          <w:u w:val="single" w:color="auto"/>
          <w:color w:val="auto"/>
        </w:rPr>
        <w:t>Unrestricted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Conditions</w:t>
      </w:r>
      <w:r>
        <w:rPr>
          <w:rFonts w:ascii="Times New Roman" w:cs="Times New Roman" w:eastAsia="Times New Roman" w:hAnsi="Times New Roman"/>
          <w:sz w:val="18"/>
          <w:szCs w:val="18"/>
          <w:color w:val="auto"/>
        </w:rPr>
        <w:t>”). If the Unrestricted Conditions are met at the time of the issuance of the Shares, the Company shall cause its counsel, at its expense, to issue a legal opinion to the Transfer Agent, if required by such Transfer Agent to effect the issuance of the Shares or any other shares of equity securities issuable or deliverable under or in connection with this Warrant, as applicable, without a restrictive legend or removal of the legend hereunder. If the Unrestricted Conditions are met at the time of issuance of the Shares, then the Shares shall be issued free of all legends.</w:t>
      </w:r>
    </w:p>
    <w:p>
      <w:pPr>
        <w:spacing w:after="0" w:line="194" w:lineRule="exact"/>
        <w:rPr>
          <w:rFonts w:ascii="Times New Roman" w:cs="Times New Roman" w:eastAsia="Times New Roman" w:hAnsi="Times New Roman"/>
          <w:sz w:val="18"/>
          <w:szCs w:val="18"/>
          <w:color w:val="auto"/>
        </w:rPr>
      </w:pPr>
    </w:p>
    <w:p>
      <w:pPr>
        <w:ind w:left="332" w:right="20" w:hanging="332"/>
        <w:spacing w:after="0" w:line="282" w:lineRule="auto"/>
        <w:tabs>
          <w:tab w:leader="none" w:pos="332"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Taxes</w:t>
      </w:r>
      <w:r>
        <w:rPr>
          <w:rFonts w:ascii="Times New Roman" w:cs="Times New Roman" w:eastAsia="Times New Roman" w:hAnsi="Times New Roman"/>
          <w:sz w:val="18"/>
          <w:szCs w:val="18"/>
          <w:color w:val="auto"/>
        </w:rPr>
        <w:t>. The Company will from time to time promptly pay all taxes and charges that may be imposed in respect of the issuance or delivery of shares upon the exercise of Warrants, but the Company shall not be obligated to pay any transfer taxes in respect of the Warrants or such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251460</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33" w:name="page34"/>
    <w:bookmarkEnd w:id="33"/>
    <w:p>
      <w:pPr>
        <w:ind w:left="332" w:hanging="332"/>
        <w:spacing w:after="0"/>
        <w:tabs>
          <w:tab w:leader="none" w:pos="332"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The Company represents and warrants to, and agrees with, the Holder as follows:</w:t>
      </w:r>
    </w:p>
    <w:p>
      <w:pPr>
        <w:spacing w:after="0" w:line="225" w:lineRule="exact"/>
        <w:rPr>
          <w:rFonts w:ascii="Times New Roman" w:cs="Times New Roman" w:eastAsia="Times New Roman" w:hAnsi="Times New Roman"/>
          <w:sz w:val="18"/>
          <w:szCs w:val="18"/>
          <w:color w:val="auto"/>
        </w:rPr>
      </w:pPr>
    </w:p>
    <w:p>
      <w:pPr>
        <w:jc w:val="both"/>
        <w:ind w:left="972" w:hanging="324"/>
        <w:spacing w:after="0" w:line="261" w:lineRule="auto"/>
        <w:tabs>
          <w:tab w:leader="none" w:pos="972"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Due Organization</w:t>
      </w:r>
      <w:r>
        <w:rPr>
          <w:rFonts w:ascii="Times New Roman" w:cs="Times New Roman" w:eastAsia="Times New Roman" w:hAnsi="Times New Roman"/>
          <w:sz w:val="18"/>
          <w:szCs w:val="18"/>
          <w:color w:val="auto"/>
        </w:rPr>
        <w:t>. The Company is a corporation duly organized, validly existing, and in good standing under the laws of the state of its formation and has all requisite corporate power and authority to carry on its business as now conducted. The Company is duly qualified to transact business and is in good standing in each jurisdiction in which the failure to so qualify would have a material adverse effect on its business or properties.</w:t>
      </w:r>
    </w:p>
    <w:p>
      <w:pPr>
        <w:spacing w:after="0" w:line="179" w:lineRule="exact"/>
        <w:rPr>
          <w:rFonts w:ascii="Times New Roman" w:cs="Times New Roman" w:eastAsia="Times New Roman" w:hAnsi="Times New Roman"/>
          <w:sz w:val="18"/>
          <w:szCs w:val="18"/>
          <w:color w:val="auto"/>
        </w:rPr>
      </w:pPr>
    </w:p>
    <w:p>
      <w:pPr>
        <w:jc w:val="both"/>
        <w:ind w:left="972" w:hanging="324"/>
        <w:spacing w:after="0" w:line="268" w:lineRule="auto"/>
        <w:tabs>
          <w:tab w:leader="none" w:pos="972" w:val="left"/>
        </w:tabs>
        <w:numPr>
          <w:ilvl w:val="1"/>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Authorization; Binding Obligation</w:t>
      </w:r>
      <w:r>
        <w:rPr>
          <w:rFonts w:ascii="Times New Roman" w:cs="Times New Roman" w:eastAsia="Times New Roman" w:hAnsi="Times New Roman"/>
          <w:sz w:val="17"/>
          <w:szCs w:val="17"/>
          <w:color w:val="auto"/>
        </w:rPr>
        <w:t>. This Warrant has been duly executed by the Company and constitutes its legal, valid and binding obligation, enforceable against it in accordance with the terms of this Warrant. Except as may be limited by applicable bankruptcy, insolvency, reorganization or similar laws relating to or affecting the enforcement of creditors’ rights, all corporate action has been taken on the part of the Company, its officers, directors, and stockholders necessary for the authorization, execution and delivery of this Warrant. The Company has taken all corporate action required to make all the obligations of the Company reflected in the provisions of this Warrant the valid and enforceable obligations they purport to be. The issuance of this Warrant and the Shares issuable upon exercise of this Warrant will not be subject to preemptive rights of any stockholders of the Company. No consent, waiver, approval, authorization, exemption, registration, license or declaration is required to be made or obtained by the Company, other than those which have been made or obtained, in connection with</w:t>
      </w:r>
    </w:p>
    <w:p>
      <w:pPr>
        <w:ind w:left="972" w:right="20"/>
        <w:spacing w:after="0" w:line="260" w:lineRule="auto"/>
        <w:tabs>
          <w:tab w:leader="none" w:pos="1209" w:val="left"/>
        </w:tabs>
        <w:numPr>
          <w:ilvl w:val="2"/>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or enforceability of this Warrant or (ii) the consummation of any of the transactions contemplated hereby, including the issuance of the Shares upon exercise of this Warrant.</w:t>
      </w:r>
    </w:p>
    <w:p>
      <w:pPr>
        <w:spacing w:after="0" w:line="181" w:lineRule="exact"/>
        <w:rPr>
          <w:rFonts w:ascii="Times New Roman" w:cs="Times New Roman" w:eastAsia="Times New Roman" w:hAnsi="Times New Roman"/>
          <w:sz w:val="18"/>
          <w:szCs w:val="18"/>
          <w:color w:val="auto"/>
        </w:rPr>
      </w:pPr>
    </w:p>
    <w:p>
      <w:pPr>
        <w:jc w:val="both"/>
        <w:ind w:left="972" w:hanging="324"/>
        <w:spacing w:after="0" w:line="266" w:lineRule="auto"/>
        <w:tabs>
          <w:tab w:leader="none" w:pos="972"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Other Instruments</w:t>
      </w:r>
      <w:r>
        <w:rPr>
          <w:rFonts w:ascii="Times New Roman" w:cs="Times New Roman" w:eastAsia="Times New Roman" w:hAnsi="Times New Roman"/>
          <w:sz w:val="18"/>
          <w:szCs w:val="18"/>
          <w:color w:val="auto"/>
        </w:rPr>
        <w:t>. The authorization, execution and delivery of the Warrant will not constitute or result in a default or violation of any law or regulation applicable to the Company or any term or provision of the Company’s Certificate of Incorporation or bylaws, or any material agreement or instrument by which it is bound or to which its properties or assets are subject.</w:t>
      </w:r>
    </w:p>
    <w:p>
      <w:pPr>
        <w:spacing w:after="0" w:line="175" w:lineRule="exact"/>
        <w:rPr>
          <w:rFonts w:ascii="Times New Roman" w:cs="Times New Roman" w:eastAsia="Times New Roman" w:hAnsi="Times New Roman"/>
          <w:sz w:val="18"/>
          <w:szCs w:val="18"/>
          <w:color w:val="auto"/>
        </w:rPr>
      </w:pPr>
    </w:p>
    <w:p>
      <w:pPr>
        <w:jc w:val="both"/>
        <w:ind w:left="972" w:hanging="324"/>
        <w:spacing w:after="0" w:line="254" w:lineRule="auto"/>
        <w:tabs>
          <w:tab w:leader="none" w:pos="972"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Valid Issuance</w:t>
      </w:r>
      <w:r>
        <w:rPr>
          <w:rFonts w:ascii="Times New Roman" w:cs="Times New Roman" w:eastAsia="Times New Roman" w:hAnsi="Times New Roman"/>
          <w:sz w:val="18"/>
          <w:szCs w:val="18"/>
          <w:color w:val="auto"/>
        </w:rPr>
        <w:t>. This Warrant, and all the Shares which may be issued upon the exercise of this Warrant, and all securities, if any, issuable upon conversion of the Shares, shall, upon issuance, be duly authorized, validly issued, fully paid and non-assessable, and free of any liens and encumbrances (including preemptive or similar rights) except for restrictions on transfer provided for (i) in this Warrant, (ii) under applicable federal and state securities laws, or (iii) in the Company’s Certificate of Incorporation. Based in part upon the representations and warranties of the Holder in this Warrant, this Warrant and all the Shares issuable upon exercise of this Warrant will be issued in compliance with all applicable federal and state securities laws. The Company covenants that it shall at all times cause to be reserved and kept available out of its authorized and unissued capital stock such number of the Shares and other securities for which this Warrant may be exercisable or for which the Shares may be convertible as will be sufficient to permit the exercise in full of this Warrant.</w:t>
      </w:r>
    </w:p>
    <w:p>
      <w:pPr>
        <w:spacing w:after="0" w:line="187" w:lineRule="exact"/>
        <w:rPr>
          <w:rFonts w:ascii="Times New Roman" w:cs="Times New Roman" w:eastAsia="Times New Roman" w:hAnsi="Times New Roman"/>
          <w:sz w:val="18"/>
          <w:szCs w:val="18"/>
          <w:color w:val="auto"/>
        </w:rPr>
      </w:pPr>
    </w:p>
    <w:p>
      <w:pPr>
        <w:jc w:val="both"/>
        <w:ind w:left="972" w:hanging="324"/>
        <w:spacing w:after="0" w:line="256" w:lineRule="auto"/>
        <w:tabs>
          <w:tab w:leader="none" w:pos="972"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 xml:space="preserve">. The Company’s summary capitalization table attached hereto as </w:t>
      </w:r>
      <w:r>
        <w:rPr>
          <w:rFonts w:ascii="Times New Roman" w:cs="Times New Roman" w:eastAsia="Times New Roman" w:hAnsi="Times New Roman"/>
          <w:sz w:val="18"/>
          <w:szCs w:val="18"/>
          <w:b w:val="1"/>
          <w:bCs w:val="1"/>
          <w:color w:val="auto"/>
        </w:rPr>
        <w:t>Schedule 1</w:t>
      </w:r>
      <w:r>
        <w:rPr>
          <w:rFonts w:ascii="Times New Roman" w:cs="Times New Roman" w:eastAsia="Times New Roman" w:hAnsi="Times New Roman"/>
          <w:sz w:val="18"/>
          <w:szCs w:val="18"/>
          <w:color w:val="auto"/>
        </w:rPr>
        <w:t xml:space="preserve"> is true and complete, in all material respects, as of the Issuance Date. Except as described on </w:t>
      </w:r>
      <w:r>
        <w:rPr>
          <w:rFonts w:ascii="Times New Roman" w:cs="Times New Roman" w:eastAsia="Times New Roman" w:hAnsi="Times New Roman"/>
          <w:sz w:val="18"/>
          <w:szCs w:val="18"/>
          <w:b w:val="1"/>
          <w:bCs w:val="1"/>
          <w:color w:val="auto"/>
        </w:rPr>
        <w:t>Schedule 1</w:t>
      </w:r>
      <w:r>
        <w:rPr>
          <w:rFonts w:ascii="Times New Roman" w:cs="Times New Roman" w:eastAsia="Times New Roman" w:hAnsi="Times New Roman"/>
          <w:sz w:val="18"/>
          <w:szCs w:val="18"/>
          <w:color w:val="auto"/>
        </w:rPr>
        <w:t xml:space="preserve">, there are no outstanding warrants, options, convertible securities or other rights, agreements or arrangements of any character (other than equity grants promised to service providers in offer letters or similar agreements in the ordinary course of business, all of which grants will be made from the existing pool that is reflected in the fully diluted capitalization of the Company shown on </w:t>
      </w:r>
      <w:r>
        <w:rPr>
          <w:rFonts w:ascii="Times New Roman" w:cs="Times New Roman" w:eastAsia="Times New Roman" w:hAnsi="Times New Roman"/>
          <w:sz w:val="18"/>
          <w:szCs w:val="18"/>
          <w:b w:val="1"/>
          <w:bCs w:val="1"/>
          <w:color w:val="auto"/>
        </w:rPr>
        <w:t>Schedule 1</w:t>
      </w:r>
      <w:r>
        <w:rPr>
          <w:rFonts w:ascii="Times New Roman" w:cs="Times New Roman" w:eastAsia="Times New Roman" w:hAnsi="Times New Roman"/>
          <w:sz w:val="18"/>
          <w:szCs w:val="18"/>
          <w:color w:val="auto"/>
        </w:rPr>
        <w:t>) under which the Company and any of its subsidiaries is or may be obligated to issue any equity securities of any kind, and neither the Company nor any of its subsidiaries is currently in negotiations for the issuance of any equity securities of any kind.</w:t>
      </w:r>
    </w:p>
    <w:p>
      <w:pPr>
        <w:spacing w:after="0" w:line="186" w:lineRule="exact"/>
        <w:rPr>
          <w:rFonts w:ascii="Times New Roman" w:cs="Times New Roman" w:eastAsia="Times New Roman" w:hAnsi="Times New Roman"/>
          <w:sz w:val="18"/>
          <w:szCs w:val="18"/>
          <w:color w:val="auto"/>
        </w:rPr>
      </w:pPr>
    </w:p>
    <w:p>
      <w:pPr>
        <w:jc w:val="both"/>
        <w:ind w:left="972" w:hanging="324"/>
        <w:spacing w:after="0" w:line="255" w:lineRule="auto"/>
        <w:tabs>
          <w:tab w:leader="none" w:pos="972"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Violation; Registration</w:t>
      </w:r>
      <w:r>
        <w:rPr>
          <w:rFonts w:ascii="Times New Roman" w:cs="Times New Roman" w:eastAsia="Times New Roman" w:hAnsi="Times New Roman"/>
          <w:sz w:val="18"/>
          <w:szCs w:val="18"/>
          <w:color w:val="auto"/>
        </w:rPr>
        <w:t>. The Company shall take all such actions as may be necessary to ensure that all the Shares are issued without violation by the Company of any applicable law or governmental regulation or any requirements of any trading market or securities exchange upon which shares of the Company’s common stock or other securities constituting the Shares may be listed at the time of such exercise (except for official notice of issuance which shall be immediately delivered by the Company upon each such issuance). If the Unrestricted Conditions are satisfied at the time of exercise of this Warrant, the Company shall cause the Shares, immediately upon such exercise, to be listed on any such trading market or securities exchange upon which shares of common stock or other securities constituting the Shares are listed at the time of such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268605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34" w:name="page35"/>
    <w:bookmarkEnd w:id="34"/>
    <w:p>
      <w:pPr>
        <w:jc w:val="both"/>
        <w:ind w:left="332" w:hanging="332"/>
        <w:spacing w:after="0" w:line="256" w:lineRule="auto"/>
        <w:tabs>
          <w:tab w:leader="none" w:pos="332"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Rights as a Stockholder; No Liability</w:t>
      </w:r>
      <w:r>
        <w:rPr>
          <w:rFonts w:ascii="Times New Roman" w:cs="Times New Roman" w:eastAsia="Times New Roman" w:hAnsi="Times New Roman"/>
          <w:sz w:val="18"/>
          <w:szCs w:val="18"/>
          <w:color w:val="auto"/>
        </w:rPr>
        <w:t>. Except as specifically set forth herein, this Warrant, by itself, does not entitle the registered holder thereof to any of the rights of a stockholder of the Company, including, without limitation, the right to receive dividends, or other distributions, exercise any preemptive rights to vote or to consent or to receive notice as stockholders in respect of the meetings of stockholders or the election of directors of the Company or any other matter. No provision hereof, in the absence of any affirmative action by the Holder to exercise this Warrant to purchase the Shares, and no enumeration herein of the rights or privileges of the Holder, shall give rise to any liability of the Holder for the purchase price of any Shares or as a stockholder of the Company, whether such liability is asserted by the Company or by creditors of the Company.</w:t>
      </w:r>
    </w:p>
    <w:p>
      <w:pPr>
        <w:spacing w:after="0" w:line="187"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Impairment.</w:t>
      </w:r>
    </w:p>
    <w:p>
      <w:pPr>
        <w:spacing w:after="0" w:line="225" w:lineRule="exact"/>
        <w:rPr>
          <w:rFonts w:ascii="Times New Roman" w:cs="Times New Roman" w:eastAsia="Times New Roman" w:hAnsi="Times New Roman"/>
          <w:sz w:val="18"/>
          <w:szCs w:val="18"/>
          <w:color w:val="auto"/>
        </w:rPr>
      </w:pPr>
    </w:p>
    <w:p>
      <w:pPr>
        <w:jc w:val="both"/>
        <w:ind w:left="972" w:hanging="324"/>
        <w:spacing w:after="0" w:line="254" w:lineRule="auto"/>
        <w:tabs>
          <w:tab w:leader="none" w:pos="972"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to the contrary, nothing contained in this Warrant shall affect, limit or impair the rights and remedies of the Holder or its affiliates (x) in their capacity as a lender, creditor, or similar, as applicable, to the Company or any of its subsidiaries or affiliates, or (y) pursuant to any other agreements or instruments entered into by the Holder (or its affiliates) and the Company or any of its subsidiaries or affiliates. Without limiting the generality of the foregoing, neither the Administrative Agent (as defined in the Loan Agreement) nor any of its affiliates, in exercising their rights as lenders will have any duty to consider (i) its (or its affiliates’) status as a direct or indirect shareholder of the Company and its subsidiaries, (ii) its (or its affiliates’) direct or indirect ownership of the Shares of the Company or any of its subsidiaries, or (iii) any duty it (or its affiliates) may have to any other direct or indirect shareholders of the Company and its subsidiaries, except as may be required under the applicable loan documents.</w:t>
      </w:r>
    </w:p>
    <w:p>
      <w:pPr>
        <w:spacing w:after="0" w:line="191" w:lineRule="exact"/>
        <w:rPr>
          <w:rFonts w:ascii="Times New Roman" w:cs="Times New Roman" w:eastAsia="Times New Roman" w:hAnsi="Times New Roman"/>
          <w:sz w:val="18"/>
          <w:szCs w:val="18"/>
          <w:color w:val="auto"/>
        </w:rPr>
      </w:pPr>
    </w:p>
    <w:p>
      <w:pPr>
        <w:jc w:val="both"/>
        <w:ind w:left="972" w:hanging="324"/>
        <w:spacing w:after="0" w:line="253" w:lineRule="auto"/>
        <w:tabs>
          <w:tab w:leader="none" w:pos="972"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by amendment of its Certificate of Incorporation or bylaws, through any shareholders, voting or similar agreement, or through any reorganization, transfer of assets, consolidation, merger, dissolution, issue or sale of securities, or any other voluntary action, avoid or seek to avoid the observance or performance of any of the terms to be observed or performed by it hereunder, but shall at all times in good faith assist in the carrying out of all the provisions of this Warrant and in the taking of all such action as may reasonably be requested by the Holder in order to protect the exercise rights of the Holder against dilution or other impairment, consistent with the tenor and purpose of this Warrant. Without limiting the generality of the foregoing, the Company (x) will not increase the par value of any the Shares above the then-applicable Warrant Price, (y) will take all such action as may be necessary or appropriate in order that the Company may validly and legally issue fully paid and nonassessable Shares upon the exercise of this Warrant, and (z) will use commercially reasonable efforts to obtain all such authorizations, exemptions or consents from any public regulatory body having jurisdiction thereof, as may be, necessary to enable the Company to perform its obligations under this Warrant</w:t>
      </w:r>
      <w:r>
        <w:rPr>
          <w:rFonts w:ascii="Times New Roman" w:cs="Times New Roman" w:eastAsia="Times New Roman" w:hAnsi="Times New Roman"/>
          <w:sz w:val="18"/>
          <w:szCs w:val="18"/>
          <w:u w:val="single" w:color="auto"/>
          <w:color w:val="auto"/>
        </w:rPr>
        <w:t>.</w:t>
      </w:r>
    </w:p>
    <w:p>
      <w:pPr>
        <w:spacing w:after="0" w:line="194"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Headings</w:t>
      </w:r>
      <w:r>
        <w:rPr>
          <w:rFonts w:ascii="Times New Roman" w:cs="Times New Roman" w:eastAsia="Times New Roman" w:hAnsi="Times New Roman"/>
          <w:sz w:val="18"/>
          <w:szCs w:val="18"/>
          <w:color w:val="auto"/>
        </w:rPr>
        <w:t>. The section headings herein are for convenience only and are not part of this Warrant and shall not affect the interpretation thereof.</w:t>
      </w:r>
    </w:p>
    <w:p>
      <w:pPr>
        <w:spacing w:after="0" w:line="225" w:lineRule="exact"/>
        <w:rPr>
          <w:rFonts w:ascii="Times New Roman" w:cs="Times New Roman" w:eastAsia="Times New Roman" w:hAnsi="Times New Roman"/>
          <w:sz w:val="18"/>
          <w:szCs w:val="18"/>
          <w:color w:val="auto"/>
        </w:rPr>
      </w:pPr>
    </w:p>
    <w:p>
      <w:pPr>
        <w:ind w:left="332" w:hanging="332"/>
        <w:spacing w:after="0" w:line="282" w:lineRule="auto"/>
        <w:tabs>
          <w:tab w:leader="none" w:pos="332"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Modification and Waiver</w:t>
      </w:r>
      <w:r>
        <w:rPr>
          <w:rFonts w:ascii="Times New Roman" w:cs="Times New Roman" w:eastAsia="Times New Roman" w:hAnsi="Times New Roman"/>
          <w:sz w:val="18"/>
          <w:szCs w:val="18"/>
          <w:color w:val="auto"/>
        </w:rPr>
        <w:t>. This Warrant and any provision hereof may be changed, waived, discharged or terminated only by an instrument in writing signed by the party against which enforcement of the same is sought.</w:t>
      </w:r>
    </w:p>
    <w:p>
      <w:pPr>
        <w:spacing w:after="0" w:line="161" w:lineRule="exact"/>
        <w:rPr>
          <w:rFonts w:ascii="Times New Roman" w:cs="Times New Roman" w:eastAsia="Times New Roman" w:hAnsi="Times New Roman"/>
          <w:sz w:val="18"/>
          <w:szCs w:val="18"/>
          <w:color w:val="auto"/>
        </w:rPr>
      </w:pPr>
    </w:p>
    <w:p>
      <w:pPr>
        <w:jc w:val="both"/>
        <w:ind w:left="332" w:hanging="332"/>
        <w:spacing w:after="0" w:line="266" w:lineRule="auto"/>
        <w:tabs>
          <w:tab w:leader="none" w:pos="332"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xml:space="preserve"> Any notice, request or other document required or permitted to be given or delivered to the Holder or the Company shall be delivered, or shall be sent by certified or registered mail, postage prepaid, to the Holder at its address as shown on the books of the Company or to the Company at the address indicated therefor in the first paragraph of this Warrant.</w:t>
      </w:r>
    </w:p>
    <w:p>
      <w:pPr>
        <w:spacing w:after="0" w:line="175" w:lineRule="exact"/>
        <w:rPr>
          <w:rFonts w:ascii="Times New Roman" w:cs="Times New Roman" w:eastAsia="Times New Roman" w:hAnsi="Times New Roman"/>
          <w:sz w:val="18"/>
          <w:szCs w:val="18"/>
          <w:color w:val="auto"/>
        </w:rPr>
      </w:pPr>
    </w:p>
    <w:p>
      <w:pPr>
        <w:ind w:left="332" w:hanging="332"/>
        <w:spacing w:after="0" w:line="282" w:lineRule="auto"/>
        <w:tabs>
          <w:tab w:leader="none" w:pos="332"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Warrant shall be construed and enforced in accordance with, and the rights of the parties shall be governed by, the laws of the State of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251460</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35" w:name="page36"/>
    <w:bookmarkEnd w:id="35"/>
    <w:p>
      <w:pPr>
        <w:jc w:val="both"/>
        <w:ind w:left="332" w:hanging="332"/>
        <w:spacing w:after="0" w:line="258" w:lineRule="auto"/>
        <w:tabs>
          <w:tab w:leader="none" w:pos="332"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Nonwaiver and Expenses</w:t>
      </w:r>
      <w:r>
        <w:rPr>
          <w:rFonts w:ascii="Times New Roman" w:cs="Times New Roman" w:eastAsia="Times New Roman" w:hAnsi="Times New Roman"/>
          <w:sz w:val="18"/>
          <w:szCs w:val="18"/>
          <w:color w:val="auto"/>
        </w:rPr>
        <w:t>. No course of dealing or any delay or failure to exercise any right hereunder on the part of the Holder shall operate as a waiver of such right or otherwise prejudice the Holder’s rights, powers or remedies provided herein.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spacing w:after="0" w:line="183" w:lineRule="exact"/>
        <w:rPr>
          <w:rFonts w:ascii="Times New Roman" w:cs="Times New Roman" w:eastAsia="Times New Roman" w:hAnsi="Times New Roman"/>
          <w:sz w:val="18"/>
          <w:szCs w:val="18"/>
          <w:color w:val="auto"/>
        </w:rPr>
      </w:pPr>
    </w:p>
    <w:p>
      <w:pPr>
        <w:jc w:val="both"/>
        <w:ind w:left="332" w:hanging="332"/>
        <w:spacing w:after="0" w:line="261" w:lineRule="auto"/>
        <w:tabs>
          <w:tab w:leader="none" w:pos="332"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Subject to applicable securities laws, this Warrant and the rights and obligations evidenced hereby shall inure to the benefit of and be binding upon the successors and permitted assigns of the Company and the successors and permitted assigns of the Holder. The provisions of this Warrant are intended to be for the benefit of the Holder from time to time of this Warrant and shall be enforceable by the Holder or holder of the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262890</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color w:val="auto"/>
        </w:rPr>
        <w:t>IN WITNESS WHEREOF, the Company has caused this Warrant to be executed by its duly authorized officer.</w:t>
      </w:r>
    </w:p>
    <w:p>
      <w:pPr>
        <w:spacing w:after="0" w:line="225"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 2022</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DRAGONFLY ENERGY HOLDINGS CORP.</w:t>
      </w:r>
    </w:p>
    <w:p>
      <w:pPr>
        <w:spacing w:after="0" w:line="23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SCHEDULE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Fully Diluted Capitalization of the Company as of the Issuance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301625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38" w:name="page39"/>
    <w:bookmarkEnd w:id="3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NOTICE OF EXERCISE</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To Be Executed by the Registered Holder in Order to Exercise Warrants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undersigned Registered Holder irrevocably elects to exercise ______________ Warrants represented by this Warrant Certificate, and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 the Shares issuable upon the exercise of such Warrants, and requests that Certificates for such shares shall be issued in the name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606933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0693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563245</wp:posOffset>
            </wp:positionV>
            <wp:extent cx="606933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0693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845820</wp:posOffset>
            </wp:positionV>
            <wp:extent cx="606933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0693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1129030</wp:posOffset>
            </wp:positionV>
            <wp:extent cx="606933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0693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TYPE OR PRINT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606933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0693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(SOCIAL SECURITY OR TAX IDENTIFICATION NUMBER)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be delivered to _____________________________________________________________________</w:t>
      </w:r>
    </w:p>
    <w:p>
      <w:pPr>
        <w:spacing w:after="0" w:line="22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(PLEASE PRINT OR TYPE NAME AND ADDRESS)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if such number of Warrants shall not be all the Warrants evidenced by this Warrant Certificate, that a new Warrant Certificate for the balance of such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Warrants be registered in the name of, and delivered to, the Registered Holder at the address stated below:</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14579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-127635</wp:posOffset>
            </wp:positionV>
            <wp:extent cx="348869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-127635</wp:posOffset>
            </wp:positionV>
            <wp:extent cx="348869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48869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(TAX IDENTIFICATION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-127635</wp:posOffset>
            </wp:positionV>
            <wp:extent cx="348869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886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color w:val="auto"/>
        </w:rPr>
        <w:t>FORM OF TRANSFER</w:t>
      </w:r>
    </w:p>
    <w:p>
      <w:pPr>
        <w:spacing w:after="0" w:line="229"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color w:val="auto"/>
        </w:rPr>
        <w:t>To Be Executed by the Registered Holder in Order to Transfer Warrants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Value Received, _______________________ hereby sell, assign, and transfer unto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(PLEASE TYPE OR PRINT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(SOCIAL SECURITY OR TAX IDENTIFICATION NUMBER)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be delivered to _______________________________________________________________________</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(PLEASE PRINT OR TYPE NAME AND ADDRESS)</w:t>
      </w:r>
    </w:p>
    <w:p>
      <w:pPr>
        <w:spacing w:after="0" w:line="207" w:lineRule="exact"/>
        <w:rPr>
          <w:sz w:val="20"/>
          <w:szCs w:val="20"/>
          <w:color w:val="auto"/>
        </w:rPr>
      </w:pPr>
    </w:p>
    <w:p>
      <w:pPr>
        <w:spacing w:after="0"/>
        <w:tabs>
          <w:tab w:leader="none" w:pos="2140" w:val="left"/>
          <w:tab w:leader="none" w:pos="2480" w:val="left"/>
          <w:tab w:leader="none" w:pos="2880" w:val="left"/>
          <w:tab w:leader="none" w:pos="3700" w:val="left"/>
          <w:tab w:leader="none" w:pos="4720" w:val="left"/>
          <w:tab w:leader="none" w:pos="5080" w:val="left"/>
          <w:tab w:leader="none" w:pos="5520" w:val="left"/>
          <w:tab w:leader="none" w:pos="6260" w:val="left"/>
          <w:tab w:leader="none" w:pos="7260" w:val="left"/>
          <w:tab w:leader="none" w:pos="7680" w:val="left"/>
          <w:tab w:leader="none" w:pos="8360" w:val="left"/>
          <w:tab w:leader="none" w:pos="9360" w:val="left"/>
          <w:tab w:leader="none" w:pos="10240" w:val="left"/>
          <w:tab w:leader="none" w:pos="10680" w:val="left"/>
        </w:tabs>
        <w:rPr>
          <w:sz w:val="20"/>
          <w:szCs w:val="20"/>
          <w:color w:val="auto"/>
        </w:rPr>
      </w:pPr>
      <w:r>
        <w:rPr>
          <w:rFonts w:ascii="Times New Roman" w:cs="Times New Roman" w:eastAsia="Times New Roman" w:hAnsi="Times New Roman"/>
          <w:sz w:val="18"/>
          <w:szCs w:val="18"/>
          <w:color w:val="auto"/>
        </w:rPr>
        <w:t>______________________</w:t>
        <w:tab/>
        <w:t>of</w:t>
        <w:tab/>
        <w:t>the</w:t>
        <w:tab/>
        <w:t>Warrants</w:t>
        <w:tab/>
        <w:t>represented</w:t>
        <w:tab/>
        <w:t>by</w:t>
        <w:tab/>
        <w:t>this</w:t>
        <w:tab/>
        <w:t>Warrant</w:t>
        <w:tab/>
        <w:t>Certificate,</w:t>
        <w:tab/>
        <w:t>and</w:t>
        <w:tab/>
        <w:t>hereby</w:t>
        <w:tab/>
        <w:t>irrevocably</w:t>
        <w:tab/>
        <w:t>constitute</w:t>
        <w:tab/>
        <w:t>and</w:t>
        <w:tab/>
        <w:t>appoint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 Attorney to transfer this Warrant Certificate on the books of the Company, with full power of substitution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premises.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______________</w:t>
      </w:r>
    </w:p>
    <w:p>
      <w:pPr>
        <w:spacing w:after="0" w:line="200" w:lineRule="exact"/>
        <w:rPr>
          <w:sz w:val="20"/>
          <w:szCs w:val="20"/>
          <w:color w:val="auto"/>
        </w:rPr>
      </w:pPr>
    </w:p>
    <w:p>
      <w:pPr>
        <w:spacing w:after="0" w:line="25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-127635</wp:posOffset>
            </wp:positionV>
            <wp:extent cx="356616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5"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2"/>
          <w:szCs w:val="12"/>
          <w:color w:val="auto"/>
        </w:rPr>
        <w:t>he signature to the assignment of the</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2"/>
          <w:szCs w:val="12"/>
          <w:color w:val="auto"/>
        </w:rPr>
        <w:t>ubscription</w:t>
      </w:r>
      <w:r>
        <w:rPr>
          <w:rFonts w:ascii="Times New Roman" w:cs="Times New Roman" w:eastAsia="Times New Roman" w:hAnsi="Times New Roman"/>
          <w:sz w:val="18"/>
          <w:szCs w:val="18"/>
          <w:color w:val="auto"/>
        </w:rPr>
        <w:t xml:space="preserve"> F</w:t>
      </w:r>
      <w:r>
        <w:rPr>
          <w:rFonts w:ascii="Times New Roman" w:cs="Times New Roman" w:eastAsia="Times New Roman" w:hAnsi="Times New Roman"/>
          <w:sz w:val="12"/>
          <w:szCs w:val="12"/>
          <w:color w:val="auto"/>
        </w:rPr>
        <w:t>orm must correspond to the name written upon the face of this</w:t>
      </w:r>
      <w:r>
        <w:rPr>
          <w:rFonts w:ascii="Times New Roman" w:cs="Times New Roman" w:eastAsia="Times New Roman" w:hAnsi="Times New Roman"/>
          <w:sz w:val="18"/>
          <w:szCs w:val="18"/>
          <w:color w:val="auto"/>
        </w:rPr>
        <w:t xml:space="preserve"> W</w:t>
      </w:r>
      <w:r>
        <w:rPr>
          <w:rFonts w:ascii="Times New Roman" w:cs="Times New Roman" w:eastAsia="Times New Roman" w:hAnsi="Times New Roman"/>
          <w:sz w:val="12"/>
          <w:szCs w:val="12"/>
          <w:color w:val="auto"/>
        </w:rPr>
        <w:t>arrant</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ertificate in every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2"/>
          <w:szCs w:val="12"/>
          <w:color w:val="auto"/>
        </w:rPr>
        <w:t>particular</w:t>
      </w:r>
      <w:r>
        <w:rPr>
          <w:rFonts w:ascii="Times New Roman" w:cs="Times New Roman" w:eastAsia="Times New Roman" w:hAnsi="Times New Roman"/>
          <w:sz w:val="17"/>
          <w:szCs w:val="17"/>
          <w:color w:val="auto"/>
        </w:rPr>
        <w:t>,</w:t>
      </w:r>
      <w:r>
        <w:rPr>
          <w:rFonts w:ascii="Times New Roman" w:cs="Times New Roman" w:eastAsia="Times New Roman" w:hAnsi="Times New Roman"/>
          <w:sz w:val="12"/>
          <w:szCs w:val="12"/>
          <w:color w:val="auto"/>
        </w:rPr>
        <w:t xml:space="preserve"> without alteration or enlargement or any change whatsoever</w:t>
      </w:r>
      <w:r>
        <w:rPr>
          <w:rFonts w:ascii="Times New Roman" w:cs="Times New Roman" w:eastAsia="Times New Roman" w:hAnsi="Times New Roman"/>
          <w:sz w:val="17"/>
          <w:szCs w:val="17"/>
          <w:color w:val="auto"/>
        </w:rPr>
        <w:t>,</w:t>
      </w:r>
      <w:r>
        <w:rPr>
          <w:rFonts w:ascii="Times New Roman" w:cs="Times New Roman" w:eastAsia="Times New Roman" w:hAnsi="Times New Roman"/>
          <w:sz w:val="12"/>
          <w:szCs w:val="12"/>
          <w:color w:val="auto"/>
        </w:rPr>
        <w:t xml:space="preserve"> and must be guaranteed by a commercial bank or trust company or a member firm of the </w:t>
      </w:r>
      <w:r>
        <w:rPr>
          <w:rFonts w:ascii="Times New Roman" w:cs="Times New Roman" w:eastAsia="Times New Roman" w:hAnsi="Times New Roman"/>
          <w:sz w:val="17"/>
          <w:szCs w:val="17"/>
          <w:color w:val="auto"/>
        </w:rPr>
        <w:t>NYSE A</w:t>
      </w:r>
      <w:r>
        <w:rPr>
          <w:rFonts w:ascii="Times New Roman" w:cs="Times New Roman" w:eastAsia="Times New Roman" w:hAnsi="Times New Roman"/>
          <w:sz w:val="12"/>
          <w:szCs w:val="12"/>
          <w:color w:val="auto"/>
        </w:rPr>
        <w:t>merican</w:t>
      </w:r>
      <w:r>
        <w:rPr>
          <w:rFonts w:ascii="Times New Roman" w:cs="Times New Roman" w:eastAsia="Times New Roman" w:hAnsi="Times New Roman"/>
          <w:sz w:val="17"/>
          <w:szCs w:val="17"/>
          <w:color w:val="auto"/>
        </w:rPr>
        <w:t>, N</w:t>
      </w:r>
      <w:r>
        <w:rPr>
          <w:rFonts w:ascii="Times New Roman" w:cs="Times New Roman" w:eastAsia="Times New Roman" w:hAnsi="Times New Roman"/>
          <w:sz w:val="12"/>
          <w:szCs w:val="12"/>
          <w:color w:val="auto"/>
        </w:rPr>
        <w:t>asdaq</w:t>
      </w:r>
      <w:r>
        <w:rPr>
          <w:rFonts w:ascii="Times New Roman" w:cs="Times New Roman" w:eastAsia="Times New Roman" w:hAnsi="Times New Roman"/>
          <w:sz w:val="17"/>
          <w:szCs w:val="17"/>
          <w:color w:val="auto"/>
        </w:rPr>
        <w:t>, N</w:t>
      </w:r>
      <w:r>
        <w:rPr>
          <w:rFonts w:ascii="Times New Roman" w:cs="Times New Roman" w:eastAsia="Times New Roman" w:hAnsi="Times New Roman"/>
          <w:sz w:val="12"/>
          <w:szCs w:val="12"/>
          <w:color w:val="auto"/>
        </w:rPr>
        <w:t xml:space="preserve">ew </w:t>
      </w:r>
      <w:r>
        <w:rPr>
          <w:rFonts w:ascii="Times New Roman" w:cs="Times New Roman" w:eastAsia="Times New Roman" w:hAnsi="Times New Roman"/>
          <w:sz w:val="17"/>
          <w:szCs w:val="17"/>
          <w:color w:val="auto"/>
        </w:rPr>
        <w:t>Y</w:t>
      </w:r>
      <w:r>
        <w:rPr>
          <w:rFonts w:ascii="Times New Roman" w:cs="Times New Roman" w:eastAsia="Times New Roman" w:hAnsi="Times New Roman"/>
          <w:sz w:val="12"/>
          <w:szCs w:val="12"/>
          <w:color w:val="auto"/>
        </w:rPr>
        <w:t xml:space="preserve">ork </w:t>
      </w:r>
      <w:r>
        <w:rPr>
          <w:rFonts w:ascii="Times New Roman" w:cs="Times New Roman" w:eastAsia="Times New Roman" w:hAnsi="Times New Roman"/>
          <w:sz w:val="17"/>
          <w:szCs w:val="17"/>
          <w:color w:val="auto"/>
        </w:rPr>
        <w:t>S</w:t>
      </w:r>
      <w:r>
        <w:rPr>
          <w:rFonts w:ascii="Times New Roman" w:cs="Times New Roman" w:eastAsia="Times New Roman" w:hAnsi="Times New Roman"/>
          <w:sz w:val="12"/>
          <w:szCs w:val="12"/>
          <w:color w:val="auto"/>
        </w:rPr>
        <w:t xml:space="preserve">tock </w:t>
      </w:r>
      <w:r>
        <w:rPr>
          <w:rFonts w:ascii="Times New Roman" w:cs="Times New Roman" w:eastAsia="Times New Roman" w:hAnsi="Times New Roman"/>
          <w:sz w:val="17"/>
          <w:szCs w:val="17"/>
          <w:color w:val="auto"/>
        </w:rPr>
        <w:t>E</w:t>
      </w:r>
      <w:r>
        <w:rPr>
          <w:rFonts w:ascii="Times New Roman" w:cs="Times New Roman" w:eastAsia="Times New Roman" w:hAnsi="Times New Roman"/>
          <w:sz w:val="12"/>
          <w:szCs w:val="12"/>
          <w:color w:val="auto"/>
        </w:rPr>
        <w:t>xchange</w:t>
      </w:r>
      <w:r>
        <w:rPr>
          <w:rFonts w:ascii="Times New Roman" w:cs="Times New Roman" w:eastAsia="Times New Roman" w:hAnsi="Times New Roman"/>
          <w:sz w:val="17"/>
          <w:szCs w:val="17"/>
          <w:color w:val="auto"/>
        </w:rPr>
        <w:t>, P</w:t>
      </w:r>
      <w:r>
        <w:rPr>
          <w:rFonts w:ascii="Times New Roman" w:cs="Times New Roman" w:eastAsia="Times New Roman" w:hAnsi="Times New Roman"/>
          <w:sz w:val="12"/>
          <w:szCs w:val="12"/>
          <w:color w:val="auto"/>
        </w:rPr>
        <w:t xml:space="preserve">acific </w:t>
      </w:r>
      <w:r>
        <w:rPr>
          <w:rFonts w:ascii="Times New Roman" w:cs="Times New Roman" w:eastAsia="Times New Roman" w:hAnsi="Times New Roman"/>
          <w:sz w:val="17"/>
          <w:szCs w:val="17"/>
          <w:color w:val="auto"/>
        </w:rPr>
        <w:t>S</w:t>
      </w:r>
      <w:r>
        <w:rPr>
          <w:rFonts w:ascii="Times New Roman" w:cs="Times New Roman" w:eastAsia="Times New Roman" w:hAnsi="Times New Roman"/>
          <w:sz w:val="12"/>
          <w:szCs w:val="12"/>
          <w:color w:val="auto"/>
        </w:rPr>
        <w:t xml:space="preserve">tock </w:t>
      </w:r>
      <w:r>
        <w:rPr>
          <w:rFonts w:ascii="Times New Roman" w:cs="Times New Roman" w:eastAsia="Times New Roman" w:hAnsi="Times New Roman"/>
          <w:sz w:val="17"/>
          <w:szCs w:val="17"/>
          <w:color w:val="auto"/>
        </w:rPr>
        <w:t>E</w:t>
      </w:r>
      <w:r>
        <w:rPr>
          <w:rFonts w:ascii="Times New Roman" w:cs="Times New Roman" w:eastAsia="Times New Roman" w:hAnsi="Times New Roman"/>
          <w:sz w:val="12"/>
          <w:szCs w:val="12"/>
          <w:color w:val="auto"/>
        </w:rPr>
        <w:t>xchange</w:t>
      </w:r>
      <w:r>
        <w:rPr>
          <w:rFonts w:ascii="Times New Roman" w:cs="Times New Roman" w:eastAsia="Times New Roman" w:hAnsi="Times New Roman"/>
          <w:sz w:val="17"/>
          <w:szCs w:val="17"/>
          <w:color w:val="auto"/>
        </w:rPr>
        <w:t>,</w:t>
      </w:r>
      <w:r>
        <w:rPr>
          <w:rFonts w:ascii="Times New Roman" w:cs="Times New Roman" w:eastAsia="Times New Roman" w:hAnsi="Times New Roman"/>
          <w:sz w:val="12"/>
          <w:szCs w:val="12"/>
          <w:color w:val="auto"/>
        </w:rPr>
        <w:t xml:space="preserve"> or </w:t>
      </w:r>
      <w:r>
        <w:rPr>
          <w:rFonts w:ascii="Times New Roman" w:cs="Times New Roman" w:eastAsia="Times New Roman" w:hAnsi="Times New Roman"/>
          <w:sz w:val="17"/>
          <w:szCs w:val="17"/>
          <w:color w:val="auto"/>
        </w:rPr>
        <w:t>C</w:t>
      </w:r>
      <w:r>
        <w:rPr>
          <w:rFonts w:ascii="Times New Roman" w:cs="Times New Roman" w:eastAsia="Times New Roman" w:hAnsi="Times New Roman"/>
          <w:sz w:val="12"/>
          <w:szCs w:val="12"/>
          <w:color w:val="auto"/>
        </w:rPr>
        <w:t xml:space="preserve">hicago </w:t>
      </w:r>
      <w:r>
        <w:rPr>
          <w:rFonts w:ascii="Times New Roman" w:cs="Times New Roman" w:eastAsia="Times New Roman" w:hAnsi="Times New Roman"/>
          <w:sz w:val="17"/>
          <w:szCs w:val="17"/>
          <w:color w:val="auto"/>
        </w:rPr>
        <w:t>S</w:t>
      </w:r>
      <w:r>
        <w:rPr>
          <w:rFonts w:ascii="Times New Roman" w:cs="Times New Roman" w:eastAsia="Times New Roman" w:hAnsi="Times New Roman"/>
          <w:sz w:val="12"/>
          <w:szCs w:val="12"/>
          <w:color w:val="auto"/>
        </w:rPr>
        <w:t xml:space="preserve">tock </w:t>
      </w:r>
      <w:r>
        <w:rPr>
          <w:rFonts w:ascii="Times New Roman" w:cs="Times New Roman" w:eastAsia="Times New Roman" w:hAnsi="Times New Roman"/>
          <w:sz w:val="17"/>
          <w:szCs w:val="17"/>
          <w:color w:val="auto"/>
        </w:rPr>
        <w:t>E</w:t>
      </w:r>
      <w:r>
        <w:rPr>
          <w:rFonts w:ascii="Times New Roman" w:cs="Times New Roman" w:eastAsia="Times New Roman" w:hAnsi="Times New Roman"/>
          <w:sz w:val="12"/>
          <w:szCs w:val="12"/>
          <w:color w:val="auto"/>
        </w:rPr>
        <w:t>xchange</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387350</wp:posOffset>
            </wp:positionV>
            <wp:extent cx="71323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1)"/>
      <w:numFmt w:val="lowerRoman"/>
      <w:start w:val="2"/>
    </w:lvl>
  </w:abstractNum>
  <w:abstractNum w:abstractNumId="3">
    <w:nsid w:val="6763845E"/>
    <w:multiLevelType w:val="hybridMultilevel"/>
    <w:lvl w:ilvl="0">
      <w:lvlJc w:val="left"/>
      <w:lvlText w:val="(%1)"/>
      <w:numFmt w:val="lowerRoman"/>
      <w:start w:val="2"/>
    </w:lvl>
  </w:abstractNum>
  <w:abstractNum w:abstractNumId="4">
    <w:nsid w:val="75A2A8D4"/>
    <w:multiLevelType w:val="hybridMultilevel"/>
    <w:lvl w:ilvl="0">
      <w:lvlJc w:val="left"/>
      <w:lvlText w:val="%1"/>
      <w:numFmt w:val="decimal"/>
      <w:start w:val="104"/>
    </w:lvl>
  </w:abstractNum>
  <w:abstractNum w:abstractNumId="5">
    <w:nsid w:val="8EDBDAB"/>
    <w:multiLevelType w:val="hybridMultilevel"/>
    <w:lvl w:ilvl="0">
      <w:lvlJc w:val="left"/>
      <w:lvlText w:val="%1."/>
      <w:numFmt w:val="decimal"/>
      <w:start w:val="1"/>
    </w:lvl>
    <w:lvl w:ilvl="1">
      <w:lvlJc w:val="left"/>
      <w:lvlText w:val="(%2)"/>
      <w:numFmt w:val="lowerLetter"/>
      <w:start w:val="1"/>
    </w:lvl>
  </w:abstractNum>
  <w:abstractNum w:abstractNumId="6">
    <w:nsid w:val="79838CB2"/>
    <w:multiLevelType w:val="hybridMultilevel"/>
    <w:lvl w:ilvl="0">
      <w:lvlJc w:val="left"/>
      <w:lvlText w:val="1"/>
      <w:numFmt w:val="bullet"/>
      <w:start w:val="1"/>
    </w:lvl>
  </w:abstractNum>
  <w:abstractNum w:abstractNumId="7">
    <w:nsid w:val="4353D0CD"/>
    <w:multiLevelType w:val="hybridMultilevel"/>
    <w:lvl w:ilvl="0">
      <w:lvlJc w:val="left"/>
      <w:lvlText w:val="%1"/>
      <w:numFmt w:val="decimal"/>
      <w:start w:val="1"/>
    </w:lvl>
    <w:lvl w:ilvl="1">
      <w:lvlJc w:val="left"/>
      <w:lvlText w:val="(%2)"/>
      <w:numFmt w:val="lowerLetter"/>
      <w:start w:val="4"/>
    </w:lvl>
  </w:abstractNum>
  <w:abstractNum w:abstractNumId="8">
    <w:nsid w:val="B03E0C6"/>
    <w:multiLevelType w:val="hybridMultilevel"/>
    <w:lvl w:ilvl="0">
      <w:lvlJc w:val="left"/>
      <w:lvlText w:val="%1."/>
      <w:numFmt w:val="decimal"/>
      <w:start w:val="2"/>
    </w:lvl>
    <w:lvl w:ilvl="1">
      <w:lvlJc w:val="left"/>
      <w:lvlText w:val="(%2)"/>
      <w:numFmt w:val="lowerLetter"/>
      <w:start w:val="1"/>
    </w:lvl>
  </w:abstractNum>
  <w:abstractNum w:abstractNumId="9">
    <w:nsid w:val="189A769B"/>
    <w:multiLevelType w:val="hybridMultilevel"/>
    <w:lvl w:ilvl="0">
      <w:lvlJc w:val="left"/>
      <w:lvlText w:val="%1"/>
      <w:numFmt w:val="decimal"/>
      <w:start w:val="1"/>
    </w:lvl>
    <w:lvl w:ilvl="1">
      <w:lvlJc w:val="left"/>
      <w:lvlText w:val="(%2)"/>
      <w:numFmt w:val="lowerLetter"/>
      <w:start w:val="4"/>
    </w:lvl>
  </w:abstractNum>
  <w:abstractNum w:abstractNumId="10">
    <w:nsid w:val="54E49EB4"/>
    <w:multiLevelType w:val="hybridMultilevel"/>
    <w:lvl w:ilvl="0">
      <w:lvlJc w:val="left"/>
      <w:lvlText w:val="%1."/>
      <w:numFmt w:val="decimal"/>
      <w:start w:val="3"/>
    </w:lvl>
    <w:lvl w:ilvl="1">
      <w:lvlJc w:val="left"/>
      <w:lvlText w:val="(%2)"/>
      <w:numFmt w:val="lowerLetter"/>
      <w:start w:val="1"/>
    </w:lvl>
  </w:abstractNum>
  <w:abstractNum w:abstractNumId="11">
    <w:nsid w:val="71F32454"/>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2">
    <w:nsid w:val="2CA88611"/>
    <w:multiLevelType w:val="hybridMultilevel"/>
    <w:lvl w:ilvl="0">
      <w:lvlJc w:val="left"/>
      <w:lvlText w:val="(%1)"/>
      <w:numFmt w:val="lowerLetter"/>
      <w:start w:val="3"/>
    </w:lvl>
  </w:abstractNum>
  <w:abstractNum w:abstractNumId="13">
    <w:nsid w:val="836C40E"/>
    <w:multiLevelType w:val="hybridMultilevel"/>
    <w:lvl w:ilvl="0">
      <w:lvlJc w:val="left"/>
      <w:lvlText w:val="(%1)"/>
      <w:numFmt w:val="lowerLetter"/>
      <w:start w:val="4"/>
    </w:lvl>
  </w:abstractNum>
  <w:abstractNum w:abstractNumId="14">
    <w:nsid w:val="2901D82"/>
    <w:multiLevelType w:val="hybridMultilevel"/>
    <w:lvl w:ilvl="0">
      <w:lvlJc w:val="left"/>
      <w:lvlText w:val="%1."/>
      <w:numFmt w:val="decimal"/>
      <w:start w:val="5"/>
    </w:lvl>
    <w:lvl w:ilvl="1">
      <w:lvlJc w:val="left"/>
      <w:lvlText w:val="(%2)"/>
      <w:numFmt w:val="lowerLetter"/>
      <w:start w:val="1"/>
    </w:lvl>
  </w:abstractNum>
  <w:abstractNum w:abstractNumId="15">
    <w:nsid w:val="3A95F874"/>
    <w:multiLevelType w:val="hybridMultilevel"/>
    <w:lvl w:ilvl="0">
      <w:lvlJc w:val="left"/>
      <w:lvlText w:val="(%1)"/>
      <w:numFmt w:val="lowerLetter"/>
      <w:start w:val="4"/>
    </w:lvl>
    <w:lvl w:ilvl="1">
      <w:lvlJc w:val="left"/>
      <w:lvlText w:val="%2."/>
      <w:numFmt w:val="lowerRoman"/>
      <w:start w:val="1"/>
    </w:lvl>
  </w:abstractNum>
  <w:abstractNum w:abstractNumId="16">
    <w:nsid w:val="8138641"/>
    <w:multiLevelType w:val="hybridMultilevel"/>
    <w:lvl w:ilvl="0">
      <w:lvlJc w:val="left"/>
      <w:lvlText w:val="(%1)"/>
      <w:numFmt w:val="lowerLetter"/>
      <w:start w:val="6"/>
    </w:lvl>
  </w:abstractNum>
  <w:abstractNum w:abstractNumId="17">
    <w:nsid w:val="1E7FF521"/>
    <w:multiLevelType w:val="hybridMultilevel"/>
    <w:lvl w:ilvl="0">
      <w:lvlJc w:val="left"/>
      <w:lvlText w:val="%1"/>
      <w:numFmt w:val="decimal"/>
      <w:start w:val="1"/>
    </w:lvl>
    <w:lvl w:ilvl="1">
      <w:lvlJc w:val="left"/>
      <w:lvlText w:val="(%2)"/>
      <w:numFmt w:val="lowerLetter"/>
      <w:start w:val="11"/>
    </w:lvl>
  </w:abstractNum>
  <w:abstractNum w:abstractNumId="18">
    <w:nsid w:val="7C3DBD3D"/>
    <w:multiLevelType w:val="hybridMultilevel"/>
    <w:lvl w:ilvl="0">
      <w:lvlJc w:val="left"/>
      <w:lvlText w:val="%1."/>
      <w:numFmt w:val="decimal"/>
      <w:start w:val="6"/>
    </w:lvl>
    <w:lvl w:ilvl="1">
      <w:lvlJc w:val="left"/>
      <w:lvlText w:val="(%2)"/>
      <w:numFmt w:val="lowerLetter"/>
      <w:start w:val="1"/>
    </w:lvl>
  </w:abstractNum>
  <w:abstractNum w:abstractNumId="19">
    <w:nsid w:val="737B8DDC"/>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9"/>
    </w:lvl>
  </w:abstractNum>
  <w:abstractNum w:abstractNumId="20">
    <w:nsid w:val="6CEAF087"/>
    <w:multiLevelType w:val="hybridMultilevel"/>
    <w:lvl w:ilvl="0">
      <w:lvlJc w:val="left"/>
      <w:lvlText w:val="%1"/>
      <w:numFmt w:val="decimal"/>
      <w:start w:val="1"/>
    </w:lvl>
    <w:lvl w:ilvl="1">
      <w:lvlJc w:val="left"/>
      <w:lvlText w:val="(%2)"/>
      <w:numFmt w:val="lowerLetter"/>
      <w:start w:val="5"/>
    </w:lvl>
  </w:abstractNum>
  <w:abstractNum w:abstractNumId="21">
    <w:nsid w:val="22221A70"/>
    <w:multiLevelType w:val="hybridMultilevel"/>
    <w:lvl w:ilvl="0">
      <w:lvlJc w:val="left"/>
      <w:lvlText w:val="%1."/>
      <w:numFmt w:val="decimal"/>
      <w:start w:val="10"/>
    </w:lvl>
    <w:lvl w:ilvl="1">
      <w:lvlJc w:val="left"/>
      <w:lvlText w:val="(%2)"/>
      <w:numFmt w:val="lowerLetter"/>
      <w:start w:val="1"/>
    </w:lvl>
  </w:abstractNum>
  <w:abstractNum w:abstractNumId="22">
    <w:nsid w:val="4516DDE9"/>
    <w:multiLevelType w:val="hybridMultilevel"/>
    <w:lvl w:ilvl="0">
      <w:lvlJc w:val="left"/>
      <w:lvlText w:val="%1."/>
      <w:numFmt w:val="decimal"/>
      <w:start w:val="12"/>
    </w:lvl>
  </w:abstractNum>
  <w:abstractNum w:abstractNumId="23">
    <w:nsid w:val="3006C83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4">
    <w:nsid w:val="614FD4A1"/>
    <w:multiLevelType w:val="hybridMultilevel"/>
    <w:lvl w:ilvl="0">
      <w:lvlJc w:val="left"/>
      <w:lvlText w:val="%1"/>
      <w:numFmt w:val="lowerLetter"/>
      <w:start w:val="1"/>
    </w:lvl>
    <w:lvl w:ilvl="1">
      <w:lvlJc w:val="left"/>
      <w:lvlText w:val="%2."/>
      <w:numFmt w:val="lowerRoman"/>
      <w:start w:val="3"/>
    </w:lvl>
  </w:abstractNum>
  <w:abstractNum w:abstractNumId="25">
    <w:nsid w:val="419AC241"/>
    <w:multiLevelType w:val="hybridMultilevel"/>
    <w:lvl w:ilvl="0">
      <w:lvlJc w:val="left"/>
      <w:lvlText w:val="(%1)"/>
      <w:numFmt w:val="lowerLetter"/>
      <w:start w:val="4"/>
    </w:lvl>
    <w:lvl w:ilvl="1">
      <w:lvlJc w:val="left"/>
      <w:lvlText w:val="%2"/>
      <w:numFmt w:val="lowerRoman"/>
      <w:start w:val="1"/>
    </w:lvl>
  </w:abstractNum>
  <w:abstractNum w:abstractNumId="26">
    <w:nsid w:val="5577F8E1"/>
    <w:multiLevelType w:val="hybridMultilevel"/>
    <w:lvl w:ilvl="0">
      <w:lvlJc w:val="left"/>
      <w:lvlText w:val="(%1)"/>
      <w:numFmt w:val="lowerLetter"/>
      <w:start w:val="5"/>
    </w:lvl>
  </w:abstractNum>
  <w:abstractNum w:abstractNumId="27">
    <w:nsid w:val="440BADFC"/>
    <w:multiLevelType w:val="hybridMultilevel"/>
    <w:lvl w:ilvl="0">
      <w:lvlJc w:val="left"/>
      <w:lvlText w:val="%1"/>
      <w:numFmt w:val="decimal"/>
      <w:start w:val="1"/>
    </w:lvl>
    <w:lvl w:ilvl="1">
      <w:lvlJc w:val="left"/>
      <w:lvlText w:val="(%2)"/>
      <w:numFmt w:val="lowerLetter"/>
      <w:start w:val="6"/>
    </w:lvl>
  </w:abstractNum>
  <w:abstractNum w:abstractNumId="28">
    <w:nsid w:val="5072367"/>
    <w:multiLevelType w:val="hybridMultilevel"/>
    <w:lvl w:ilvl="0">
      <w:lvlJc w:val="left"/>
      <w:lvlText w:val="%1."/>
      <w:numFmt w:val="decimal"/>
      <w:start w:val="2"/>
    </w:lvl>
    <w:lvl w:ilvl="1">
      <w:lvlJc w:val="left"/>
      <w:lvlText w:val="(%2)"/>
      <w:numFmt w:val="lowerLetter"/>
      <w:start w:val="1"/>
    </w:lvl>
  </w:abstractNum>
  <w:abstractNum w:abstractNumId="29">
    <w:nsid w:val="3804823E"/>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abstractNum>
  <w:abstractNum w:abstractNumId="30">
    <w:nsid w:val="77465F01"/>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31">
    <w:nsid w:val="7724C67E"/>
    <w:multiLevelType w:val="hybridMultilevel"/>
    <w:lvl w:ilvl="0">
      <w:lvlJc w:val="left"/>
      <w:lvlText w:val="(%1)"/>
      <w:numFmt w:val="lowerLetter"/>
      <w:start w:val="2"/>
    </w:lvl>
  </w:abstractNum>
  <w:abstractNum w:abstractNumId="32">
    <w:nsid w:val="5C482A97"/>
    <w:multiLevelType w:val="hybridMultilevel"/>
    <w:lvl w:ilvl="0">
      <w:lvlJc w:val="left"/>
      <w:lvlText w:val="(%1)"/>
      <w:numFmt w:val="lowerLetter"/>
      <w:start w:val="3"/>
    </w:lvl>
  </w:abstractNum>
  <w:abstractNum w:abstractNumId="33">
    <w:nsid w:val="2463B9EA"/>
    <w:multiLevelType w:val="hybridMultilevel"/>
    <w:lvl w:ilvl="0">
      <w:lvlJc w:val="left"/>
      <w:lvlText w:val="%1"/>
      <w:numFmt w:val="decimal"/>
      <w:start w:val="1"/>
    </w:lvl>
    <w:lvl w:ilvl="1">
      <w:lvlJc w:val="left"/>
      <w:lvlText w:val="(%2)"/>
      <w:numFmt w:val="lowerLetter"/>
      <w:start w:val="6"/>
    </w:lvl>
  </w:abstractNum>
  <w:abstractNum w:abstractNumId="34">
    <w:nsid w:val="5E884ADC"/>
    <w:multiLevelType w:val="hybridMultilevel"/>
    <w:lvl w:ilvl="0">
      <w:lvlJc w:val="left"/>
      <w:lvlText w:val="%1."/>
      <w:numFmt w:val="decimal"/>
      <w:start w:val="5"/>
    </w:lvl>
    <w:lvl w:ilvl="1">
      <w:lvlJc w:val="left"/>
      <w:lvlText w:val="(%2)"/>
      <w:numFmt w:val="lowerLetter"/>
      <w:start w:val="1"/>
    </w:lvl>
  </w:abstractNum>
  <w:abstractNum w:abstractNumId="35">
    <w:nsid w:val="51EAD36B"/>
    <w:multiLevelType w:val="hybridMultilevel"/>
    <w:lvl w:ilvl="0">
      <w:lvlJc w:val="left"/>
      <w:lvlText w:val="(%1)"/>
      <w:numFmt w:val="lowerLetter"/>
      <w:start w:val="2"/>
    </w:lvl>
    <w:lvl w:ilvl="1">
      <w:lvlJc w:val="left"/>
      <w:lvlText w:val="%2."/>
      <w:numFmt w:val="lowerRoman"/>
      <w:start w:val="1"/>
    </w:lvl>
  </w:abstractNum>
  <w:abstractNum w:abstractNumId="36">
    <w:nsid w:val="2D517796"/>
    <w:multiLevelType w:val="hybridMultilevel"/>
    <w:lvl w:ilvl="0">
      <w:lvlJc w:val="left"/>
      <w:lvlText w:val="%1"/>
      <w:numFmt w:val="lowerLetter"/>
      <w:start w:val="1"/>
    </w:lvl>
    <w:lvl w:ilvl="1">
      <w:lvlJc w:val="left"/>
      <w:lvlText w:val="%2."/>
      <w:numFmt w:val="lowerRoman"/>
      <w:start w:val="4"/>
    </w:lvl>
  </w:abstractNum>
  <w:abstractNum w:abstractNumId="37">
    <w:nsid w:val="580BD78F"/>
    <w:multiLevelType w:val="hybridMultilevel"/>
    <w:lvl w:ilvl="0">
      <w:lvlJc w:val="left"/>
      <w:lvlText w:val="(%1)"/>
      <w:numFmt w:val="lowerLetter"/>
      <w:start w:val="5"/>
    </w:lvl>
    <w:lvl w:ilvl="1">
      <w:lvlJc w:val="left"/>
      <w:lvlText w:val="%2"/>
      <w:numFmt w:val="lowerRoman"/>
      <w:start w:val="1"/>
    </w:lvl>
  </w:abstractNum>
  <w:abstractNum w:abstractNumId="38">
    <w:nsid w:val="153EA438"/>
    <w:multiLevelType w:val="hybridMultilevel"/>
    <w:lvl w:ilvl="0">
      <w:lvlJc w:val="left"/>
      <w:lvlText w:val="(%1)"/>
      <w:numFmt w:val="lowerLetter"/>
      <w:start w:val="8"/>
    </w:lvl>
  </w:abstractNum>
  <w:abstractNum w:abstractNumId="39">
    <w:nsid w:val="3855585C"/>
    <w:multiLevelType w:val="hybridMultilevel"/>
    <w:lvl w:ilvl="0">
      <w:lvlJc w:val="left"/>
      <w:lvlText w:val="%1."/>
      <w:numFmt w:val="decimal"/>
      <w:start w:val="6"/>
    </w:lvl>
    <w:lvl w:ilvl="1">
      <w:lvlJc w:val="left"/>
      <w:lvlText w:val="(%2)"/>
      <w:numFmt w:val="lowerLetter"/>
      <w:start w:val="1"/>
    </w:lvl>
  </w:abstractNum>
  <w:abstractNum w:abstractNumId="40">
    <w:nsid w:val="70A64E2A"/>
    <w:multiLevelType w:val="hybridMultilevel"/>
    <w:lvl w:ilvl="0">
      <w:lvlJc w:val="left"/>
      <w:lvlText w:val="%1."/>
      <w:numFmt w:val="decimal"/>
      <w:start w:val="9"/>
    </w:lvl>
    <w:lvl w:ilvl="1">
      <w:lvlJc w:val="left"/>
      <w:lvlText w:val="(%2)"/>
      <w:numFmt w:val="lowerLetter"/>
      <w:start w:val="1"/>
    </w:lvl>
    <w:lvl w:ilvl="2">
      <w:lvlJc w:val="left"/>
      <w:lvlText w:val="(%3)"/>
      <w:numFmt w:val="lowerLetter"/>
      <w:start w:val="9"/>
    </w:lvl>
  </w:abstractNum>
  <w:abstractNum w:abstractNumId="41">
    <w:nsid w:val="6A2342EC"/>
    <w:multiLevelType w:val="hybridMultilevel"/>
    <w:lvl w:ilvl="0">
      <w:lvlJc w:val="left"/>
      <w:lvlText w:val="%1."/>
      <w:numFmt w:val="decimal"/>
      <w:start w:val="10"/>
    </w:lvl>
    <w:lvl w:ilvl="1">
      <w:lvlJc w:val="left"/>
      <w:lvlText w:val="(%2)"/>
      <w:numFmt w:val="lowerLetter"/>
      <w:start w:val="1"/>
    </w:lvl>
  </w:abstractNum>
  <w:abstractNum w:abstractNumId="42">
    <w:nsid w:val="2A487CB0"/>
    <w:multiLevelType w:val="hybridMultilevel"/>
    <w:lvl w:ilvl="0">
      <w:lvlJc w:val="left"/>
      <w:lvlText w:val="%1."/>
      <w:numFmt w:val="decimal"/>
      <w:start w:val="1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2022-09-29T16:05:22Z</dcterms:created>
  <dcterms:modified xsi:type="dcterms:W3CDTF">2022-09-29T16:05:22Z</dcterms:modified>
</cp:coreProperties>
</file>