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411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November 14,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41114"/>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1190 Trademark Drive, #108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Reno, </w:t>
            </w:r>
            <w:bookmarkStart w:id="10" w:name="xdx_906_edei--EntityAddressStateOrProvin"/>
            <w:bookmarkEnd w:id="10"/>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 w:name="xdx_902_edei--CityAreaCode_c20241114__20"/>
      <w:bookmarkEnd w:id="12"/>
      <w:r>
        <w:rPr>
          <w:rFonts w:ascii="Times New Roman;Times;Serif" w:hAnsi="Times New Roman;Times;Serif"/>
          <w:b/>
          <w:i w:val="false"/>
          <w:caps w:val="false"/>
          <w:smallCaps w:val="false"/>
          <w:sz w:val="20"/>
          <w:u w:val="single"/>
        </w:rPr>
        <w:t xml:space="preserve">(775) </w:t>
      </w:r>
      <w:bookmarkStart w:id="13" w:name="xdx_903_edei--LocalPhoneNumber_c20241114"/>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D_edei--SolicitingMaterial_c202411"/>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411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41114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6_edei--SecurityExchangeName_c2024"/>
            <w:bookmarkEnd w:id="20"/>
            <w:r>
              <w:rPr>
                <w:rFonts w:ascii="Times New Roman;Times;Serif" w:hAnsi="Times New Roman;Times;Serif"/>
                <w:b w:val="false"/>
                <w:i w:val="false"/>
                <w:caps w:val="false"/>
                <w:smallCaps w:val="false"/>
                <w:sz w:val="20"/>
              </w:rPr>
              <w:t>Nasdaq Capital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12bTitle_c20241114"/>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TradingSymbol_c20241114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8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4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third quarter ended September 30, 2024. As previously announced, following the publication of the press release, the Company will host an earnings call at 5:00 p.m. (Eastern Time) on November 14, 2024, via a webcast. During the webcast, the Company’s financial results for the third quarter ended September 30, 2024 will be discussed.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posted presentation materials (the “</w:t>
      </w:r>
      <w:r>
        <w:rPr>
          <w:rFonts w:ascii="Times New Roman;Times;Serif" w:hAnsi="Times New Roman;Times;Serif"/>
          <w:b w:val="false"/>
          <w:i w:val="false"/>
          <w:caps w:val="false"/>
          <w:smallCaps w:val="false"/>
          <w:sz w:val="20"/>
          <w:u w:val="single"/>
        </w:rPr>
        <w:t>Investor Presentation</w:t>
      </w:r>
      <w:r>
        <w:rPr>
          <w:rFonts w:ascii="Times New Roman;Times;Serif" w:hAnsi="Times New Roman;Times;Serif"/>
          <w:b w:val="false"/>
          <w:i w:val="false"/>
          <w:caps w:val="false"/>
          <w:smallCaps w:val="false"/>
          <w:sz w:val="20"/>
        </w:rPr>
        <w:t xml:space="preserve">”) on the Investor Relations section of its website, which is located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A copy of the Investor Presentation is attached as Exhibit 99.2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Exhibits 99.1 and 99.2,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November 14, 2024</w:t>
              </w:r>
            </w:hyperlink>
            <w:r>
              <w:rPr>
                <w:rFonts w:ascii="Times New Roman;Times;Serif" w:hAnsi="Times New Roman;Times;Serif"/>
                <w:b w:val="false"/>
                <w:i w:val="false"/>
                <w:caps w:val="false"/>
                <w:smallCaps w:val="false"/>
                <w:sz w:val="20"/>
              </w:rPr>
              <w:t>.</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225"/>
        <w:gridCol w:w="590"/>
        <w:gridCol w:w="5675"/>
      </w:tblGrid>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shd w:fill="FFFFFF" w:val="clear"/>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2381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23875"/>
                    </a:xfrm>
                    <a:prstGeom prst="rect">
                      <a:avLst/>
                    </a:prstGeom>
                  </pic:spPr>
                </pic:pic>
              </a:graphicData>
            </a:graphic>
          </wp:inline>
        </w:drawing>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Third Quarter 2024 Financial and Operational Results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(November 14, 2024)</w:t>
      </w:r>
      <w:r>
        <w:rPr>
          <w:rFonts w:ascii="Times New Roman;Times;Serif" w:hAnsi="Times New Roman;Times;Serif"/>
          <w:b w:val="false"/>
          <w:i w:val="false"/>
          <w:caps w:val="false"/>
          <w:smallCaps w:val="false"/>
          <w:sz w:val="20"/>
        </w:rPr>
        <w:t xml:space="preserve"> — Dragonfly Energy Holdings Corp. (“Dragonfly Energy” or the “Company”) (Nasdaq: DFLI),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an industry leader in energy storage, today reported its financial and operational results for the third quarter ended September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2024 Financial Highlights</w:t>
      </w:r>
    </w:p>
    <w:p>
      <w:pPr>
        <w:pStyle w:val="TextBody"/>
        <w:bidi w:val="0"/>
        <w:spacing w:before="0" w:after="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$12.7 million, compared to $15.9 million in Q3 2023</w:t>
            </w:r>
          </w:p>
        </w:tc>
      </w:tr>
    </w:tbl>
    <w:p>
      <w:pPr>
        <w:pStyle w:val="TextBody"/>
        <w:bidi w:val="0"/>
        <w:spacing w:before="0" w:after="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$2.9 million, compared to $4.6 million in Q3 2023</w:t>
            </w:r>
          </w:p>
        </w:tc>
      </w:tr>
    </w:tbl>
    <w:p>
      <w:pPr>
        <w:pStyle w:val="TextBody"/>
        <w:bidi w:val="0"/>
        <w:spacing w:before="0" w:after="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$(8.9) million, compared to $(10.5) million in Q3 2023</w:t>
            </w:r>
          </w:p>
        </w:tc>
      </w:tr>
    </w:tbl>
    <w:p>
      <w:pPr>
        <w:pStyle w:val="TextBody"/>
        <w:bidi w:val="0"/>
        <w:spacing w:before="0" w:after="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$(6.8) million, compared to Net Loss of $(10.0) million in Q3 2023</w:t>
            </w:r>
          </w:p>
        </w:tc>
      </w:tr>
    </w:tbl>
    <w:p>
      <w:pPr>
        <w:pStyle w:val="TextBody"/>
        <w:bidi w:val="0"/>
        <w:spacing w:before="0" w:after="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was $(0.11), compared to Net Loss of $(0.17) per share in Q3 2023</w:t>
            </w:r>
          </w:p>
        </w:tc>
      </w:tr>
    </w:tbl>
    <w:p>
      <w:pPr>
        <w:pStyle w:val="TextBody"/>
        <w:bidi w:val="0"/>
        <w:spacing w:before="0" w:after="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was $(0.8) million, compared to $(5.7) million in Q3 2023</w:t>
            </w:r>
          </w:p>
        </w:tc>
      </w:tr>
    </w:tbl>
    <w:p>
      <w:pPr>
        <w:pStyle w:val="TextBody"/>
        <w:bidi w:val="0"/>
        <w:spacing w:before="0" w:after="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$(5.5) million, compared to $(4.6) million in Q3 2023</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Business Highlights</w:t>
      </w:r>
    </w:p>
    <w:p>
      <w:pPr>
        <w:pStyle w:val="TextBody"/>
        <w:bidi w:val="0"/>
        <w:spacing w:before="0" w:after="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a pilot demonstration of methane reduction power solutions for the oil &amp; gas industry.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Dragonfly IntelLigence smart battery technology for the heavy-duty trucking industry, providing real-time system monitoring and app-based connectivity for fleets and drivers.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Energy’s Battle Born Batteries are now available through Keystone Automotive Operations, a leading distributor in the automotive, RV, and marine sectors.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committed to advancing lithium-ion battery innovation despite challenging economic conditions,” said Dr. Denis Phares, Chief Executive Officer of Dragonfly Energy. “Our strategic expansion into the heavy-duty trucking and oil &amp; gas industries, paired with advancements like our Dragonfly IntelLigence technology, showcase our resilience and vision. We believe these efforts are building a strong foundation for long-term growth, enabling us to diversify and strengthen partnerships while positioning us for future success.”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2024 Financial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 2024 Net Sales were $12.7 million, compared to $15.9 million in the third quarter of 2023. This decrease was primarily due to lower direct-to-consumers (“DTC”) battery sales offset by higher original equipment manufacturers (“OEM”) battery and accessory, sales and licensing revenue. For the third quarter 2024, DTC Net Sales decreased by $5.2 million, compared to $10.3 million in the third quarter of 2023 due to decreased customer demand for Dragonfly Energy’s products due to rising interest rates and inflation. OEM Revenue increased by $1.8 million, compared to $5.6 million in the third quarter of 2023. The Company believes this increase may be attributable to a recovering RV market, the implementation of the Company’s smart battery technology product line, and Dragonfly Energy beginning to penetrate the heavy-duty trucking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 2024 Gross Profit was $2.9 million, compared to $4.6 million in the third quarter of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 the third quarter of 2024 were $(8.9) million, compared to $(10.5) million in the third quarter of 2023. The decrease was primarily driven by reduced headcount, lower shipping costs, lower legal costs, and lower overall stock-based compensation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 the third quarter of 2024 was $(0.8) million, compared to Total Other Expense of $(4.1) million in the third quarter of 2023. Other Expense of $(0.8) million in the quarter ended September 30, 2024 is comprised primarily of interest expense of $5.6 million related to our debt securities offset by a positive change in the fair market value of warrant liability in the amount of $4.9 million.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Net Loss of $(6.8) million, or $(0.11) per diluted share in the third quarter of 2024, compared to Net Loss of $(10.0) million or $(0.17) per diluted share in the third quarter of 2023. This result was driven by lower sales partially offset by lower cost of goods sold, and lower operating expenses, and a decrease in other income (due to the change in fair market value of the Company’s warrant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in the third quarter of 2024 was $(0.8) million, compared to $(5.7) million in the third quarter of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2024, Adjusted EBITDA excluding stock-based compensation, changes in the fair market value of the Company’s warrant liability, and other one-time expenses, was a $(5.5) million, compared to a $(4.6) million for the third quarter of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ended the third quarter of 2024 with $8.0 million in cash, up from $4.7 million that was available as of the quarter ended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$150 million equity line of credit remains effectively unutilized. The Company believes that it controls appropriate levers to manage its liquidity position and enable it to execute on plans to enter new markets, take advantage of new opportunities, and continue research and development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2024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RV market continues to recover, though at a slower pace than previously anticipated. The Company believes its entry into the heavy-duty trucking market has been successful, and the Company has seen growth in the customer base, though conversion into purchase orders has lagged timeline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Q4 2024 Guidance</w:t>
      </w:r>
    </w:p>
    <w:p>
      <w:pPr>
        <w:pStyle w:val="TextBody"/>
        <w:bidi w:val="0"/>
        <w:spacing w:before="0" w:after="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expected to range between $13.5 - $14.0 million</w:t>
            </w:r>
          </w:p>
        </w:tc>
      </w:tr>
    </w:tbl>
    <w:p>
      <w:pPr>
        <w:pStyle w:val="TextBody"/>
        <w:bidi w:val="0"/>
        <w:spacing w:before="0" w:after="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expected to be in the range of 22.0% - 25.0%</w:t>
            </w:r>
          </w:p>
        </w:tc>
      </w:tr>
    </w:tbl>
    <w:p>
      <w:pPr>
        <w:pStyle w:val="TextBody"/>
        <w:bidi w:val="0"/>
        <w:spacing w:before="0" w:after="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are expected to be in a range of $(5.5) - $(6.5)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third quarter 2024 financial and operational results this afternoon, Thursday, November 14, 2024, at 5:00 pm E.T.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The call can also be accessed live via telephone by dialing (646) 564-2877, toll-free in North America (800) 549-8228, or for international callers +1 (289) 819-1520, and referencing conference ID: 64729. Please log in to the webcast or dial in to the call at least 10 minutes prior to the start of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www.dragonflyenergy.com/investors.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2024,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2023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Caldwell Bailey, ICR, Inc.</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DragonflyIR@icrinc.com</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7"/>
        <w:gridCol w:w="60"/>
        <w:gridCol w:w="208"/>
        <w:gridCol w:w="1127"/>
        <w:gridCol w:w="95"/>
        <w:gridCol w:w="60"/>
        <w:gridCol w:w="203"/>
        <w:gridCol w:w="1102"/>
        <w:gridCol w:w="113"/>
      </w:tblGrid>
      <w:tr>
        <w:trPr/>
        <w:tc>
          <w:tcPr>
            <w:tcW w:w="7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5" w:type="dxa"/>
            <w:gridSpan w:val="6"/>
            <w:tcBorders/>
            <w:vAlign w:val="center"/>
          </w:tcPr>
          <w:p>
            <w:pPr>
              <w:pStyle w:val="TableContents"/>
              <w:bidi w:val="0"/>
              <w:spacing w:before="0" w:after="283"/>
              <w:jc w:val="center"/>
              <w:rPr/>
            </w:pPr>
            <w:r>
              <w:rPr/>
              <w:t>As of</w:t>
            </w:r>
          </w:p>
        </w:tc>
        <w:tc>
          <w:tcPr>
            <w:tcW w:w="113" w:type="dxa"/>
            <w:tcBorders/>
            <w:vAlign w:val="center"/>
          </w:tcPr>
          <w:p>
            <w:pPr>
              <w:pStyle w:val="TableContents"/>
              <w:bidi w:val="0"/>
              <w:spacing w:before="0" w:after="283"/>
              <w:jc w:val="left"/>
              <w:rPr/>
            </w:pPr>
            <w:r>
              <w:rPr/>
              <w:t> </w:t>
            </w:r>
          </w:p>
        </w:tc>
      </w:tr>
      <w:tr>
        <w:trPr/>
        <w:tc>
          <w:tcPr>
            <w:tcW w:w="7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left"/>
              <w:rPr/>
            </w:pPr>
            <w:r>
              <w:rPr/>
              <w:t>September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center"/>
          </w:tcPr>
          <w:p>
            <w:pPr>
              <w:pStyle w:val="TableContents"/>
              <w:bidi w:val="0"/>
              <w:spacing w:before="0" w:after="283"/>
              <w:jc w:val="left"/>
              <w:rPr/>
            </w:pPr>
            <w:r>
              <w:rPr/>
              <w:t>December 31, 2023</w:t>
            </w:r>
          </w:p>
        </w:tc>
        <w:tc>
          <w:tcPr>
            <w:tcW w:w="113" w:type="dxa"/>
            <w:tcBorders/>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8,019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12,713</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1,639</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24,013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38,778</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772</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1,381</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519</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118</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39,337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55,920</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23,716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15,969</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20,383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3,315</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75,204</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10,128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10,258</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8,672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7,107</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1,713</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201</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91</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24,398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19,683</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1,288</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49,264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40,377</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b/>
              </w:rPr>
            </w:pPr>
            <w:r>
              <w:rPr>
                <w:b/>
              </w:rPr>
              <w:t>Long Term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7,714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4,463</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Accrued expenses, long-term</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152</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23,330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2,234</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34,914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6,915</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84,178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47,292</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b/>
              </w:rPr>
            </w:pPr>
            <w:r>
              <w:rPr>
                <w:b/>
              </w:rPr>
              <w:t>Stockholders’ (Deficit) Equity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Preferred stock, 5,000,000 shares at $0.0001 par value, authorized, no shares issued and outstanding as of September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sz w:val="24"/>
              </w:rPr>
            </w:pPr>
            <w:r>
              <w:rPr>
                <w:sz w:val="24"/>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sz w:val="24"/>
              </w:rPr>
            </w:pPr>
            <w:r>
              <w:rPr>
                <w:sz w:val="24"/>
              </w:rPr>
              <w:t>-</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Common stock, 250,000,000 shares at $0.0001 par value, authorized, 62,767,982 and 60,260,282 shares issued and outstanding as of September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sz w:val="24"/>
              </w:rPr>
            </w:pPr>
            <w:r>
              <w:rPr>
                <w:sz w:val="24"/>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sz w:val="24"/>
              </w:rPr>
            </w:pPr>
            <w:r>
              <w:rPr>
                <w:sz w:val="24"/>
              </w:rPr>
              <w:t>6</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p>
        </w:tc>
      </w:tr>
      <w:tr>
        <w:trPr/>
        <w:tc>
          <w:tcPr>
            <w:tcW w:w="7237"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72,009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69,445</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(72,312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(41,539</w:t>
            </w:r>
          </w:p>
        </w:tc>
        <w:tc>
          <w:tcPr>
            <w:tcW w:w="113" w:type="dxa"/>
            <w:tcBorders/>
            <w:shd w:fill="CCEEFF" w:val="clear"/>
            <w:vAlign w:val="center"/>
          </w:tcPr>
          <w:p>
            <w:pPr>
              <w:pStyle w:val="TableContents"/>
              <w:bidi w:val="0"/>
              <w:spacing w:before="0" w:after="283"/>
              <w:jc w:val="left"/>
              <w:rPr/>
            </w:pPr>
            <w:r>
              <w:rPr/>
              <w:t>)</w:t>
            </w:r>
          </w:p>
        </w:tc>
      </w:tr>
      <w:tr>
        <w:trPr/>
        <w:tc>
          <w:tcPr>
            <w:tcW w:w="7237" w:type="dxa"/>
            <w:tcBorders/>
            <w:shd w:fill="FFFFFF" w:val="clear"/>
            <w:vAlign w:val="center"/>
          </w:tcPr>
          <w:p>
            <w:pPr>
              <w:pStyle w:val="TableContents"/>
              <w:bidi w:val="0"/>
              <w:spacing w:before="0" w:after="283"/>
              <w:jc w:val="left"/>
              <w:rPr>
                <w:b/>
              </w:rPr>
            </w:pPr>
            <w:r>
              <w:rPr>
                <w:b/>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27,912</w:t>
            </w:r>
          </w:p>
        </w:tc>
        <w:tc>
          <w:tcPr>
            <w:tcW w:w="113" w:type="dxa"/>
            <w:tcBorders/>
            <w:shd w:fill="FFFFFF" w:val="clear"/>
            <w:vAlign w:val="center"/>
          </w:tcPr>
          <w:p>
            <w:pPr>
              <w:pStyle w:val="TableContents"/>
              <w:bidi w:val="0"/>
              <w:spacing w:before="0" w:after="283"/>
              <w:jc w:val="left"/>
              <w:rPr/>
            </w:pPr>
            <w:r>
              <w:rPr/>
              <w:t> </w:t>
            </w:r>
          </w:p>
        </w:tc>
      </w:tr>
      <w:tr>
        <w:trPr/>
        <w:tc>
          <w:tcPr>
            <w:tcW w:w="7237" w:type="dxa"/>
            <w:tcBorders/>
            <w:shd w:fill="CCEEFF" w:val="clear"/>
            <w:vAlign w:val="center"/>
          </w:tcPr>
          <w:p>
            <w:pPr>
              <w:pStyle w:val="TableContents"/>
              <w:bidi w:val="0"/>
              <w:spacing w:before="0" w:after="283"/>
              <w:jc w:val="left"/>
              <w:rPr>
                <w:b/>
              </w:rPr>
            </w:pPr>
            <w:r>
              <w:rPr>
                <w:b/>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75,204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813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1100"/>
        <w:gridCol w:w="110"/>
      </w:tblGrid>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15,889</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4,598</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1,385</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6,005</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3,083</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10,473</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(5,875</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(3,987</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(4,132</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(10,007</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(10,007</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Net Loss Per Share -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(0.17</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Weighted Average Number of Shares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62,328,555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58,736,013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September 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(30,773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(17,131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(19,182</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7,939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(5,037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(22,168</w:t>
            </w:r>
          </w:p>
        </w:tc>
        <w:tc>
          <w:tcPr>
            <w:tcW w:w="110" w:type="dxa"/>
            <w:tcBorders/>
            <w:shd w:fill="FFFFFF" w:val="clear"/>
            <w:vAlign w:val="center"/>
          </w:tcPr>
          <w:p>
            <w:pPr>
              <w:pStyle w:val="TableContents"/>
              <w:bidi w:val="0"/>
              <w:spacing w:before="0" w:after="283"/>
              <w:jc w:val="left"/>
              <w:rPr>
                <w:b/>
              </w:rPr>
            </w:pPr>
            <w:r>
              <w:rPr>
                <w:b/>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(6,507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(6,507</w:t>
            </w:r>
          </w:p>
        </w:tc>
        <w:tc>
          <w:tcPr>
            <w:tcW w:w="110" w:type="dxa"/>
            <w:tcBorders/>
            <w:shd w:fill="FFFFFF" w:val="clear"/>
            <w:vAlign w:val="center"/>
          </w:tcPr>
          <w:p>
            <w:pPr>
              <w:pStyle w:val="TableContents"/>
              <w:bidi w:val="0"/>
              <w:spacing w:before="0" w:after="283"/>
              <w:jc w:val="left"/>
              <w:rPr>
                <w:b/>
              </w:rPr>
            </w:pPr>
            <w:r>
              <w:rPr>
                <w:b/>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(Continued)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21,640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Payment of public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Repayment of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(5,275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exercise of Investor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546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18,688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(9,987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17,781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7,794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237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4,361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18,653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Recognition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13,762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accrued liability for employee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Non-cash impact of cash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12,629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EBITDA adjusted to exclude stock-based compensation expense and changes in fair market value of warrant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September 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283"/>
        <w:jc w:val="left"/>
        <w:rPr/>
      </w:pPr>
      <w:r>
        <w:rPr/>
        <w:t> </w:t>
      </w:r>
    </w:p>
    <w:tbl>
      <w:tblPr>
        <w:tblW w:w="6455" w:type="dxa"/>
        <w:jc w:val="left"/>
        <w:tblInd w:w="0" w:type="dxa"/>
        <w:tblLayout w:type="fixed"/>
        <w:tblCellMar>
          <w:top w:w="0" w:type="dxa"/>
          <w:left w:w="0" w:type="dxa"/>
          <w:bottom w:w="0" w:type="dxa"/>
          <w:right w:w="0" w:type="dxa"/>
        </w:tblCellMar>
      </w:tblPr>
      <w:tblGrid>
        <w:gridCol w:w="4460"/>
        <w:gridCol w:w="60"/>
        <w:gridCol w:w="140"/>
        <w:gridCol w:w="635"/>
        <w:gridCol w:w="95"/>
        <w:gridCol w:w="60"/>
        <w:gridCol w:w="140"/>
        <w:gridCol w:w="755"/>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xml:space="preserve">Net (Loss)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(10,007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3,987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(5,704</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(4,613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Dragonfly Energy Holdings Corp.</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center"/>
        <w:rPr/>
      </w:pPr>
      <w:bookmarkStart w:id="28" w:name="ex99-2.htm"/>
      <w:bookmarkStart w:id="29" w:name="ksex992"/>
      <w:bookmarkEnd w:id="28"/>
      <w:bookmarkEnd w:id="29"/>
      <w:r>
        <w:rPr/>
        <w:t> </w:t>
      </w:r>
      <w:r>
        <w:br w:type="page"/>
      </w:r>
    </w:p>
    <w:p>
      <w:pPr>
        <w:pStyle w:val="TextBody"/>
        <w:bidi w:val="0"/>
        <w:jc w:val="right"/>
        <w:rPr>
          <w:b/>
        </w:rPr>
      </w:pPr>
      <w:r>
        <w:rPr>
          <w:b/>
        </w:rPr>
        <w:t>Exhibit 99.2</w:t>
      </w:r>
    </w:p>
    <w:p>
      <w:pPr>
        <w:pStyle w:val="TextBody"/>
        <w:bidi w:val="0"/>
        <w:jc w:val="center"/>
        <w:rPr/>
      </w:pPr>
      <w:r>
        <w:rPr/>
        <w:t> </w:t>
      </w:r>
      <w:r>
        <w:rPr/>
        <w:drawing>
          <wp:inline distT="0" distB="0" distL="0" distR="0">
            <wp:extent cx="10477500" cy="5895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3813</Words>
  <Characters>21210</Characters>
  <CharactersWithSpaces>25513</CharactersWithSpaces>
  <Paragraphs>1689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