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5,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2025,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settlement agreement (the “</w:t>
      </w:r>
      <w:r>
        <w:rPr>
          <w:rFonts w:ascii="Times New Roman" w:cs="Times New Roman" w:eastAsia="Times New Roman" w:hAnsi="Times New Roman"/>
          <w:sz w:val="18"/>
          <w:szCs w:val="18"/>
          <w:u w:val="single" w:color="auto"/>
          <w:color w:val="auto"/>
        </w:rPr>
        <w:t>Settlement Agreement</w:t>
      </w:r>
      <w:r>
        <w:rPr>
          <w:rFonts w:ascii="Times New Roman" w:cs="Times New Roman" w:eastAsia="Times New Roman" w:hAnsi="Times New Roman"/>
          <w:sz w:val="18"/>
          <w:szCs w:val="18"/>
          <w:color w:val="auto"/>
        </w:rPr>
        <w:t>”) with LithiumHub, LLC, LithiumHub Technologies, LLC and Martin Koebler (collectively, “</w:t>
      </w:r>
      <w:r>
        <w:rPr>
          <w:rFonts w:ascii="Times New Roman" w:cs="Times New Roman" w:eastAsia="Times New Roman" w:hAnsi="Times New Roman"/>
          <w:sz w:val="18"/>
          <w:szCs w:val="18"/>
          <w:u w:val="single" w:color="auto"/>
          <w:color w:val="auto"/>
        </w:rPr>
        <w:t>LithiumHub</w:t>
      </w:r>
      <w:r>
        <w:rPr>
          <w:rFonts w:ascii="Times New Roman" w:cs="Times New Roman" w:eastAsia="Times New Roman" w:hAnsi="Times New Roman"/>
          <w:sz w:val="18"/>
          <w:szCs w:val="18"/>
          <w:color w:val="auto"/>
        </w:rPr>
        <w:t>”). The Settlement Agreement resolves the patent litigation brought by LithiumHub against the Company before the U.S. International Trade Commission, which alleged the Company’s products, including a battery management system and/or a lithium-ion phosphate cell, infringed on LithiumHub’s United States Patent Nos. 9,412,994 and 9,954,207 (the “</w:t>
      </w:r>
      <w:r>
        <w:rPr>
          <w:rFonts w:ascii="Times New Roman" w:cs="Times New Roman" w:eastAsia="Times New Roman" w:hAnsi="Times New Roman"/>
          <w:sz w:val="18"/>
          <w:szCs w:val="18"/>
          <w:u w:val="single" w:color="auto"/>
          <w:color w:val="auto"/>
        </w:rPr>
        <w:t>Patents-in-Suit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Settlement Agreement, the Company has agreed to pay LithiumHub a total of $2.5 million, of which approximately $0.6 million will be paid in 2025, and approximately $1.9 million will be paid in 2026, in exchange for a non-exclusive license in LithiumHub Technologies, LLC’s patents rights relating to the Patents-in-Suit. In accordance with the Settlement Agreement, the Company and LithiumHub will terminate the ongoing patent litigation between them. The Settlement Agreement includes no admission of infringement by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2025, the Company issued a press release announcing the unveiling of its new Battle Born® DualFlow Power Pack during TMC’s 2025 Annual Meeting &amp; Transportation Technology Exhibition. A copy of the press release is attached as Exhibit 99.1 hereto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innovative lithium power system is designed to eliminate idle time and alleviate strain on starter batteries by providing dedicated power for hotel loads in long haul trucks. Engineered for universal compatibility, the DualFlow Power Pack installs inside the sleeper cab under the bunk without any modifications to existing systems.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DualFlow Power Pack powers auxiliary loads while the truck is parked by removing cycles from the starter batteries and extending the lifespan while reducing unnecessary engine starts. Once the truck is back in motion, it recharges using Wakespeed® Charge Control Technology, making use of available energy without additional fuel consumption. Designed for Heavy-Duty Trucking fleets and owner-operators with sleeper cabs, it is particularly well-suited for fleets that do not use auxiliary air conditioners. With a low price point and an ROI well under a year, the Company believes fleets can quickly recover their investment and witness significant real-world savings in fuel costs, battery replacements, and maintenance.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 benefits of the Battle Born DualFlow Power Pack include:</w:t>
      </w:r>
    </w:p>
    <w:p>
      <w:pPr>
        <w:spacing w:after="0" w:line="225"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Idling – Provides reliable power throughout the mandatory 10-hour rest period, eliminating the need for idling during rest periods and saving an average of four gallons of fuel per day.</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Battery Life – Protects starter batteries by minimizing deep discharges and idle strain, reducing the risk of premature failures and costly replacements.</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Installation – Installs in under an hour with no physical modifications required, making it a quick and hassle-free upgrade for any fleet or owner-operator.</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Versatile Design – Engineered to be universally compatible with most sleeper cab models, the system can be mounted in any orientation— typically under the bunk inside the cab—to reduce vibration and shield it from road debris and wear.</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and Reliable – Built with LiFePO4 battery chemistry and an advanced Battery Management System (BMS) for industry-leading safety, performance, and dependability.</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to Last – Engineered for the demands of long-haul trucking and backed by a 10-year warranty, ensuring lasting durability and reliability on the road.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Battle Born® DualFlow Power Pack expands Dragonfly Energy’s portfolio of cost-saving, sustainable power solutions for the medium- and heavy-duty trucking industry, joining the Battle Born® All-Electric APU and the Battle Born® Liftgate Power System. The solution is available for purchase today and major fleets have already begun integrating the DualFlow Power Pack into their operations, recognizing its value in reducing costs and improving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communication may constitute forward-looking statements within the meaning of Section 27A of the Securities Act of 1933 and Section 21E of the Securities Exchange Act of 1934. All statements, other than statements of historical fact, are statements that could be deemed forward-looking statements, including statements containing the words “predicts,” “plans,” “expects,” “anticipates,” “believes,” “goal,” “target,” “estimate,” “potential,” “may,” “might,” “could,” “see,” “seek,” “forecast,” and similar words. Forward-looking statements are based on the Company’s current plans and expectations and involve risks and uncertainties which are, in many instances, beyond the Company’s control, and which could cause actual results to differ materially from those included in or contemplated or implied by the forward-looking statements. Such risks and uncertainties include, among others, the risks, uncertainties and factors detailed in the Company’s filings with the SEC, including in the Company’s Annual Report on Form 10-K for the year ended December 31, 2023, which was filed with the SEC on April 16, 2024. As a result of such risks, uncertainties and factors, the Company’s actual results may differ materially from any future results, performance or achievements discussed in or implied by the forward-looking statements contained herein. The Company is providing the information in this communication as of this date and assumes no obligations to update the information included in this communication or revise any forward-looking statements, whether as a result of new information, future events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6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March 10, 2025.</w:t>
            </w:r>
          </w:p>
        </w:tc>
        <w:tc>
          <w:tcPr>
            <w:tcW w:w="7480" w:type="dxa"/>
            <w:vAlign w:val="bottom"/>
            <w:tcBorders>
              <w:top w:val="single" w:sz="8" w:color="auto"/>
            </w:tcBorders>
          </w:tcPr>
          <w:p>
            <w:pPr>
              <w:spacing w:after="0"/>
              <w:rPr>
                <w:sz w:val="14"/>
                <w:szCs w:val="1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10,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156845</wp:posOffset>
            </wp:positionV>
            <wp:extent cx="2271395" cy="711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713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Launches Battle Born</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DualFlow Power Pack to Cut Fuel Costs and Extend Battery Life for Long Haul Trucks</w:t>
      </w:r>
    </w:p>
    <w:p>
      <w:pPr>
        <w:spacing w:after="0" w:line="141" w:lineRule="exact"/>
        <w:rPr>
          <w:sz w:val="20"/>
          <w:szCs w:val="20"/>
          <w:color w:val="auto"/>
        </w:rPr>
      </w:pPr>
    </w:p>
    <w:p>
      <w:pPr>
        <w:ind w:left="660" w:hanging="328"/>
        <w:spacing w:after="0" w:line="189"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Dragonfly Energy launches the Battle Born</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DualFlow Power Pack, a lithium power solution that eliminates idling, cuts fuel costs, and extends starter battery life for heavy-duty trucking.</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a low price point and fast return on investment, it offers fleets and owner-operators a cost-effective way to boost efficiency and long-term savings.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Designed for seamless integration, it installs under the bunk in under an hour with no modifications required.</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Reno, NV/Nashville, TN (March 10, 2025) </w:t>
      </w:r>
      <w:r>
        <w:rPr>
          <w:rFonts w:ascii="Times New Roman" w:cs="Times New Roman" w:eastAsia="Times New Roman" w:hAnsi="Times New Roman"/>
          <w:sz w:val="18"/>
          <w:szCs w:val="18"/>
          <w:color w:val="auto"/>
        </w:rPr>
        <w:t>– Today, during TMC’s 2025 Annual Meeting &amp; Transportation Technology Exhibition,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Dragonfly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Holdings Corp.</w:t>
      </w:r>
      <w:r>
        <w:rPr>
          <w:rFonts w:ascii="Times New Roman" w:cs="Times New Roman" w:eastAsia="Times New Roman" w:hAnsi="Times New Roman"/>
          <w:sz w:val="18"/>
          <w:szCs w:val="18"/>
          <w:color w:val="auto"/>
        </w:rPr>
        <w:t xml:space="preserve"> (Nasdaq: DFLI) (“Dragonfly Energy” or the “Company”), an industry leader in energy storage and battery technology, unveiled the new</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Battle Born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DualFlow Power Pack. This innovative lithium power system is designed to eliminate idle time and alleviate strain on starter batteries by providing dedicated power for hotel loads in long haul trucks. Engineered for universal compatibility, the DualFlow Power Pack installs inside the sleeper cab under the bunk without any modifications to existing systems.</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DualFlow Power Pack powers auxiliary loads while the truck is parked by removing cycles from the starter batteries and extending the lifespan while reducing unnecessary engine starts. Once the truck is back in motion, it recharges using Wakespeed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Charge Control Technology, making use of available energy without additional fuel consumption. Designed for Heavy-Duty Trucking fleets and owner-operators with sleeper cabs, it is particularly well-suited for fleets that do not use auxiliary air conditioners. With a low price point and an ROI well under a year, the Company believes fleets can quickly recover their investment and witness significant real-world savings in fuel costs, battery replacements, and maintenance.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long-haul segment looks for practical ways to incorporate electric power, we see the DualFlow Power Pack as a form of hybrid electrification that delivers real savings and efficiency that just makes good business sense,” said Wade Seaburg, chief commercial officer for Dragonfly Energy. “Built for the hardworking men and women who keep America moving, we believe it provides a reliable and affordable way to keep trucks powered and running efficiently. Fleets need practical, cost-effective solutions today, not just future promises. We believe this system helps them cut fuel costs, extend battery life, and reduce emissions without overhauling their existing infrastructure—making life on the road easier while driving real sustainability.”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 benefits of the Battle Born DualFlow Power Pack include:</w:t>
      </w:r>
    </w:p>
    <w:p>
      <w:pPr>
        <w:spacing w:after="0" w:line="225"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Idling – Provides reliable power throughout the mandatory 10-hour rest period, eliminating the need for idling during rest periods and saving an average of four gallons of fuel per day.</w:t>
      </w: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Battery Life – Protects starter batteries by minimizing deep discharges and idle strain, reducing the risk of premature failures and costly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Installation – Installs in under an hour with no physical modifications required, making it a quick and hassle-free upgrade for any fleet or owner-operator.</w:t>
      </w: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Versatile Design – Engineered to be universally compatible with most sleeper cab models, the system can be mounted in any orientation— typically under the bunk inside the cab—to reduce vibration and shield it from road debris and wear.</w:t>
      </w: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and Reliable – Built with LiFePO4 battery chemistry and an advanced Battery Management System (BMS) for industry-leading safety, performance, and dependability.</w:t>
      </w: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to Last – Engineered for the demands of long-haul trucking and backed by a 10-year warranty, ensuring lasting durability and reliability on the road.</w:t>
      </w:r>
    </w:p>
    <w:p>
      <w:pPr>
        <w:spacing w:after="0" w:line="18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Battle Born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DualFlow Power Pack expands Dragonfly Energy’s portfolio of cost-saving, sustainable power solutions for the medium- and heavy-duty trucking industry, joining the Battle Born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All-Electric APU and the Battle Born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Liftgate Power System. The solution is available for purchase today and major fleets have already begun integrating the DualFlow Power Pack into their operations, recognizing its value in reducing costs and improving efficiency. For more information or to place an order, visit </w:t>
      </w:r>
      <w:r>
        <w:rPr>
          <w:rFonts w:ascii="Times New Roman" w:cs="Times New Roman" w:eastAsia="Times New Roman" w:hAnsi="Times New Roman"/>
          <w:sz w:val="18"/>
          <w:szCs w:val="18"/>
          <w:u w:val="single" w:color="auto"/>
          <w:color w:val="auto"/>
        </w:rPr>
        <w:t>Battle Born</w:t>
      </w:r>
      <w:r>
        <w:rPr>
          <w:rFonts w:ascii="Times New Roman" w:cs="Times New Roman" w:eastAsia="Times New Roman" w:hAnsi="Times New Roman"/>
          <w:sz w:val="18"/>
          <w:szCs w:val="18"/>
          <w:color w:val="auto"/>
        </w:rPr>
        <w:t xml:space="preserve"> online.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Dragonfly Energy and its innovative energy solutions, please visit </w:t>
      </w:r>
      <w:r>
        <w:rPr>
          <w:rFonts w:ascii="Times New Roman" w:cs="Times New Roman" w:eastAsia="Times New Roman" w:hAnsi="Times New Roman"/>
          <w:sz w:val="18"/>
          <w:szCs w:val="18"/>
          <w:u w:val="single" w:color="auto"/>
          <w:color w:val="auto"/>
        </w:rPr>
        <w:t>DragonflyEnergy.com.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www.investors.dragonflyenergy.com.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Battle Born Batteries with Dragonfly IntelLigence,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Such factors include those set forth in the sections entitled “Risk Factors” and “Cautionary Note Regarding Forward-Looking Statements” in the Company’s Annual Report on Form 10-K for the year ended December 31, 2023, and in the Company’s subsequent filings with the SEC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Margaret Skillicorn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 Strategies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dragonfly@radstrategiesinc.com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2025-03-10T06:58:01Z</dcterms:created>
  <dcterms:modified xsi:type="dcterms:W3CDTF">2025-03-10T06:58:01Z</dcterms:modified>
</cp:coreProperties>
</file>