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333- 267983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 Dated July 30, 2024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142875</wp:posOffset>
            </wp:positionV>
            <wp:extent cx="174879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21,512,027 Shares of Common Stock</w:t>
      </w:r>
    </w:p>
    <w:p>
      <w:pPr>
        <w:spacing w:after="0" w:line="225"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Prospectus Supplement No. 1 supplements the prospectus of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dated May 21, 2024 (as supplemented to date,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with the following attached document which we filed with the Securities and Exchange Commission:</w:t>
      </w:r>
    </w:p>
    <w:p>
      <w:pPr>
        <w:spacing w:after="0" w:line="159" w:lineRule="exact"/>
        <w:rPr>
          <w:sz w:val="24"/>
          <w:szCs w:val="24"/>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Our Current Report on Form 8-K filed with the Securities and Exchange Commission on July 30, 2024.</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No. 1 should be read in conjunction with the Prospectus, which is required to be delivered with this Prospectus Supplement. This prospectus supplement updates, amends and supplements the information included in the Prospectus. If there is any inconsistency between the information in the Prospectus and this prospectus supplement, you should rely on the information in this Prospectus Supplement.</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 including any amendments or supplements to it.</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any investment in our common stock, you should carefully consider the risk factors for our common stock, which are described in the Prospectus, as amended or supplemented.</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the Prospectus, as supplemented or amended by this Prospectus Supplement No. 1 and any other prospectus supplement or amendment thereto. We have not authorized anyone to provide you with different information.</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No. 1 is July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INDEX TO FILINGS</w:t>
      </w:r>
    </w:p>
    <w:p>
      <w:pPr>
        <w:spacing w:after="0" w:line="225"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7"/>
          <w:szCs w:val="17"/>
          <w:b w:val="1"/>
          <w:bCs w:val="1"/>
          <w:color w:val="auto"/>
        </w:rPr>
        <w:t>Annex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27305</wp:posOffset>
            </wp:positionV>
            <wp:extent cx="6172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2" w:lineRule="exact"/>
        <w:rPr>
          <w:sz w:val="20"/>
          <w:szCs w:val="20"/>
          <w:color w:val="auto"/>
        </w:rPr>
      </w:pPr>
    </w:p>
    <w:p>
      <w:pPr>
        <w:spacing w:after="0"/>
        <w:tabs>
          <w:tab w:leader="none" w:pos="10660" w:val="left"/>
        </w:tabs>
        <w:rPr>
          <w:sz w:val="20"/>
          <w:szCs w:val="20"/>
          <w:color w:val="auto"/>
        </w:rPr>
      </w:pPr>
      <w:r>
        <w:rPr>
          <w:rFonts w:ascii="Times New Roman" w:cs="Times New Roman" w:eastAsia="Times New Roman" w:hAnsi="Times New Roman"/>
          <w:sz w:val="18"/>
          <w:szCs w:val="18"/>
          <w:u w:val="single" w:color="auto"/>
          <w:color w:val="0000EE"/>
        </w:rPr>
        <w:t>The Company’s Current Report on Form 8-K filed with the Securities and Exchange Commission on July 30, 2024.</w:t>
      </w:r>
      <w:r>
        <w:rPr>
          <w:sz w:val="20"/>
          <w:szCs w:val="20"/>
          <w:color w:val="auto"/>
        </w:rPr>
        <w:tab/>
      </w: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684"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29, 2024</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3"/>
          </w:tcPr>
          <w:p>
            <w:pPr>
              <w:jc w:val="center"/>
              <w:ind w:right="82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7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8"/>
        </w:trPr>
        <w:tc>
          <w:tcPr>
            <w:tcW w:w="4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7"/>
                <w:szCs w:val="17"/>
                <w:color w:val="auto"/>
              </w:rPr>
            </w:pP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7"/>
                <w:szCs w:val="17"/>
                <w:color w:val="auto"/>
              </w:rPr>
            </w:pPr>
          </w:p>
        </w:tc>
        <w:tc>
          <w:tcPr>
            <w:tcW w:w="4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 at an</w:t>
            </w:r>
          </w:p>
        </w:tc>
        <w:tc>
          <w:tcPr>
            <w:tcW w:w="2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exercise price of $11.50 per share, subject to adjustment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Stryten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2024, Dragonfly Energy Corp. (“</w:t>
      </w:r>
      <w:r>
        <w:rPr>
          <w:rFonts w:ascii="Times New Roman" w:cs="Times New Roman" w:eastAsia="Times New Roman" w:hAnsi="Times New Roman"/>
          <w:sz w:val="18"/>
          <w:szCs w:val="18"/>
          <w:b w:val="1"/>
          <w:bCs w:val="1"/>
          <w:color w:val="auto"/>
        </w:rPr>
        <w:t>DFE</w:t>
      </w:r>
      <w:r>
        <w:rPr>
          <w:rFonts w:ascii="Times New Roman" w:cs="Times New Roman" w:eastAsia="Times New Roman" w:hAnsi="Times New Roman"/>
          <w:sz w:val="18"/>
          <w:szCs w:val="18"/>
          <w:color w:val="auto"/>
        </w:rPr>
        <w:t>”), a wholly-owned subsidiary of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Battle Born Battery Products, LLC (“</w:t>
      </w:r>
      <w:r>
        <w:rPr>
          <w:rFonts w:ascii="Times New Roman" w:cs="Times New Roman" w:eastAsia="Times New Roman" w:hAnsi="Times New Roman"/>
          <w:sz w:val="18"/>
          <w:szCs w:val="18"/>
          <w:b w:val="1"/>
          <w:bCs w:val="1"/>
          <w:color w:val="auto"/>
        </w:rPr>
        <w:t>Battle Born LLC</w:t>
      </w:r>
      <w:r>
        <w:rPr>
          <w:rFonts w:ascii="Times New Roman" w:cs="Times New Roman" w:eastAsia="Times New Roman" w:hAnsi="Times New Roman"/>
          <w:sz w:val="18"/>
          <w:szCs w:val="18"/>
          <w:color w:val="auto"/>
        </w:rPr>
        <w:t>”), a newly formed wholly-owned subsidiary of DFE, entered into a License Agreement (the “</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Stryten Energy LLC (“</w:t>
      </w:r>
      <w:r>
        <w:rPr>
          <w:rFonts w:ascii="Times New Roman" w:cs="Times New Roman" w:eastAsia="Times New Roman" w:hAnsi="Times New Roman"/>
          <w:sz w:val="18"/>
          <w:szCs w:val="18"/>
          <w:b w:val="1"/>
          <w:bCs w:val="1"/>
          <w:color w:val="auto"/>
        </w:rPr>
        <w:t>Stryten</w:t>
      </w:r>
      <w:r>
        <w:rPr>
          <w:rFonts w:ascii="Times New Roman" w:cs="Times New Roman" w:eastAsia="Times New Roman" w:hAnsi="Times New Roman"/>
          <w:sz w:val="18"/>
          <w:szCs w:val="18"/>
          <w:color w:val="auto"/>
        </w:rPr>
        <w:t>”). Pursuant to the License Agreement, Battle Born LLC granted Stryten an exclusive, worldwide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use certain trademarks relating to the Company’s lithium-ion battery brand, Battle Born Batteries® (the “</w:t>
      </w:r>
      <w:r>
        <w:rPr>
          <w:rFonts w:ascii="Times New Roman" w:cs="Times New Roman" w:eastAsia="Times New Roman" w:hAnsi="Times New Roman"/>
          <w:sz w:val="18"/>
          <w:szCs w:val="18"/>
          <w:b w:val="1"/>
          <w:bCs w:val="1"/>
          <w:color w:val="auto"/>
        </w:rPr>
        <w:t>Licensed Trademarks</w:t>
      </w:r>
      <w:r>
        <w:rPr>
          <w:rFonts w:ascii="Times New Roman" w:cs="Times New Roman" w:eastAsia="Times New Roman" w:hAnsi="Times New Roman"/>
          <w:sz w:val="18"/>
          <w:szCs w:val="18"/>
          <w:color w:val="auto"/>
        </w:rPr>
        <w:t>”) for business-to-business sales of batteries to customers within the following markets: (i) automative, (ii) marine, (iii) powersports, (iv) lawn and garden, (v) golf cart, and</w:t>
      </w:r>
    </w:p>
    <w:p>
      <w:pPr>
        <w:spacing w:after="0" w:line="3" w:lineRule="exact"/>
        <w:rPr>
          <w:sz w:val="20"/>
          <w:szCs w:val="20"/>
          <w:color w:val="auto"/>
        </w:rPr>
      </w:pPr>
    </w:p>
    <w:p>
      <w:pPr>
        <w:jc w:val="both"/>
        <w:ind w:firstLine="8"/>
        <w:spacing w:after="0" w:line="253" w:lineRule="auto"/>
        <w:tabs>
          <w:tab w:leader="none" w:pos="3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and defense (such industries, the “</w:t>
      </w:r>
      <w:r>
        <w:rPr>
          <w:rFonts w:ascii="Times New Roman" w:cs="Times New Roman" w:eastAsia="Times New Roman" w:hAnsi="Times New Roman"/>
          <w:sz w:val="18"/>
          <w:szCs w:val="18"/>
          <w:b w:val="1"/>
          <w:bCs w:val="1"/>
          <w:color w:val="auto"/>
        </w:rPr>
        <w:t>Stryten Market</w:t>
      </w:r>
      <w:r>
        <w:rPr>
          <w:rFonts w:ascii="Times New Roman" w:cs="Times New Roman" w:eastAsia="Times New Roman" w:hAnsi="Times New Roman"/>
          <w:sz w:val="18"/>
          <w:szCs w:val="18"/>
          <w:color w:val="auto"/>
        </w:rPr>
        <w:t>”). In exchange for the licensing rights, Stryten agreed to pay Battle Born LLC an initial licensing fee of five million dollars ($5,000,000) (the “</w:t>
      </w:r>
      <w:r>
        <w:rPr>
          <w:rFonts w:ascii="Times New Roman" w:cs="Times New Roman" w:eastAsia="Times New Roman" w:hAnsi="Times New Roman"/>
          <w:sz w:val="18"/>
          <w:szCs w:val="18"/>
          <w:b w:val="1"/>
          <w:bCs w:val="1"/>
          <w:color w:val="auto"/>
        </w:rPr>
        <w:t>Initial Licensing Fee</w:t>
      </w:r>
      <w:r>
        <w:rPr>
          <w:rFonts w:ascii="Times New Roman" w:cs="Times New Roman" w:eastAsia="Times New Roman" w:hAnsi="Times New Roman"/>
          <w:sz w:val="18"/>
          <w:szCs w:val="18"/>
          <w:color w:val="auto"/>
        </w:rPr>
        <w:t>”). The License Agreement provides for mid-single digit royalty payments based on net sales using the Licensed Trademarks, with a tiered structure reaching up to twenty-five million dollars ($25,000,000), at which point Stryten will be required to pay a nominal annual license fee. Additional fees will apply for battery design and contract manufacturing services outside of the License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 breach within thirty (30) days of notice of such breach, (y) upon the occurrence of certain bankruptcy-related events, or (z) under certain circumstances, if the aggregate royalty payments received by Battle Born LLC under the License Agreement are less than fifteen million dollars ($15,000,000) after five (5) years.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License Agreement also contains customary representations, warranties and covenants, as well as customary provisions relating to indemnification, confidentiality and other matters.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Prior to and in connection with the License Agreement, on July 29, 2024, pursuant to a trademark transfer and license back agreement (the “</w:t>
      </w:r>
      <w:r>
        <w:rPr>
          <w:rFonts w:ascii="Times New Roman" w:cs="Times New Roman" w:eastAsia="Times New Roman" w:hAnsi="Times New Roman"/>
          <w:sz w:val="18"/>
          <w:szCs w:val="18"/>
          <w:b w:val="1"/>
          <w:bCs w:val="1"/>
          <w:color w:val="auto"/>
        </w:rPr>
        <w:t>Trademark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 Agreement</w:t>
      </w:r>
      <w:r>
        <w:rPr>
          <w:rFonts w:ascii="Times New Roman" w:cs="Times New Roman" w:eastAsia="Times New Roman" w:hAnsi="Times New Roman"/>
          <w:sz w:val="18"/>
          <w:szCs w:val="18"/>
          <w:color w:val="auto"/>
        </w:rPr>
        <w:t>”), DFE transferred all of its intellectual property rights in the Licensed Trademarks to Battle Born LLC and DFE licensed back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Battle Born LLC all rights in and to the Licensed Trademarks worldwide outside of the Stryten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Agreement Limited Waiver and Second Amendment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License Agreement, on July 29, 2024, the Company, DFE and Battle Born LLC entered into a Limited Waiver, Consent and Second Amendment to Term Loan, Guarantee and Security Agreement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with the lenders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under the Company’s Term Loan, Guarantee and Security Agreement, dated as of October 7, 2022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and Alter Domus (US) LLC, as the agent to the Lenders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Amendment, the Lenders (i) consented to the transactions contemplated by the License Agreement and the Trademark Transfer Agreement and (ii) agreed to waive the mandatory prepayment under the Loan Agreement that would have been due to the Lenders under the Loan Agreement upon Battle Born LLC’s receipt of the Initial Licensing Fee.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In connection with the Amendment, Battle Born LLC entered into a Joinder Agreement with the Lenders (the “</w:t>
      </w:r>
      <w:r>
        <w:rPr>
          <w:rFonts w:ascii="Times New Roman" w:cs="Times New Roman" w:eastAsia="Times New Roman" w:hAnsi="Times New Roman"/>
          <w:sz w:val="18"/>
          <w:szCs w:val="18"/>
          <w:b w:val="1"/>
          <w:bCs w:val="1"/>
          <w:color w:val="auto"/>
        </w:rPr>
        <w:t>Joinder</w:t>
      </w:r>
      <w:r>
        <w:rPr>
          <w:rFonts w:ascii="Times New Roman" w:cs="Times New Roman" w:eastAsia="Times New Roman" w:hAnsi="Times New Roman"/>
          <w:sz w:val="18"/>
          <w:szCs w:val="18"/>
          <w:color w:val="auto"/>
        </w:rPr>
        <w:t>”) whereby Battle Born LLC became a guarantor and credit party to the Loan Agreement.</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Copies of the License Agreement, the Trademark Transfer Agreement, the Amendment and the Joinder will be filed as exhibits to an amendment to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DRAGONFLY ENERGY HOLDINGS CORP.</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2024</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8"/>
        </w:trPr>
        <w:tc>
          <w:tcPr>
            <w:tcW w:w="3520" w:type="dxa"/>
            <w:vAlign w:val="bottom"/>
          </w:tcPr>
          <w:p>
            <w:pPr>
              <w:spacing w:after="0"/>
              <w:rPr>
                <w:sz w:val="17"/>
                <w:szCs w:val="17"/>
                <w:color w:val="auto"/>
              </w:rPr>
            </w:pPr>
          </w:p>
        </w:tc>
        <w:tc>
          <w:tcPr>
            <w:tcW w:w="2680" w:type="dxa"/>
            <w:vAlign w:val="bottom"/>
          </w:tcPr>
          <w:p>
            <w:pPr>
              <w:ind w:left="2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520" w:type="dxa"/>
            <w:vAlign w:val="bottom"/>
          </w:tcPr>
          <w:p>
            <w:pPr>
              <w:spacing w:after="0"/>
              <w:rPr>
                <w:sz w:val="18"/>
                <w:szCs w:val="18"/>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interim Chief Financial</w:t>
            </w:r>
          </w:p>
        </w:tc>
      </w:tr>
      <w:tr>
        <w:trPr>
          <w:trHeight w:val="234"/>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439"/>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2024-07-30T07:52:15Z</dcterms:created>
  <dcterms:modified xsi:type="dcterms:W3CDTF">2024-07-30T07:52:15Z</dcterms:modified>
</cp:coreProperties>
</file>