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3, 2025</w:t>
      </w:r>
    </w:p>
    <w:p>
      <w:pPr>
        <w:spacing w:after="0" w:line="225"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85-1873463</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12915 Old Virginia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622 - 3448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including zip code, and telephone number,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including area code, of registrant’s principal executive offices</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12915 Old Virginia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622-3448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send copies of all communications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M. Skolnick,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262-6700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41" w:right="33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 Selling Stockholders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FEBRUARY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4879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1,412,158 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Issuable Upon Exercise of Outstanding Warrants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relates to the resale of up to 1,412,158 shares of Dragonfly Energy Holdings Corp. (the “Company,” “we,” “our” or “us”) common stock, par value $0.0001 per share (“Common Stock”), by the Selling Stockholders listed in this prospectus or their permitted transferees (the “Selling Stockholders”). The shares of Common Stock registered for resale pursuant to this prospectus consist of: (i) 65,895 shares of Common Stock (the “Original Shares”) issuable upon the exercise of penny warrants (the “Original Penny Warrants”); (ii) 142,965 shares of Common Stock (the “December 2023 Waiver Shares”) issuable upon the exercise of penny warrants (the “December 2023 Penny Warrants”); (iii) 283,334 shares of Common Stock (the “May 2024 Waiver Shares”) issuable upon the exercise of penny warrants (the “May 2024 Penny Warrants”); (iv) 233,335 shares of Common Stock (the “June 2024 Waiver Shares”) issuable upon the exercise of penny warrants (the “June 2024 Penny Warrants”); (v) 333,334 shares of Common Stock (the “September 2024 Waiver Shares”) issuable upon the exercise of penny warrants (the “September 2024 Penny Warrants”); (vi) 350,000 shares of Common Stock (the “December 2024 Waiver Shares”) issuable upon the exercise of penny warrants (the “December 2024 Penny Warrants”); and (vii) 3,295 shares of Common Stock (the “Anti-Dilution Shares”, and together with the Original Shares, the December 2023 Waiver Shares, the May 2024 Waiver Shares, the June 2024 Waiver Shares, the September 2024 Waiver Shares, and the December 2024 Waiver Shares, the “Warrant Shares”) issuable upon the exercise of the penny warrants (the “Anti-Dilution Warrants”, together with the Original Penny Warrants, the December 2023 Penny Warrants, the May 2024 Penny Warrants, the June 2024 Penny Warrants, the September 2024 Penny Warrants, and the December 2024 Penny Warrants, the “Warrants”). The Warrants were issued to the Selling Stockholders in private placement offerings (collectively, the “Private Placements”) on October 7, 2022, December 29, 2023, May 13, 2024, June 28, 2024, September 30, 2024, and December 31, 2024 and from time to time in connection with our usage of our ChEF Equity Facility (as defined below).</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about the Private Placements, see “</w:t>
      </w:r>
      <w:r>
        <w:rPr>
          <w:rFonts w:ascii="Times New Roman" w:cs="Times New Roman" w:eastAsia="Times New Roman" w:hAnsi="Times New Roman"/>
          <w:sz w:val="18"/>
          <w:szCs w:val="18"/>
          <w:i w:val="1"/>
          <w:iCs w:val="1"/>
          <w:color w:val="auto"/>
        </w:rPr>
        <w:t>Private Placements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Original Penny Warrants, the December 2023 Penny Warrants, the May 2024 Penny Warrants, the June 2024 Penny Warrants, the September 2024 Penny Warrants and the Anti-Dilution Warrants issued prior to November 22, 2024 have an exercise price of $0.09 per share and were immediately exercisable upon issuance. The Anti-Dilution Warrants issued on or after November 22, 2024 have an exercise price of $0.01 per share and were immediately exercisable upon issuance. The December 2024 Penny Warrants have an exercise price of $0.01 per share and will become exercisable upon receipt of the Warrant Issuance Shareholder Approval (as defined below) from our stockholders. The Warrants will expire ten years from each respective date of issuance.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Stockholders may, from time to time, sell, transfer or otherwise dispose of any or all of their shares of Common Stock or interests in their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for more information. We will not receive any proceeds from the resale or other disposition of the shares of Common Stock by the Selling Stockholders. However, we will receive the proceeds of any cash exercise of the Warrants.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beginning on page 10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16 of this prospectus for more information.</w:t>
      </w:r>
    </w:p>
    <w:p>
      <w:pPr>
        <w:spacing w:after="0" w:line="18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You should read this prospectus, together with additional information described under the headings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carefully before you invest in any of our securities.</w:t>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We effected a 1-for-9 reverse stock split on November 22, 2024, pursuant to which every nine shares of our issued and outstanding Common Stock were converted into one share of Common Stock (the “Reverse Stock Split”). The Reverse Stock Split had no impact on the par value of our Common Stock or the authorized number of shares of our Common Stock. Unless otherwise indicated, all share and per share information in this prospectus has been adjusted to reflect the Reverse Stock Split.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and our public warrants are currently listed on the Nasdaq Capital Market under the symbol “DFLIW.” As of January 31, 2025, the closing price of our Common Stock was $2.38 and the closing price of our public warrants was $0.03.</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An investment in our securities involves a high degree of risk. Before deciding whether to invest in our securities, you should consider carefully the risks and uncertainties described in the section captioned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contained in our Annual Report on Form 10-K for the fiscal year ended December 31, 2023, filed with the Securities and Exchange Commission (the “SEC”), on April 17, 2024, as amended on April 29, 2024, and our other filings we make with the SEC from time to time, which are incorporated by reference herein in their entirety, together with other information in this prospectus and the information incorporated by reference herein.</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ind w:right="-19"/>
        <w:spacing w:after="0"/>
        <w:tabs>
          <w:tab w:leader="none" w:pos="240" w:val="left"/>
        </w:tabs>
        <w:rPr>
          <w:sz w:val="20"/>
          <w:szCs w:val="20"/>
          <w:color w:val="auto"/>
        </w:rPr>
      </w:pPr>
      <w:r>
        <w:rPr>
          <w:rFonts w:ascii="Times New Roman" w:cs="Times New Roman" w:eastAsia="Times New Roman" w:hAnsi="Times New Roman"/>
          <w:sz w:val="18"/>
          <w:szCs w:val="18"/>
          <w:color w:val="auto"/>
        </w:rPr>
        <w:t>The date of this prospectus is</w:t>
        <w:tab/>
        <w:t>,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gridSpan w:val="4"/>
          </w:tcPr>
          <w:p>
            <w:pPr>
              <w:ind w:left="2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6"/>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7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660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87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55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SELECTED FINANCIAL DATA REFLECTING REVERSE STOCK SPLIT</w:t>
            </w:r>
          </w:p>
        </w:tc>
        <w:tc>
          <w:tcPr>
            <w:tcW w:w="3120" w:type="dxa"/>
            <w:vAlign w:val="bottom"/>
            <w:tcBorders>
              <w:bottom w:val="single" w:sz="8" w:color="CCEEFF"/>
            </w:tcBorders>
            <w:gridSpan w:val="2"/>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87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PRIVATE PLACEMENTS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7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180" w:type="dxa"/>
            <w:vAlign w:val="bottom"/>
            <w:tcBorders>
              <w:bottom w:val="single" w:sz="8" w:color="CCEEFF"/>
            </w:tcBorders>
            <w:gridSpan w:val="4"/>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87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240" w:type="dxa"/>
            <w:vAlign w:val="bottom"/>
            <w:tcBorders>
              <w:top w:val="single" w:sz="8" w:color="CCEEFF"/>
            </w:tcBorders>
            <w:gridSpan w:val="12"/>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628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87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we nor the Selling Stockholders has authorized anyone to provide you with any information or to make any representations other than those contained in this prospectus or any applicable prospectus supplement or any free writing prospectuses prepared by or on behalf of us or to which we have referred you. When you make a decision about whether to invest in our securities, you should not rely upon any information other than the information in this prospectus or in any free writing prospectus that we may authorize to be delivered or made available to you. Neither the delivery of this prospectus nor the sale of our securities means that the information contained in this prospectus or any free writing prospectus is correct after the date of this prospectus or such free writing prospectus. This prospectus is not an offer to sell or the solicitation of an offer to buy our securities in any circumstances under which the offer or solicitation is unlawful.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or post-effective amendment to the registration statement, together with the additional information to which we refer you in the sections of this prospectus titled “</w:t>
      </w:r>
      <w:r>
        <w:rPr>
          <w:rFonts w:ascii="Times New Roman" w:cs="Times New Roman" w:eastAsia="Times New Roman" w:hAnsi="Times New Roman"/>
          <w:sz w:val="18"/>
          <w:szCs w:val="18"/>
          <w:i w:val="1"/>
          <w:iCs w:val="1"/>
          <w:color w:val="auto"/>
        </w:rPr>
        <w:t>Information Incorporated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filed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and incorporates by reference certain market data and industry statistics and forecasts that are based on studies sponsored by us, independent industry publications and other publicly available information. Although we believe these sources are reliable, estimates as they relate to projections involve numerous assumptions, are subject to risks and uncertainties, and are subject to change based on various factors, including those discussed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under similar headings in the documents incorporated by reference herein and therein. Accordingly, investors should not place undue reliance on this information.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the “Company,” “we,” “us” and “our” and any related terms refer to Dragonfly Energy Holdings Corp.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contains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under a similar heading in any other annual, periodic or current report incorporated by reference into this prospectus or that we may file with the SEC in the future. These factors include, but are not limited to:</w:t>
      </w:r>
    </w:p>
    <w:p>
      <w:pPr>
        <w:spacing w:after="0" w:line="180"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and public warrants on the Nasdaq Capital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geopolitical events, including the Russia-Ukraine conflict and Hamas’ attack on Israel, and their effects on our operations;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section “risk Factors” in this prospectus and in our most recent Annual Report on Form 10-K.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do not protect any forward-looking statements that we make in connection with this offering. All forward-looking statements included in this prospectus and in the documents incorporated by reference in this prospectus are based on information available to us on the date of this prospectus or the date of the applicable document</w:t>
      </w:r>
    </w:p>
    <w:p>
      <w:pPr>
        <w:sectPr>
          <w:pgSz w:w="11900" w:h="16905" w:orient="portrait"/>
          <w:cols w:equalWidth="0" w:num="1">
            <w:col w:w="11240"/>
          </w:cols>
          <w:pgMar w:left="320" w:top="684" w:right="339" w:bottom="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incorporated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and in the documents incorporated by reference in this prospectus. We qualify all of our forward-looking statements by these cautionary statements.</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and under a similar heading in any other annual, periodic or current report incorporated by reference into this prospectus, to better understand the risks and uncertainties inherent in our business and underlying any forward-looking statements. You are advised to consult any further disclosures we make on related subjects in our future public filings.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227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22744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6, our consolidated financial statements and the related notes and the other information incorporated by reference into this prospectus before making an investment decision.</w:t>
      </w:r>
    </w:p>
    <w:p>
      <w:pPr>
        <w:spacing w:after="0" w:line="18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This prospectus and the information incorporated by reference herein contain references to trademarks, service marks and trade names owned by us or other companies. Solely for convenience, trademarks, service marks and trade names referred to in this prospectus and the information</w:t>
      </w:r>
    </w:p>
    <w:p>
      <w:pPr>
        <w:jc w:val="both"/>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incorporated by reference herein, including logos, artwork, and other visual displays, may appear without the ® or </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Other trademarks, trade names and service marks appearing in this prospectus and the documents incorporated by reference herein are the property of their respective owners.</w:t>
      </w:r>
    </w:p>
    <w:p>
      <w:pPr>
        <w:spacing w:after="0" w:line="198"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On November 22, 2024, we effected a reverse stock split for our issued and outstanding Common Stock at a ratio of 1-for-9. All of our historical share and per share information related to issued and outstanding Common Stock and outstanding options and warrants exercisable for Common Stock included in this prospectus have been adjusted, on a retroactive basis, to reflect the reverse stock splits. See “Corporate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(“DTC”)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(“Wakespeed”) of Thomason Jones, allowing us to include our own alternator regulator in systems that we sell.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025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and expect to begin scaling production during 2025. In addition, we are currently exploring opportunities within North America as part of our efforts to build a cell manufacturing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On November 22, 2024, we effected a reverse stock split of our issued and outstanding Common Stock at a ratio of 1-for-9 (the “Reverse Stock Split”). Shares of Common Stock underlying outstanding stock options and other equity instruments convertible into Common Stock were proportionately reduced and the respective exercise prices, if applicable, were proportionately increased in accordance with the terms of the agreements governing such securities in connection with the Reverse Stock Split. No fractional shares were issued in connection with the Reverse Stock Split. Any fractional shares of Common Stock resulting from the Reverse Stock Split were rounded up to the nearest whole number. All of our historical share and per share information related to issued and outstanding Common Stock and outstanding options and warrants exercisable for Common Stock included or incorporated by reference in this prospectus have been adjusted, on a retroactive basis, to reflect the Reverse Stock Split.</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12915 Old Virginia Road, Reno, Nevada 89521, and our telephone number is (775) 622-3448. Our website is www.dragonflyenergy.com. Our website and the information contained on, or that can be accessed through, our website shall not be deemed to be incorporated by reference in, and are not considered part of, this prospectus. You should not rely on any such information in making your decision whether to purchase our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918" w:right="4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339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THE OFFERING</w:t>
      </w:r>
    </w:p>
    <w:p>
      <w:pPr>
        <w:sectPr>
          <w:pgSz w:w="11900" w:h="16838" w:orient="portrait"/>
          <w:cols w:equalWidth="0" w:num="1">
            <w:col w:w="10920"/>
          </w:cols>
          <w:pgMar w:left="480" w:top="914" w:right="499" w:bottom="1440" w:gutter="0" w:footer="0" w:header="0"/>
        </w:sectPr>
      </w:pP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Shares of Common Stock offered by the Selling Stockholders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1,412,158 shares of Common Stock issuable upon exercise of the Warrants.</w:t>
      </w:r>
    </w:p>
    <w:p>
      <w:pPr>
        <w:spacing w:after="0" w:line="448" w:lineRule="exact"/>
        <w:rPr>
          <w:sz w:val="20"/>
          <w:szCs w:val="20"/>
          <w:color w:val="auto"/>
        </w:rPr>
      </w:pPr>
    </w:p>
    <w:p>
      <w:pPr>
        <w:sectPr>
          <w:pgSz w:w="11900" w:h="16838" w:orient="portrait"/>
          <w:cols w:equalWidth="0" w:num="2">
            <w:col w:w="3040" w:space="240"/>
            <w:col w:w="7640"/>
          </w:cols>
          <w:pgMar w:left="480" w:top="914" w:right="49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outstanding prior to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7,253,362 shares.</w:t>
      </w:r>
    </w:p>
    <w:p>
      <w:pPr>
        <w:spacing w:after="0" w:line="448" w:lineRule="exact"/>
        <w:rPr>
          <w:sz w:val="20"/>
          <w:szCs w:val="20"/>
          <w:color w:val="auto"/>
        </w:rPr>
      </w:pPr>
    </w:p>
    <w:p>
      <w:pPr>
        <w:sectPr>
          <w:pgSz w:w="11900" w:h="16838" w:orient="portrait"/>
          <w:cols w:equalWidth="0" w:num="2">
            <w:col w:w="2780" w:space="500"/>
            <w:col w:w="7640"/>
          </w:cols>
          <w:pgMar w:left="480" w:top="914" w:right="499" w:bottom="1440" w:gutter="0" w:footer="0" w:header="0"/>
          <w:type w:val="continuous"/>
        </w:sectPr>
      </w:pPr>
    </w:p>
    <w:p>
      <w:pPr>
        <w:ind w:right="220"/>
        <w:spacing w:after="0" w:line="317" w:lineRule="auto"/>
        <w:rPr>
          <w:sz w:val="20"/>
          <w:szCs w:val="20"/>
          <w:color w:val="auto"/>
        </w:rPr>
      </w:pPr>
      <w:r>
        <w:rPr>
          <w:rFonts w:ascii="Times New Roman" w:cs="Times New Roman" w:eastAsia="Times New Roman" w:hAnsi="Times New Roman"/>
          <w:sz w:val="17"/>
          <w:szCs w:val="17"/>
          <w:b w:val="1"/>
          <w:bCs w:val="1"/>
          <w:color w:val="auto"/>
        </w:rPr>
        <w:t>Common Stock outstanding immediately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8,665,520 shares, assuming the exercise in full of the Warrants.</w:t>
      </w:r>
    </w:p>
    <w:p>
      <w:pPr>
        <w:spacing w:after="0" w:line="448" w:lineRule="exact"/>
        <w:rPr>
          <w:sz w:val="20"/>
          <w:szCs w:val="20"/>
          <w:color w:val="auto"/>
        </w:rPr>
      </w:pPr>
    </w:p>
    <w:p>
      <w:pPr>
        <w:sectPr>
          <w:pgSz w:w="11900" w:h="16838" w:orient="portrait"/>
          <w:cols w:equalWidth="0" w:num="2">
            <w:col w:w="2560" w:space="720"/>
            <w:col w:w="7640"/>
          </w:cols>
          <w:pgMar w:left="480" w:top="91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shares of Common Stock offered by the Selling Stockholders pursuant to this prospectus. However, we will receive the proceeds of any cash exercise of the Warrants. We will use the net proceeds from the exercise price of the Warrants, if any, for working capital and other general corporate purposes, including the repayment of outstanding indebtedness. It is possible that some, or all, of the Warrants may expire and never be exercised. Please see the section entitled see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on page 10 of this prospectus for a more detailed discussion.</w:t>
      </w:r>
    </w:p>
    <w:p>
      <w:pPr>
        <w:spacing w:after="0" w:line="183" w:lineRule="exact"/>
        <w:rPr>
          <w:sz w:val="20"/>
          <w:szCs w:val="20"/>
          <w:color w:val="auto"/>
        </w:rPr>
      </w:pPr>
    </w:p>
    <w:p>
      <w:pPr>
        <w:sectPr>
          <w:pgSz w:w="11900" w:h="16838" w:orient="portrait"/>
          <w:cols w:equalWidth="0" w:num="2">
            <w:col w:w="2560" w:space="720"/>
            <w:col w:w="7640"/>
          </w:cols>
          <w:pgMar w:left="480" w:top="91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National Securities Exchange Listing</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and our public warrants are currently listed on the Nasdaq Capital Market under the symbol “DFLIW.”</w:t>
      </w:r>
    </w:p>
    <w:p>
      <w:pPr>
        <w:spacing w:after="0" w:line="158" w:lineRule="exact"/>
        <w:rPr>
          <w:sz w:val="20"/>
          <w:szCs w:val="20"/>
          <w:color w:val="auto"/>
        </w:rPr>
      </w:pPr>
    </w:p>
    <w:p>
      <w:pPr>
        <w:sectPr>
          <w:pgSz w:w="11900" w:h="16838" w:orient="portrait"/>
          <w:cols w:equalWidth="0" w:num="2">
            <w:col w:w="2820" w:space="460"/>
            <w:col w:w="7640"/>
          </w:cols>
          <w:pgMar w:left="480" w:top="914" w:right="49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Please see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 6 of this prospectus. In addition before deciding whether to invest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you should consider carefully the risks and uncertainties described in the section captioned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our Annual Report on Form 10-K for the fiscal year ended December 31, 2023 filed with the SEC on April 17, 2024, as amended on April 29, 2024, and other filings we make with the SEC from time to time, which are incorporated by reference herein in their entirety, together with other information in this prospectus and the information incorporated by reference herein.</w:t>
      </w:r>
    </w:p>
    <w:p>
      <w:pPr>
        <w:spacing w:after="0" w:line="185" w:lineRule="exact"/>
        <w:rPr>
          <w:sz w:val="20"/>
          <w:szCs w:val="20"/>
          <w:color w:val="auto"/>
        </w:rPr>
      </w:pPr>
    </w:p>
    <w:p>
      <w:pPr>
        <w:sectPr>
          <w:pgSz w:w="11900" w:h="16838" w:orient="portrait"/>
          <w:cols w:equalWidth="0" w:num="2">
            <w:col w:w="2560" w:space="720"/>
            <w:col w:w="7640"/>
          </w:cols>
          <w:pgMar w:left="480" w:top="914" w:right="4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is based on 8,665,520 shares of our Common Stock outstanding as of January 31, 2025, assuming the exercise of the Warrants in full, and excludes:</w:t>
      </w:r>
    </w:p>
    <w:p>
      <w:pPr>
        <w:spacing w:after="0" w:line="162" w:lineRule="exact"/>
        <w:rPr>
          <w:sz w:val="20"/>
          <w:szCs w:val="20"/>
          <w:color w:val="auto"/>
        </w:rPr>
      </w:pPr>
    </w:p>
    <w:p>
      <w:pPr>
        <w:ind w:left="640" w:hanging="321"/>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financial achievements per our $75,000,000 term loan (the “Term Loan”);</w:t>
      </w:r>
    </w:p>
    <w:p>
      <w:pPr>
        <w:ind w:left="64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1,213,768 shares of Common Stock issuable upon exercise of public warrants outstanding as of January 31, 2025, with an exercise price of $103.50 per share;</w:t>
      </w:r>
    </w:p>
    <w:p>
      <w:pPr>
        <w:ind w:left="64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1,300,240 shares of Common Stock issuable upon exercise of warrants outstanding as of January 31, 2025, with a weighed average exercise price of $18.22 per share;</w:t>
      </w:r>
    </w:p>
    <w:p>
      <w:pPr>
        <w:ind w:left="64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186,290 shares of Common Stock underlying outstanding options as of January 31, 2025, with a weighted average exercise price of $23.42 per share; and</w:t>
      </w:r>
    </w:p>
    <w:p>
      <w:pPr>
        <w:ind w:left="640" w:hanging="321"/>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339,309 shares of Common Stock underlying outstanding restricted stock units as of January 31, 2025.</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reflects and assumes no issuances or exercises of any other outstanding shares, options or warrants after January 31,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80" w:top="914" w:right="49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purchasing any of the securities you should carefully consider the risk factors incorporated by reference in this prospectus from our most recent Annual Report on Form 10-K, including any amendments filed, and any subsequent updates described in our Quarterly Reports on Form 10-Q and Current Reports on Form 8-K. For a description of these reports and information about where you can find them, see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Additional risks not presently known or that we presently consider to be immaterial could subsequently materially and adversely affect our financial condition, results of operations, business and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 REFLECTING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On November 22, 2024, we effected a 1-for-9 reverse stock split of our common stock. The total number of outstanding shares of capital stock was amended from approximately 63,285,970 to approximately 7,031,775. The par value per common share remained unchanged. The audited consolidated financial statements of Dragonfly Energy Holdings Corp. included in the Annual Report on Form 10-K for the year ended December 31, 2023, and the unaudited condensed consolidated financial statements included in our Quarterly Reports on Form 10-Q for the periods ended March 31, 2024, June 30, 2024 and September 30, 2024, which are incorporated by reference into this prospectus, are presented without giving effect to the reverse stock split. Except where the context otherwise requires, share numbers in this prospectus reflect the 1-for-9 reverse stock split of our common stock.</w:t>
      </w:r>
    </w:p>
    <w:p>
      <w:pPr>
        <w:spacing w:after="0" w:line="18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included in our Annual Report on Form 10-K filed with the SEC on April 16, 2024, and our unaudited condensed consolidated financial statements included in our Quarterly Reports on Form 10-Q filed with the SEC on May 15, 2024, August 14, 2024, and November 14, 2024, as adjusted to reflect the reverse stock split for all periods presented. Our historical results are not indicative of the results that may be expected in the future and results of interim periods are not indicative of the results for the entire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REPORTED (in thousands, except share and per share amounts):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auto"/>
            </w:tcBorders>
          </w:tcPr>
          <w:p>
            <w:pPr>
              <w:spacing w:after="0"/>
              <w:rPr>
                <w:sz w:val="19"/>
                <w:szCs w:val="19"/>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52,786,481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38,565,307</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43,272,728</w:t>
            </w:r>
          </w:p>
        </w:tc>
      </w:tr>
      <w:tr>
        <w:trPr>
          <w:trHeight w:val="418"/>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auto"/>
            </w:tcBorders>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rPr>
              <w:t>(Unaudited)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58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5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58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45,104,515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48,455,996</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45,795,502</w:t>
            </w:r>
          </w:p>
        </w:tc>
      </w:tr>
      <w:tr>
        <w:trPr>
          <w:trHeight w:val="418"/>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96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8"/>
              </w:rPr>
              <w:t>(Unaudited)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(13,627)</w:t>
            </w:r>
          </w:p>
        </w:tc>
        <w:tc>
          <w:tcPr>
            <w:tcW w:w="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(11,899)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(23,994)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(0.22)</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jc w:val="right"/>
              <w:ind w:right="156"/>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60,673,835</w:t>
            </w:r>
          </w:p>
        </w:tc>
        <w:tc>
          <w:tcPr>
            <w:tcW w:w="5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47,418,269</w:t>
            </w:r>
          </w:p>
        </w:tc>
        <w:tc>
          <w:tcPr>
            <w:tcW w:w="140" w:type="dxa"/>
            <w:vAlign w:val="bottom"/>
            <w:shd w:val="clear" w:color="auto" w:fill="CCEEFF"/>
          </w:tcPr>
          <w:p>
            <w:pPr>
              <w:spacing w:after="0"/>
              <w:rPr>
                <w:sz w:val="20"/>
                <w:szCs w:val="20"/>
                <w:color w:val="auto"/>
              </w:rPr>
            </w:pPr>
          </w:p>
        </w:tc>
        <w:tc>
          <w:tcPr>
            <w:tcW w:w="1500" w:type="dxa"/>
            <w:vAlign w:val="bottom"/>
            <w:gridSpan w:val="4"/>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60,673,835</w:t>
            </w: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47,418,269</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28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61,367,633</w:t>
            </w:r>
          </w:p>
        </w:tc>
        <w:tc>
          <w:tcPr>
            <w:tcW w:w="58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58,504,541</w:t>
            </w:r>
          </w:p>
        </w:tc>
        <w:tc>
          <w:tcPr>
            <w:tcW w:w="140" w:type="dxa"/>
            <w:vAlign w:val="bottom"/>
          </w:tcPr>
          <w:p>
            <w:pPr>
              <w:spacing w:after="0"/>
              <w:rPr>
                <w:sz w:val="20"/>
                <w:szCs w:val="20"/>
                <w:color w:val="auto"/>
              </w:rPr>
            </w:pPr>
          </w:p>
        </w:tc>
        <w:tc>
          <w:tcPr>
            <w:tcW w:w="1500" w:type="dxa"/>
            <w:vAlign w:val="bottom"/>
            <w:gridSpan w:val="4"/>
          </w:tcPr>
          <w:p>
            <w:pPr>
              <w:jc w:val="right"/>
              <w:ind w:right="216"/>
              <w:spacing w:after="0"/>
              <w:rPr>
                <w:sz w:val="20"/>
                <w:szCs w:val="20"/>
                <w:color w:val="auto"/>
              </w:rPr>
            </w:pPr>
            <w:r>
              <w:rPr>
                <w:rFonts w:ascii="Times New Roman" w:cs="Times New Roman" w:eastAsia="Times New Roman" w:hAnsi="Times New Roman"/>
                <w:sz w:val="18"/>
                <w:szCs w:val="18"/>
                <w:color w:val="auto"/>
              </w:rPr>
              <w:t>61,367,633</w:t>
            </w: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58,504,541</w:t>
            </w:r>
          </w:p>
        </w:tc>
      </w:tr>
      <w:tr>
        <w:trPr>
          <w:trHeight w:val="607"/>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96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4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8"/>
              </w:rPr>
              <w:t>(Unaudited)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(6,779)</w:t>
            </w:r>
          </w:p>
        </w:tc>
        <w:tc>
          <w:tcPr>
            <w:tcW w:w="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(30,773)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jc w:val="right"/>
              <w:ind w:right="156"/>
              <w:spacing w:after="0"/>
              <w:rPr>
                <w:sz w:val="20"/>
                <w:szCs w:val="20"/>
                <w:color w:val="auto"/>
              </w:rPr>
            </w:pPr>
            <w:r>
              <w:rPr>
                <w:rFonts w:ascii="Times New Roman" w:cs="Times New Roman" w:eastAsia="Times New Roman" w:hAnsi="Times New Roman"/>
                <w:sz w:val="18"/>
                <w:szCs w:val="18"/>
                <w:color w:val="auto"/>
              </w:rPr>
              <w:t>(0.50)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62,328,555</w:t>
            </w:r>
          </w:p>
        </w:tc>
        <w:tc>
          <w:tcPr>
            <w:tcW w:w="5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58,736,013</w:t>
            </w:r>
          </w:p>
        </w:tc>
        <w:tc>
          <w:tcPr>
            <w:tcW w:w="140" w:type="dxa"/>
            <w:vAlign w:val="bottom"/>
            <w:shd w:val="clear" w:color="auto" w:fill="CCEEFF"/>
          </w:tcPr>
          <w:p>
            <w:pPr>
              <w:spacing w:after="0"/>
              <w:rPr>
                <w:sz w:val="20"/>
                <w:szCs w:val="20"/>
                <w:color w:val="auto"/>
              </w:rPr>
            </w:pPr>
          </w:p>
        </w:tc>
        <w:tc>
          <w:tcPr>
            <w:tcW w:w="1500" w:type="dxa"/>
            <w:vAlign w:val="bottom"/>
            <w:gridSpan w:val="4"/>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61,092,021</w:t>
            </w: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50,166,320</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28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62,767,982</w:t>
            </w:r>
          </w:p>
        </w:tc>
        <w:tc>
          <w:tcPr>
            <w:tcW w:w="58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58,880,712</w:t>
            </w:r>
          </w:p>
        </w:tc>
        <w:tc>
          <w:tcPr>
            <w:tcW w:w="140" w:type="dxa"/>
            <w:vAlign w:val="bottom"/>
          </w:tcPr>
          <w:p>
            <w:pPr>
              <w:spacing w:after="0"/>
              <w:rPr>
                <w:sz w:val="20"/>
                <w:szCs w:val="20"/>
                <w:color w:val="auto"/>
              </w:rPr>
            </w:pPr>
          </w:p>
        </w:tc>
        <w:tc>
          <w:tcPr>
            <w:tcW w:w="1500" w:type="dxa"/>
            <w:vAlign w:val="bottom"/>
            <w:gridSpan w:val="4"/>
          </w:tcPr>
          <w:p>
            <w:pPr>
              <w:jc w:val="right"/>
              <w:ind w:right="216"/>
              <w:spacing w:after="0"/>
              <w:rPr>
                <w:sz w:val="20"/>
                <w:szCs w:val="20"/>
                <w:color w:val="auto"/>
              </w:rPr>
            </w:pPr>
            <w:r>
              <w:rPr>
                <w:rFonts w:ascii="Times New Roman" w:cs="Times New Roman" w:eastAsia="Times New Roman" w:hAnsi="Times New Roman"/>
                <w:sz w:val="18"/>
                <w:szCs w:val="18"/>
                <w:color w:val="auto"/>
              </w:rPr>
              <w:t>62,767,982</w:t>
            </w: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58,880,812</w:t>
            </w:r>
          </w:p>
        </w:tc>
      </w:tr>
      <w:tr>
        <w:trPr>
          <w:trHeight w:val="414"/>
        </w:trPr>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AS ADJUSTED FOR 1-FOR-9 REVERSE STOCK SPLIT (unaudited, in thousands, except share and per share amounts):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auto"/>
            </w:tcBorders>
          </w:tcPr>
          <w:p>
            <w:pPr>
              <w:spacing w:after="0"/>
              <w:rPr>
                <w:sz w:val="19"/>
                <w:szCs w:val="19"/>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5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5,865,165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4,285,035</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6,695,662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4,808,081</w:t>
            </w:r>
          </w:p>
        </w:tc>
      </w:tr>
      <w:tr>
        <w:trPr>
          <w:trHeight w:val="418"/>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684"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1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(Unaudited)</w:t>
            </w:r>
          </w:p>
        </w:tc>
        <w:tc>
          <w:tcPr>
            <w:tcW w:w="1000" w:type="dxa"/>
            <w:vAlign w:val="bottom"/>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2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(10,367)</w:t>
            </w:r>
          </w:p>
        </w:tc>
        <w:tc>
          <w:tcPr>
            <w:tcW w:w="9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2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9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6,695,587</w:t>
            </w: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5,011,613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6,695,587</w:t>
            </w: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5,384,000</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6,695,587</w:t>
            </w:r>
          </w:p>
        </w:tc>
        <w:tc>
          <w:tcPr>
            <w:tcW w:w="5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5,088,390</w:t>
            </w:r>
          </w:p>
        </w:tc>
      </w:tr>
      <w:tr>
        <w:trPr>
          <w:trHeight w:val="418"/>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29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8"/>
              </w:rPr>
              <w:t>(Unaudited)</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8"/>
              </w:rPr>
              <w:t>(Unaudited)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(13,627)</w:t>
            </w:r>
          </w:p>
        </w:tc>
        <w:tc>
          <w:tcPr>
            <w:tcW w:w="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(11,899)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(23,994)</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6,741,538</w:t>
            </w:r>
          </w:p>
        </w:tc>
        <w:tc>
          <w:tcPr>
            <w:tcW w:w="5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5,268,697</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6,741,538</w:t>
            </w:r>
          </w:p>
        </w:tc>
        <w:tc>
          <w:tcPr>
            <w:tcW w:w="5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5,268,697</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28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6,818,626</w:t>
            </w:r>
          </w:p>
        </w:tc>
        <w:tc>
          <w:tcPr>
            <w:tcW w:w="58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6,500,505</w:t>
            </w:r>
          </w:p>
        </w:tc>
        <w:tc>
          <w:tcPr>
            <w:tcW w:w="18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6,818,626</w:t>
            </w:r>
          </w:p>
        </w:tc>
        <w:tc>
          <w:tcPr>
            <w:tcW w:w="5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6,500,505</w:t>
            </w:r>
          </w:p>
        </w:tc>
      </w:tr>
      <w:tr>
        <w:trPr>
          <w:trHeight w:val="391"/>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29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8"/>
              </w:rPr>
              <w:t>(Unaudited)</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8"/>
              </w:rPr>
              <w:t>(Unaudited)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(6,779)</w:t>
            </w:r>
          </w:p>
        </w:tc>
        <w:tc>
          <w:tcPr>
            <w:tcW w:w="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(30,773)</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(0.98)</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6,925,395</w:t>
            </w:r>
          </w:p>
        </w:tc>
        <w:tc>
          <w:tcPr>
            <w:tcW w:w="5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6,526,224</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6,788,003</w:t>
            </w:r>
          </w:p>
        </w:tc>
        <w:tc>
          <w:tcPr>
            <w:tcW w:w="5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5,574,036</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28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6,974,221</w:t>
            </w:r>
          </w:p>
        </w:tc>
        <w:tc>
          <w:tcPr>
            <w:tcW w:w="58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6,542,302</w:t>
            </w:r>
          </w:p>
        </w:tc>
        <w:tc>
          <w:tcPr>
            <w:tcW w:w="18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6,974,221</w:t>
            </w:r>
          </w:p>
        </w:tc>
        <w:tc>
          <w:tcPr>
            <w:tcW w:w="5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6,542,302</w:t>
            </w:r>
          </w:p>
        </w:tc>
      </w:tr>
      <w:tr>
        <w:trPr>
          <w:trHeight w:val="414"/>
        </w:trPr>
        <w:tc>
          <w:tcPr>
            <w:tcW w:w="4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Private Placement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we entered into a Term Loan Guarantee and Security Agreement, dated as of October 2022, as amended July 1, 2024 (the “Term Loan Agreement”) by and among us, the lenders signatory thereto (the “Term Loan Lenders”) and Alter Domus (US), LLC, setting forth the terms of our Term Loan. The Term Loan Agreement provided for a one-time issuance of the Original Penny Warrants to purchase up to 288,118 Original Shares, at an exercise price of $0.09 per share, in connection with the entry into the Term Loan Agreement. The Original Penny Warrants were immediately exercisable upon issuance and will expire ten years from the date of issuance. As of January 31, 2025, 221,814 shares of Common Stock have been issued upon exercise of the Original Penny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29, 2023, we received a waiver (the “December 2023 Waiver”) from the Term Loan Lenders (as defined below) in regards to our compliance with the fixed charge coverage ratio and maximum senior leverage ratio with respect to the minimum cash requirements (the “Tests”) under Term Loan Agreement, as of the last day of the quarter ended December 31, 2023. The December 2023 Waiver provided for a one-time issuance of the December 2023 Penny Warrants to purchase up to 142,964 December 2023 Waiver Shares, at an exercise price of $0.09 per share, in connection with the Term Loan Lenders’ agreement to waive the Tests under the Term Loan for the quarter ended December 31, 2023. The December 2023 Penny Warrants were immediately exercisable upon issuance and will expire ten years from the date of issuance. As of January 31, 2025, no December 2023 Penny Warrants have been exercised.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13, 2024, we received a waiver (the “May 2024 Waiver”) from the Term Loan Lenders in regards to our compliance with the Tests as of the last day of the quarter ended March 31, 2024. The May 2024 Waiver provided for a one-time issuance of the May 2024 Penny Warrants to purchase up to 283,334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 As of January 31, 2025, no May 2024 Penny Warrants have been exercised.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2024 Private Placement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28, 2024, we received a limited waiver from and entered into the first amendment to the Term Loan Agreement (the “First Amendment”) with the Term Loan Lenders in regards to our compliance with the Tests as of the last day of the quarter ended June 30, 2024. The First Amendment provided for a one-time issuance of the June 2024 Penny Warrants to purchase up to 233,334 June 2024 Waiver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 As of January 31, 2025, no June 2024 Penny Warrants have been exercised.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Private Placement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2024, we received a limited waiver from and entered into the third amendment to the Term Loan Agreement (the “Third Amendment”) with the Term Loan Lenders in regards to our compliance with the Tests as of the last day of the quarter ended September 30, 2024. The Third Amendment provided for a one-time issuance of the September 2024 Penny Warrants to purchase up to 333,334 September 2024 Waiver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 As of January 31, 2025, no September 2024 Penny Warrants have been exercised.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2024 Private Placement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31, 2024, we received a limited waiver from and entered into the fourth amendment to the Term Loan Agreement (the “Fourth Amendment”) with the Term Loan Lenders in regards to our compliance with the Tests as of the last day of the quarter ended December 31, 2024. The Fourth Amendment provided for a one-time issuance of the December 2024 Penny Warrants to purchase up to 350,000 December 2024 Waiver Shares, at an exercise price of $0.01 per share, in connection with the Term Loan Lenders’ agreement to waive the Tests under the Term Loan for the quarter ended December 31, 2024. The December 2024 Penny Warrants will become exercisable upon receipt of the Warrant Issuance Shareholder Approval from our stockholders and will expire ten years from the date of issuance.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under the Fourth Amendment, the Term Loan Lenders agreed to temporarily suspend the their rights under Section 4(b) of the Warrants to receive additional warrant shares in connection with the issuances by us of shares of Common Stock pursuant to the ChEF Equity Facility during the period from December 31, 2024 through the earliest of (x) the Company obtaining shareholder approval for the issuance of up to 1,400,000 shares of Common Stock underlying penny warrants issued to the Term Loan Lenders on and after the date of the Fourth Amendment, including the December 2024 Penny Warrants, in accordance with Rules 5635(b) and 5635(d) of the Nasdaq Stock Market (the “Warrant Issuance Shareholder Approval”), (y) the occurrence of a Change of Control (as defined in the Term Loan Agreement), or (z) December 31, 2025. In connection with the Fourth Amendment, on December 31, 2024, we entered into a support agreement with the stockholder signatory thereto that held in excess of 20% of our voting stock as of the date of the Fourth Amendment by which such stockholder agreed to (i) be present at any meeting of our stockholders and (ii) vote in favor of a proposal to obtain the Warrant Issuance Shareholder Approval.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Private Placements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Consistent with the equity facility letter agreement dated May 15, 2022 between Dragonfly Energy Corp., our wholly-owned direct subsidiary (“Legacy Dragonfly”) and CCM Investments 5 LLC, an affiliate of CCM LLC (defined below), we entered into a purchase agreement (the “Purchase Agreement”) and a Registration Rights Agreement (the “ChEF RRA”) with Chardan Capital Markets LLC, a New York limited liability company (“CCM”), on October 7, 2022. Pursuant to and on the terms of the Purchase Agreement, we have the right to sell and direct CCM to purchase an amount of shares of our Common Stock, up to a maximum aggregate purchase price of $150 million, from time to time, over the term of the equity facility (the “ChEF Equity Facility”).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Warrants have specified anti-dilution protection against subsequent equity sales or distributions, subject to certain exclusions including that such anti-dilution adjustments need not be made with respect to issuances of Common Stock pursuant to the ChEF Equity Facility sold at a per share price above $45.00 per share of Common Stock (as adjusted as a result of the Reverse Stock Split) (subject to further adjustment for any reorganization, recapitalization, non-cash dividend, stock split, reverse stock split or other similar transaction that occurs on or after the date of the Purchase Agreement). Since the entry into the Term Loan Agreement and through December 31, 2024, we issued Anti-Dilution Warrants to purchase 3,295 shares of Common Stock to the Term Loan Lenders in accordance with the anti-dilution provisions of the Warrants with respect to certain sales made by us under the ChEF Equity Facility. Anti-Dilution Warrants to purchase 2,822 shares of Common Stock that were issued prior to November 22, 2024 have an exercise price of $0.09 per share. Anti-Dilution Warrants to purchase 473 shares of Common Stock that were issued after November 22, 2024 have an exercise price of $0.01 per share. The Anti-Dilution Warrants were immediately exercisable upon issuance and will expire ten years from each date of issuance.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Common Stock offered by the Selling Stockholders under this prospectus. However, we will receive the proceeds of any cash exercise of the Warrants. If all of the Warrants were exercised for cash, we would receive aggregate proceeds of approximately $0.1 million. We intend to use the net proceeds from any cash exercise of the Warrants for working capital and other general corporate purposes, including the repayment of outstanding indebtedness. It is possible that some, or all, of the Warrants may expire and never be exercised.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expected use of the net proceeds from this resale represents our intentions based upon our current plans and business conditions, and our management will retain broad discretion as to the ultimate allocation of the proceeds. We may temporarily invest funds that we do not immediately need for these purposes in investment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 xml:space="preserve">This prospectus covers the resale or other disposition by the Selling Stockholders identified in the table below of up to an aggregate 1,412,158 shares of our Common Stock issuable upon the exercise of the Warrants. The Selling Stockholders acquired their securities in the transactions described above under the heading </w:t>
      </w:r>
      <w:r>
        <w:rPr>
          <w:rFonts w:ascii="Times New Roman" w:cs="Times New Roman" w:eastAsia="Times New Roman" w:hAnsi="Times New Roman"/>
          <w:sz w:val="18"/>
          <w:szCs w:val="18"/>
          <w:i w:val="1"/>
          <w:iCs w:val="1"/>
          <w:color w:val="auto"/>
        </w:rPr>
        <w:t>“Private Placements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table below sets forth, as of January 31, 2025, the following information regarding the Selling Stockholders:</w:t>
      </w:r>
    </w:p>
    <w:p>
      <w:pPr>
        <w:spacing w:after="0" w:line="225"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Stockholders;</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owned by the Selling Stockholders prior to this offering, without regard to any beneficial ownership limitations contained in the Warrants;</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to be offered by the Selling Stockholders in this offering;</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to be owned by the Selling Stockholders assuming the sale of all of the shares of Common Stock covered by this prospectus; and</w:t>
      </w:r>
    </w:p>
    <w:p>
      <w:pPr>
        <w:spacing w:after="0" w:line="16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our issued and outstanding shares of Common Stock to be owned by Selling Stockholders assuming the sale of all of the shares of Common Stock covered by this prospectus based on the number of shares of Common Stock issued and outstanding as of January 31, 2025.</w:t>
      </w:r>
    </w:p>
    <w:p>
      <w:pPr>
        <w:spacing w:after="0" w:line="162"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Except as described above, the number of shares of Common Stock beneficially owned by the Selling Stockholder has been determined in accordance with Rule 13d-3 under the Exchange Act and includes, for such purpose, shares of Common Stock that the Selling Stockholder has the right to acquire within 60 days of January 31, 2025.</w:t>
      </w:r>
    </w:p>
    <w:p>
      <w:pPr>
        <w:spacing w:after="0" w:line="176"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All information with respect to the Common Stock ownership of the Selling Stockholders has been furnished by or on behalf of the Selling Stockholders. We believe, based on information supplied by the Selling Stockholders, that except as may otherwise be indicated in the footnotes to the table below, the Selling Stockholder has sole voting and dispositive power with respect to the shares of Common Stock reported as beneficially owned by the Selling Stockholders. Because the Selling Stockholders identified in the table may sell some or all of the shares of Common Stock beneficially owned by them and covered by this prospectus, and because there are currently no agreements, arrangements or understandings with respect to the sale of any of the shares of Common Stock, no estimate can be given as to the number of shares of Common Stock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shares of Common Stock they beneficially own in transactions exempt from the registration requirements of the Securities Act after the date on which they provided the information set forth in the table below. We have, therefore, assumed for the purposes of the following table, that the Selling Stockholders will sell all of the shares of Common Stock owned beneficially by it that are covered by this prospectus, but will not sell any other shares of Common Stock that they presently own. Except as set forth below, the Selling Stockholders have not held any position or office, or have otherwise had a material relationship, with us or any of our subsidiaries within the past three years other than as a result of the ownership of our shares of Common Stock or other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Owned</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by this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 after</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38"/>
        </w:trPr>
        <w:tc>
          <w:tcPr>
            <w:tcW w:w="44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Name of Selling Stockholders</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3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3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BP Holdings XVII LP</w:t>
            </w:r>
          </w:p>
        </w:tc>
        <w:tc>
          <w:tcPr>
            <w:tcW w:w="1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841,476(2)</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841,476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 LP</w:t>
            </w: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190,218(3)</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190,218</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Impact Credit Fun II LP</w:t>
            </w:r>
          </w:p>
        </w:tc>
        <w:tc>
          <w:tcPr>
            <w:tcW w:w="1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380,464(4)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380,464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8,665,520 shares of Common Stock outstanding as of January 31, 2025, assuming the exercise of all of the Warrants and the resale of all of the shares of Common Stock covered by this prospectus.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to purchase up to 841,476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to purchase up to 190,218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to purchase up to 380,464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means the Nevada Revised Statutes (the “NRS”), our Articles of Incorporation, as amended (the “Articles of Incorporation”) and our Bylaws in their entirety for a complete description of the rights and preferences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255,000,000 shares of capital stock authorized under our Charter, which consists of 250,000,000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January 31, 2025 there were 7,253,362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 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Securities Exchange Act of 1934, as amended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and our public warrants are currently listed on The Nasdaq Capital Market under the symbol “DFLIW.”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agreed to keep this registration statement effective until the earlier of (i) each Selling Stockholder no longer owns any of the securities registered hereunder and (ii) the securities registered hereunder may be sold without restriction on volume or manner of sale in any three-month period pursuant to Rule 144 or any successor rule promulgated under the Securities Act.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“DFLI.”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Parsons Behle &amp; Latimer, Reno, Nevada.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and for the year ended December 31, 2023 incorporated by reference into this prospectus and Registration Statement,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 The report also contains an explanatory paragraph regarding adjustments described in Note 15 of such report that were applied to revise the 2022 financial statements to correct an error. They were not engaged to audit, review or apply any procedures to the 2022 financial statements other than with respect to the adjustments.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(the Company) as of December 31, 2022 and for the year then ended before the effects of the adjustments for the correction of the error described in Note 15 (not separately included or incorporated by reference in the Prospectus), have been audited by BDO USA, LLP (n/k/a BDO USA, P.C.), an independent registered public accounting firm. The adjustments to those consolidated financial statements to correct the error described in Note 15 have been audited by Marcum LLP, an independent registered public accounting firm. The consolidated financial statements as of December 31, 2022 and for the year then ended incorporated by reference in this Prospectus and in the Registration Statement, have been so incorporated in reliance on (i) the report (which contains an explanatory paragraph regarding the Company’s ability to continue as a going concern) of BDO USA, LLP (n/k/a BDO USA, P.C.) solely with respect to those consolidated financial statements before the effects of the adjustments to correct the error described in Note 15, and (ii) the report of Marcum LLP solely with respect to the adjustments to those financial statements to correct the error described in Note 15, given on the authority of said firms as experts in auditing and accounting.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by this prospectus. This prospectus, which is part of the registration statement, omits certain information, exhibits, schedules and undertakings set forth in the registration statement. For further information pertaining to us and our securities, reference is made to our SEC filings and the registration statement and the exhibits and schedules to the registration statement.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Securities Exchange Act of 1934, as amended,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https://www.dragonflyenergy.com/,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w:t>
      </w:r>
      <w:r>
        <w:rPr>
          <w:rFonts w:ascii="Times New Roman" w:cs="Times New Roman" w:eastAsia="Times New Roman" w:hAnsi="Times New Roman"/>
          <w:sz w:val="18"/>
          <w:szCs w:val="18"/>
          <w:i w:val="1"/>
          <w:iCs w:val="1"/>
          <w:color w:val="auto"/>
        </w:rPr>
        <w:t>Incorporation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Information by Reference</w:t>
      </w:r>
      <w:r>
        <w:rPr>
          <w:rFonts w:ascii="Times New Roman" w:cs="Times New Roman" w:eastAsia="Times New Roman" w:hAnsi="Times New Roman"/>
          <w:sz w:val="18"/>
          <w:szCs w:val="18"/>
          <w:color w:val="auto"/>
        </w:rPr>
        <w:t>” below. We have not authorized any other person to provide you with different information. If anyone provides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different or inconsistent information, you should not rely upon it. We are not making an offer to sell these securities in any jurisdiction where the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2023 (the “Form 10-K”) filed with the SEC on </w:t>
      </w:r>
      <w:hyperlink r:id="rId37">
        <w:r>
          <w:rPr>
            <w:rFonts w:ascii="Times New Roman" w:cs="Times New Roman" w:eastAsia="Times New Roman" w:hAnsi="Times New Roman"/>
            <w:sz w:val="18"/>
            <w:szCs w:val="18"/>
            <w:u w:val="single" w:color="auto"/>
            <w:color w:val="0000EE"/>
          </w:rPr>
          <w:t>April 16, 2024</w:t>
        </w:r>
      </w:hyperlink>
      <w:r>
        <w:rPr>
          <w:rFonts w:ascii="Times New Roman" w:cs="Times New Roman" w:eastAsia="Times New Roman" w:hAnsi="Times New Roman"/>
          <w:sz w:val="18"/>
          <w:szCs w:val="18"/>
          <w:color w:val="auto"/>
        </w:rPr>
        <w:t xml:space="preserve">, as amended on </w:t>
      </w:r>
      <w:hyperlink r:id="rId38">
        <w:r>
          <w:rPr>
            <w:rFonts w:ascii="Times New Roman" w:cs="Times New Roman" w:eastAsia="Times New Roman" w:hAnsi="Times New Roman"/>
            <w:sz w:val="18"/>
            <w:szCs w:val="18"/>
            <w:u w:val="single" w:color="auto"/>
            <w:color w:val="0000EE"/>
          </w:rPr>
          <w:t>April 29, 2024</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auto"/>
          </w:rPr>
          <w:t xml:space="preserve">our Quarterly Report on Form 10-Q for the quarters ended March 31, 2024, June 30, 2024 and September 30, 2024 filed with the SEC on </w:t>
        </w:r>
        <w:r>
          <w:rPr>
            <w:rFonts w:ascii="Times New Roman" w:cs="Times New Roman" w:eastAsia="Times New Roman" w:hAnsi="Times New Roman"/>
            <w:sz w:val="18"/>
            <w:szCs w:val="18"/>
            <w:u w:val="single" w:color="auto"/>
            <w:color w:val="0000EE"/>
          </w:rPr>
          <w:t>May 15,</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 xml:space="preserve">August 14, 2024 </w:t>
        </w:r>
      </w:hyperlink>
      <w:hyperlink r:id="rId3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November 14, 2024</w:t>
        </w:r>
      </w:hyperlink>
      <w:hyperlink r:id="rId39">
        <w:r>
          <w:rPr>
            <w:rFonts w:ascii="Times New Roman" w:cs="Times New Roman" w:eastAsia="Times New Roman" w:hAnsi="Times New Roman"/>
            <w:sz w:val="18"/>
            <w:szCs w:val="18"/>
            <w:color w:val="000000"/>
          </w:rPr>
          <w:t>, respectively;</w:t>
        </w:r>
      </w:hyperlink>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1,</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July 30, 2024</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August 1, 2024</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October 7, 2024</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November 12, 2024</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November 22, 2024</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December 9, 2024</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December 18, 2024</w:t>
        </w:r>
      </w:hyperlink>
      <w:hyperlink r:id="rId42">
        <w:r>
          <w:rPr>
            <w:rFonts w:ascii="Times New Roman" w:cs="Times New Roman" w:eastAsia="Times New Roman" w:hAnsi="Times New Roman"/>
            <w:sz w:val="18"/>
            <w:szCs w:val="18"/>
            <w:color w:val="000000"/>
          </w:rPr>
          <w:t>, and</w:t>
        </w:r>
      </w:hyperlink>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January 3,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excluding any information deemed furnished under Items 2.02 or 7.01 of Form 8-K, including the related exhibits,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information is not incorporated by reference herein); and</w:t>
      </w:r>
    </w:p>
    <w:p>
      <w:pPr>
        <w:spacing w:after="0" w:line="179"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w:t>
      </w:r>
      <w:hyperlink r:id="rId5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August 10, 2021 under Section 12(b) of the Exchange Act including any amendments or reports filed for the purpose of updating such description, including </w:t>
      </w:r>
      <w:hyperlink r:id="rId52">
        <w:r>
          <w:rPr>
            <w:rFonts w:ascii="Times New Roman" w:cs="Times New Roman" w:eastAsia="Times New Roman" w:hAnsi="Times New Roman"/>
            <w:sz w:val="18"/>
            <w:szCs w:val="18"/>
            <w:u w:val="single" w:color="auto"/>
            <w:color w:val="0000EE"/>
          </w:rPr>
          <w:t>Exhibit 4.10</w:t>
        </w:r>
      </w:hyperlink>
      <w:r>
        <w:rPr>
          <w:rFonts w:ascii="Times New Roman" w:cs="Times New Roman" w:eastAsia="Times New Roman" w:hAnsi="Times New Roman"/>
          <w:sz w:val="18"/>
          <w:szCs w:val="18"/>
          <w:color w:val="auto"/>
        </w:rPr>
        <w:t xml:space="preserve"> to the Form 10-K.</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12915 Old Virginia Road,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448945</wp:posOffset>
            </wp:positionV>
            <wp:extent cx="1748790" cy="436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1,412,158 Shares of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Issuable Upon Exercise of Outstanding Warrants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469.16</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4,530.84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our Articles of Incorporation nor our Bylaws prevent us from indemnifying our officers, directors and agents to the extent permitted under the Nevada Revised Statutes, as amended (“NRS”).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w:t>
      </w:r>
    </w:p>
    <w:p>
      <w:pPr>
        <w:spacing w:after="0" w:line="3" w:lineRule="exact"/>
        <w:rPr>
          <w:sz w:val="20"/>
          <w:szCs w:val="20"/>
          <w:color w:val="auto"/>
        </w:rPr>
      </w:pPr>
    </w:p>
    <w:p>
      <w:pPr>
        <w:jc w:val="both"/>
        <w:ind w:firstLine="8"/>
        <w:spacing w:after="0" w:line="253" w:lineRule="auto"/>
        <w:tabs>
          <w:tab w:leader="none" w:pos="2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also the undertakings set out in response to Item 17 of this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19"/>
                <w:szCs w:val="19"/>
                <w:color w:val="auto"/>
              </w:rPr>
            </w:pP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60" w:type="dxa"/>
            <w:vAlign w:val="bottom"/>
            <w:tcBorders>
              <w:top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0" w:type="dxa"/>
            <w:vAlign w:val="bottom"/>
          </w:tcPr>
          <w:p>
            <w:pPr>
              <w:spacing w:after="0"/>
              <w:rPr>
                <w:sz w:val="19"/>
                <w:szCs w:val="19"/>
                <w:color w:val="auto"/>
              </w:rPr>
            </w:pP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tcBorders>
              <w:top w:val="single" w:sz="8" w:color="auto"/>
            </w:tcBorders>
            <w:gridSpan w:val="15"/>
          </w:tcPr>
          <w:p>
            <w:pPr>
              <w:spacing w:after="0" w:line="169"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Agreement and Plan of Merger, dated as of May 15, 2022, by and among Dragonfly</w:t>
              </w:r>
            </w:hyperlink>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S-4</w:t>
            </w: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1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7/22/2022</w:t>
            </w: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Energy Holdings Corp. (f/k/a Chardan NexTech Acquisition 2 Corp.), Bronco Merger</w:t>
              </w:r>
            </w:hyperlink>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Sub,  Inc.  and  Dragonfly  Energy  Corp.  (included  as  Annex  A  to  the  proxy</w:t>
              </w:r>
            </w:hyperlink>
          </w:p>
        </w:tc>
        <w:tc>
          <w:tcPr>
            <w:tcW w:w="2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statement/prospectus).</w:t>
              </w:r>
            </w:hyperlink>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7"/>
                <w:szCs w:val="17"/>
                <w:color w:val="auto"/>
              </w:rPr>
            </w:pPr>
          </w:p>
        </w:tc>
        <w:tc>
          <w:tcPr>
            <w:tcW w:w="6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Amendment to Agreement and Plan of Merger, dated as of July 12, 2022, by and among</w:t>
              </w:r>
            </w:hyperlink>
          </w:p>
        </w:tc>
        <w:tc>
          <w:tcPr>
            <w:tcW w:w="240" w:type="dxa"/>
            <w:vAlign w:val="bottom"/>
            <w:gridSpan w:val="3"/>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2.1(a)</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7/22/2022</w:t>
            </w:r>
          </w:p>
        </w:tc>
      </w:tr>
      <w:tr>
        <w:trPr>
          <w:trHeight w:val="19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Dragonfly Energy Holdings Corp. (f/k/a Chardan NexTech Acquisition 2 Corp.), Bronco</w:t>
              </w:r>
            </w:hyperlink>
          </w:p>
        </w:tc>
        <w:tc>
          <w:tcPr>
            <w:tcW w:w="2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Merger Sub, Inc. and Dragonfly Energy Corp.</w:t>
              </w:r>
            </w:hyperlink>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7"/>
                <w:szCs w:val="17"/>
                <w:color w:val="auto"/>
              </w:rPr>
            </w:pPr>
          </w:p>
        </w:tc>
        <w:tc>
          <w:tcPr>
            <w:tcW w:w="3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Plan of Conversion.</w:t>
              </w:r>
            </w:hyperlink>
          </w:p>
        </w:tc>
        <w:tc>
          <w:tcPr>
            <w:tcW w:w="3440" w:type="dxa"/>
            <w:vAlign w:val="bottom"/>
            <w:gridSpan w:val="6"/>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3/31/2023</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7"/>
                <w:szCs w:val="17"/>
                <w:color w:val="auto"/>
              </w:rPr>
            </w:pPr>
          </w:p>
        </w:tc>
        <w:tc>
          <w:tcPr>
            <w:tcW w:w="4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Articles of Incorporation of Dragonfly Energy Holdings Corp.</w:t>
              </w:r>
            </w:hyperlink>
          </w:p>
        </w:tc>
        <w:tc>
          <w:tcPr>
            <w:tcW w:w="2260" w:type="dxa"/>
            <w:vAlign w:val="bottom"/>
            <w:gridSpan w:val="5"/>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3/31/2023</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Certificate of Amendment to the Articles of Incorporation of Dragonfly Energy Holdings</w:t>
              </w:r>
            </w:hyperlink>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11/22/2024</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Corp., as filed with the Secretary of State of the State of Nevada, dated November 19,</w:t>
              </w:r>
            </w:hyperlink>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3"/>
          </w:tcPr>
          <w:p>
            <w:pPr>
              <w:ind w:left="240"/>
              <w:spacing w:after="0" w:line="196" w:lineRule="exact"/>
              <w:rPr>
                <w:rFonts w:ascii="Times New Roman" w:cs="Times New Roman" w:eastAsia="Times New Roman" w:hAnsi="Times New Roman"/>
                <w:sz w:val="18"/>
                <w:szCs w:val="18"/>
                <w:color w:val="0000EE"/>
                <w:w w:val="93"/>
              </w:rPr>
            </w:pPr>
            <w:hyperlink r:id="rId61">
              <w:r>
                <w:rPr>
                  <w:rFonts w:ascii="Times New Roman" w:cs="Times New Roman" w:eastAsia="Times New Roman" w:hAnsi="Times New Roman"/>
                  <w:sz w:val="18"/>
                  <w:szCs w:val="18"/>
                  <w:color w:val="0000EE"/>
                  <w:w w:val="93"/>
                </w:rPr>
                <w:t>2024.</w:t>
              </w:r>
            </w:hyperlink>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Bylaws of Dragonfly Energy Holdings Corp.</w:t>
              </w:r>
            </w:hyperlink>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3/31/2023</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Specimen Common Stock Certificate of Dragonfly Energy Holdings Corp.</w:t>
              </w:r>
            </w:hyperlink>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10/11/2022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Form of Penny Warrant of the Company.</w:t>
              </w:r>
            </w:hyperlink>
          </w:p>
        </w:tc>
        <w:tc>
          <w:tcPr>
            <w:tcW w:w="2420" w:type="dxa"/>
            <w:vAlign w:val="bottom"/>
            <w:tcBorders>
              <w:top w:val="single" w:sz="8" w:color="0000EE"/>
            </w:tcBorders>
            <w:gridSpan w:val="5"/>
          </w:tcPr>
          <w:p>
            <w:pPr>
              <w:spacing w:after="0"/>
              <w:rPr>
                <w:sz w:val="17"/>
                <w:szCs w:val="17"/>
                <w:color w:val="auto"/>
              </w:rPr>
            </w:pPr>
          </w:p>
        </w:tc>
        <w:tc>
          <w:tcPr>
            <w:tcW w:w="1380" w:type="dxa"/>
            <w:vAlign w:val="bottom"/>
            <w:gridSpan w:val="4"/>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10/07/2022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December 2023 Penny Warrant.</w:t>
              </w:r>
            </w:hyperlink>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12/29/2023</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Form of May 2024 Penny Warrant.</w:t>
              </w:r>
            </w:hyperlink>
          </w:p>
        </w:tc>
        <w:tc>
          <w:tcPr>
            <w:tcW w:w="400" w:type="dxa"/>
            <w:vAlign w:val="bottom"/>
            <w:tcBorders>
              <w:top w:val="single" w:sz="8" w:color="0000EE"/>
            </w:tcBorders>
            <w:gridSpan w:val="2"/>
          </w:tcPr>
          <w:p>
            <w:pPr>
              <w:spacing w:after="0"/>
              <w:rPr>
                <w:sz w:val="17"/>
                <w:szCs w:val="17"/>
                <w:color w:val="auto"/>
              </w:rPr>
            </w:pPr>
          </w:p>
        </w:tc>
        <w:tc>
          <w:tcPr>
            <w:tcW w:w="3820" w:type="dxa"/>
            <w:vAlign w:val="bottom"/>
            <w:gridSpan w:val="10"/>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05/14/2024</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7"/>
                <w:szCs w:val="17"/>
                <w:color w:val="auto"/>
              </w:rPr>
            </w:pPr>
          </w:p>
        </w:tc>
        <w:tc>
          <w:tcPr>
            <w:tcW w:w="25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Form of June 2024 Penny Warrant.</w:t>
              </w:r>
            </w:hyperlink>
          </w:p>
        </w:tc>
        <w:tc>
          <w:tcPr>
            <w:tcW w:w="4220" w:type="dxa"/>
            <w:vAlign w:val="bottom"/>
            <w:gridSpan w:val="12"/>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07/01/2024</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7"/>
                <w:szCs w:val="17"/>
                <w:color w:val="auto"/>
              </w:rPr>
            </w:pPr>
          </w:p>
        </w:tc>
        <w:tc>
          <w:tcPr>
            <w:tcW w:w="2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Form of September 2024 Penny Warrant.</w:t>
              </w:r>
            </w:hyperlink>
          </w:p>
        </w:tc>
        <w:tc>
          <w:tcPr>
            <w:tcW w:w="3780" w:type="dxa"/>
            <w:vAlign w:val="bottom"/>
            <w:gridSpan w:val="8"/>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10/07/2024</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December 2024 Penny Warrant.</w:t>
              </w:r>
            </w:hyperlink>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01/03/2025</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Parsons Behle &amp; Latimer.</w:t>
            </w:r>
          </w:p>
        </w:tc>
        <w:tc>
          <w:tcPr>
            <w:tcW w:w="240" w:type="dxa"/>
            <w:vAlign w:val="bottom"/>
            <w:tcBorders>
              <w:top w:val="single" w:sz="8" w:color="0000EE"/>
            </w:tcBorders>
          </w:tcPr>
          <w:p>
            <w:pPr>
              <w:spacing w:after="0"/>
              <w:rPr>
                <w:sz w:val="17"/>
                <w:szCs w:val="17"/>
                <w:color w:val="auto"/>
              </w:rPr>
            </w:pPr>
          </w:p>
        </w:tc>
        <w:tc>
          <w:tcPr>
            <w:tcW w:w="38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20" w:type="dxa"/>
            <w:vAlign w:val="bottom"/>
            <w:gridSpan w:val="17"/>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Limited Waiver, dated as of December 29, 2023, to the Term Loan, Guarantee and</w:t>
              </w:r>
            </w:hyperlink>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12/29/2023</w:t>
            </w: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65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Security Agreement, dated as of October 7, 2022, by and among Dragonfly Energy</w:t>
              </w:r>
            </w:hyperlink>
          </w:p>
        </w:tc>
        <w:tc>
          <w:tcPr>
            <w:tcW w:w="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Holdings Corp., Dragonfly Energy Corp., the lenders from time to time party thereto and</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Alter Domus (US) LLC.</w:t>
              </w:r>
            </w:hyperlink>
          </w:p>
        </w:tc>
        <w:tc>
          <w:tcPr>
            <w:tcW w:w="4860" w:type="dxa"/>
            <w:vAlign w:val="bottom"/>
            <w:gridSpan w:val="14"/>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Limited Waiver, dated as of May 13, 2024, to the Term Loan, Guarantee and Security</w:t>
              </w:r>
            </w:hyperlink>
          </w:p>
        </w:tc>
        <w:tc>
          <w:tcPr>
            <w:tcW w:w="80" w:type="dxa"/>
            <w:vAlign w:val="bottom"/>
            <w:gridSpan w:val="4"/>
          </w:tcPr>
          <w:p>
            <w:pPr>
              <w:spacing w:after="0"/>
              <w:rPr>
                <w:sz w:val="17"/>
                <w:szCs w:val="17"/>
                <w:color w:val="auto"/>
              </w:rPr>
            </w:pPr>
          </w:p>
        </w:tc>
        <w:tc>
          <w:tcPr>
            <w:tcW w:w="7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05/14/2024</w:t>
            </w:r>
          </w:p>
        </w:tc>
      </w:tr>
      <w:tr>
        <w:trPr>
          <w:trHeight w:val="196"/>
        </w:trPr>
        <w:tc>
          <w:tcPr>
            <w:tcW w:w="1380" w:type="dxa"/>
            <w:vAlign w:val="bottom"/>
          </w:tcPr>
          <w:p>
            <w:pPr>
              <w:spacing w:after="0"/>
              <w:rPr>
                <w:sz w:val="17"/>
                <w:szCs w:val="17"/>
                <w:color w:val="auto"/>
              </w:rPr>
            </w:pPr>
          </w:p>
        </w:tc>
        <w:tc>
          <w:tcPr>
            <w:tcW w:w="6620" w:type="dxa"/>
            <w:vAlign w:val="bottom"/>
            <w:gridSpan w:val="17"/>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Agreement, dated as of October 7, 2022, by and among Dragonfly Energy Holdings</w:t>
              </w:r>
            </w:hyperlink>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6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Corp., Dragonfly Energy Corp., the lenders from time to time party thereto and Alter</w:t>
              </w:r>
            </w:hyperlink>
          </w:p>
        </w:tc>
        <w:tc>
          <w:tcPr>
            <w:tcW w:w="8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Domus (US) LLC.</w:t>
              </w:r>
            </w:hyperlink>
          </w:p>
        </w:tc>
        <w:tc>
          <w:tcPr>
            <w:tcW w:w="528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Limited Waiver and First Amendment to Term Loan, Guarantee and Security Agreement,</w:t>
              </w:r>
            </w:hyperlink>
          </w:p>
        </w:tc>
        <w:tc>
          <w:tcPr>
            <w:tcW w:w="80" w:type="dxa"/>
            <w:vAlign w:val="bottom"/>
            <w:gridSpan w:val="4"/>
          </w:tcPr>
          <w:p>
            <w:pPr>
              <w:spacing w:after="0"/>
              <w:rPr>
                <w:sz w:val="17"/>
                <w:szCs w:val="17"/>
                <w:color w:val="auto"/>
              </w:rPr>
            </w:pPr>
          </w:p>
        </w:tc>
        <w:tc>
          <w:tcPr>
            <w:tcW w:w="7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07/01/2024</w:t>
            </w:r>
          </w:p>
        </w:tc>
      </w:tr>
      <w:tr>
        <w:trPr>
          <w:trHeight w:val="196"/>
        </w:trPr>
        <w:tc>
          <w:tcPr>
            <w:tcW w:w="1380" w:type="dxa"/>
            <w:vAlign w:val="bottom"/>
          </w:tcPr>
          <w:p>
            <w:pPr>
              <w:spacing w:after="0"/>
              <w:rPr>
                <w:sz w:val="17"/>
                <w:szCs w:val="17"/>
                <w:color w:val="auto"/>
              </w:rPr>
            </w:pPr>
          </w:p>
        </w:tc>
        <w:tc>
          <w:tcPr>
            <w:tcW w:w="65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dated as of June 28, 2024, by and among Dragonfly Energy Holdings Corp., Dragonfly</w:t>
              </w:r>
            </w:hyperlink>
          </w:p>
        </w:tc>
        <w:tc>
          <w:tcPr>
            <w:tcW w:w="10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620" w:type="dxa"/>
            <w:vAlign w:val="bottom"/>
            <w:gridSpan w:val="1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Energy Corp., the lenders from time to time party thereto and Alter Domus (US) LLC.</w:t>
              </w:r>
            </w:hyperlink>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Limited  Waiver  and  Second  Amendment  to  Term  Loan,  Guarantee  and  Security</w:t>
              </w:r>
            </w:hyperlink>
          </w:p>
        </w:tc>
        <w:tc>
          <w:tcPr>
            <w:tcW w:w="80" w:type="dxa"/>
            <w:vAlign w:val="bottom"/>
            <w:gridSpan w:val="4"/>
          </w:tcPr>
          <w:p>
            <w:pPr>
              <w:spacing w:after="0"/>
              <w:rPr>
                <w:sz w:val="17"/>
                <w:szCs w:val="17"/>
                <w:color w:val="auto"/>
              </w:rPr>
            </w:pPr>
          </w:p>
        </w:tc>
        <w:tc>
          <w:tcPr>
            <w:tcW w:w="7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08/01/2024</w:t>
            </w:r>
          </w:p>
        </w:tc>
      </w:tr>
      <w:tr>
        <w:trPr>
          <w:trHeight w:val="196"/>
        </w:trPr>
        <w:tc>
          <w:tcPr>
            <w:tcW w:w="1380" w:type="dxa"/>
            <w:vAlign w:val="bottom"/>
          </w:tcPr>
          <w:p>
            <w:pPr>
              <w:spacing w:after="0"/>
              <w:rPr>
                <w:sz w:val="17"/>
                <w:szCs w:val="17"/>
                <w:color w:val="auto"/>
              </w:rPr>
            </w:pPr>
          </w:p>
        </w:tc>
        <w:tc>
          <w:tcPr>
            <w:tcW w:w="65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Agreement, dated as of July 29, 2024, by and among Dragonfly Energy Holdings Corp.,</w:t>
              </w:r>
            </w:hyperlink>
          </w:p>
        </w:tc>
        <w:tc>
          <w:tcPr>
            <w:tcW w:w="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Dragonfly Energy Corp., the lenders from time to time party thereto and Alter Domus</w:t>
              </w:r>
            </w:hyperlink>
          </w:p>
        </w:tc>
        <w:tc>
          <w:tcPr>
            <w:tcW w:w="8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4">
              <w:r>
                <w:rPr>
                  <w:rFonts w:ascii="Times New Roman" w:cs="Times New Roman" w:eastAsia="Times New Roman" w:hAnsi="Times New Roman"/>
                  <w:sz w:val="18"/>
                  <w:szCs w:val="18"/>
                  <w:color w:val="0000EE"/>
                  <w:w w:val="97"/>
                </w:rPr>
                <w:t>(US) LLC.</w:t>
              </w:r>
            </w:hyperlink>
          </w:p>
        </w:tc>
        <w:tc>
          <w:tcPr>
            <w:tcW w:w="584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Limited Waiver and Third Amendment to Term Loan, Guarantee and Security Agreement,</w:t>
              </w:r>
            </w:hyperlink>
          </w:p>
        </w:tc>
        <w:tc>
          <w:tcPr>
            <w:tcW w:w="60" w:type="dxa"/>
            <w:vAlign w:val="bottom"/>
            <w:gridSpan w:val="3"/>
          </w:tcPr>
          <w:p>
            <w:pPr>
              <w:spacing w:after="0"/>
              <w:rPr>
                <w:sz w:val="17"/>
                <w:szCs w:val="17"/>
                <w:color w:val="auto"/>
              </w:rPr>
            </w:pPr>
          </w:p>
        </w:tc>
        <w:tc>
          <w:tcPr>
            <w:tcW w:w="7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10/07/2024</w:t>
            </w:r>
          </w:p>
        </w:tc>
      </w:tr>
      <w:tr>
        <w:trPr>
          <w:trHeight w:val="196"/>
        </w:trPr>
        <w:tc>
          <w:tcPr>
            <w:tcW w:w="138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dated as of September 30, 2024, by and among Dragonfly Energy Holdings Corp.,</w:t>
              </w:r>
            </w:hyperlink>
          </w:p>
        </w:tc>
        <w:tc>
          <w:tcPr>
            <w:tcW w:w="6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Dragonfly Energy Corp., the lenders from time to time party thereto and Alter Domus</w:t>
              </w:r>
            </w:hyperlink>
          </w:p>
        </w:tc>
        <w:tc>
          <w:tcPr>
            <w:tcW w:w="8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5">
              <w:r>
                <w:rPr>
                  <w:rFonts w:ascii="Times New Roman" w:cs="Times New Roman" w:eastAsia="Times New Roman" w:hAnsi="Times New Roman"/>
                  <w:sz w:val="18"/>
                  <w:szCs w:val="18"/>
                  <w:color w:val="0000EE"/>
                  <w:w w:val="97"/>
                </w:rPr>
                <w:t>(US) LLC.</w:t>
              </w:r>
            </w:hyperlink>
          </w:p>
        </w:tc>
        <w:tc>
          <w:tcPr>
            <w:tcW w:w="584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Limited  Waiver  and  Fourth  Amendment  to  Term  Loan,  Guarantee  and  Security</w:t>
              </w:r>
            </w:hyperlink>
          </w:p>
        </w:tc>
        <w:tc>
          <w:tcPr>
            <w:tcW w:w="60" w:type="dxa"/>
            <w:vAlign w:val="bottom"/>
            <w:gridSpan w:val="3"/>
          </w:tcPr>
          <w:p>
            <w:pPr>
              <w:spacing w:after="0"/>
              <w:rPr>
                <w:sz w:val="17"/>
                <w:szCs w:val="17"/>
                <w:color w:val="auto"/>
              </w:rPr>
            </w:pPr>
          </w:p>
        </w:tc>
        <w:tc>
          <w:tcPr>
            <w:tcW w:w="7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01/03/2025</w:t>
            </w:r>
          </w:p>
        </w:tc>
      </w:tr>
      <w:tr>
        <w:trPr>
          <w:trHeight w:val="196"/>
        </w:trPr>
        <w:tc>
          <w:tcPr>
            <w:tcW w:w="1380" w:type="dxa"/>
            <w:vAlign w:val="bottom"/>
          </w:tcPr>
          <w:p>
            <w:pPr>
              <w:spacing w:after="0"/>
              <w:rPr>
                <w:sz w:val="17"/>
                <w:szCs w:val="17"/>
                <w:color w:val="auto"/>
              </w:rPr>
            </w:pPr>
          </w:p>
        </w:tc>
        <w:tc>
          <w:tcPr>
            <w:tcW w:w="6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Agreement and Temporary, Limited Suspension and Waiver of Warrant Terms, dated as of</w:t>
              </w:r>
            </w:hyperlink>
          </w:p>
        </w:tc>
        <w:tc>
          <w:tcPr>
            <w:tcW w:w="8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620" w:type="dxa"/>
            <w:vAlign w:val="bottom"/>
            <w:gridSpan w:val="17"/>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December 31, 2024, by and among Dragonfly Energy Holdings Corp., Dragonfly Energy</w:t>
              </w:r>
            </w:hyperlink>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7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Corp., the lenders from time to time party thereto and Alter Domus (US), LLC.</w:t>
              </w:r>
            </w:hyperlink>
          </w:p>
        </w:tc>
        <w:tc>
          <w:tcPr>
            <w:tcW w:w="800" w:type="dxa"/>
            <w:vAlign w:val="bottom"/>
            <w:tcBorders>
              <w:top w:val="single" w:sz="8" w:color="0000EE"/>
            </w:tcBorders>
            <w:gridSpan w:val="2"/>
          </w:tcPr>
          <w:p>
            <w:pPr>
              <w:spacing w:after="0"/>
              <w:rPr>
                <w:sz w:val="17"/>
                <w:szCs w:val="17"/>
                <w:color w:val="auto"/>
              </w:rPr>
            </w:pPr>
          </w:p>
        </w:tc>
        <w:tc>
          <w:tcPr>
            <w:tcW w:w="12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65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Support Agreement, dated December 31, 2024, by and between Dragonfly Energy</w:t>
              </w:r>
            </w:hyperlink>
          </w:p>
        </w:tc>
        <w:tc>
          <w:tcPr>
            <w:tcW w:w="100" w:type="dxa"/>
            <w:vAlign w:val="bottom"/>
            <w:gridSpan w:val="5"/>
          </w:tcPr>
          <w:p>
            <w:pPr>
              <w:spacing w:after="0"/>
              <w:rPr>
                <w:sz w:val="17"/>
                <w:szCs w:val="17"/>
                <w:color w:val="auto"/>
              </w:rPr>
            </w:pPr>
          </w:p>
        </w:tc>
        <w:tc>
          <w:tcPr>
            <w:tcW w:w="7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01/03/2025</w:t>
            </w:r>
          </w:p>
        </w:tc>
      </w:tr>
      <w:tr>
        <w:trPr>
          <w:trHeight w:val="196"/>
        </w:trPr>
        <w:tc>
          <w:tcPr>
            <w:tcW w:w="1380" w:type="dxa"/>
            <w:vAlign w:val="bottom"/>
          </w:tcPr>
          <w:p>
            <w:pPr>
              <w:spacing w:after="0"/>
              <w:rPr>
                <w:sz w:val="17"/>
                <w:szCs w:val="17"/>
                <w:color w:val="auto"/>
              </w:rPr>
            </w:pPr>
          </w:p>
        </w:tc>
        <w:tc>
          <w:tcPr>
            <w:tcW w:w="3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Holdings Corp. and the stockholder signatory thereto.</w:t>
              </w:r>
            </w:hyperlink>
          </w:p>
        </w:tc>
        <w:tc>
          <w:tcPr>
            <w:tcW w:w="276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6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Consent of BDO USA, P.C.</w:t>
            </w: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9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Consent of Marcum LLP.</w:t>
            </w:r>
          </w:p>
        </w:tc>
        <w:tc>
          <w:tcPr>
            <w:tcW w:w="4640" w:type="dxa"/>
            <w:vAlign w:val="bottom"/>
            <w:gridSpan w:val="11"/>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5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Parsons Behle &amp; Latimer (included in Exhibit 5.1 hereto).</w:t>
            </w:r>
          </w:p>
        </w:tc>
        <w:tc>
          <w:tcPr>
            <w:tcW w:w="162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6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to the prospectus which forms part of</w:t>
            </w: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this registration statement).</w:t>
            </w:r>
          </w:p>
        </w:tc>
        <w:tc>
          <w:tcPr>
            <w:tcW w:w="4540" w:type="dxa"/>
            <w:vAlign w:val="bottom"/>
            <w:tcBorders>
              <w:top w:val="single" w:sz="8" w:color="0000EE"/>
            </w:tcBorders>
            <w:gridSpan w:val="6"/>
          </w:tcPr>
          <w:p>
            <w:pPr>
              <w:spacing w:after="0"/>
              <w:rPr>
                <w:sz w:val="17"/>
                <w:szCs w:val="17"/>
                <w:color w:val="auto"/>
              </w:rPr>
            </w:pPr>
          </w:p>
        </w:tc>
        <w:tc>
          <w:tcPr>
            <w:tcW w:w="12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4"/>
        </w:trPr>
        <w:tc>
          <w:tcPr>
            <w:tcW w:w="1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662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Filing Fee Exhibit.</w:t>
            </w: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1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schedules and exhibits to the agreement have been omitted pursuant to Item 601(b)(2) of Regulation S-K. A copy of any omitted schedule and/or exhibit will be furnished to the SEC upon request.</w:t>
      </w:r>
    </w:p>
    <w:p>
      <w:pPr>
        <w:spacing w:after="0" w:line="162"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(1)(a), (1)(b) and (1)(c)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periodic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225" w:lineRule="exact"/>
        <w:rPr>
          <w:sz w:val="20"/>
          <w:szCs w:val="20"/>
          <w:color w:val="auto"/>
        </w:rPr>
      </w:pPr>
    </w:p>
    <w:p>
      <w:pPr>
        <w:ind w:left="800" w:right="20" w:hanging="468"/>
        <w:spacing w:after="0" w:line="282"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800" w:hanging="468"/>
        <w:spacing w:after="0" w:line="253"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both"/>
        <w:ind w:left="660" w:hanging="328"/>
        <w:spacing w:after="0" w:line="255"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a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800" w:right="20" w:hanging="468"/>
        <w:spacing w:after="0" w:line="282"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800" w:hanging="468"/>
        <w:spacing w:after="0" w:line="282"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free writing prospectus relating to the offering containing material information about the registrant or its securities provided by or on behalf of the registrant; and</w:t>
      </w:r>
    </w:p>
    <w:p>
      <w:pPr>
        <w:spacing w:after="0" w:line="161"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a registrant to the purchaser.</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460" w:hanging="452"/>
        <w:spacing w:after="0" w:line="254"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Reno, State of Nevada, on February 3,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 Board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of the individuals whose signature appears below constitutes and appoints Denis Phares, as his or her true and lawful attorney-in-fact and agent,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ratifying and confirming all that said attorney-in-fact and agent, or his or her substitute or substitutes, may lawfully do or cause to be done by virtue hereof.</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President, Chief Executive Officer and Interim Chief Financial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6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c>
          <w:tcPr>
            <w:tcW w:w="220" w:type="dxa"/>
            <w:vAlign w:val="bottom"/>
          </w:tcPr>
          <w:p>
            <w:pPr>
              <w:spacing w:after="0"/>
              <w:rPr>
                <w:sz w:val="22"/>
                <w:szCs w:val="22"/>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Officer</w:t>
            </w:r>
          </w:p>
        </w:tc>
        <w:tc>
          <w:tcPr>
            <w:tcW w:w="2020" w:type="dxa"/>
            <w:vAlign w:val="bottom"/>
          </w:tcPr>
          <w:p>
            <w:pPr>
              <w:spacing w:after="0"/>
              <w:rPr>
                <w:sz w:val="22"/>
                <w:szCs w:val="22"/>
                <w:color w:val="auto"/>
              </w:rPr>
            </w:pPr>
          </w:p>
        </w:tc>
      </w:tr>
      <w:tr>
        <w:trPr>
          <w:trHeight w:val="176"/>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Denis Phares</w:t>
            </w:r>
          </w:p>
        </w:tc>
        <w:tc>
          <w:tcPr>
            <w:tcW w:w="220" w:type="dxa"/>
            <w:vAlign w:val="bottom"/>
          </w:tcPr>
          <w:p>
            <w:pPr>
              <w:spacing w:after="0"/>
              <w:rPr>
                <w:sz w:val="15"/>
                <w:szCs w:val="15"/>
                <w:color w:val="auto"/>
              </w:rPr>
            </w:pPr>
          </w:p>
        </w:tc>
        <w:tc>
          <w:tcPr>
            <w:tcW w:w="58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20" w:type="dxa"/>
            <w:vAlign w:val="bottom"/>
          </w:tcPr>
          <w:p>
            <w:pPr>
              <w:spacing w:after="0"/>
              <w:rPr>
                <w:sz w:val="15"/>
                <w:szCs w:val="15"/>
                <w:color w:val="auto"/>
              </w:rPr>
            </w:pPr>
          </w:p>
        </w:tc>
      </w:tr>
      <w:tr>
        <w:trPr>
          <w:trHeight w:val="236"/>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(Principal Account Officer)</w:t>
            </w:r>
          </w:p>
        </w:tc>
        <w:tc>
          <w:tcPr>
            <w:tcW w:w="2020" w:type="dxa"/>
            <w:vAlign w:val="bottom"/>
          </w:tcPr>
          <w:p>
            <w:pPr>
              <w:spacing w:after="0"/>
              <w:rPr>
                <w:sz w:val="20"/>
                <w:szCs w:val="20"/>
                <w:color w:val="auto"/>
              </w:rPr>
            </w:pP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Luisa Ingargiola</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7"/>
        </w:trPr>
        <w:tc>
          <w:tcPr>
            <w:tcW w:w="3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Brian Nelson</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7"/>
        </w:trPr>
        <w:tc>
          <w:tcPr>
            <w:tcW w:w="3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Perry Boyle</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7"/>
        </w:trPr>
        <w:tc>
          <w:tcPr>
            <w:tcW w:w="3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Jonathan Bellows</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Rick Parod</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7"/>
        </w:trPr>
        <w:tc>
          <w:tcPr>
            <w:tcW w:w="3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Rick Parod</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Karina Montilla Edmonds</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r>
      <w:tr>
        <w:trPr>
          <w:trHeight w:val="27"/>
        </w:trPr>
        <w:tc>
          <w:tcPr>
            <w:tcW w:w="3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2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
          </w:tcPr>
          <w:p>
            <w:pPr>
              <w:ind w:left="2100"/>
              <w:spacing w:after="0"/>
              <w:rPr>
                <w:sz w:val="20"/>
                <w:szCs w:val="20"/>
                <w:color w:val="auto"/>
              </w:rPr>
            </w:pPr>
            <w:r>
              <w:rPr>
                <w:rFonts w:ascii="Times New Roman" w:cs="Times New Roman" w:eastAsia="Times New Roman" w:hAnsi="Times New Roman"/>
                <w:sz w:val="18"/>
                <w:szCs w:val="18"/>
                <w:color w:val="auto"/>
              </w:rPr>
              <w:t>II-6</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NV 89521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Dragonfly Energy Holdings Corp. –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We have acted as special Nevada counsel to Dragonfly Energy Holdings Corp.,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a registration statement on Form S-3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Registration Statement relates to the offer and resale by certain selling stockholders named in the Registration Statement or their permitted transferees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of up to 1,412,158 shares of common stock, par value $0.0001 per share, of the Company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issuable upon the exercise of the Original Penny Warrants, December 2023 Penny Warrants, May 2024 Penny Warrants, June 2024 Penny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September 2024 Penny Warrants, December 2024 Penny Warrants, and Anti-Dilution Warrants (as such terms are used in the S-3) (collectively,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In rendering the opinions in this opinion letter, we have assumed that the issuance of the Common Stock will not exceed the number of authorized shares. In rendering the opinion expressed below, we have assumed without verification the genuineness of all signatures, the legal capacity of natural persons, the authenticity of all documents submitted to us as originals, the conformity to the originals of all documents submitted to us as copies and the authenticity of the originals of such copies.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such examination, and subject to the qualifications, assumptions and limitations stated herein, it is our opinion that the shares of Common Stock have been duly authorized by all requisite corporate action on the part of the Company and, upon their issuance, delivery and payment therefor in the manner contemplated by the Registration Statement and the terms of the Warrants, as applicable,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opinion is expressed herein as to any matter pertaining to the contents of the Registration Statement. In connection with the opinions in this opinion letter, we have examined and relied on the representations and warranties as to factual matters contained in the Registration Statement, and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opinions in this opinion letter are given as of the date hereof. We assume no obligation to advise you of changes that may hereafter be brought to our attention.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inclusion of this opinion letter as an exhibit to the Registration Statement and further consent to all references to us under the caption “Legal Matters” in the Prospectus constituting a part of the Registration Statement. In giving this consent, we do not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 dated April 17, 2023, relating to the consolidated financial statements of Dragonfly Energy Holdings Corp. (the Company) appearing in the Company’s Annual Report on Form 10-K for the year ended December 31, 2023.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Dragonfly Energy Holding Corp. on Form S-3 of our report dated April 16, 2024 with includes an explanatory paragraph as to Dragonfly Energy Holding Corp.’s ability to continue as a going concern, with respect to our audit of the consolidated financial statements of Dragonfly Energy Holding Corp. as of December 31, 2023 and for the years ended December 31, 2023 appearing in the Annual Report on Form 10-K of December 31, 2023 for the year ended December 31, 2023. We also consent to the reference to our firm under the heading “Experts” in the Prospectus, which is part of this Registration Statement.</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 on the consolidated financial statements contains an explanatory paragraph regarding adjustments described in Note 15 to the consolidated financial statements that were applied to revise the 2022 financial statements to correct an error. We were not engaged to audit, review, or apply any procedures to the 2022 financial statements of the Company other than with respect to the adjustments and, accordingly, we do not express an opinion or any other form of assurance on the 2022 financial statements taken as a whole.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ind w:left="101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0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104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Unit (2)</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(1)</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2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187"/>
        </w:trPr>
        <w:tc>
          <w:tcPr>
            <w:tcW w:w="1040" w:type="dxa"/>
            <w:vAlign w:val="bottom"/>
            <w:tcBorders>
              <w:top w:val="single" w:sz="8" w:color="CCEEFF"/>
            </w:tcBorders>
            <w:shd w:val="clear" w:color="auto" w:fill="CCEEFF"/>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Fees to Be</w:t>
            </w: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Common Stock, $0.0001</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2"/>
        </w:trPr>
        <w:tc>
          <w:tcPr>
            <w:tcW w:w="10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Equity</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per share</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1,412,158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3,064,382.86</w:t>
            </w:r>
          </w:p>
        </w:tc>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469.16</w:t>
            </w:r>
          </w:p>
        </w:tc>
      </w:tr>
      <w:tr>
        <w:trPr>
          <w:trHeight w:val="223"/>
        </w:trPr>
        <w:tc>
          <w:tcPr>
            <w:tcW w:w="10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469.16</w:t>
            </w:r>
          </w:p>
        </w:tc>
        <w:tc>
          <w:tcPr>
            <w:tcW w:w="100" w:type="dxa"/>
            <w:vAlign w:val="bottom"/>
            <w:tcBorders>
              <w:bottom w:val="single" w:sz="8" w:color="CCEEFF"/>
            </w:tcBorders>
          </w:tcPr>
          <w:p>
            <w:pPr>
              <w:spacing w:after="0"/>
              <w:rPr>
                <w:sz w:val="19"/>
                <w:szCs w:val="19"/>
                <w:color w:val="auto"/>
              </w:rPr>
            </w:pPr>
          </w:p>
        </w:tc>
      </w:tr>
      <w:tr>
        <w:trPr>
          <w:trHeight w:val="210"/>
        </w:trPr>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r>
      <w:tr>
        <w:trPr>
          <w:trHeight w:val="209"/>
        </w:trPr>
        <w:tc>
          <w:tcPr>
            <w:tcW w:w="10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tcPr>
          <w:p>
            <w:pPr>
              <w:spacing w:after="0"/>
              <w:rPr>
                <w:sz w:val="18"/>
                <w:szCs w:val="18"/>
                <w:color w:val="auto"/>
              </w:rPr>
            </w:pPr>
          </w:p>
        </w:tc>
      </w:tr>
      <w:tr>
        <w:trPr>
          <w:trHeight w:val="210"/>
        </w:trPr>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there is also being registered hereby such indeterminate number of additional shares of common stock as may be issued or issuable because of stock splits, stock dividends stock distributions, and similar transactions.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under the Securities Act based on a per share price of $2.17, the average of the high $2.24 and low $2.10 reported sales prices of the registrant’s common stock on the Nasdaq Capital Market on January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lvl w:ilvl="1">
      <w:lvlJc w:val="left"/>
      <w:lvlText w:val="%2."/>
      <w:numFmt w:val="lowerLetter"/>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decimal"/>
      <w:start w:val="1"/>
    </w:lvl>
    <w:lvl w:ilvl="1">
      <w:lvlJc w:val="left"/>
      <w:lvlText w:val="%2."/>
      <w:numFmt w:val="lowerLetter"/>
      <w:start w:val="2"/>
    </w:lvl>
  </w:abstractNum>
  <w:abstractNum w:abstractNumId="15">
    <w:nsid w:val="4E6AFB66"/>
    <w:multiLevelType w:val="hybridMultilevel"/>
    <w:lvl w:ilvl="0">
      <w:lvlJc w:val="left"/>
      <w:lvlText w:val="%1)"/>
      <w:numFmt w:val="decimal"/>
      <w:start w:val="5"/>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jpeg"/><Relationship Id="rId55" Type="http://schemas.openxmlformats.org/officeDocument/2006/relationships/image" Target="media/image32.png"/><Relationship Id="rId56" Type="http://schemas.openxmlformats.org/officeDocument/2006/relationships/image" Target="media/image33.png"/><Relationship Id="rId70" Type="http://schemas.openxmlformats.org/officeDocument/2006/relationships/image" Target="media/image34.png"/><Relationship Id="rId78" Type="http://schemas.openxmlformats.org/officeDocument/2006/relationships/image" Target="media/image35.png"/><Relationship Id="rId79" Type="http://schemas.openxmlformats.org/officeDocument/2006/relationships/image" Target="media/image36.png"/><Relationship Id="rId80" Type="http://schemas.openxmlformats.org/officeDocument/2006/relationships/image" Target="media/image37.png"/><Relationship Id="rId81" Type="http://schemas.openxmlformats.org/officeDocument/2006/relationships/image" Target="media/image38.png"/><Relationship Id="rId82" Type="http://schemas.openxmlformats.org/officeDocument/2006/relationships/image" Target="media/image39.png"/><Relationship Id="rId83" Type="http://schemas.openxmlformats.org/officeDocument/2006/relationships/image" Target="media/image40.png"/><Relationship Id="rId84" Type="http://schemas.openxmlformats.org/officeDocument/2006/relationships/image" Target="media/image41.png"/><Relationship Id="rId85" Type="http://schemas.openxmlformats.org/officeDocument/2006/relationships/image" Target="media/image42.png"/><Relationship Id="rId86" Type="http://schemas.openxmlformats.org/officeDocument/2006/relationships/image" Target="media/image43.png"/><Relationship Id="rId37" Type="http://schemas.openxmlformats.org/officeDocument/2006/relationships/hyperlink" Target="https://www.sec.gov/Archives/edgar/data/1847986/000149315224014831/form10-k.htm" TargetMode="External"/><Relationship Id="rId38" Type="http://schemas.openxmlformats.org/officeDocument/2006/relationships/hyperlink" Target="https://www.sec.gov/Archives/edgar/data/1847986/000149315224017000/form10-ka.htm" TargetMode="External"/><Relationship Id="rId39" Type="http://schemas.openxmlformats.org/officeDocument/2006/relationships/hyperlink" Target="https://www.sec.gov/Archives/edgar/data/1847986/000149315224019360/form10-q.htm" TargetMode="External"/><Relationship Id="rId40" Type="http://schemas.openxmlformats.org/officeDocument/2006/relationships/hyperlink" Target="https://www.sec.gov/Archives/edgar/data/1847986/000149315224032322/form10-q.htm" TargetMode="External"/><Relationship Id="rId41" Type="http://schemas.openxmlformats.org/officeDocument/2006/relationships/hyperlink" Target="https://www.sec.gov/Archives/edgar/data/1847986/000149315224045922/form10-q.htm" TargetMode="External"/><Relationship Id="rId42" Type="http://schemas.openxmlformats.org/officeDocument/2006/relationships/hyperlink" Target="https://www.sec.gov/Archives/edgar/data/1847986/000149315224025664/form8-k.htm" TargetMode="External"/><Relationship Id="rId43" Type="http://schemas.openxmlformats.org/officeDocument/2006/relationships/hyperlink" Target="https://www.sec.gov/Archives/edgar/data/1847986/000149315224029519/form8-k.htm" TargetMode="External"/><Relationship Id="rId44" Type="http://schemas.openxmlformats.org/officeDocument/2006/relationships/hyperlink" Target="https://www.sec.gov/Archives/edgar/data/1847986/000149315224029924/form8-ka.htm" TargetMode="External"/><Relationship Id="rId45" Type="http://schemas.openxmlformats.org/officeDocument/2006/relationships/hyperlink" Target="https://www.sec.gov/Archives/edgar/data/1847986/000149315224040278/form8-k.htm" TargetMode="External"/><Relationship Id="rId46" Type="http://schemas.openxmlformats.org/officeDocument/2006/relationships/hyperlink" Target="https://www.sec.gov/Archives/edgar/data/1847986/000149315224044742/form8-k.htm" TargetMode="External"/><Relationship Id="rId47" Type="http://schemas.openxmlformats.org/officeDocument/2006/relationships/hyperlink" Target="https://www.sec.gov/Archives/edgar/data/1847986/000149315224047295/form8-k.htm" TargetMode="External"/><Relationship Id="rId48" Type="http://schemas.openxmlformats.org/officeDocument/2006/relationships/hyperlink" Target="https://www.sec.gov/Archives/edgar/data/1847986/000149315224049300/form8-k.htm" TargetMode="External"/><Relationship Id="rId49" Type="http://schemas.openxmlformats.org/officeDocument/2006/relationships/hyperlink" Target="https://www.sec.gov/Archives/edgar/data/1847986/000149315224050537/form8-k.htm" TargetMode="External"/><Relationship Id="rId50" Type="http://schemas.openxmlformats.org/officeDocument/2006/relationships/hyperlink" Target="https://www.sec.gov/Archives/edgar/data/1847986/000149315225000307/form8-k.htm" TargetMode="External"/><Relationship Id="rId51" Type="http://schemas.openxmlformats.org/officeDocument/2006/relationships/hyperlink" Target="https://www.sec.gov/Archives/edgar/data/1847986/000110465921102670/tm2124648d1_8a12b.htm" TargetMode="External"/><Relationship Id="rId52" Type="http://schemas.openxmlformats.org/officeDocument/2006/relationships/hyperlink" Target="https://www.sec.gov/Archives/edgar/data/1847986/000149315224014831/ex4-10.htm" TargetMode="External"/><Relationship Id="rId57" Type="http://schemas.openxmlformats.org/officeDocument/2006/relationships/hyperlink" Target="https://www.sec.gov/Archives/edgar/data/1847986/000110465922081684/cntq-20210630xs4.htm#AnnexA_168524" TargetMode="External"/><Relationship Id="rId58" Type="http://schemas.openxmlformats.org/officeDocument/2006/relationships/hyperlink" Target="https://www.sec.gov/Archives/edgar/data/1847986/000110465922081684/cntq-20210630xex2d1a.htm" TargetMode="External"/><Relationship Id="rId59" Type="http://schemas.openxmlformats.org/officeDocument/2006/relationships/hyperlink" Target="https://www.sec.gov/Archives/edgar/data/1847986/000149315223010262/ex2-1.htm" TargetMode="External"/><Relationship Id="rId60" Type="http://schemas.openxmlformats.org/officeDocument/2006/relationships/hyperlink" Target="https://www.sec.gov/Archives/edgar/data/1847986/000149315223010262/ex3-1.htm" TargetMode="External"/><Relationship Id="rId61" Type="http://schemas.openxmlformats.org/officeDocument/2006/relationships/hyperlink" Target="https://www.sec.gov/Archives/edgar/data/1847986/000149315224047295/ex3-1.htm" TargetMode="External"/><Relationship Id="rId62" Type="http://schemas.openxmlformats.org/officeDocument/2006/relationships/hyperlink" Target="https://www.sec.gov/Archives/edgar/data/1847986/000149315223010262/ex3-2.htm" TargetMode="External"/><Relationship Id="rId63" Type="http://schemas.openxmlformats.org/officeDocument/2006/relationships/hyperlink" Target="https://www.sec.gov/Archives/edgar/data/1847986/000110465922107212/tm2222125d3_ex4-1.htm" TargetMode="External"/><Relationship Id="rId64" Type="http://schemas.openxmlformats.org/officeDocument/2006/relationships/hyperlink" Target="https://www.sec.gov/Archives/edgar/data/1847986/000110465922107212/tm2222125d3_ex4-3.htm" TargetMode="External"/><Relationship Id="rId65" Type="http://schemas.openxmlformats.org/officeDocument/2006/relationships/hyperlink" Target="https://www.sec.gov/Archives/edgar/data/1847986/000149315223046623/ex4-1.htm" TargetMode="External"/><Relationship Id="rId66" Type="http://schemas.openxmlformats.org/officeDocument/2006/relationships/hyperlink" Target="https://www.sec.gov/Archives/edgar/data/1847986/000149315224008733/ex4-1.htm" TargetMode="External"/><Relationship Id="rId67" Type="http://schemas.openxmlformats.org/officeDocument/2006/relationships/hyperlink" Target="https://www.sec.gov/Archives/edgar/data/1847986/000149315224025664/ex4-1.htm" TargetMode="External"/><Relationship Id="rId68" Type="http://schemas.openxmlformats.org/officeDocument/2006/relationships/hyperlink" Target="https://www.sec.gov/Archives/edgar/data/1847986/000149315224040278/ex4-1.htm" TargetMode="External"/><Relationship Id="rId69" Type="http://schemas.openxmlformats.org/officeDocument/2006/relationships/hyperlink" Target="https://www.sec.gov/Archives/edgar/data/1847986/000149315225000307/ex4-1.htm" TargetMode="External"/><Relationship Id="rId71" Type="http://schemas.openxmlformats.org/officeDocument/2006/relationships/hyperlink" Target="https://www.sec.gov/Archives/edgar/data/1847986/000149315223046623/ex10-1.htm" TargetMode="External"/><Relationship Id="rId72" Type="http://schemas.openxmlformats.org/officeDocument/2006/relationships/hyperlink" Target="https://www.sec.gov/Archives/edgar/data/1847986/000149315224019360/ex10-1.htm" TargetMode="External"/><Relationship Id="rId73" Type="http://schemas.openxmlformats.org/officeDocument/2006/relationships/hyperlink" Target="https://www.sec.gov/Archives/edgar/data/1847986/000149315224025664/ex10-1.htm" TargetMode="External"/><Relationship Id="rId74" Type="http://schemas.openxmlformats.org/officeDocument/2006/relationships/hyperlink" Target="https://www.sec.gov/Archives/edgar/data/1847986/000149315224029924/ex10-3.htm" TargetMode="External"/><Relationship Id="rId75" Type="http://schemas.openxmlformats.org/officeDocument/2006/relationships/hyperlink" Target="https://www.sec.gov/Archives/edgar/data/1847986/000149315224040278/ex10-1.htm" TargetMode="External"/><Relationship Id="rId76" Type="http://schemas.openxmlformats.org/officeDocument/2006/relationships/hyperlink" Target="https://www.sec.gov/Archives/edgar/data/1847986/000149315225000307/ex10-1.htm" TargetMode="External"/><Relationship Id="rId77" Type="http://schemas.openxmlformats.org/officeDocument/2006/relationships/hyperlink" Target="https://www.sec.gov/Archives/edgar/data/1847986/000149315225000307/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2025-02-03T15:39:25Z</dcterms:created>
  <dcterms:modified xsi:type="dcterms:W3CDTF">2025-02-03T15:39:25Z</dcterms:modified>
</cp:coreProperties>
</file>