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7, 2022 (October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5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5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17 State Street, 21st Floor</w:t>
            </w:r>
          </w:p>
        </w:tc>
        <w:tc>
          <w:tcPr>
            <w:tcW w:w="45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4560" w:type="dxa"/>
            <w:vAlign w:val="bottom"/>
          </w:tcPr>
          <w:p>
            <w:pPr>
              <w:spacing w:after="0"/>
              <w:rPr>
                <w:sz w:val="18"/>
                <w:szCs w:val="18"/>
                <w:color w:val="auto"/>
              </w:rPr>
            </w:pPr>
          </w:p>
        </w:tc>
        <w:tc>
          <w:tcPr>
            <w:tcW w:w="2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10004</w:t>
            </w:r>
          </w:p>
        </w:tc>
      </w:tr>
      <w:tr>
        <w:trPr>
          <w:trHeight w:val="238"/>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560" w:type="dxa"/>
            <w:vAlign w:val="bottom"/>
          </w:tcPr>
          <w:p>
            <w:pPr>
              <w:spacing w:after="0"/>
              <w:rPr>
                <w:sz w:val="20"/>
                <w:szCs w:val="20"/>
                <w:color w:val="auto"/>
              </w:rPr>
            </w:pP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14"/>
        </w:trPr>
        <w:tc>
          <w:tcPr>
            <w:tcW w:w="3160" w:type="dxa"/>
            <w:vAlign w:val="bottom"/>
          </w:tcPr>
          <w:p>
            <w:pPr>
              <w:spacing w:after="0"/>
              <w:rPr>
                <w:sz w:val="24"/>
                <w:szCs w:val="24"/>
                <w:color w:val="auto"/>
              </w:rPr>
            </w:pPr>
          </w:p>
        </w:tc>
        <w:tc>
          <w:tcPr>
            <w:tcW w:w="45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(646) 465-9000</w:t>
            </w:r>
          </w:p>
        </w:tc>
        <w:tc>
          <w:tcPr>
            <w:tcW w:w="200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5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 Stock, $0.0001 par</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CNTQU</w:t>
            </w:r>
          </w:p>
        </w:tc>
        <w:tc>
          <w:tcPr>
            <w:tcW w:w="1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value, and three-quarters of one Redeemable Warrant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par value $0.0001 per share, included as part of</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CNTQ</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the Units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Redeemable Warrants included as part of the Units, each</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CNTQW</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share of Common Stock for $11.50 per share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3" w:right="339" w:bottom="109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transactions (collectively, the “Business Combination”) contemplated by that certain Agreement and Plan of Merger, dated May 15, 2022, as amended on July 12, 2022, (as it may be amended, supplemented or otherwise modified from time to time, the “Business Combination Agreement”), by and among Chardan NexTech Acquisition 2 Corp. (“CNTQ” or “Chardan”), Bronco Merger Sub, Inc., a Nevada corporation and a wholly owned direct subsidiary of CNTQ (“Merger Sub”), and Dragonfly Energy Corp., a Nevada corporation (“Dragonfly”), CNTQ held the special meeting of stockholders (the “Special Meeting”) on October 6, 2022, at which holders of 5,478,186 shares of CNTQ common stock were present in person or by proxy, representing approximately 87.5% of the voting power of the 6,255,848 shares of CNTQ common stock issued and outstanding entitled to vote at the Special Meeting at the close of business on August 11, 2022, which was the record date (the “Record Date”) for the Special Meeting. Stockholders of record as of the close of business on the Record Date are referred to herein as “Stockholders”.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Stockholders approved the proposal to approve the Business Combination, including (a) adopting the Business Combination Agreement and (b) approving the other transactions contemplated by the Business Combination Agreement and related agreements described in the accompanying proxy statement/prospectus (the “Business Combination Proposal”).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5,474,422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Stockholders approved the proposal to approve and adopt, assuming the Business Combination Proposal is approved, the amended and restated certificate of incorporation (the “Amended and Restated Certificate of Incorporation”) of Chardan (the “Charter Proposal”).</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5,474,422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Stockholders, for purposes of complying with the applicable rules of Nasdaq, approved the proposal to approve the issuance of shares of Chardan’s common stock in connection with the Business Combination, including, without limitation, the Aggregate Merger Consideration, the Earnout Shares, the PIPE Investment, the Term Loan Lender Warrants and the Equity Facility (each capitalized term having the same meaning as defined in the Definitive Proxy), assuming the Business Combination Proposal and the Charter Proposal are approved (the “Nasdaq Proposal”).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5,469,462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4</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Stockholders approved the proposal to approve and adopt, assuming the Business Combination Proposal, the Charter Proposal and the Nasdaq Proposal are approved, for purposes of complying with the applicable rules of the Nasdaq, the New Dragonfly 2022 Incentive Plan (the “Incentive Plan Proposal”).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5,469,462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648"/>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Proposal 5</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Stockholders approved the proposal to approve, assuming the Business Combination Proposal, the Charter Proposal, the Nasdaq Proposal and the Incentive Plan Proposal are approved, the New Dragonfly Employee Stock Purchase Plan (the “ESPP Proposal”).</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5,474,422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6</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Stockholders approved the proposal to elect seven (7) directors who will serve as directors on the board of New Dragonfly until their successors are duly elected and qualified, subject to their earlier death, resignation, or removal (the “Director Election Proposal”).</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5,474,422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7</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Stockholders approved the proposal to approve the adjournment of the Special Meeting to a later date or dates to permit further solicitation and vote of proxies in the event that there were insufficient votes for, or otherwise in connection with, the approval of the Business Combination Proposal, Charter Proposal Nasdaq Proposal, the Incentive Plan Proposal, the ESPP Proposal or the Director Election Proposal (the “Adjournment Proposal”).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80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3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5,474,225</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June 30, 2022 and registration statement on Form S-4 (File No. 333-266273) filed with the SEC on July 22, 2022, and declared effective on September 16, 2022.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393"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6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410"/>
        </w:trPr>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6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8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3060" w:type="dxa"/>
            <w:vAlign w:val="bottom"/>
          </w:tcPr>
          <w:p>
            <w:pPr>
              <w:spacing w:after="0"/>
              <w:rPr>
                <w:sz w:val="20"/>
                <w:szCs w:val="20"/>
                <w:color w:val="auto"/>
              </w:rPr>
            </w:pPr>
          </w:p>
        </w:tc>
        <w:tc>
          <w:tcPr>
            <w:tcW w:w="704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as of October 6, 2022</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32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7, 2022</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 Shareholders Approve Previously Announced Business Combination with Dragonfly Energy, Corp.</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RENO, NEVADA (October 6, 2022) – </w:t>
      </w:r>
      <w:r>
        <w:rPr>
          <w:rFonts w:ascii="Times New Roman" w:cs="Times New Roman" w:eastAsia="Times New Roman" w:hAnsi="Times New Roman"/>
          <w:sz w:val="18"/>
          <w:szCs w:val="18"/>
          <w:color w:val="auto"/>
        </w:rPr>
        <w:t>Chardan NexTech Acquisition 2 Corp. (“CNTQ”) (Nasdaq: CNTQ), a publicly traded special purpose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that its shareholders voted to approve the previously announced business combination with Dragonfly Energy, Corp. (“Dragonfly”) at CNTQ’s special meeting of shareholders held today, October 6, 2022 (the “Special Meeting”).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99.9% of the votes cast at the Special Meeting were cast in favor of the approval of the business combination. CNTQ shareholders also voted to approve all other proposals presented at the Special Meeting. CNTQ plans to file the results of the Special Meeting, as tabulated by the inspector of election, with the Securities and Exchange Commission (the “SEC”) on a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 xml:space="preserve">Dragonfly Energy Corp., headquartered in Reno, Nevada, is a leading supplier of deep cycle lithium-ion batteries. Dragonfly’s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t>
      </w:r>
      <w:r>
        <w:rPr>
          <w:rFonts w:ascii="Times New Roman" w:cs="Times New Roman" w:eastAsia="Times New Roman" w:hAnsi="Times New Roman"/>
          <w:sz w:val="17"/>
          <w:szCs w:val="17"/>
          <w:u w:val="single" w:color="auto"/>
          <w:color w:val="auto"/>
        </w:rPr>
        <w:t>www.dragonflyenergy.com/investors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Times New Roman" w:cs="Times New Roman" w:eastAsia="Times New Roman" w:hAnsi="Times New Roman"/>
          <w:sz w:val="18"/>
          <w:szCs w:val="18"/>
          <w:u w:val="single" w:color="auto"/>
          <w:color w:val="auto"/>
        </w:rPr>
        <w:t>https://www.cnaq.com/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June 30, 2022 and registration statement on Form S-4 (File No. 333-266273) filed with the SEC on July 22, 2022, and declared effective on September 16, 2022.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Dragonfly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2022-10-07T08:32:03Z</dcterms:created>
  <dcterms:modified xsi:type="dcterms:W3CDTF">2022-10-07T08:32:03Z</dcterms:modified>
</cp:coreProperties>
</file>