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Filed by Chardan NexTech Acquisition 2 Corp. pursuant to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Rule 425 under the Securities Act of 1933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and deemed filed pursuant to Rule 14a-12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under the Securities Exchange Act of 1934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Subject Company: Chardan NexTech Acquisition 2 Corp.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-723900</wp:posOffset>
            </wp:positionH>
            <wp:positionV relativeFrom="paragraph">
              <wp:posOffset>233045</wp:posOffset>
            </wp:positionV>
            <wp:extent cx="7168515" cy="55403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8515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204" w:right="3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467360</wp:posOffset>
            </wp:positionV>
            <wp:extent cx="7168515" cy="5654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8515" cy="565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467360</wp:posOffset>
            </wp:positionV>
            <wp:extent cx="7168515" cy="5654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8515" cy="565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2022-05-24T15:33:35Z</dcterms:created>
  <dcterms:modified xsi:type="dcterms:W3CDTF">2022-05-24T15:33:35Z</dcterms:modified>
</cp:coreProperties>
</file>