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Singh Vickram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12915 OLD VIRGINIA ROAD</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19,174</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12/06/2031</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1,326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10/19/2030</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9"/>
              </w:rPr>
              <w:t>570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06/09/2030</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5,254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26.01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3,334 shares underlying restricted stock units ("RSUs") under the Dragonfly Energy Holdings Corp. 2022 Equity Incentive Plan, which will be settled in shares of common stock, par value $0.0001. The RSUs will vest in three equal annual installments beginning on August 19, 2025, as long as the Reporting Person remains in continuous employment with the Issuer through each vesting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are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are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vest as to 1,095 shares on December 6, 2025. The remainder of the options are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Denis Phares, as</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Sarah Cole, Denis Phares, Chase Newman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Angenny Rosario as their true and lawful attorney-in-fact to:</w:t>
      </w:r>
    </w:p>
    <w:p>
      <w:pPr>
        <w:spacing w:after="0" w:line="230" w:lineRule="exact"/>
        <w:rPr>
          <w:sz w:val="20"/>
          <w:szCs w:val="20"/>
          <w:color w:val="auto"/>
        </w:rPr>
      </w:pPr>
    </w:p>
    <w:p>
      <w:pPr>
        <w:spacing w:after="0" w:line="282" w:lineRule="auto"/>
        <w:tabs>
          <w:tab w:leader="none" w:pos="21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the Form ID application, Schedules 13D or 13G and Forms 3, 4 and 5 in accordance with Sections 13 and 16(a) of the Securities Exchange Act of 1934 (the “Exchange Act”)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0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the execution of any such Schedules 13D or 13G, Form ID application for EDGAR codes, and Forms 3, 4 or 5, and the timely filing of such Forms with the United States Securities and Exchange Commission and any other authority; and</w:t>
      </w:r>
    </w:p>
    <w:p>
      <w:pPr>
        <w:spacing w:after="0" w:line="195" w:lineRule="exact"/>
        <w:rPr>
          <w:rFonts w:ascii="Times New Roman" w:cs="Times New Roman" w:eastAsia="Times New Roman" w:hAnsi="Times New Roman"/>
          <w:sz w:val="20"/>
          <w:szCs w:val="20"/>
          <w:color w:val="auto"/>
        </w:rPr>
      </w:pPr>
    </w:p>
    <w:p>
      <w:pPr>
        <w:jc w:val="both"/>
        <w:spacing w:after="0" w:line="258" w:lineRule="auto"/>
        <w:tabs>
          <w:tab w:leader="none" w:pos="20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any of the undersigned’s responsibilities to comply with federal or state securities laws.</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Schedules 13D and 13G and Forms 3, 4 and 5 in accordance with Sections 13 and 16(a) of the Exchange Act and the rules thereunder with respect to the undersigned’s holdings of and transactions unless earlier revoked by the undersigned in a signed writing delivered to the foregoing attorneys-in-fact.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24, 2025.</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Vickram Singh</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Vickram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4402"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2025-02-05T15:39:34Z</dcterms:created>
  <dcterms:modified xsi:type="dcterms:W3CDTF">2025-02-05T15:39:34Z</dcterms:modified>
</cp:coreProperties>
</file>