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333-268185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 Dated May 17, 2023</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May 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716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1057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35,161,573 Shares of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12,266,971 Warrants to Purchase Shares of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12,266,971 Shares of Common Stock Underlying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1 supplements the prospectus of Dragonfly Energy Holdings Corp. (the “Company”, “we”, “us”, or “our”) dated May 4, 2023 (as supplemented to date,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with the following information as well as the following attached document which we filed with the Securities and Exchange Commission:</w:t>
      </w:r>
    </w:p>
    <w:p>
      <w:pPr>
        <w:pStyle w:val="TextBody"/>
        <w:bidi w:val="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Quarterly Report on Form 10-Q filed with the Securities and Exchange Commission on May 15, 2023</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1 should be read in conjunction with the Prospectus, which is required to be delivered with this Prospectus Supplement. This Prospectus Supplement updates, amends and supplements the information included in the Prospectus.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any investment in our common stock, you should carefully consider the risk factors for our common stock, which are described in the Prospectus, as amended or supplemented.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the Prospectus, as supplemented or amended by this Prospectus Supplement No. 1 and any other prospectus supplement or amendment thereto. We have not authorized anyone to provide you with different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No. 1 is May 17,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transfer of an aggregate of 789,000 shares of our common stock by Chardan NexTech Investments 2 LLC, which shares of common stock underlying such warrants were originally included in the Prospectus, the information contained in the chart in the section entitled “Selling Securityholders” commencing on page 98 of the Prospectus is hereby supplemented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selling securityholder’s information shall be added to the Selling Securityholders chart,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0"/>
        <w:gridCol w:w="60"/>
        <w:gridCol w:w="60"/>
        <w:gridCol w:w="1245"/>
        <w:gridCol w:w="64"/>
        <w:gridCol w:w="64"/>
        <w:gridCol w:w="64"/>
        <w:gridCol w:w="910"/>
        <w:gridCol w:w="60"/>
        <w:gridCol w:w="60"/>
        <w:gridCol w:w="60"/>
        <w:gridCol w:w="1080"/>
        <w:gridCol w:w="60"/>
        <w:gridCol w:w="60"/>
        <w:gridCol w:w="60"/>
        <w:gridCol w:w="215"/>
        <w:gridCol w:w="60"/>
        <w:gridCol w:w="60"/>
        <w:gridCol w:w="60"/>
        <w:gridCol w:w="845"/>
        <w:gridCol w:w="60"/>
        <w:gridCol w:w="60"/>
        <w:gridCol w:w="60"/>
        <w:gridCol w:w="215"/>
        <w:gridCol w:w="60"/>
        <w:gridCol w:w="60"/>
        <w:gridCol w:w="60"/>
        <w:gridCol w:w="1430"/>
        <w:gridCol w:w="69"/>
        <w:gridCol w:w="69"/>
        <w:gridCol w:w="69"/>
        <w:gridCol w:w="983"/>
        <w:gridCol w:w="83"/>
      </w:tblGrid>
      <w:tr>
        <w:trPr/>
        <w:tc>
          <w:tcPr>
            <w:tcW w:w="17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7" w:type="dxa"/>
            <w:gridSpan w:val="5"/>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Beneficially Owned Prior to the Offering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955" w:type="dxa"/>
            <w:gridSpan w:val="14"/>
            <w:tcBorders>
              <w:bottom w:val="single" w:sz="12" w:space="0" w:color="000000"/>
            </w:tcBorders>
            <w:shd w:fill="FFFFFF" w:val="clear"/>
            <w:tcMar>
              <w:bottom w:w="28" w:type="dxa"/>
            </w:tcMar>
            <w:vAlign w:val="center"/>
          </w:tcPr>
          <w:p>
            <w:pPr>
              <w:pStyle w:val="TableContents"/>
              <w:bidi w:val="0"/>
              <w:jc w:val="center"/>
              <w:rPr>
                <w:rFonts w:ascii="imes New Roman;Times;Serif" w:hAnsi="imes New Roman;Times;Serif"/>
                <w:b/>
                <w:sz w:val="20"/>
              </w:rPr>
            </w:pPr>
            <w:r>
              <w:rPr>
                <w:rFonts w:ascii="imes New Roman;Times;Serif" w:hAnsi="imes New Roman;Times;Serif"/>
                <w:b/>
                <w:sz w:val="20"/>
              </w:rPr>
              <w:t>Securities Being Offered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the Offering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620" w:type="dxa"/>
            <w:gridSpan w:val="5"/>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Beneficially Owned After the Offered Securities are Sold</w:t>
            </w:r>
          </w:p>
        </w:tc>
        <w:tc>
          <w:tcPr>
            <w:tcW w:w="83" w:type="dxa"/>
            <w:tcBorders/>
            <w:shd w:fill="FFFFFF" w:val="clear"/>
            <w:vAlign w:val="center"/>
          </w:tcPr>
          <w:p>
            <w:pPr>
              <w:pStyle w:val="TableContents"/>
              <w:bidi w:val="0"/>
              <w:spacing w:before="0" w:after="283"/>
              <w:jc w:val="center"/>
              <w:rPr/>
            </w:pPr>
            <w:r>
              <w:rPr/>
              <w:t> </w:t>
            </w:r>
          </w:p>
        </w:tc>
      </w:tr>
      <w:tr>
        <w:trPr/>
        <w:tc>
          <w:tcPr>
            <w:tcW w:w="178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Name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9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69" w:type="dxa"/>
            <w:tcBorders/>
            <w:shd w:fill="FFFFFF" w:val="clear"/>
            <w:vAlign w:val="center"/>
          </w:tcPr>
          <w:p>
            <w:pPr>
              <w:pStyle w:val="TableContents"/>
              <w:bidi w:val="0"/>
              <w:spacing w:before="0" w:after="283"/>
              <w:jc w:val="center"/>
              <w:rPr/>
            </w:pPr>
            <w:r>
              <w:rPr/>
              <w:t> </w:t>
            </w:r>
          </w:p>
        </w:tc>
        <w:tc>
          <w:tcPr>
            <w:tcW w:w="69" w:type="dxa"/>
            <w:tcBorders/>
            <w:shd w:fill="FFFFFF" w:val="clear"/>
            <w:vAlign w:val="center"/>
          </w:tcPr>
          <w:p>
            <w:pPr>
              <w:pStyle w:val="TableContents"/>
              <w:bidi w:val="0"/>
              <w:spacing w:before="0" w:after="283"/>
              <w:jc w:val="center"/>
              <w:rPr/>
            </w:pPr>
            <w:r>
              <w:rPr/>
              <w:t> </w:t>
            </w:r>
          </w:p>
        </w:tc>
        <w:tc>
          <w:tcPr>
            <w:tcW w:w="69" w:type="dxa"/>
            <w:tcBorders/>
            <w:shd w:fill="FFFFFF" w:val="clear"/>
            <w:vAlign w:val="center"/>
          </w:tcPr>
          <w:p>
            <w:pPr>
              <w:pStyle w:val="TableContents"/>
              <w:bidi w:val="0"/>
              <w:spacing w:before="0" w:after="283"/>
              <w:jc w:val="center"/>
              <w:rPr/>
            </w:pPr>
            <w:r>
              <w:rPr/>
              <w:t> </w:t>
            </w:r>
          </w:p>
        </w:tc>
        <w:tc>
          <w:tcPr>
            <w:tcW w:w="983"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w:t>
            </w:r>
          </w:p>
        </w:tc>
        <w:tc>
          <w:tcPr>
            <w:tcW w:w="83" w:type="dxa"/>
            <w:tcBorders/>
            <w:shd w:fill="FFFFFF" w:val="clear"/>
            <w:vAlign w:val="center"/>
          </w:tcPr>
          <w:p>
            <w:pPr>
              <w:pStyle w:val="TableContents"/>
              <w:bidi w:val="0"/>
              <w:spacing w:before="0" w:after="283"/>
              <w:jc w:val="left"/>
              <w:rPr/>
            </w:pPr>
            <w:r>
              <w:rPr/>
              <w:t> </w:t>
            </w:r>
          </w:p>
        </w:tc>
      </w:tr>
      <w:tr>
        <w:trPr/>
        <w:tc>
          <w:tcPr>
            <w:tcW w:w="1780" w:type="dxa"/>
            <w:tcBorders/>
            <w:shd w:fill="CCEEFF" w:val="clear"/>
            <w:vAlign w:val="center"/>
          </w:tcPr>
          <w:p>
            <w:pPr>
              <w:pStyle w:val="TableContents"/>
              <w:bidi w:val="0"/>
              <w:spacing w:before="0" w:after="283"/>
              <w:jc w:val="both"/>
              <w:rPr/>
            </w:pPr>
            <w:r>
              <w:rPr/>
              <w:t>A Torah Infertility Medium of Exchange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36,000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780" w:type="dxa"/>
            <w:tcBorders/>
            <w:shd w:fill="FFFFFF" w:val="clear"/>
            <w:vAlign w:val="center"/>
          </w:tcPr>
          <w:p>
            <w:pPr>
              <w:pStyle w:val="TableContents"/>
              <w:bidi w:val="0"/>
              <w:spacing w:before="0" w:after="283"/>
              <w:jc w:val="both"/>
              <w:rPr/>
            </w:pPr>
            <w:r>
              <w:rPr/>
              <w:t>Chabad of Tribeca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18,000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1780" w:type="dxa"/>
            <w:tcBorders/>
            <w:shd w:fill="CCEEFF" w:val="clear"/>
            <w:vAlign w:val="center"/>
          </w:tcPr>
          <w:p>
            <w:pPr>
              <w:pStyle w:val="TableContents"/>
              <w:bidi w:val="0"/>
              <w:spacing w:before="0" w:after="283"/>
              <w:jc w:val="both"/>
              <w:rPr/>
            </w:pPr>
            <w:r>
              <w:rPr/>
              <w:t>International Crisis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380,000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780" w:type="dxa"/>
            <w:tcBorders/>
            <w:shd w:fill="FFFFFF" w:val="clear"/>
            <w:vAlign w:val="center"/>
          </w:tcPr>
          <w:p>
            <w:pPr>
              <w:pStyle w:val="TableContents"/>
              <w:bidi w:val="0"/>
              <w:spacing w:before="0" w:after="283"/>
              <w:jc w:val="both"/>
              <w:rPr/>
            </w:pPr>
            <w:r>
              <w:rPr/>
              <w:t>Keep A Child Alive,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125,000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1780" w:type="dxa"/>
            <w:tcBorders/>
            <w:shd w:fill="CCEEFF" w:val="clear"/>
            <w:vAlign w:val="center"/>
          </w:tcPr>
          <w:p>
            <w:pPr>
              <w:pStyle w:val="TableContents"/>
              <w:bidi w:val="0"/>
              <w:spacing w:before="0" w:after="283"/>
              <w:jc w:val="both"/>
              <w:rPr/>
            </w:pPr>
            <w:r>
              <w:rPr/>
              <w:t>Morasha Olami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25,000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780" w:type="dxa"/>
            <w:tcBorders/>
            <w:shd w:fill="FFFFFF" w:val="clear"/>
            <w:vAlign w:val="center"/>
          </w:tcPr>
          <w:p>
            <w:pPr>
              <w:pStyle w:val="TableContents"/>
              <w:bidi w:val="0"/>
              <w:spacing w:before="0" w:after="283"/>
              <w:jc w:val="both"/>
              <w:rPr/>
            </w:pPr>
            <w:r>
              <w:rPr/>
              <w:t>Nadia’s Initiative,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105,000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1780" w:type="dxa"/>
            <w:tcBorders/>
            <w:shd w:fill="CCEEFF" w:val="clear"/>
            <w:vAlign w:val="center"/>
          </w:tcPr>
          <w:p>
            <w:pPr>
              <w:pStyle w:val="TableContents"/>
              <w:bidi w:val="0"/>
              <w:spacing w:before="0" w:after="283"/>
              <w:jc w:val="both"/>
              <w:rPr/>
            </w:pPr>
            <w:r>
              <w:rPr/>
              <w:t>Sinai, Special Needs Institute,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100,000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of the above securityholders owns less than 1% of our total outstanding shares as of April 17, 2023.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FILINGS</w:t>
      </w:r>
    </w:p>
    <w:p>
      <w:pPr>
        <w:pStyle w:val="TextBody"/>
        <w:bidi w:val="0"/>
        <w:spacing w:before="0" w:after="0"/>
        <w:jc w:val="center"/>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9575"/>
        <w:gridCol w:w="575"/>
      </w:tblGrid>
      <w:tr>
        <w:trPr/>
        <w:tc>
          <w:tcPr>
            <w:tcW w:w="957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w:t>
            </w:r>
          </w:p>
        </w:tc>
      </w:tr>
      <w:tr>
        <w:trPr/>
        <w:tc>
          <w:tcPr>
            <w:tcW w:w="9575" w:type="dxa"/>
            <w:tcBorders/>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The Company’s Quarterly Report on Form 10-Q filed with the Securities and Exchange Commission on May 15, 2023</w:t>
              </w:r>
            </w:hyperlink>
          </w:p>
        </w:tc>
        <w:tc>
          <w:tcPr>
            <w:tcW w:w="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 w:name="ann_001"/>
      <w:bookmarkEnd w:id="2"/>
      <w:r>
        <w:rPr>
          <w:rFonts w:ascii="Times New Roman;Times;Serif" w:hAnsi="Times New Roman;Times;Serif"/>
          <w:b/>
          <w:i w:val="false"/>
          <w:caps/>
          <w:sz w:val="20"/>
        </w:rPr>
        <w:t>Annex A</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001-40730</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41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 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74"/>
        <w:gridCol w:w="60"/>
        <w:gridCol w:w="1348"/>
        <w:gridCol w:w="60"/>
        <w:gridCol w:w="1863"/>
      </w:tblGrid>
      <w:tr>
        <w:trPr/>
        <w:tc>
          <w:tcPr>
            <w:tcW w:w="687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3"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 registered</w:t>
            </w:r>
          </w:p>
        </w:tc>
      </w:tr>
      <w:tr>
        <w:trPr/>
        <w:tc>
          <w:tcPr>
            <w:tcW w:w="6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Market</w:t>
            </w:r>
          </w:p>
        </w:tc>
      </w:tr>
      <w:tr>
        <w:trPr/>
        <w:tc>
          <w:tcPr>
            <w:tcW w:w="6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10, 2023, there were 45,885,513 shares of the registrant’s common stock, par value $0.0001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
        <w:gridCol w:w="9036"/>
        <w:gridCol w:w="456"/>
      </w:tblGrid>
      <w:tr>
        <w:trPr/>
        <w:tc>
          <w:tcPr>
            <w:tcW w:w="713" w:type="dxa"/>
            <w:tcBorders/>
            <w:vAlign w:val="center"/>
          </w:tcPr>
          <w:p>
            <w:pPr>
              <w:pStyle w:val="TableContents"/>
              <w:bidi w:val="0"/>
              <w:spacing w:before="0" w:after="283"/>
              <w:jc w:val="left"/>
              <w:rPr>
                <w:sz w:val="4"/>
                <w:szCs w:val="4"/>
              </w:rPr>
            </w:pPr>
            <w:r>
              <w:rPr>
                <w:sz w:val="4"/>
                <w:szCs w:val="4"/>
              </w:rPr>
            </w:r>
          </w:p>
        </w:tc>
        <w:tc>
          <w:tcPr>
            <w:tcW w:w="9036" w:type="dxa"/>
            <w:tcBorders/>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r>
      <w:tr>
        <w:trPr/>
        <w:tc>
          <w:tcPr>
            <w:tcW w:w="974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6"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3" w:type="dxa"/>
            <w:tcBorders/>
            <w:shd w:fill="FFFFFF" w:val="clear"/>
            <w:vAlign w:val="center"/>
          </w:tcPr>
          <w:p>
            <w:pPr>
              <w:pStyle w:val="TableContents"/>
              <w:bidi w:val="0"/>
              <w:spacing w:before="0" w:after="283"/>
              <w:jc w:val="left"/>
              <w:rPr>
                <w:sz w:val="4"/>
                <w:szCs w:val="4"/>
              </w:rPr>
            </w:pPr>
            <w:r>
              <w:rPr>
                <w:sz w:val="4"/>
                <w:szCs w:val="4"/>
              </w:rPr>
            </w:r>
          </w:p>
        </w:tc>
        <w:tc>
          <w:tcPr>
            <w:tcW w:w="9036"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months ended March 31, 2023 and 2022</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Shareholders’ Equity for the three months ended March 31, 2023 and 2022</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3" w:type="dxa"/>
            <w:tcBorders/>
            <w:shd w:fill="FFFFFF" w:val="clear"/>
            <w:vAlign w:val="center"/>
          </w:tcPr>
          <w:p>
            <w:pPr>
              <w:pStyle w:val="TableContents"/>
              <w:bidi w:val="0"/>
              <w:spacing w:before="0" w:after="283"/>
              <w:jc w:val="left"/>
              <w:rPr>
                <w:sz w:val="4"/>
                <w:szCs w:val="4"/>
              </w:rPr>
            </w:pPr>
            <w:r>
              <w:rPr>
                <w:sz w:val="4"/>
                <w:szCs w:val="4"/>
              </w:rPr>
            </w:r>
          </w:p>
        </w:tc>
        <w:tc>
          <w:tcPr>
            <w:tcW w:w="9036"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6"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the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6"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6"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749"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6"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36"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6"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Recent Sales of Unregistered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6"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6"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36"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36"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749"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4" w:name="a_002"/>
      <w:bookmarkEnd w:id="4"/>
      <w:r>
        <w:rPr>
          <w:rFonts w:ascii="Times New Roman;Times;Serif" w:hAnsi="Times New Roman;Times;Serif"/>
          <w:b/>
          <w:i w:val="false"/>
          <w:caps/>
          <w:sz w:val="20"/>
        </w:rPr>
        <w:t>Item 1.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8"/>
        <w:gridCol w:w="60"/>
        <w:gridCol w:w="176"/>
        <w:gridCol w:w="951"/>
        <w:gridCol w:w="95"/>
        <w:gridCol w:w="60"/>
        <w:gridCol w:w="206"/>
        <w:gridCol w:w="1117"/>
        <w:gridCol w:w="112"/>
      </w:tblGrid>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51,812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49,846</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75,016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73,489</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275</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13,172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12,393</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(1,633</w:t>
            </w:r>
          </w:p>
        </w:tc>
        <w:tc>
          <w:tcPr>
            <w:tcW w:w="112" w:type="dxa"/>
            <w:tcBorders/>
            <w:shd w:fill="FFFFFF" w:val="clear"/>
            <w:vAlign w:val="center"/>
          </w:tcPr>
          <w:p>
            <w:pPr>
              <w:pStyle w:val="TableContents"/>
              <w:bidi w:val="0"/>
              <w:spacing w:before="0" w:after="283"/>
              <w:jc w:val="left"/>
              <w:rPr/>
            </w:pPr>
            <w:r>
              <w:rPr/>
              <w:t>)</w:t>
            </w:r>
          </w:p>
        </w:tc>
      </w:tr>
      <w:tr>
        <w:trPr/>
        <w:tc>
          <w:tcPr>
            <w:tcW w:w="74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6,295</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238</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128</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Notes payable, net of deferred financing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19,242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40,566</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32,831</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Accrued expenses-long 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36,864</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77,430</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Common stock, 170,000,000 shares at $0.0001 par value, authorized, 45,795,502 and 43,272,728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Preferred stock, 5,000,000 shares at $0.0001 par value, authorized, no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28"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54,551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Retained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(22,241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(27,133</w:t>
            </w:r>
          </w:p>
        </w:tc>
        <w:tc>
          <w:tcPr>
            <w:tcW w:w="112" w:type="dxa"/>
            <w:tcBorders/>
            <w:shd w:fill="CCEEFF" w:val="clear"/>
            <w:vAlign w:val="center"/>
          </w:tcPr>
          <w:p>
            <w:pPr>
              <w:pStyle w:val="TableContents"/>
              <w:bidi w:val="0"/>
              <w:spacing w:before="0" w:after="283"/>
              <w:jc w:val="left"/>
              <w:rPr/>
            </w:pPr>
            <w:r>
              <w:rPr/>
              <w:t>)</w:t>
            </w:r>
          </w:p>
        </w:tc>
      </w:tr>
      <w:tr>
        <w:trPr/>
        <w:tc>
          <w:tcPr>
            <w:tcW w:w="7428"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11,332</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4"/>
      <w:bookmarkEnd w:id="6"/>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Interim 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2023 and 2022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3,092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Weighted Average Number of Shares-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45,104,515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Weighted Average Number of Shares-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48,455,996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5"/>
      <w:bookmarkEnd w:id="7"/>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4"/>
        <w:gridCol w:w="60"/>
        <w:gridCol w:w="60"/>
        <w:gridCol w:w="1175"/>
        <w:gridCol w:w="95"/>
        <w:gridCol w:w="60"/>
        <w:gridCol w:w="144"/>
        <w:gridCol w:w="656"/>
        <w:gridCol w:w="95"/>
        <w:gridCol w:w="60"/>
        <w:gridCol w:w="60"/>
        <w:gridCol w:w="1100"/>
        <w:gridCol w:w="60"/>
        <w:gridCol w:w="60"/>
        <w:gridCol w:w="160"/>
        <w:gridCol w:w="640"/>
        <w:gridCol w:w="60"/>
        <w:gridCol w:w="60"/>
        <w:gridCol w:w="175"/>
        <w:gridCol w:w="850"/>
        <w:gridCol w:w="60"/>
        <w:gridCol w:w="60"/>
        <w:gridCol w:w="166"/>
        <w:gridCol w:w="898"/>
        <w:gridCol w:w="95"/>
        <w:gridCol w:w="60"/>
        <w:gridCol w:w="140"/>
        <w:gridCol w:w="680"/>
        <w:gridCol w:w="112"/>
      </w:tblGrid>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Redeemable </w:t>
              <w:br/>
              <w:t>Preferred Stock</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jc w:val="center"/>
              <w:rPr/>
            </w:pPr>
            <w:r>
              <w:rPr/>
              <w:t>Additional</w:t>
            </w:r>
          </w:p>
          <w:p>
            <w:pPr>
              <w:pStyle w:val="TableContents"/>
              <w:bidi w:val="0"/>
              <w:spacing w:before="0" w:after="283"/>
              <w:jc w:val="center"/>
              <w:rPr/>
            </w:pPr>
            <w:r>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vAlign w:val="center"/>
          </w:tcPr>
          <w:p>
            <w:pPr>
              <w:pStyle w:val="TableContents"/>
              <w:bidi w:val="0"/>
              <w:spacing w:before="0" w:after="283"/>
              <w:jc w:val="center"/>
              <w:rPr/>
            </w:pPr>
            <w:r>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b/>
              </w:rPr>
            </w:pPr>
            <w:r>
              <w:rPr>
                <w:b/>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15,621,523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16,061</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(2,298</w:t>
            </w:r>
          </w:p>
        </w:tc>
        <w:tc>
          <w:tcPr>
            <w:tcW w:w="112" w:type="dxa"/>
            <w:tcBorders/>
            <w:shd w:fill="CCEEFF" w:val="clear"/>
            <w:vAlign w:val="center"/>
          </w:tcPr>
          <w:p>
            <w:pPr>
              <w:pStyle w:val="TableContents"/>
              <w:bidi w:val="0"/>
              <w:spacing w:before="0" w:after="283"/>
              <w:jc w:val="left"/>
              <w:rPr/>
            </w:pPr>
            <w:r>
              <w:rPr/>
              <w:t>)</w:t>
            </w:r>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288</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100,374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b/>
              </w:rPr>
            </w:pPr>
            <w:r>
              <w:rPr>
                <w:b/>
              </w:rPr>
              <w:t>Balance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b/>
              </w:rPr>
            </w:pPr>
            <w:r>
              <w:rPr>
                <w:b/>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2,348,294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10,167</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6"/>
      <w:bookmarkEnd w:id="8"/>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755"/>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p>
        </w:tc>
      </w:tr>
      <w:tr>
        <w:trPr/>
        <w:tc>
          <w:tcPr>
            <w:tcW w:w="548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613</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Non-cash interest expense (paid-in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(1,217</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(5,946</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2,425</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(4,119</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(8,812</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(11,110</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(4,524</w:t>
            </w:r>
          </w:p>
        </w:tc>
        <w:tc>
          <w:tcPr>
            <w:tcW w:w="110"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(4,524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jc w:val="center"/>
        <w:rPr>
          <w:caps w:val="false"/>
          <w:smallCaps w:val="false"/>
        </w:rPr>
      </w:pPr>
      <w:r>
        <w:rPr>
          <w:caps w:val="false"/>
          <w:smallCaps w:val="false"/>
        </w:rPr>
        <w:t> </w:t>
      </w:r>
    </w:p>
    <w:tbl>
      <w:tblPr>
        <w:tblW w:w="7100" w:type="dxa"/>
        <w:jc w:val="left"/>
        <w:tblInd w:w="0" w:type="dxa"/>
        <w:tblLayout w:type="fixed"/>
        <w:tblCellMar>
          <w:top w:w="0" w:type="dxa"/>
          <w:left w:w="0" w:type="dxa"/>
          <w:bottom w:w="0" w:type="dxa"/>
          <w:right w:w="0" w:type="dxa"/>
        </w:tblCellMar>
      </w:tblPr>
      <w:tblGrid>
        <w:gridCol w:w="5060"/>
        <w:gridCol w:w="60"/>
        <w:gridCol w:w="140"/>
        <w:gridCol w:w="680"/>
        <w:gridCol w:w="95"/>
        <w:gridCol w:w="60"/>
        <w:gridCol w:w="140"/>
        <w:gridCol w:w="755"/>
        <w:gridCol w:w="110"/>
      </w:tblGrid>
      <w:tr>
        <w:trPr/>
        <w:tc>
          <w:tcPr>
            <w:tcW w:w="5060" w:type="dxa"/>
            <w:tcBorders/>
            <w:vAlign w:val="center"/>
          </w:tcPr>
          <w:p>
            <w:pPr>
              <w:pStyle w:val="TableContents"/>
              <w:bidi w:val="0"/>
              <w:spacing w:before="0" w:after="283"/>
              <w:jc w:val="left"/>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Net 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(15,523</w:t>
            </w:r>
          </w:p>
        </w:tc>
        <w:tc>
          <w:tcPr>
            <w:tcW w:w="110" w:type="dxa"/>
            <w:tcBorders/>
            <w:shd w:fill="FFFFFF" w:val="clear"/>
            <w:vAlign w:val="center"/>
          </w:tcPr>
          <w:p>
            <w:pPr>
              <w:pStyle w:val="TableContents"/>
              <w:bidi w:val="0"/>
              <w:spacing w:before="0" w:after="283"/>
              <w:jc w:val="left"/>
              <w:rPr/>
            </w:pPr>
            <w:r>
              <w:rPr/>
              <w:t>)</w:t>
            </w:r>
          </w:p>
        </w:tc>
      </w:tr>
      <w:tr>
        <w:trPr/>
        <w:tc>
          <w:tcPr>
            <w:tcW w:w="5060" w:type="dxa"/>
            <w:tcBorders/>
            <w:shd w:fill="CCEEFF" w:val="clear"/>
            <w:vAlign w:val="center"/>
          </w:tcPr>
          <w:p>
            <w:pPr>
              <w:pStyle w:val="TableContents"/>
              <w:bidi w:val="0"/>
              <w:spacing w:before="0" w:after="283"/>
              <w:jc w:val="left"/>
              <w:rPr/>
            </w:pPr>
            <w:r>
              <w:rPr/>
              <w:t>Beginning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28,630</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Ending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13,107</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658</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Receivable of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7"/>
      <w:bookmarkEnd w:id="9"/>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1 -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incurred loss from operations and had negative cash flow from operations. As of March 31, 2023, the Company had $15,791 in cash and cash equivalents and working capital of $24,533.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Recently adopted accounting standards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 – 60 days of the invoice date and the contracts do not have significant financing components. Trade accounts receivables are recorded gross and are net of any applicable allowance. The Company has an allowance for doubtful accounts as of March 31, 2023 and December 31, 2022 of $116 and $90,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$297 and $192, respectively. The various classes of property and equipment and estimated useful lives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VARIOUS CLASSES OF PROPERTY AND EQUIPMENT AND ESTIMATED USEFUL LIVES </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payments at the onset of the contract before delivery of goods for customers in the retail channel. Payment terms for distributors and OEMs are typically due within 30-60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$418 and $238, respectively. The Company recognized $211 of contract liability pertaining to the year ended December 31, 2022 as of March 31, 2023. The entire contract liability balance of $434 as of January 1, 2022 was recognized as revenue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DISAGGREGATED REVENUES BY DISTRIBUTION CHANNEL </w:t>
      </w:r>
    </w:p>
    <w:tbl>
      <w:tblPr>
        <w:tblW w:w="5992"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Retail</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7,069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13,035</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Distributor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2,968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2,087</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8,754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3,181</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 sales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$1,007 and $1,228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$400 and $328,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one customer comprised approximately 50% of accounts receivable as of March 31, 2023. Receivables from three customers comprised approximately 18%, 10% and 10%, respectively, of accounts receivable as of December 31, 2022.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from one customer comprised approximately 26% of revenue for the three months ended March 31, 2023. There were no significant revenue concentrations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to one vendor comprised approximately 67% of accounts payables as of March 31, 2023. Payables to one vendor comprised approximately 61% of accounts payables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two vendors accounted for approximately 38% and 10%, respectively, of the Company’s total purchases. For the three months ended March 31, 2022, one vendor accounted for approximately 34%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$587 and $781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and $128 as of March 31, 2023, and December 31, 2022, respectively, of uncertain tax positions. The Company’s accounting policy is to include penalties and interest related to income taxes if any,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ASSETS AND LIABILITIES </w:t>
      </w:r>
    </w:p>
    <w:tbl>
      <w:tblPr>
        <w:tblW w:w="9433" w:type="dxa"/>
        <w:jc w:val="left"/>
        <w:tblInd w:w="0" w:type="dxa"/>
        <w:tblLayout w:type="fixed"/>
        <w:tblCellMar>
          <w:top w:w="0" w:type="dxa"/>
          <w:left w:w="0" w:type="dxa"/>
          <w:bottom w:w="0" w:type="dxa"/>
          <w:right w:w="0" w:type="dxa"/>
        </w:tblCellMar>
      </w:tblPr>
      <w:tblGrid>
        <w:gridCol w:w="4250"/>
        <w:gridCol w:w="60"/>
        <w:gridCol w:w="289"/>
        <w:gridCol w:w="1156"/>
        <w:gridCol w:w="60"/>
        <w:gridCol w:w="60"/>
        <w:gridCol w:w="172"/>
        <w:gridCol w:w="688"/>
        <w:gridCol w:w="60"/>
        <w:gridCol w:w="60"/>
        <w:gridCol w:w="221"/>
        <w:gridCol w:w="533"/>
        <w:gridCol w:w="60"/>
        <w:gridCol w:w="60"/>
        <w:gridCol w:w="202"/>
        <w:gridCol w:w="552"/>
        <w:gridCol w:w="60"/>
        <w:gridCol w:w="60"/>
        <w:gridCol w:w="151"/>
        <w:gridCol w:w="604"/>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48" w:type="dxa"/>
            <w:gridSpan w:val="18"/>
            <w:tcBorders>
              <w:bottom w:val="single" w:sz="12" w:space="0" w:color="000000"/>
            </w:tcBorders>
            <w:tcMar>
              <w:bottom w:w="28" w:type="dxa"/>
            </w:tcMar>
            <w:vAlign w:val="center"/>
          </w:tcPr>
          <w:p>
            <w:pPr>
              <w:pStyle w:val="TableContents"/>
              <w:bidi w:val="0"/>
              <w:spacing w:before="0" w:after="283"/>
              <w:jc w:val="center"/>
              <w:rPr/>
            </w:pPr>
            <w:r>
              <w:rPr/>
              <w:t>As of March 31, 2023</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533"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5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4"/>
        <w:gridCol w:w="60"/>
        <w:gridCol w:w="286"/>
        <w:gridCol w:w="1403"/>
        <w:gridCol w:w="60"/>
        <w:gridCol w:w="60"/>
        <w:gridCol w:w="174"/>
        <w:gridCol w:w="848"/>
        <w:gridCol w:w="60"/>
        <w:gridCol w:w="60"/>
        <w:gridCol w:w="231"/>
        <w:gridCol w:w="654"/>
        <w:gridCol w:w="60"/>
        <w:gridCol w:w="60"/>
        <w:gridCol w:w="177"/>
        <w:gridCol w:w="710"/>
        <w:gridCol w:w="60"/>
        <w:gridCol w:w="60"/>
        <w:gridCol w:w="150"/>
        <w:gridCol w:w="737"/>
        <w:gridCol w:w="81"/>
      </w:tblGrid>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9" w:type="dxa"/>
            <w:gridSpan w:val="2"/>
            <w:tcBorders>
              <w:bottom w:val="single" w:sz="12"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81" w:type="dxa"/>
            <w:tcBorders/>
            <w:vAlign w:val="center"/>
          </w:tcPr>
          <w:p>
            <w:pPr>
              <w:pStyle w:val="TableContents"/>
              <w:bidi w:val="0"/>
              <w:spacing w:before="0" w:after="283"/>
              <w:jc w:val="center"/>
              <w:rPr/>
            </w:pPr>
            <w:r>
              <w:rPr/>
              <w:t> </w:t>
            </w:r>
          </w:p>
        </w:tc>
      </w:tr>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50" w:type="dxa"/>
            <w:gridSpan w:val="18"/>
            <w:tcBorders>
              <w:bottom w:val="single" w:sz="12" w:space="0" w:color="000000"/>
            </w:tcBorders>
            <w:tcMar>
              <w:bottom w:w="28" w:type="dxa"/>
            </w:tcMar>
            <w:vAlign w:val="center"/>
          </w:tcPr>
          <w:p>
            <w:pPr>
              <w:pStyle w:val="TableContents"/>
              <w:bidi w:val="0"/>
              <w:spacing w:before="0" w:after="283"/>
              <w:jc w:val="center"/>
              <w:rPr/>
            </w:pPr>
            <w:r>
              <w:rPr/>
              <w:t>As of December 31, 2022</w:t>
            </w:r>
          </w:p>
        </w:tc>
        <w:tc>
          <w:tcPr>
            <w:tcW w:w="81" w:type="dxa"/>
            <w:tcBorders/>
            <w:vAlign w:val="center"/>
          </w:tcPr>
          <w:p>
            <w:pPr>
              <w:pStyle w:val="TableContents"/>
              <w:bidi w:val="0"/>
              <w:spacing w:before="0" w:after="283"/>
              <w:jc w:val="center"/>
              <w:rPr/>
            </w:pPr>
            <w:r>
              <w:rPr/>
              <w:t> </w:t>
            </w:r>
          </w:p>
        </w:tc>
      </w:tr>
      <w:tr>
        <w:trPr/>
        <w:tc>
          <w:tcPr>
            <w:tcW w:w="4214"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p>
        </w:tc>
        <w:tc>
          <w:tcPr>
            <w:tcW w:w="1403"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848"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54"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737" w:type="dxa"/>
            <w:tcBorders/>
            <w:shd w:fill="FFFFFF" w:val="cle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r>
        <w:trPr/>
        <w:tc>
          <w:tcPr>
            <w:tcW w:w="4214"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March 31, 2023 and December 31, 2022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March 31, 2023 and December 31, 2022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4 -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INVENTORY </w:t>
      </w:r>
    </w:p>
    <w:tbl>
      <w:tblPr>
        <w:tblW w:w="5173" w:type="dxa"/>
        <w:jc w:val="left"/>
        <w:tblInd w:w="0" w:type="dxa"/>
        <w:tblLayout w:type="fixed"/>
        <w:tblCellMar>
          <w:top w:w="0" w:type="dxa"/>
          <w:left w:w="0" w:type="dxa"/>
          <w:bottom w:w="0" w:type="dxa"/>
          <w:right w:w="0" w:type="dxa"/>
        </w:tblCellMar>
      </w:tblPr>
      <w:tblGrid>
        <w:gridCol w:w="1490"/>
        <w:gridCol w:w="60"/>
        <w:gridCol w:w="262"/>
        <w:gridCol w:w="1272"/>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44,310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42,586</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bidi w:val="0"/>
              <w:spacing w:before="0" w:after="283"/>
              <w:jc w:val="right"/>
              <w:rPr/>
            </w:pPr>
            <w:r>
              <w:rPr/>
              <w:t>7,260</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pPr>
            <w:r>
              <w:rPr/>
              <w:t>51,812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49,846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March 31, 2023, the lease has not commenced as the Company does not have control over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TABLE REPRESENTING THE BREAKOUT OF THE OPERATING LEASES </w:t>
      </w:r>
    </w:p>
    <w:tbl>
      <w:tblPr>
        <w:tblW w:w="7883" w:type="dxa"/>
        <w:jc w:val="left"/>
        <w:tblInd w:w="0" w:type="dxa"/>
        <w:tblLayout w:type="fixed"/>
        <w:tblCellMar>
          <w:top w:w="0" w:type="dxa"/>
          <w:left w:w="0" w:type="dxa"/>
          <w:bottom w:w="0" w:type="dxa"/>
          <w:right w:w="0" w:type="dxa"/>
        </w:tblCellMar>
      </w:tblPr>
      <w:tblGrid>
        <w:gridCol w:w="3755"/>
        <w:gridCol w:w="60"/>
        <w:gridCol w:w="256"/>
        <w:gridCol w:w="1353"/>
        <w:gridCol w:w="215"/>
        <w:gridCol w:w="60"/>
        <w:gridCol w:w="309"/>
        <w:gridCol w:w="1645"/>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4,205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4,513</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1,188</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4,424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pPr>
            <w:r>
              <w:rPr/>
              <w:t>4,729</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the future minimum lease payments under these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THE FUTURE MINIMUM LEASE PAYMENTS UNDER THE OPERATING LEASES </w:t>
      </w:r>
    </w:p>
    <w:tbl>
      <w:tblPr>
        <w:tblW w:w="3895" w:type="dxa"/>
        <w:jc w:val="left"/>
        <w:tblInd w:w="0" w:type="dxa"/>
        <w:tblLayout w:type="fixed"/>
        <w:tblCellMar>
          <w:top w:w="0" w:type="dxa"/>
          <w:left w:w="0" w:type="dxa"/>
          <w:bottom w:w="0" w:type="dxa"/>
          <w:right w:w="0" w:type="dxa"/>
        </w:tblCellMar>
      </w:tblPr>
      <w:tblGrid>
        <w:gridCol w:w="2900"/>
        <w:gridCol w:w="60"/>
        <w:gridCol w:w="172"/>
        <w:gridCol w:w="688"/>
        <w:gridCol w:w="75"/>
      </w:tblGrid>
      <w:tr>
        <w:trPr/>
        <w:tc>
          <w:tcPr>
            <w:tcW w:w="2900" w:type="dxa"/>
            <w:tcBorders/>
            <w:vAlign w:val="center"/>
          </w:tcPr>
          <w:p>
            <w:pPr>
              <w:pStyle w:val="TableContents"/>
              <w:bidi w:val="0"/>
              <w:spacing w:before="0" w:after="283"/>
              <w:jc w:val="left"/>
              <w:rPr>
                <w:b/>
              </w:rPr>
            </w:pPr>
            <w:r>
              <w:rPr>
                <w:b/>
              </w:rPr>
              <w:t>Fiscal Years Ending</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December 31, 2023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1,435</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893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4,817</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4,424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7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 </w:t>
      </w:r>
    </w:p>
    <w:tbl>
      <w:tblPr>
        <w:tblW w:w="8043" w:type="dxa"/>
        <w:jc w:val="left"/>
        <w:tblInd w:w="0" w:type="dxa"/>
        <w:tblLayout w:type="fixed"/>
        <w:tblCellMar>
          <w:top w:w="0" w:type="dxa"/>
          <w:left w:w="0" w:type="dxa"/>
          <w:bottom w:w="28" w:type="dxa"/>
          <w:right w:w="0" w:type="dxa"/>
        </w:tblCellMar>
      </w:tblPr>
      <w:tblGrid>
        <w:gridCol w:w="1940"/>
        <w:gridCol w:w="60"/>
        <w:gridCol w:w="2570"/>
        <w:gridCol w:w="60"/>
        <w:gridCol w:w="433"/>
        <w:gridCol w:w="1176"/>
        <w:gridCol w:w="60"/>
        <w:gridCol w:w="60"/>
        <w:gridCol w:w="433"/>
        <w:gridCol w:w="1176"/>
        <w:gridCol w:w="75"/>
      </w:tblGrid>
      <w:tr>
        <w:trPr/>
        <w:tc>
          <w:tcPr>
            <w:tcW w:w="19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cost</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2022</w:t>
            </w:r>
          </w:p>
        </w:tc>
        <w:tc>
          <w:tcPr>
            <w:tcW w:w="75" w:type="dxa"/>
            <w:tcBorders/>
            <w:tcMar>
              <w:bottom w:w="0" w:type="dxa"/>
            </w:tcMar>
            <w:vAlign w:val="center"/>
          </w:tcPr>
          <w:p>
            <w:pPr>
              <w:pStyle w:val="TableContents"/>
              <w:bidi w:val="0"/>
              <w:spacing w:before="0" w:after="283"/>
              <w:jc w:val="center"/>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172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p>
        </w:tc>
        <w:tc>
          <w:tcPr>
            <w:tcW w:w="1176" w:type="dxa"/>
            <w:tcBorders/>
            <w:shd w:fill="FFFFFF" w:val="clear"/>
            <w:tcMar>
              <w:bottom w:w="0" w:type="dxa"/>
            </w:tcMar>
            <w:vAlign w:val="center"/>
          </w:tcPr>
          <w:p>
            <w:pPr>
              <w:pStyle w:val="TableContents"/>
              <w:bidi w:val="0"/>
              <w:spacing w:before="0" w:after="283"/>
              <w:jc w:val="right"/>
              <w:rPr/>
            </w:pPr>
            <w:r>
              <w:rPr/>
              <w:t>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p>
        </w:tc>
        <w:tc>
          <w:tcPr>
            <w:tcW w:w="1176" w:type="dxa"/>
            <w:tcBorders>
              <w:bottom w:val="double" w:sz="6" w:space="0" w:color="000000"/>
            </w:tcBorders>
            <w:shd w:fill="FFFFFF" w:val="cle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p>
        </w:tc>
        <w:tc>
          <w:tcPr>
            <w:tcW w:w="1176" w:type="dxa"/>
            <w:tcBorders>
              <w:bottom w:val="double" w:sz="6" w:space="0" w:color="000000"/>
            </w:tcBorders>
            <w:shd w:fill="FFFFFF" w:val="clear"/>
            <w:vAlign w:val="center"/>
          </w:tcPr>
          <w:p>
            <w:pPr>
              <w:pStyle w:val="TableContents"/>
              <w:bidi w:val="0"/>
              <w:spacing w:before="0" w:after="283"/>
              <w:jc w:val="right"/>
              <w:rPr/>
            </w:pPr>
            <w:r>
              <w:rPr/>
              <w:t>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p>
        </w:tc>
        <w:tc>
          <w:tcPr>
            <w:tcW w:w="1176" w:type="dxa"/>
            <w:tcBorders>
              <w:bottom w:val="double" w:sz="6" w:space="0" w:color="000000"/>
            </w:tcBorders>
            <w:shd w:fill="CCEEFF" w:val="clear"/>
            <w:vAlign w:val="center"/>
          </w:tcPr>
          <w:p>
            <w:pPr>
              <w:pStyle w:val="TableContents"/>
              <w:bidi w:val="0"/>
              <w:spacing w:before="0" w:after="283"/>
              <w:jc w:val="right"/>
              <w:rPr/>
            </w:pPr>
            <w:r>
              <w:rPr/>
              <w:t>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p>
        </w:tc>
        <w:tc>
          <w:tcPr>
            <w:tcW w:w="1176" w:type="dxa"/>
            <w:tcBorders>
              <w:bottom w:val="double" w:sz="6" w:space="0" w:color="000000"/>
            </w:tcBorders>
            <w:shd w:fill="CCEEFF" w:val="clear"/>
            <w:vAlign w:val="center"/>
          </w:tcPr>
          <w:p>
            <w:pPr>
              <w:pStyle w:val="TableContents"/>
              <w:bidi w:val="0"/>
              <w:spacing w:before="0" w:after="283"/>
              <w:jc w:val="right"/>
              <w:rPr/>
            </w:pPr>
            <w:r>
              <w:rPr/>
              <w:t>215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three months ended March 31, 2022, a total of $619 of interest expense was incurred under the debt. Amortization of the debt issuance costs amounted to $613 during the three months ended March 31, 2022.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a total of $3,496 of interest expense was incurred under the debt. Amortization of the debt issuance costs amounted to $219 during the three months ended March 31, 2023. The carrying balance of $20,699 on March 31, 2023 consisted of $75,000 in principal, plus $2,430 PIK interest, less $56,731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LEVERAGE RATION </w:t>
      </w:r>
    </w:p>
    <w:tbl>
      <w:tblPr>
        <w:tblW w:w="5155" w:type="dxa"/>
        <w:jc w:val="left"/>
        <w:tblInd w:w="0" w:type="dxa"/>
        <w:tblLayout w:type="fixed"/>
        <w:tblCellMar>
          <w:top w:w="0" w:type="dxa"/>
          <w:left w:w="0" w:type="dxa"/>
          <w:bottom w:w="28" w:type="dxa"/>
          <w:right w:w="0" w:type="dxa"/>
        </w:tblCellMar>
      </w:tblPr>
      <w:tblGrid>
        <w:gridCol w:w="3620"/>
        <w:gridCol w:w="60"/>
        <w:gridCol w:w="60"/>
        <w:gridCol w:w="1340"/>
        <w:gridCol w:w="75"/>
      </w:tblGrid>
      <w:tr>
        <w:trPr/>
        <w:tc>
          <w:tcPr>
            <w:tcW w:w="3620" w:type="dxa"/>
            <w:tcBorders>
              <w:bottom w:val="single" w:sz="12" w:space="0" w:color="000000"/>
            </w:tcBorders>
            <w:shd w:fill="FFFFFF" w:val="clear"/>
            <w:vAlign w:val="center"/>
          </w:tcPr>
          <w:p>
            <w:pPr>
              <w:pStyle w:val="TableContents"/>
              <w:bidi w:val="0"/>
              <w:spacing w:before="0" w:after="283"/>
              <w:jc w:val="left"/>
              <w:rPr>
                <w:b/>
              </w:rPr>
            </w:pPr>
            <w:r>
              <w:rPr>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Leverage Ratio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 to 1.00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consolidated EBITDA for the trailing twelve 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the future debt maturities, based on contractual principal payments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DEBT MATURITIES </w:t>
      </w:r>
    </w:p>
    <w:tbl>
      <w:tblPr>
        <w:tblW w:w="5870" w:type="dxa"/>
        <w:jc w:val="left"/>
        <w:tblInd w:w="0" w:type="dxa"/>
        <w:tblLayout w:type="fixed"/>
        <w:tblCellMar>
          <w:top w:w="0" w:type="dxa"/>
          <w:left w:w="0" w:type="dxa"/>
          <w:bottom w:w="0" w:type="dxa"/>
          <w:right w:w="0" w:type="dxa"/>
        </w:tblCellMar>
      </w:tblPr>
      <w:tblGrid>
        <w:gridCol w:w="4805"/>
        <w:gridCol w:w="60"/>
        <w:gridCol w:w="140"/>
        <w:gridCol w:w="755"/>
        <w:gridCol w:w="110"/>
      </w:tblGrid>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For Year Ended December 31,</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2023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938</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91,775</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96,463</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Less: Estimated interest paid-in-kind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(19,033</w:t>
            </w:r>
          </w:p>
        </w:tc>
        <w:tc>
          <w:tcPr>
            <w:tcW w:w="110" w:type="dxa"/>
            <w:tcBorders/>
            <w:shd w:fill="CCEEFF" w:val="clear"/>
            <w:vAlign w:val="center"/>
          </w:tcPr>
          <w:p>
            <w:pPr>
              <w:pStyle w:val="TableContents"/>
              <w:bidi w:val="0"/>
              <w:spacing w:before="0" w:after="283"/>
              <w:jc w:val="left"/>
              <w:rPr/>
            </w:pPr>
            <w:r>
              <w:rPr/>
              <w:t>)</w:t>
            </w:r>
          </w:p>
        </w:tc>
      </w:tr>
      <w:tr>
        <w:trPr/>
        <w:tc>
          <w:tcPr>
            <w:tcW w:w="4805"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77,430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Less: Unamortized debt issuance costs,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(56,731</w:t>
            </w:r>
          </w:p>
        </w:tc>
        <w:tc>
          <w:tcPr>
            <w:tcW w:w="110" w:type="dxa"/>
            <w:tcBorders/>
            <w:shd w:fill="CCEEFF" w:val="clear"/>
            <w:vAlign w:val="center"/>
          </w:tcPr>
          <w:p>
            <w:pPr>
              <w:pStyle w:val="TableContents"/>
              <w:bidi w:val="0"/>
              <w:spacing w:before="0" w:after="283"/>
              <w:jc w:val="left"/>
              <w:rPr/>
            </w:pPr>
            <w:r>
              <w:rPr/>
              <w:t>)</w:t>
            </w:r>
          </w:p>
        </w:tc>
      </w:tr>
      <w:tr>
        <w:trPr/>
        <w:tc>
          <w:tcPr>
            <w:tcW w:w="4805" w:type="dxa"/>
            <w:tcBorders/>
            <w:shd w:fill="FFFFFF" w:val="clear"/>
            <w:vAlign w:val="center"/>
          </w:tcPr>
          <w:p>
            <w:pPr>
              <w:pStyle w:val="TableContents"/>
              <w:bidi w:val="0"/>
              <w:spacing w:before="0" w:after="283"/>
              <w:jc w:val="left"/>
              <w:rPr/>
            </w:pPr>
            <w:r>
              <w:rPr/>
              <w:t>Total 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20,699</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Less: Current portion of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(20,699</w:t>
            </w:r>
          </w:p>
        </w:tc>
        <w:tc>
          <w:tcPr>
            <w:tcW w:w="110" w:type="dxa"/>
            <w:tcBorders/>
            <w:shd w:fill="CCEEFF" w:val="clear"/>
            <w:vAlign w:val="center"/>
          </w:tcPr>
          <w:p>
            <w:pPr>
              <w:pStyle w:val="TableContents"/>
              <w:bidi w:val="0"/>
              <w:spacing w:before="0" w:after="283"/>
              <w:jc w:val="left"/>
              <w:rPr/>
            </w:pPr>
            <w:r>
              <w:rPr/>
              <w:t>)</w:t>
            </w:r>
          </w:p>
        </w:tc>
      </w:tr>
      <w:tr>
        <w:trPr/>
        <w:tc>
          <w:tcPr>
            <w:tcW w:w="4805"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3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7 - 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Bourns Production,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$1,147 and $782 as of March 31, 2023 and December 31, 2022.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received proceeds from public warrant exercises of $747 in exchange for 64,971 common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3,126,472 warrants on a cashless basis, with the Company agreeing to issue 1,100,000 shares of common stock in connection with such exercise. There were 1,501,386 and 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March 31, 2023, penny warrant holders exercised 1,250,000 warrants on a cashless basis, with the Company agreeing to issue 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FAIR VALUE WARRANTS  </w:t>
      </w:r>
    </w:p>
    <w:tbl>
      <w:tblPr>
        <w:tblW w:w="5995" w:type="dxa"/>
        <w:jc w:val="left"/>
        <w:tblInd w:w="0" w:type="dxa"/>
        <w:tblLayout w:type="fixed"/>
        <w:tblCellMar>
          <w:top w:w="0" w:type="dxa"/>
          <w:left w:w="0" w:type="dxa"/>
          <w:bottom w:w="0" w:type="dxa"/>
          <w:right w:w="0" w:type="dxa"/>
        </w:tblCellMar>
      </w:tblPr>
      <w:tblGrid>
        <w:gridCol w:w="2000"/>
        <w:gridCol w:w="60"/>
        <w:gridCol w:w="307"/>
        <w:gridCol w:w="1228"/>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2022</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11.09</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9.77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89.00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90.00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11.89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Company’s warrants from January 1, 2023 to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IN WARRANTS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4,627,858</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(3,126,472</w:t>
            </w:r>
          </w:p>
        </w:tc>
        <w:tc>
          <w:tcPr>
            <w:tcW w:w="110" w:type="dxa"/>
            <w:tcBorders/>
            <w:shd w:fill="FFFFFF" w:val="clear"/>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1,501,386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private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6"/>
        <w:gridCol w:w="1418"/>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9,487,500</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pPr>
            <w:r>
              <w:rPr/>
              <w:t>(64,971</w:t>
            </w:r>
          </w:p>
        </w:tc>
        <w:tc>
          <w:tcPr>
            <w:tcW w:w="110" w:type="dxa"/>
            <w:tcBorders/>
            <w:shd w:fill="FFFFFF" w:val="clear"/>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pPr>
            <w:r>
              <w:rPr/>
              <w:t>9,422,529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public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2,593,056</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110" w:type="dxa"/>
            <w:tcBorders/>
            <w:shd w:fill="FFFFFF" w:val="clear"/>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1,343,056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term loan warrants issued, exercised and outstanding from the period January 1, 2022 through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both"/>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(8,822</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(17,998</w:t>
            </w:r>
          </w:p>
        </w:tc>
        <w:tc>
          <w:tcPr>
            <w:tcW w:w="110"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Balances, March 31, 2023</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 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up to 170,000,000 shares of common stock with $0.0001 par value. Common stockholders are entitled to dividends if and when declared by the Board of Directors subject to the rights of the preferred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RESERVED SHARES OF COMMON STOCK FOR ISSUANCE </w:t>
      </w:r>
    </w:p>
    <w:tbl>
      <w:tblPr>
        <w:tblW w:w="6688" w:type="dxa"/>
        <w:jc w:val="left"/>
        <w:tblInd w:w="0" w:type="dxa"/>
        <w:tblLayout w:type="fixed"/>
        <w:tblCellMar>
          <w:top w:w="0" w:type="dxa"/>
          <w:left w:w="0" w:type="dxa"/>
          <w:bottom w:w="0" w:type="dxa"/>
          <w:right w:w="0" w:type="dxa"/>
        </w:tblCellMar>
      </w:tblPr>
      <w:tblGrid>
        <w:gridCol w:w="3365"/>
        <w:gridCol w:w="60"/>
        <w:gridCol w:w="71"/>
        <w:gridCol w:w="1463"/>
        <w:gridCol w:w="60"/>
        <w:gridCol w:w="60"/>
        <w:gridCol w:w="79"/>
        <w:gridCol w:w="1455"/>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3,731,392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36,581,910</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12,266,971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12" w:space="0" w:color="000000"/>
            </w:tcBorders>
            <w:shd w:fill="CCEEFF" w:val="clear"/>
            <w:tcMar>
              <w:bottom w:w="28" w:type="dxa"/>
            </w:tcMar>
            <w:vAlign w:val="center"/>
          </w:tcPr>
          <w:p>
            <w:pPr>
              <w:pStyle w:val="TableContents"/>
              <w:bidi w:val="0"/>
              <w:spacing w:before="0" w:after="283"/>
              <w:jc w:val="right"/>
              <w:rPr/>
            </w:pPr>
            <w:r>
              <w:rPr/>
              <w:t>4,319,309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1,205,790</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pPr>
            <w:r>
              <w:rPr/>
              <w:t>106,113,174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bottom w:w="28" w:type="dxa"/>
            </w:tcMar>
            <w:vAlign w:val="center"/>
          </w:tcPr>
          <w:p>
            <w:pPr>
              <w:pStyle w:val="TableContents"/>
              <w:bidi w:val="0"/>
              <w:spacing w:before="0" w:after="283"/>
              <w:jc w:val="right"/>
              <w:rPr/>
            </w:pPr>
            <w:r>
              <w:rPr/>
              <w:t>41,418,702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$4,487 and $288 was recognized in the Company’s consolidated statements of operations for the three months ended March 31, 2023 and 2022, respectively. Of the $4,487 of share-based compensation incurred during the three months ended March 31, 2023, $36 is allocated to cost of goods sold, $29 to research and development, $856 to selling and marketing, and $3,566 to general and administrative expenses. Of the $288 of share-based compensation incurred during the three months ended March 31, 2022, $97 is allocated to cost of goods sold, $37 to research and development, $60 to selling and marketing, and $94 to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386"/>
        <w:gridCol w:w="60"/>
        <w:gridCol w:w="60"/>
        <w:gridCol w:w="980"/>
        <w:gridCol w:w="95"/>
        <w:gridCol w:w="60"/>
        <w:gridCol w:w="215"/>
        <w:gridCol w:w="1605"/>
        <w:gridCol w:w="60"/>
        <w:gridCol w:w="60"/>
        <w:gridCol w:w="240"/>
        <w:gridCol w:w="1580"/>
        <w:gridCol w:w="60"/>
        <w:gridCol w:w="60"/>
        <w:gridCol w:w="181"/>
        <w:gridCol w:w="2243"/>
        <w:gridCol w:w="60"/>
        <w:gridCol w:w="60"/>
        <w:gridCol w:w="181"/>
        <w:gridCol w:w="883"/>
        <w:gridCol w:w="76"/>
      </w:tblGrid>
      <w:tr>
        <w:trPr/>
        <w:tc>
          <w:tcPr>
            <w:tcW w:w="1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t>
            </w:r>
            <w:r>
              <w:rPr>
                <w:rFonts w:ascii="Times New Roman;Times;Serif" w:hAnsi="Times New Roman;Times;Serif"/>
                <w:b w:val="false"/>
                <w:i w:val="false"/>
                <w:caps w:val="false"/>
                <w:smallCaps w:val="false"/>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jc w:val="center"/>
              <w:rPr/>
            </w:pPr>
            <w:r>
              <w:rPr/>
              <w:t>Grant</w:t>
            </w:r>
          </w:p>
          <w:p>
            <w:pPr>
              <w:pStyle w:val="TableContents"/>
              <w:bidi w:val="0"/>
              <w:jc w:val="center"/>
              <w:rPr/>
            </w:pPr>
            <w:r>
              <w:rPr/>
              <w:t>Date Fair</w:t>
            </w:r>
          </w:p>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2"/>
            <w:tcBorders>
              <w:bottom w:val="single" w:sz="12" w:space="0" w:color="000000"/>
            </w:tcBorders>
            <w:tcMar>
              <w:bottom w:w="30"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jc w:val="center"/>
              <w:rPr/>
            </w:pPr>
            <w:r>
              <w:rPr/>
              <w:t>Aggregate</w:t>
            </w:r>
          </w:p>
          <w:p>
            <w:pPr>
              <w:pStyle w:val="TableContents"/>
              <w:bidi w:val="0"/>
              <w:spacing w:before="0" w:after="283"/>
              <w:jc w:val="center"/>
              <w:rPr/>
            </w:pPr>
            <w:r>
              <w:rPr/>
              <w:t>intrinsic value</w:t>
            </w:r>
          </w:p>
        </w:tc>
        <w:tc>
          <w:tcPr>
            <w:tcW w:w="76"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3,690,955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05" w:type="dxa"/>
            <w:tcBorders/>
            <w:shd w:fill="CCEEFF" w:val="clear"/>
            <w:vAlign w:val="center"/>
          </w:tcPr>
          <w:p>
            <w:pPr>
              <w:pStyle w:val="TableContents"/>
              <w:bidi w:val="0"/>
              <w:spacing w:before="0" w:after="283"/>
              <w:jc w:val="right"/>
              <w:rPr/>
            </w:pPr>
            <w:r>
              <w:rPr/>
              <w:t>          </w:t>
            </w: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580" w:type="dxa"/>
            <w:tcBorders/>
            <w:shd w:fill="CCEEFF" w:val="clear"/>
            <w:vAlign w:val="center"/>
          </w:tcPr>
          <w:p>
            <w:pPr>
              <w:pStyle w:val="TableContents"/>
              <w:bidi w:val="0"/>
              <w:spacing w:before="0" w:after="283"/>
              <w:jc w:val="right"/>
              <w:rPr/>
            </w:pPr>
            <w:r>
              <w:rPr/>
              <w:t>        </w:t>
            </w: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6,550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3,631,002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05"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580"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6,377</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3,642,958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05"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58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35,989</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632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5"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2,029,985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605"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83" w:type="dxa"/>
            <w:tcBorders/>
            <w:shd w:fill="FFFFFF" w:val="clear"/>
            <w:vAlign w:val="center"/>
          </w:tcPr>
          <w:p>
            <w:pPr>
              <w:pStyle w:val="TableContents"/>
              <w:bidi w:val="0"/>
              <w:spacing w:before="0" w:after="283"/>
              <w:jc w:val="right"/>
              <w:rPr/>
            </w:pPr>
            <w:r>
              <w:rPr/>
              <w:t>3,120</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05"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options and weighted average exercise price has been adjusted to reflect the exchange of Legacy Dragonfly’s stock options for New Dragonfly stock options at an exchange ratio of approximately 1.182 as a result of the merger.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 immediately. The fair value of the restricted stock units on the date of grant was $3,464 and was recorded as compensation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three months ended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STOCK UNITS ACTIVITY </w:t>
      </w:r>
    </w:p>
    <w:tbl>
      <w:tblPr>
        <w:tblW w:w="6544" w:type="dxa"/>
        <w:jc w:val="left"/>
        <w:tblInd w:w="0" w:type="dxa"/>
        <w:tblLayout w:type="fixed"/>
        <w:tblCellMar>
          <w:top w:w="0" w:type="dxa"/>
          <w:left w:w="0" w:type="dxa"/>
          <w:bottom w:w="0" w:type="dxa"/>
          <w:right w:w="0" w:type="dxa"/>
        </w:tblCellMar>
      </w:tblPr>
      <w:tblGrid>
        <w:gridCol w:w="3380"/>
        <w:gridCol w:w="60"/>
        <w:gridCol w:w="67"/>
        <w:gridCol w:w="987"/>
        <w:gridCol w:w="95"/>
        <w:gridCol w:w="60"/>
        <w:gridCol w:w="196"/>
        <w:gridCol w:w="162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jc w:val="center"/>
              <w:rPr/>
            </w:pPr>
            <w:r>
              <w:rPr/>
              <w:t>Number of</w:t>
            </w:r>
          </w:p>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Fair Market 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Unvested shares at January 1,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624" w:type="dxa"/>
            <w:tcBorders/>
            <w:shd w:fill="CCEEFF" w:val="clear"/>
            <w:vAlign w:val="center"/>
          </w:tcPr>
          <w:p>
            <w:pPr>
              <w:pStyle w:val="TableContents"/>
              <w:bidi w:val="0"/>
              <w:spacing w:before="0" w:after="283"/>
              <w:jc w:val="right"/>
              <w:rPr/>
            </w:pPr>
            <w:r>
              <w:rPr/>
              <w:t>          </w:t>
            </w:r>
            <w:r>
              <w:rPr/>
              <w:t>14.00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(461,998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Unvested shares,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624"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Vested as of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624"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there were 4,319,309 shares of unissued authorized and available for future awards under the 2022 Equity Incentive Plan and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information needed to compute basic and diluted earnings (loss) per share for the three months ended March 31, 2023 and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INFORMATION NEEDED TO COMPUTE BASIC AND DILUTED EARNINGS PER SHARE </w:t>
      </w:r>
    </w:p>
    <w:tbl>
      <w:tblPr>
        <w:tblW w:w="8433" w:type="dxa"/>
        <w:jc w:val="left"/>
        <w:tblInd w:w="0" w:type="dxa"/>
        <w:tblLayout w:type="fixed"/>
        <w:tblCellMar>
          <w:top w:w="0" w:type="dxa"/>
          <w:left w:w="0" w:type="dxa"/>
          <w:bottom w:w="0" w:type="dxa"/>
          <w:right w:w="0" w:type="dxa"/>
        </w:tblCellMar>
      </w:tblPr>
      <w:tblGrid>
        <w:gridCol w:w="5075"/>
        <w:gridCol w:w="60"/>
        <w:gridCol w:w="173"/>
        <w:gridCol w:w="1361"/>
        <w:gridCol w:w="60"/>
        <w:gridCol w:w="60"/>
        <w:gridCol w:w="173"/>
        <w:gridCol w:w="1361"/>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11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b/>
              </w:rPr>
            </w:pPr>
            <w:r>
              <w:rPr>
                <w:b/>
              </w:rPr>
              <w:t>Basic Earnings (Loss) per common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Net Income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4,892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45,104,515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Earnings (Loss) per share, basic</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b/>
              </w:rPr>
            </w:pPr>
            <w:r>
              <w:rPr>
                <w:b/>
              </w:rPr>
              <w:t>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Net Income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507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45,104,515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Dilutive effect related to stock options and warrants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3,351,481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48,455,996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Earnings (Loss) per share, 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income (loss) per share because their effect was anti-dilutive: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POTENTIAL SHARES OF COMMON STOCK EXCLUDED FROM DILUTED NET (LOSS) INCOME PER SHARE </w:t>
      </w:r>
    </w:p>
    <w:tbl>
      <w:tblPr>
        <w:tblW w:w="8188" w:type="dxa"/>
        <w:jc w:val="left"/>
        <w:tblInd w:w="0" w:type="dxa"/>
        <w:tblLayout w:type="fixed"/>
        <w:tblCellMar>
          <w:top w:w="0" w:type="dxa"/>
          <w:left w:w="0" w:type="dxa"/>
          <w:bottom w:w="0" w:type="dxa"/>
          <w:right w:w="0" w:type="dxa"/>
        </w:tblCellMar>
      </w:tblPr>
      <w:tblGrid>
        <w:gridCol w:w="4865"/>
        <w:gridCol w:w="60"/>
        <w:gridCol w:w="79"/>
        <w:gridCol w:w="1455"/>
        <w:gridCol w:w="60"/>
        <w:gridCol w:w="60"/>
        <w:gridCol w:w="88"/>
        <w:gridCol w:w="1446"/>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10,923,915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111,015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FFFFFF" w:val="clear"/>
            <w:tcMar>
              <w:bottom w:w="28" w:type="dxa"/>
            </w:tcMar>
            <w:vAlign w:val="center"/>
          </w:tcPr>
          <w:p>
            <w:pPr>
              <w:pStyle w:val="TableContents"/>
              <w:bidi w:val="0"/>
              <w:spacing w:before="0" w:after="283"/>
              <w:jc w:val="right"/>
              <w:rPr/>
            </w:pPr>
            <w:r>
              <w:rPr/>
              <w:t>11,034,930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12" w:space="0" w:color="000000"/>
            </w:tcBorders>
            <w:shd w:fill="FFFFFF" w:val="clear"/>
            <w:tcMar>
              <w:bottom w:w="28" w:type="dxa"/>
            </w:tcMar>
            <w:vAlign w:val="center"/>
          </w:tcPr>
          <w:p>
            <w:pPr>
              <w:pStyle w:val="TableContents"/>
              <w:bidi w:val="0"/>
              <w:spacing w:before="0" w:after="283"/>
              <w:jc w:val="right"/>
              <w:rPr/>
            </w:pPr>
            <w:r>
              <w:rPr/>
              <w:t>3,631,002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the Company paid the $1,000 Principal Amount on the Note previously issued to Brian Nelson on March 5, 2023. Upon execution of the Note and funding of the Principal Amount, a payment of the $100 Loan Fee, was fully earned as of the date of the note and was due and paid in full in cash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$334,000 payable in 52 biweekly installments commencing 30 days from the Separation Date. Ms. Harvey’s outstanding options granted by the Company fully vested, and are exercisable for three (3) months following the Separation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“Quarterly Report”) to “we,” “us” or the “Company” refer to Dragonfly Energy Holdings Corp.. References to our “Sponsor” refer to Chardan NexTech Investments 2 LLC, a Delaware limited liability company and to “Legacy Dragonfly” refer to Dragonfly Energy Corp., a Nevada corporation and our wholly-owned subsidiary.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2022 included in our Annual Report on Form 10-K filed with the Securities and Exchange Commission (“SEC”),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which may be affected by, among other things, the factors listed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our public warrants on the Nasdaq Capital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any mutations or variants thereof, and its effect on business and financial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on Form 10-K for the year ended December 31, 2022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(“RV”), marine vessel, and solar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quarters ended March 31, 2023, and March 31, 2022, we sold 20,331 and 19,664 batteries, respectively, and had $18.8 million and $18.3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Offshore brand (“Wakespeed”) products, partially offset by a decline in DTC sales. Our RV OEM customers currently include Keystone RV Company (“Keystone”), THOR Industries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(“LFP”) batteries, we have been developing proprietary LFP solid-state cell technology and manufacturing processes. Our solid-state technology design allows for a much safer, more efficient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our $150 million equity facility (the “ChEF Equity Facility”) with Chardan Capital Markets LLC (“CCM LLC”)and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Chardan NexTech 2 Acquisition Corp., a Delaware company (“Chardan”), and Legacy Dragonfly consummated the merger pursuant to the Agreement and Plan of Merger, dated as of May 15, 2022 (as amended, the “Business Combination Agreement”), by and among Chardan, Bronco Merger Sub, Inc., a Delaware corporation and wholly-owned subsidiary of Chardan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Chardan changed its name to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Chardan was treated as the acquired company for financial statement reporting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inventory compared to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March 31, 2023 and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460"/>
        <w:gridCol w:w="60"/>
        <w:gridCol w:w="140"/>
        <w:gridCol w:w="680"/>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553" w:type="dxa"/>
        <w:jc w:val="left"/>
        <w:tblInd w:w="0" w:type="dxa"/>
        <w:tblLayout w:type="fixed"/>
        <w:tblCellMar>
          <w:top w:w="0" w:type="dxa"/>
          <w:left w:w="0" w:type="dxa"/>
          <w:bottom w:w="0" w:type="dxa"/>
          <w:right w:w="0" w:type="dxa"/>
        </w:tblCellMar>
      </w:tblPr>
      <w:tblGrid>
        <w:gridCol w:w="1190"/>
        <w:gridCol w:w="60"/>
        <w:gridCol w:w="269"/>
        <w:gridCol w:w="1307"/>
        <w:gridCol w:w="115"/>
        <w:gridCol w:w="115"/>
        <w:gridCol w:w="115"/>
        <w:gridCol w:w="13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7,069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13,035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2,969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2,087</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10,038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15,122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53.4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82.6</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8,754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3,181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46.6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9—Warrants” in our accompanying consolidated financial statements for information on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(“RSU”) awards are valued based on the closing trading price of the Company’s common stock on the date of grant. Changes in assumptions used to estimate fair value could result in materially different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Enterprise Resource Planning (“ERP”) implementation,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income (loss) for the quarters ended March 31, 2023, and March 31, 2022.</w:t>
      </w:r>
    </w:p>
    <w:p>
      <w:pPr>
        <w:pStyle w:val="TextBody"/>
        <w:bidi w:val="0"/>
        <w:spacing w:before="0" w:after="0"/>
        <w:ind w:left="0" w:right="0" w:hanging="0"/>
        <w:jc w:val="both"/>
        <w:rPr>
          <w:caps w:val="false"/>
          <w:smallCaps w:val="false"/>
        </w:rPr>
      </w:pPr>
      <w:r>
        <w:rPr>
          <w:caps w:val="false"/>
          <w:smallCaps w:val="false"/>
        </w:rPr>
        <w:t> </w:t>
      </w:r>
    </w:p>
    <w:tbl>
      <w:tblPr>
        <w:tblW w:w="7497" w:type="dxa"/>
        <w:jc w:val="left"/>
        <w:tblInd w:w="0" w:type="dxa"/>
        <w:tblLayout w:type="fixed"/>
        <w:tblCellMar>
          <w:top w:w="0" w:type="dxa"/>
          <w:left w:w="0" w:type="dxa"/>
          <w:bottom w:w="0" w:type="dxa"/>
          <w:right w:w="0" w:type="dxa"/>
        </w:tblCellMar>
      </w:tblPr>
      <w:tblGrid>
        <w:gridCol w:w="4100"/>
        <w:gridCol w:w="60"/>
        <w:gridCol w:w="247"/>
        <w:gridCol w:w="1336"/>
        <w:gridCol w:w="168"/>
        <w:gridCol w:w="106"/>
        <w:gridCol w:w="247"/>
        <w:gridCol w:w="1123"/>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4,892</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3,815</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1,263</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297</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192</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9,004</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(1,370</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4,487</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ERP Implementation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233</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Forgiveness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168"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pPr>
            <w:r>
              <w:rPr/>
              <w:t>(5,032</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ERP system in anticipation of the Business Combination and becoming a public company.</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Promissory Note Forgiveness is comprised of the loan that was forgiven, prior to the Business Combination, in connection with the promissory note, with a maturity date of March 1, 2026, between us and John Marchetti, our Chief Financial Officer. </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March 31, 2023.</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first quarter of 2023, we continued to increase our inventory purchasing activities. As a result, our inventory balance at March 31, 2023 increased by $1.9 million to $51.8 million, compared to $49.9 million at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“Term Loan Agreement”), the proceeds of which were used to repay the $45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Alter Domus (US) LLC, as administrative agent for the lenders (the “Administrative Agent”) and EICF Agent LLC (“EIP”) and certain third-party financing source (collectively with EIP, the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secured overnight financing rate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2023 to May 15, 2023, we issued and sold approximately 98,500 shares of our common stock under the ChEF Equity Facility, resulting in net cash proceeds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“Principal Amount”) to Brian Nelson, one of our directors, in a private placement in exchange for cash in an equal amount (the “Note”). The Note became due and payable in full on April 1, 2023. We were also obligated to pay a fee in the amount of $100,000 (the “Loan Fee”) to Mr. Nelson on April 4, 2023. The Principal Amount of the Note was paid in full on April 1, 2023 and the Loan Fee was paid in full on April 4,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March 31, 2023, we generated net income of $4.9 million but had a negative cash flow from operations. As of March 31, 2023, we had approximately $15.8 million in cash and cash equivalents and working capital of $24.5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672" w:type="dxa"/>
        <w:jc w:val="left"/>
        <w:tblInd w:w="0" w:type="dxa"/>
        <w:tblLayout w:type="fixed"/>
        <w:tblCellMar>
          <w:top w:w="0" w:type="dxa"/>
          <w:left w:w="0" w:type="dxa"/>
          <w:bottom w:w="0" w:type="dxa"/>
          <w:right w:w="0" w:type="dxa"/>
        </w:tblCellMar>
      </w:tblPr>
      <w:tblGrid>
        <w:gridCol w:w="3275"/>
        <w:gridCol w:w="60"/>
        <w:gridCol w:w="247"/>
        <w:gridCol w:w="1123"/>
        <w:gridCol w:w="168"/>
        <w:gridCol w:w="106"/>
        <w:gridCol w:w="247"/>
        <w:gridCol w:w="1336"/>
        <w:gridCol w:w="110"/>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Net Cash provided by/(used in):</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2980"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(3,838</w:t>
            </w:r>
          </w:p>
        </w:tc>
        <w:tc>
          <w:tcPr>
            <w:tcW w:w="16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336" w:type="dxa"/>
            <w:tcBorders/>
            <w:shd w:fill="CCEEFF" w:val="clear"/>
            <w:vAlign w:val="center"/>
          </w:tcPr>
          <w:p>
            <w:pPr>
              <w:pStyle w:val="TableContents"/>
              <w:bidi w:val="0"/>
              <w:spacing w:before="0" w:after="283"/>
              <w:jc w:val="right"/>
              <w:rPr>
                <w:b/>
              </w:rPr>
            </w:pPr>
            <w:r>
              <w:rPr>
                <w:b/>
              </w:rPr>
              <w:t>(11,110</w:t>
            </w:r>
          </w:p>
        </w:tc>
        <w:tc>
          <w:tcPr>
            <w:tcW w:w="110" w:type="dxa"/>
            <w:tcBorders/>
            <w:shd w:fill="CCEEFF" w:val="clear"/>
            <w:vAlign w:val="center"/>
          </w:tcPr>
          <w:p>
            <w:pPr>
              <w:pStyle w:val="TableContents"/>
              <w:bidi w:val="0"/>
              <w:spacing w:before="0" w:after="283"/>
              <w:jc w:val="left"/>
              <w:rPr>
                <w:b/>
              </w:rPr>
            </w:pPr>
            <w:r>
              <w:rPr>
                <w:b/>
              </w:rPr>
              <w:t>)</w:t>
            </w:r>
          </w:p>
        </w:tc>
      </w:tr>
      <w:tr>
        <w:trPr/>
        <w:tc>
          <w:tcPr>
            <w:tcW w:w="327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123" w:type="dxa"/>
            <w:tcBorders/>
            <w:shd w:fill="FFFFFF" w:val="clear"/>
            <w:vAlign w:val="center"/>
          </w:tcPr>
          <w:p>
            <w:pPr>
              <w:pStyle w:val="TableContents"/>
              <w:bidi w:val="0"/>
              <w:spacing w:before="0" w:after="283"/>
              <w:jc w:val="right"/>
              <w:rPr>
                <w:b/>
              </w:rPr>
            </w:pPr>
            <w:r>
              <w:rPr>
                <w:b/>
              </w:rPr>
              <w:t>(589</w:t>
            </w:r>
          </w:p>
        </w:tc>
        <w:tc>
          <w:tcPr>
            <w:tcW w:w="168" w:type="dxa"/>
            <w:tcBorders/>
            <w:shd w:fill="FFFFFF" w:val="clear"/>
            <w:vAlign w:val="center"/>
          </w:tcPr>
          <w:p>
            <w:pPr>
              <w:pStyle w:val="TableContents"/>
              <w:bidi w:val="0"/>
              <w:spacing w:before="0" w:after="283"/>
              <w:jc w:val="left"/>
              <w:rPr>
                <w:b/>
              </w:rPr>
            </w:pPr>
            <w:r>
              <w:rPr>
                <w:b/>
              </w:rPr>
              <w:t>)</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336" w:type="dxa"/>
            <w:tcBorders/>
            <w:shd w:fill="FFFFFF" w:val="clear"/>
            <w:vAlign w:val="center"/>
          </w:tcPr>
          <w:p>
            <w:pPr>
              <w:pStyle w:val="TableContents"/>
              <w:bidi w:val="0"/>
              <w:spacing w:before="0" w:after="283"/>
              <w:jc w:val="right"/>
              <w:rPr>
                <w:b/>
              </w:rPr>
            </w:pPr>
            <w:r>
              <w:rPr>
                <w:b/>
              </w:rPr>
              <w:t>(4,524</w:t>
            </w:r>
          </w:p>
        </w:tc>
        <w:tc>
          <w:tcPr>
            <w:tcW w:w="110" w:type="dxa"/>
            <w:tcBorders/>
            <w:shd w:fill="FFFFFF" w:val="clear"/>
            <w:vAlign w:val="center"/>
          </w:tcPr>
          <w:p>
            <w:pPr>
              <w:pStyle w:val="TableContents"/>
              <w:bidi w:val="0"/>
              <w:spacing w:before="0" w:after="283"/>
              <w:jc w:val="left"/>
              <w:rPr>
                <w:b/>
              </w:rPr>
            </w:pPr>
            <w:r>
              <w:rPr>
                <w:b/>
              </w:rPr>
              <w:t>)</w:t>
            </w:r>
          </w:p>
        </w:tc>
      </w:tr>
      <w:tr>
        <w:trPr/>
        <w:tc>
          <w:tcPr>
            <w:tcW w:w="327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2,437</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336" w:type="dxa"/>
            <w:tcBorders/>
            <w:shd w:fill="CCEEFF" w:val="clear"/>
            <w:vAlign w:val="center"/>
          </w:tcPr>
          <w:p>
            <w:pPr>
              <w:pStyle w:val="TableContents"/>
              <w:bidi w:val="0"/>
              <w:spacing w:before="0" w:after="283"/>
              <w:jc w:val="right"/>
              <w:rPr>
                <w:b/>
              </w:rPr>
            </w:pPr>
            <w:r>
              <w:rPr>
                <w:b/>
              </w:rPr>
              <w:t>111</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$11.1 million for the three months ended March 31, 2022, primarily due to a net loss during the period in addition to an increase in inventory and reduction of accounts payable and accrued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March 31, 2023, we had $1.2 million in short-term operating lease liabilities and $3.2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As of March 31, 2023, the principal amount outstanding under the Term Loan was $77.4 million.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Quarterly Report on Form 10-Q for the quarter ended March 31, 2023, our management, with the participation of our Chief Executive Officer and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our Chief Financial Officer concluded that, due to the material weaknesses previously reported in our 2022 Annual Report that have not yet been remediated, our disclosure controls and procedures were not effective as of March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plan described within our 2022 Annual Report, there were no changes in our internal controls over financial reporting that occurred during the quarter ended March 31, 2023 that materially affected, or are reasonably likely to materially affect, our internal control over financial reporting. Management will continue to evaluate and enhance our processes as noted in the remediation plan described within our 2022 Annual Report. The elements of our remediation plan can only be accomplished over time, and we can offer no assurance that these initiatives will ultimately have the intended effects.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
        <w:gridCol w:w="60"/>
        <w:gridCol w:w="7359"/>
        <w:gridCol w:w="60"/>
        <w:gridCol w:w="504"/>
        <w:gridCol w:w="60"/>
        <w:gridCol w:w="656"/>
        <w:gridCol w:w="60"/>
        <w:gridCol w:w="686"/>
      </w:tblGrid>
      <w:tr>
        <w:trPr/>
        <w:tc>
          <w:tcPr>
            <w:tcW w:w="7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6"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Plan of Conversion, dated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Articles of Incorporation, as filed with the Secretary of State of the State of Nevada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Bylaws, dated March 31,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03/02/23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0"/>
                </w:rPr>
                <w:t>Articles of Conversion, as filed with the Secretary of State of the State of Nevada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0"/>
                </w:rPr>
                <w:t>Certificate of Conversion, as filed with the Secretary of State of the State of Delaware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Labels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1655"/>
        <w:gridCol w:w="320"/>
        <w:gridCol w:w="365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Dragonfly Energy Holdings Corp.</w:t>
            </w:r>
            <w:r>
              <w:rPr>
                <w:rFonts w:ascii="Times New Roman;Times;Serif" w:hAnsi="Times New Roman;Times;Serif"/>
                <w:b w:val="false"/>
                <w:i w:val="false"/>
                <w:caps w:val="false"/>
                <w:smallCaps w:val="false"/>
                <w:sz w:val="20"/>
              </w:rPr>
              <w: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7986/000149315223017432/form10-q.htm" TargetMode="External"/><Relationship Id="rId4" Type="http://schemas.openxmlformats.org/officeDocument/2006/relationships/hyperlink" Target="https://www.sec.gov/Archives/edgar/data/1847986/000149315223010262/ex2-1.htm" TargetMode="External"/><Relationship Id="rId5" Type="http://schemas.openxmlformats.org/officeDocument/2006/relationships/hyperlink" Target="https://www.sec.gov/Archives/edgar/data/1847986/000149315223010262/ex3-1.htm" TargetMode="External"/><Relationship Id="rId6" Type="http://schemas.openxmlformats.org/officeDocument/2006/relationships/hyperlink" Target="https://www.sec.gov/Archives/edgar/data/1847986/000149315223010262/ex3-2.htm" TargetMode="External"/><Relationship Id="rId7" Type="http://schemas.openxmlformats.org/officeDocument/2006/relationships/hyperlink" Target="https://www.sec.gov/Archives/edgar/data/1847986/000149315223007147/ex4-1.htm" TargetMode="External"/><Relationship Id="rId8" Type="http://schemas.openxmlformats.org/officeDocument/2006/relationships/hyperlink" Target="https://www.sec.gov/Archives/edgar/data/1847986/000149315223006564/ex10-1.htm" TargetMode="External"/><Relationship Id="rId9" Type="http://schemas.openxmlformats.org/officeDocument/2006/relationships/hyperlink" Target="https://www.sec.gov/Archives/edgar/data/1847986/000149315223009479/ex10-1.htm" TargetMode="External"/><Relationship Id="rId10" Type="http://schemas.openxmlformats.org/officeDocument/2006/relationships/hyperlink" Target="https://www.sec.gov/Archives/edgar/data/1847986/000149315223017432/ex31-1.htm" TargetMode="External"/><Relationship Id="rId11" Type="http://schemas.openxmlformats.org/officeDocument/2006/relationships/hyperlink" Target="https://www.sec.gov/Archives/edgar/data/1847986/000149315223017432/ex31-2.htm" TargetMode="External"/><Relationship Id="rId12" Type="http://schemas.openxmlformats.org/officeDocument/2006/relationships/hyperlink" Target="https://www.sec.gov/Archives/edgar/data/1847986/000149315223017432/ex32-1.htm" TargetMode="External"/><Relationship Id="rId13" Type="http://schemas.openxmlformats.org/officeDocument/2006/relationships/hyperlink" Target="https://www.sec.gov/Archives/edgar/data/1847986/000149315223010262/ex99-1.htm" TargetMode="External"/><Relationship Id="rId14" Type="http://schemas.openxmlformats.org/officeDocument/2006/relationships/hyperlink" Target="https://www.sec.gov/Archives/edgar/data/1847986/000149315223010262/ex99-2.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20348</Words>
  <Characters>109817</Characters>
  <CharactersWithSpaces>131692</CharactersWithSpaces>
  <Paragraphs>5502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