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269875</wp:posOffset>
            </wp:positionV>
            <wp:extent cx="2134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jc w:val="right"/>
        <w:ind w:right="1019"/>
        <w:spacing w:after="0"/>
        <w:rPr>
          <w:sz w:val="20"/>
          <w:szCs w:val="20"/>
          <w:color w:val="auto"/>
        </w:rPr>
      </w:pPr>
      <w:r>
        <w:rPr>
          <w:rFonts w:ascii="Arial" w:cs="Arial" w:eastAsia="Arial" w:hAnsi="Arial"/>
          <w:sz w:val="22"/>
          <w:szCs w:val="22"/>
          <w:b w:val="1"/>
          <w:bCs w:val="1"/>
          <w:color w:val="auto"/>
        </w:rPr>
        <w:t>INFORMATION STATEMENT PURSUANT TO RULES 13d-1 AND 13d-2</w:t>
      </w:r>
    </w:p>
    <w:p>
      <w:pPr>
        <w:spacing w:after="0" w:line="14"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u w:val="single" w:color="auto"/>
          <w:color w:val="auto"/>
        </w:rPr>
        <w:t>Chardan NexTech Acquisition 2 Corp.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Common Stock, par value $0.0001</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159561109</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jc w:val="right"/>
        <w:ind w:right="8079" w:firstLine="8"/>
        <w:spacing w:after="0" w:line="265" w:lineRule="exact"/>
        <w:tabs>
          <w:tab w:leader="none" w:pos="837" w:val="left"/>
        </w:tabs>
        <w:numPr>
          <w:ilvl w:val="0"/>
          <w:numId w:val="1"/>
        </w:numPr>
        <w:rPr>
          <w:rFonts w:ascii="MS PGothic" w:cs="MS PGothic" w:eastAsia="MS PGothic" w:hAnsi="MS PGothic"/>
          <w:sz w:val="19"/>
          <w:szCs w:val="19"/>
          <w:color w:val="auto"/>
          <w:highlight w:val="lightGray"/>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highlight w:val="lightGray"/>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highlight w:val="lightGray"/>
        </w:rPr>
      </w:pPr>
    </w:p>
    <w:p>
      <w:pPr>
        <w:ind w:left="840" w:hanging="832"/>
        <w:spacing w:after="0"/>
        <w:tabs>
          <w:tab w:leader="none" w:pos="840" w:val="left"/>
        </w:tabs>
        <w:numPr>
          <w:ilvl w:val="0"/>
          <w:numId w:val="1"/>
        </w:numPr>
        <w:rPr>
          <w:rFonts w:ascii="MS PGothic" w:cs="MS PGothic" w:eastAsia="MS PGothic" w:hAnsi="MS PGothic"/>
          <w:sz w:val="22"/>
          <w:szCs w:val="22"/>
          <w:color w:val="auto"/>
          <w:highlight w:val="lightGray"/>
        </w:rPr>
      </w:pPr>
      <w:r>
        <w:rPr>
          <w:rFonts w:ascii="Arial" w:cs="Arial" w:eastAsia="Arial" w:hAnsi="Arial"/>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63"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860" w:type="dxa"/>
            <w:vAlign w:val="bottom"/>
            <w:tcBorders>
              <w:top w:val="single" w:sz="8" w:color="auto"/>
              <w:left w:val="single" w:sz="8" w:color="auto"/>
              <w:bottom w:val="single" w:sz="8" w:color="auto"/>
            </w:tcBorders>
            <w:gridSpan w:val="5"/>
          </w:tcPr>
          <w:p>
            <w:pPr>
              <w:ind w:left="80"/>
              <w:spacing w:after="0"/>
              <w:rPr>
                <w:sz w:val="20"/>
                <w:szCs w:val="20"/>
                <w:color w:val="auto"/>
              </w:rPr>
            </w:pPr>
            <w:r>
              <w:rPr>
                <w:rFonts w:ascii="Arial" w:cs="Arial" w:eastAsia="Arial" w:hAnsi="Arial"/>
                <w:sz w:val="18"/>
                <w:szCs w:val="18"/>
                <w:color w:val="auto"/>
                <w:w w:val="96"/>
              </w:rPr>
              <w:t xml:space="preserve">CUSIP No. </w:t>
            </w:r>
            <w:r>
              <w:rPr>
                <w:rFonts w:ascii="Arial" w:cs="Arial" w:eastAsia="Arial" w:hAnsi="Arial"/>
                <w:sz w:val="18"/>
                <w:szCs w:val="18"/>
                <w:b w:val="1"/>
                <w:bCs w:val="1"/>
                <w:color w:val="auto"/>
                <w:w w:val="96"/>
              </w:rPr>
              <w:t>159561109</w:t>
            </w:r>
          </w:p>
        </w:tc>
        <w:tc>
          <w:tcPr>
            <w:tcW w:w="6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6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Page 2 of 6 Pages</w:t>
            </w:r>
          </w:p>
        </w:tc>
        <w:tc>
          <w:tcPr>
            <w:tcW w:w="15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gridSpan w:val="3"/>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w:t>
            </w:r>
          </w:p>
        </w:tc>
        <w:tc>
          <w:tcPr>
            <w:tcW w:w="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60" w:type="dxa"/>
            <w:vAlign w:val="bottom"/>
            <w:gridSpan w:val="6"/>
          </w:tcPr>
          <w:p>
            <w:pPr>
              <w:ind w:left="60"/>
              <w:spacing w:after="0" w:line="195" w:lineRule="exact"/>
              <w:rPr>
                <w:sz w:val="20"/>
                <w:szCs w:val="20"/>
                <w:color w:val="auto"/>
              </w:rPr>
            </w:pPr>
            <w:r>
              <w:rPr>
                <w:rFonts w:ascii="Arial" w:cs="Arial" w:eastAsia="Arial" w:hAnsi="Arial"/>
                <w:sz w:val="18"/>
                <w:szCs w:val="18"/>
                <w:color w:val="auto"/>
              </w:rPr>
              <w:t>NAME OF REPORTING PERSONS</w:t>
            </w:r>
          </w:p>
        </w:tc>
        <w:tc>
          <w:tcPr>
            <w:tcW w:w="21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S.S. OR I.R.S. IDENTIFICATION NO. OF ABOVE PERSONS</w:t>
            </w:r>
          </w:p>
        </w:tc>
        <w:tc>
          <w:tcPr>
            <w:tcW w:w="216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660" w:type="dxa"/>
            <w:vAlign w:val="bottom"/>
            <w:gridSpan w:val="6"/>
          </w:tcPr>
          <w:p>
            <w:pPr>
              <w:ind w:left="60"/>
              <w:spacing w:after="0"/>
              <w:rPr>
                <w:sz w:val="20"/>
                <w:szCs w:val="20"/>
                <w:color w:val="auto"/>
              </w:rPr>
            </w:pPr>
            <w:r>
              <w:rPr>
                <w:rFonts w:ascii="Arial" w:cs="Arial" w:eastAsia="Arial" w:hAnsi="Arial"/>
                <w:sz w:val="18"/>
                <w:szCs w:val="18"/>
                <w:b w:val="1"/>
                <w:bCs w:val="1"/>
                <w:color w:val="auto"/>
              </w:rPr>
              <w:t>MMCAP International Inc. SPC</w:t>
            </w:r>
          </w:p>
        </w:tc>
        <w:tc>
          <w:tcPr>
            <w:tcW w:w="216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3"/>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2</w:t>
            </w: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660" w:type="dxa"/>
            <w:vAlign w:val="bottom"/>
            <w:gridSpan w:val="6"/>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160" w:type="dxa"/>
            <w:vAlign w:val="bottom"/>
          </w:tcPr>
          <w:p>
            <w:pPr>
              <w:spacing w:after="0"/>
              <w:rPr>
                <w:sz w:val="14"/>
                <w:szCs w:val="14"/>
                <w:color w:val="auto"/>
              </w:rPr>
            </w:pPr>
          </w:p>
        </w:tc>
        <w:tc>
          <w:tcPr>
            <w:tcW w:w="1520" w:type="dxa"/>
            <w:vAlign w:val="bottom"/>
            <w:tcBorders>
              <w:right w:val="single" w:sz="8" w:color="auto"/>
            </w:tcBorders>
          </w:tcPr>
          <w:p>
            <w:pPr>
              <w:ind w:left="8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4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tcBorders>
              <w:right w:val="single" w:sz="8" w:color="auto"/>
            </w:tcBorders>
          </w:tcPr>
          <w:p>
            <w:pPr>
              <w:ind w:left="8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54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1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spacing w:after="0"/>
              <w:rPr>
                <w:sz w:val="17"/>
                <w:szCs w:val="17"/>
                <w:color w:val="auto"/>
              </w:rPr>
            </w:pPr>
          </w:p>
        </w:tc>
        <w:tc>
          <w:tcPr>
            <w:tcW w:w="5080" w:type="dxa"/>
            <w:vAlign w:val="bottom"/>
            <w:tcBorders>
              <w:bottom w:val="single" w:sz="8" w:color="auto"/>
            </w:tcBorders>
            <w:gridSpan w:val="3"/>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4</w:t>
            </w:r>
          </w:p>
        </w:tc>
        <w:tc>
          <w:tcPr>
            <w:tcW w:w="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60" w:type="dxa"/>
            <w:vAlign w:val="bottom"/>
            <w:gridSpan w:val="6"/>
          </w:tcPr>
          <w:p>
            <w:pPr>
              <w:ind w:left="60"/>
              <w:spacing w:after="0" w:line="191" w:lineRule="exact"/>
              <w:rPr>
                <w:sz w:val="20"/>
                <w:szCs w:val="20"/>
                <w:color w:val="auto"/>
              </w:rPr>
            </w:pPr>
            <w:r>
              <w:rPr>
                <w:rFonts w:ascii="Arial" w:cs="Arial" w:eastAsia="Arial" w:hAnsi="Arial"/>
                <w:sz w:val="18"/>
                <w:szCs w:val="18"/>
                <w:color w:val="auto"/>
              </w:rPr>
              <w:t>CITIZENSHIP OR PLACE OF ORGANIZATION</w:t>
            </w:r>
          </w:p>
        </w:tc>
        <w:tc>
          <w:tcPr>
            <w:tcW w:w="21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Cayman Islands</w:t>
            </w: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gridSpan w:val="3"/>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right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5</w:t>
            </w:r>
          </w:p>
        </w:tc>
        <w:tc>
          <w:tcPr>
            <w:tcW w:w="5080" w:type="dxa"/>
            <w:vAlign w:val="bottom"/>
            <w:gridSpan w:val="3"/>
          </w:tcPr>
          <w:p>
            <w:pPr>
              <w:ind w:left="100"/>
              <w:spacing w:after="0" w:line="191" w:lineRule="exact"/>
              <w:rPr>
                <w:sz w:val="20"/>
                <w:szCs w:val="20"/>
                <w:color w:val="auto"/>
              </w:rPr>
            </w:pPr>
            <w:r>
              <w:rPr>
                <w:rFonts w:ascii="Arial" w:cs="Arial" w:eastAsia="Arial" w:hAnsi="Arial"/>
                <w:sz w:val="18"/>
                <w:szCs w:val="18"/>
                <w:color w:val="auto"/>
              </w:rPr>
              <w:t>SOLE VOTING POWER</w:t>
            </w:r>
          </w:p>
        </w:tc>
        <w:tc>
          <w:tcPr>
            <w:tcW w:w="21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28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600" w:type="dxa"/>
            <w:vAlign w:val="bottom"/>
            <w:tcBorders>
              <w:left w:val="single" w:sz="8" w:color="auto"/>
              <w:right w:val="single" w:sz="8" w:color="auto"/>
            </w:tcBorders>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right w:val="single" w:sz="8" w:color="auto"/>
            </w:tcBorders>
            <w:vMerge w:val="restart"/>
          </w:tcPr>
          <w:p>
            <w:pPr>
              <w:jc w:val="right"/>
              <w:ind w:right="310"/>
              <w:spacing w:after="0" w:line="191" w:lineRule="exact"/>
              <w:rPr>
                <w:sz w:val="20"/>
                <w:szCs w:val="20"/>
                <w:color w:val="auto"/>
              </w:rPr>
            </w:pPr>
            <w:r>
              <w:rPr>
                <w:rFonts w:ascii="Arial" w:cs="Arial" w:eastAsia="Arial" w:hAnsi="Arial"/>
                <w:sz w:val="18"/>
                <w:szCs w:val="18"/>
                <w:b w:val="1"/>
                <w:bCs w:val="1"/>
                <w:color w:val="auto"/>
              </w:rPr>
              <w:t>6</w:t>
            </w:r>
          </w:p>
        </w:tc>
        <w:tc>
          <w:tcPr>
            <w:tcW w:w="5080" w:type="dxa"/>
            <w:vAlign w:val="bottom"/>
            <w:gridSpan w:val="3"/>
            <w:vMerge w:val="restart"/>
          </w:tcPr>
          <w:p>
            <w:pPr>
              <w:ind w:left="100"/>
              <w:spacing w:after="0" w:line="191" w:lineRule="exact"/>
              <w:rPr>
                <w:sz w:val="20"/>
                <w:szCs w:val="20"/>
                <w:color w:val="auto"/>
              </w:rPr>
            </w:pPr>
            <w:r>
              <w:rPr>
                <w:rFonts w:ascii="Arial" w:cs="Arial" w:eastAsia="Arial" w:hAnsi="Arial"/>
                <w:sz w:val="18"/>
                <w:szCs w:val="18"/>
                <w:color w:val="auto"/>
              </w:rPr>
              <w:t>SHARED VOTING POWER</w:t>
            </w:r>
          </w:p>
        </w:tc>
        <w:tc>
          <w:tcPr>
            <w:tcW w:w="2160" w:type="dxa"/>
            <w:vAlign w:val="bottom"/>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60" w:type="dxa"/>
            <w:vAlign w:val="bottom"/>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5080" w:type="dxa"/>
            <w:vAlign w:val="bottom"/>
            <w:gridSpan w:val="3"/>
            <w:vMerge w:val="continue"/>
          </w:tcPr>
          <w:p>
            <w:pPr>
              <w:spacing w:after="0"/>
              <w:rPr>
                <w:sz w:val="9"/>
                <w:szCs w:val="9"/>
                <w:color w:val="auto"/>
              </w:rPr>
            </w:pPr>
          </w:p>
        </w:tc>
        <w:tc>
          <w:tcPr>
            <w:tcW w:w="216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900,000*</w:t>
            </w:r>
          </w:p>
        </w:tc>
        <w:tc>
          <w:tcPr>
            <w:tcW w:w="3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280" w:type="dxa"/>
            <w:vAlign w:val="bottom"/>
            <w:vMerge w:val="continue"/>
          </w:tcPr>
          <w:p>
            <w:pPr>
              <w:spacing w:after="0"/>
              <w:rPr>
                <w:sz w:val="10"/>
                <w:szCs w:val="10"/>
                <w:color w:val="auto"/>
              </w:rPr>
            </w:pPr>
          </w:p>
        </w:tc>
        <w:tc>
          <w:tcPr>
            <w:tcW w:w="3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tcBorders>
              <w:left w:val="single" w:sz="8" w:color="auto"/>
              <w:right w:val="single" w:sz="8" w:color="auto"/>
            </w:tcBorders>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auto"/>
            </w:tcBorders>
            <w:vMerge w:val="restart"/>
          </w:tcPr>
          <w:p>
            <w:pPr>
              <w:jc w:val="right"/>
              <w:ind w:right="310"/>
              <w:spacing w:after="0" w:line="191" w:lineRule="exact"/>
              <w:rPr>
                <w:sz w:val="20"/>
                <w:szCs w:val="20"/>
                <w:color w:val="auto"/>
              </w:rPr>
            </w:pPr>
            <w:r>
              <w:rPr>
                <w:rFonts w:ascii="Arial" w:cs="Arial" w:eastAsia="Arial" w:hAnsi="Arial"/>
                <w:sz w:val="18"/>
                <w:szCs w:val="18"/>
                <w:b w:val="1"/>
                <w:bCs w:val="1"/>
                <w:color w:val="auto"/>
              </w:rPr>
              <w:t>7</w:t>
            </w:r>
          </w:p>
        </w:tc>
        <w:tc>
          <w:tcPr>
            <w:tcW w:w="5080" w:type="dxa"/>
            <w:vAlign w:val="bottom"/>
            <w:gridSpan w:val="3"/>
            <w:vMerge w:val="restart"/>
          </w:tcPr>
          <w:p>
            <w:pPr>
              <w:ind w:left="100"/>
              <w:spacing w:after="0" w:line="191" w:lineRule="exact"/>
              <w:rPr>
                <w:sz w:val="20"/>
                <w:szCs w:val="20"/>
                <w:color w:val="auto"/>
              </w:rPr>
            </w:pPr>
            <w:r>
              <w:rPr>
                <w:rFonts w:ascii="Arial" w:cs="Arial" w:eastAsia="Arial" w:hAnsi="Arial"/>
                <w:sz w:val="18"/>
                <w:szCs w:val="18"/>
                <w:color w:val="auto"/>
              </w:rPr>
              <w:t>SOLE DISPOSITIVE POWER</w:t>
            </w:r>
          </w:p>
        </w:tc>
        <w:tc>
          <w:tcPr>
            <w:tcW w:w="21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54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gridSpan w:val="3"/>
            <w:vMerge w:val="restart"/>
          </w:tcPr>
          <w:p>
            <w:pPr>
              <w:jc w:val="center"/>
              <w:ind w:right="470"/>
              <w:spacing w:after="0"/>
              <w:rPr>
                <w:sz w:val="20"/>
                <w:szCs w:val="20"/>
                <w:color w:val="auto"/>
              </w:rPr>
            </w:pPr>
            <w:r>
              <w:rPr>
                <w:rFonts w:ascii="Arial" w:cs="Arial" w:eastAsia="Arial" w:hAnsi="Arial"/>
                <w:sz w:val="18"/>
                <w:szCs w:val="18"/>
                <w:color w:val="auto"/>
                <w:w w:val="99"/>
              </w:rPr>
              <w:t>EACH</w:t>
            </w:r>
          </w:p>
        </w:tc>
        <w:tc>
          <w:tcPr>
            <w:tcW w:w="26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216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Borders>
              <w:left w:val="single" w:sz="8" w:color="auto"/>
            </w:tcBorders>
          </w:tcPr>
          <w:p>
            <w:pPr>
              <w:spacing w:after="0"/>
              <w:rPr>
                <w:sz w:val="8"/>
                <w:szCs w:val="8"/>
                <w:color w:val="auto"/>
              </w:rPr>
            </w:pPr>
          </w:p>
        </w:tc>
        <w:tc>
          <w:tcPr>
            <w:tcW w:w="1060" w:type="dxa"/>
            <w:vAlign w:val="bottom"/>
            <w:tcBorders>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80" w:type="dxa"/>
            <w:vAlign w:val="bottom"/>
            <w:vMerge w:val="continue"/>
          </w:tcPr>
          <w:p>
            <w:pPr>
              <w:spacing w:after="0"/>
              <w:rPr>
                <w:sz w:val="11"/>
                <w:szCs w:val="11"/>
                <w:color w:val="auto"/>
              </w:rPr>
            </w:pPr>
          </w:p>
        </w:tc>
        <w:tc>
          <w:tcPr>
            <w:tcW w:w="3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00" w:type="dxa"/>
            <w:vAlign w:val="bottom"/>
            <w:tcBorders>
              <w:left w:val="single" w:sz="8" w:color="auto"/>
              <w:right w:val="single" w:sz="8" w:color="auto"/>
            </w:tcBorders>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3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600" w:type="dxa"/>
            <w:vAlign w:val="bottom"/>
            <w:tcBorders>
              <w:left w:val="single" w:sz="8" w:color="auto"/>
              <w:right w:val="single" w:sz="8" w:color="auto"/>
            </w:tcBorders>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auto"/>
            </w:tcBorders>
            <w:vMerge w:val="restart"/>
          </w:tcPr>
          <w:p>
            <w:pPr>
              <w:jc w:val="right"/>
              <w:ind w:right="310"/>
              <w:spacing w:after="0" w:line="191" w:lineRule="exact"/>
              <w:rPr>
                <w:sz w:val="20"/>
                <w:szCs w:val="20"/>
                <w:color w:val="auto"/>
              </w:rPr>
            </w:pPr>
            <w:r>
              <w:rPr>
                <w:rFonts w:ascii="Arial" w:cs="Arial" w:eastAsia="Arial" w:hAnsi="Arial"/>
                <w:sz w:val="18"/>
                <w:szCs w:val="18"/>
                <w:b w:val="1"/>
                <w:bCs w:val="1"/>
                <w:color w:val="auto"/>
              </w:rPr>
              <w:t>8</w:t>
            </w:r>
          </w:p>
        </w:tc>
        <w:tc>
          <w:tcPr>
            <w:tcW w:w="5080" w:type="dxa"/>
            <w:vAlign w:val="bottom"/>
            <w:gridSpan w:val="3"/>
            <w:vMerge w:val="restart"/>
          </w:tcPr>
          <w:p>
            <w:pPr>
              <w:ind w:left="100"/>
              <w:spacing w:after="0" w:line="191" w:lineRule="exact"/>
              <w:rPr>
                <w:sz w:val="20"/>
                <w:szCs w:val="20"/>
                <w:color w:val="auto"/>
              </w:rPr>
            </w:pPr>
            <w:r>
              <w:rPr>
                <w:rFonts w:ascii="Arial" w:cs="Arial" w:eastAsia="Arial" w:hAnsi="Arial"/>
                <w:sz w:val="18"/>
                <w:szCs w:val="18"/>
                <w:color w:val="auto"/>
              </w:rPr>
              <w:t>SHARED DISPOSITIVE POWER</w:t>
            </w:r>
          </w:p>
        </w:tc>
        <w:tc>
          <w:tcPr>
            <w:tcW w:w="21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54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5080" w:type="dxa"/>
            <w:vAlign w:val="bottom"/>
            <w:gridSpan w:val="3"/>
            <w:vMerge w:val="continue"/>
          </w:tcPr>
          <w:p>
            <w:pPr>
              <w:spacing w:after="0"/>
              <w:rPr>
                <w:sz w:val="10"/>
                <w:szCs w:val="10"/>
                <w:color w:val="auto"/>
              </w:rPr>
            </w:pPr>
          </w:p>
        </w:tc>
        <w:tc>
          <w:tcPr>
            <w:tcW w:w="216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280" w:type="dxa"/>
            <w:vAlign w:val="bottom"/>
          </w:tcPr>
          <w:p>
            <w:pPr>
              <w:ind w:left="100"/>
              <w:spacing w:after="0"/>
              <w:rPr>
                <w:sz w:val="20"/>
                <w:szCs w:val="20"/>
                <w:color w:val="auto"/>
              </w:rPr>
            </w:pPr>
            <w:r>
              <w:rPr>
                <w:rFonts w:ascii="Arial" w:cs="Arial" w:eastAsia="Arial" w:hAnsi="Arial"/>
                <w:sz w:val="18"/>
                <w:szCs w:val="18"/>
                <w:b w:val="1"/>
                <w:bCs w:val="1"/>
                <w:color w:val="auto"/>
              </w:rPr>
              <w:t>900,000*</w:t>
            </w: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spacing w:after="0"/>
              <w:rPr>
                <w:sz w:val="18"/>
                <w:szCs w:val="18"/>
                <w:color w:val="auto"/>
              </w:rPr>
            </w:pPr>
          </w:p>
        </w:tc>
        <w:tc>
          <w:tcPr>
            <w:tcW w:w="5080" w:type="dxa"/>
            <w:vAlign w:val="bottom"/>
            <w:tcBorders>
              <w:bottom w:val="single" w:sz="8" w:color="auto"/>
            </w:tcBorders>
            <w:gridSpan w:val="3"/>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50"/>
              <w:spacing w:after="0" w:line="191" w:lineRule="exact"/>
              <w:rPr>
                <w:sz w:val="20"/>
                <w:szCs w:val="20"/>
                <w:color w:val="auto"/>
              </w:rPr>
            </w:pPr>
            <w:r>
              <w:rPr>
                <w:rFonts w:ascii="Arial" w:cs="Arial" w:eastAsia="Arial" w:hAnsi="Arial"/>
                <w:sz w:val="18"/>
                <w:szCs w:val="18"/>
                <w:b w:val="1"/>
                <w:bCs w:val="1"/>
                <w:color w:val="auto"/>
                <w:w w:val="79"/>
              </w:rPr>
              <w:t>9</w:t>
            </w:r>
          </w:p>
        </w:tc>
        <w:tc>
          <w:tcPr>
            <w:tcW w:w="3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660" w:type="dxa"/>
            <w:vAlign w:val="bottom"/>
            <w:gridSpan w:val="6"/>
          </w:tcPr>
          <w:p>
            <w:pPr>
              <w:ind w:left="100"/>
              <w:spacing w:after="0" w:line="191" w:lineRule="exact"/>
              <w:rPr>
                <w:sz w:val="20"/>
                <w:szCs w:val="20"/>
                <w:color w:val="auto"/>
              </w:rPr>
            </w:pPr>
            <w:r>
              <w:rPr>
                <w:rFonts w:ascii="Arial" w:cs="Arial" w:eastAsia="Arial" w:hAnsi="Arial"/>
                <w:sz w:val="18"/>
                <w:szCs w:val="18"/>
                <w:color w:val="auto"/>
                <w:w w:val="96"/>
              </w:rPr>
              <w:t>AGGREGATE AMOUNT BENEFICIALLY OWNED BY EACH REPORTING PERSON</w:t>
            </w:r>
          </w:p>
        </w:tc>
        <w:tc>
          <w:tcPr>
            <w:tcW w:w="21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900,000*</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820" w:type="dxa"/>
            <w:vAlign w:val="bottom"/>
            <w:tcBorders>
              <w:bottom w:val="single" w:sz="8" w:color="auto"/>
            </w:tcBorders>
            <w:gridSpan w:val="7"/>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79"/>
              </w:rPr>
              <w:t>10</w:t>
            </w:r>
          </w:p>
        </w:tc>
        <w:tc>
          <w:tcPr>
            <w:tcW w:w="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8820" w:type="dxa"/>
            <w:vAlign w:val="bottom"/>
            <w:gridSpan w:val="7"/>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20" w:type="dxa"/>
            <w:vAlign w:val="bottom"/>
            <w:tcBorders>
              <w:right w:val="single" w:sz="8" w:color="auto"/>
            </w:tcBorders>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540" w:type="dxa"/>
            <w:vAlign w:val="bottom"/>
            <w:tcBorders>
              <w:left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660" w:type="dxa"/>
            <w:vAlign w:val="bottom"/>
            <w:tcBorders>
              <w:bottom w:val="single" w:sz="8" w:color="auto"/>
            </w:tcBorders>
            <w:gridSpan w:val="6"/>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50"/>
              <w:spacing w:after="0" w:line="191" w:lineRule="exact"/>
              <w:rPr>
                <w:sz w:val="20"/>
                <w:szCs w:val="20"/>
                <w:color w:val="auto"/>
              </w:rPr>
            </w:pPr>
            <w:r>
              <w:rPr>
                <w:rFonts w:ascii="Arial" w:cs="Arial" w:eastAsia="Arial" w:hAnsi="Arial"/>
                <w:sz w:val="18"/>
                <w:szCs w:val="18"/>
                <w:b w:val="1"/>
                <w:bCs w:val="1"/>
                <w:color w:val="auto"/>
                <w:w w:val="79"/>
              </w:rPr>
              <w:t>11</w:t>
            </w:r>
          </w:p>
        </w:tc>
        <w:tc>
          <w:tcPr>
            <w:tcW w:w="3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660" w:type="dxa"/>
            <w:vAlign w:val="bottom"/>
            <w:gridSpan w:val="6"/>
          </w:tcPr>
          <w:p>
            <w:pPr>
              <w:ind w:left="100"/>
              <w:spacing w:after="0" w:line="191" w:lineRule="exact"/>
              <w:rPr>
                <w:sz w:val="20"/>
                <w:szCs w:val="20"/>
                <w:color w:val="auto"/>
              </w:rPr>
            </w:pPr>
            <w:r>
              <w:rPr>
                <w:rFonts w:ascii="Arial" w:cs="Arial" w:eastAsia="Arial" w:hAnsi="Arial"/>
                <w:sz w:val="18"/>
                <w:szCs w:val="18"/>
                <w:color w:val="auto"/>
              </w:rPr>
              <w:t>PERCENT OF CLASS REPRESENTED BY AMOUNT IN ROW 9</w:t>
            </w:r>
          </w:p>
        </w:tc>
        <w:tc>
          <w:tcPr>
            <w:tcW w:w="21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gridSpan w:val="2"/>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5.69%**</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660" w:type="dxa"/>
            <w:vAlign w:val="bottom"/>
            <w:tcBorders>
              <w:bottom w:val="single" w:sz="8" w:color="auto"/>
            </w:tcBorders>
            <w:gridSpan w:val="6"/>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50"/>
              <w:spacing w:after="0" w:line="191" w:lineRule="exact"/>
              <w:rPr>
                <w:sz w:val="20"/>
                <w:szCs w:val="20"/>
                <w:color w:val="auto"/>
              </w:rPr>
            </w:pPr>
            <w:r>
              <w:rPr>
                <w:rFonts w:ascii="Arial" w:cs="Arial" w:eastAsia="Arial" w:hAnsi="Arial"/>
                <w:sz w:val="18"/>
                <w:szCs w:val="18"/>
                <w:b w:val="1"/>
                <w:bCs w:val="1"/>
                <w:color w:val="auto"/>
                <w:w w:val="79"/>
              </w:rPr>
              <w:t>12</w:t>
            </w:r>
          </w:p>
        </w:tc>
        <w:tc>
          <w:tcPr>
            <w:tcW w:w="3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660" w:type="dxa"/>
            <w:vAlign w:val="bottom"/>
            <w:gridSpan w:val="6"/>
          </w:tcPr>
          <w:p>
            <w:pPr>
              <w:ind w:left="100"/>
              <w:spacing w:after="0" w:line="191" w:lineRule="exact"/>
              <w:rPr>
                <w:sz w:val="20"/>
                <w:szCs w:val="20"/>
                <w:color w:val="auto"/>
              </w:rPr>
            </w:pPr>
            <w:r>
              <w:rPr>
                <w:rFonts w:ascii="Arial" w:cs="Arial" w:eastAsia="Arial" w:hAnsi="Arial"/>
                <w:sz w:val="18"/>
                <w:szCs w:val="18"/>
                <w:color w:val="auto"/>
              </w:rPr>
              <w:t>TYPE OF REPORTING PERSON*</w:t>
            </w:r>
          </w:p>
        </w:tc>
        <w:tc>
          <w:tcPr>
            <w:tcW w:w="2160" w:type="dxa"/>
            <w:vAlign w:val="bottom"/>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Consists of 900,000 shares of Common Stock.</w:t>
      </w:r>
    </w:p>
    <w:p>
      <w:pPr>
        <w:spacing w:after="0" w:line="19" w:lineRule="exact"/>
        <w:rPr>
          <w:sz w:val="20"/>
          <w:szCs w:val="20"/>
          <w:color w:val="auto"/>
        </w:rPr>
      </w:pPr>
    </w:p>
    <w:p>
      <w:pPr>
        <w:ind w:right="20" w:firstLine="8"/>
        <w:spacing w:after="0" w:line="288" w:lineRule="auto"/>
        <w:tabs>
          <w:tab w:leader="none" w:pos="251"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percentages set forth herein are calculated based upon 15,812,500 shares of Common Stock outstanding as of November 10, 2021, as reported in the Issuer's Quarterly Report on Form 10-Q filed with the Securities and Exchange Commission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860" w:type="dxa"/>
            <w:vAlign w:val="bottom"/>
            <w:tcBorders>
              <w:top w:val="single" w:sz="8" w:color="auto"/>
              <w:left w:val="single" w:sz="8" w:color="auto"/>
              <w:bottom w:val="single" w:sz="8" w:color="auto"/>
            </w:tcBorders>
            <w:gridSpan w:val="4"/>
          </w:tcPr>
          <w:p>
            <w:pPr>
              <w:ind w:left="80"/>
              <w:spacing w:after="0"/>
              <w:rPr>
                <w:sz w:val="20"/>
                <w:szCs w:val="20"/>
                <w:color w:val="auto"/>
              </w:rPr>
            </w:pPr>
            <w:r>
              <w:rPr>
                <w:rFonts w:ascii="Arial" w:cs="Arial" w:eastAsia="Arial" w:hAnsi="Arial"/>
                <w:sz w:val="18"/>
                <w:szCs w:val="18"/>
                <w:color w:val="auto"/>
                <w:w w:val="96"/>
              </w:rPr>
              <w:t xml:space="preserve">CUSIP No. </w:t>
            </w:r>
            <w:r>
              <w:rPr>
                <w:rFonts w:ascii="Arial" w:cs="Arial" w:eastAsia="Arial" w:hAnsi="Arial"/>
                <w:sz w:val="18"/>
                <w:szCs w:val="18"/>
                <w:b w:val="1"/>
                <w:bCs w:val="1"/>
                <w:color w:val="auto"/>
                <w:w w:val="96"/>
              </w:rPr>
              <w:t>159561109</w:t>
            </w:r>
          </w:p>
        </w:tc>
        <w:tc>
          <w:tcPr>
            <w:tcW w:w="6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Page 3 of 6 Pages</w:t>
            </w:r>
          </w:p>
        </w:tc>
        <w:tc>
          <w:tcPr>
            <w:tcW w:w="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5020" w:type="dxa"/>
            <w:vAlign w:val="bottom"/>
            <w:tcBorders>
              <w:bottom w:val="single" w:sz="8" w:color="auto"/>
            </w:tcBorders>
            <w:gridSpan w:val="2"/>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jc w:val="center"/>
              <w:ind w:left="250"/>
              <w:spacing w:after="0" w:line="195" w:lineRule="exact"/>
              <w:rPr>
                <w:sz w:val="20"/>
                <w:szCs w:val="20"/>
                <w:color w:val="auto"/>
              </w:rPr>
            </w:pPr>
            <w:r>
              <w:rPr>
                <w:rFonts w:ascii="Arial" w:cs="Arial" w:eastAsia="Arial" w:hAnsi="Arial"/>
                <w:sz w:val="18"/>
                <w:szCs w:val="18"/>
                <w:b w:val="1"/>
                <w:bCs w:val="1"/>
                <w:color w:val="auto"/>
                <w:w w:val="79"/>
              </w:rPr>
              <w:t>1</w:t>
            </w:r>
          </w:p>
        </w:tc>
        <w:tc>
          <w:tcPr>
            <w:tcW w:w="380" w:type="dxa"/>
            <w:vAlign w:val="bottom"/>
            <w:tcBorders>
              <w:right w:val="single" w:sz="8" w:color="auto"/>
            </w:tcBorders>
          </w:tcPr>
          <w:p>
            <w:pPr>
              <w:spacing w:after="0"/>
              <w:rPr>
                <w:sz w:val="16"/>
                <w:szCs w:val="16"/>
                <w:color w:val="auto"/>
              </w:rPr>
            </w:pPr>
          </w:p>
        </w:tc>
        <w:tc>
          <w:tcPr>
            <w:tcW w:w="6580" w:type="dxa"/>
            <w:vAlign w:val="bottom"/>
            <w:gridSpan w:val="5"/>
          </w:tcPr>
          <w:p>
            <w:pPr>
              <w:ind w:left="80"/>
              <w:spacing w:after="0" w:line="195" w:lineRule="exact"/>
              <w:rPr>
                <w:sz w:val="20"/>
                <w:szCs w:val="20"/>
                <w:color w:val="auto"/>
              </w:rPr>
            </w:pPr>
            <w:r>
              <w:rPr>
                <w:rFonts w:ascii="Arial" w:cs="Arial" w:eastAsia="Arial" w:hAnsi="Arial"/>
                <w:sz w:val="18"/>
                <w:szCs w:val="18"/>
                <w:color w:val="auto"/>
              </w:rPr>
              <w:t>NAME OF REPORTING PERSONS</w:t>
            </w:r>
          </w:p>
        </w:tc>
        <w:tc>
          <w:tcPr>
            <w:tcW w:w="33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65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PERSONS</w:t>
            </w:r>
          </w:p>
        </w:tc>
        <w:tc>
          <w:tcPr>
            <w:tcW w:w="33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580" w:type="dxa"/>
            <w:vAlign w:val="bottom"/>
            <w:gridSpan w:val="5"/>
          </w:tcPr>
          <w:p>
            <w:pPr>
              <w:ind w:left="80"/>
              <w:spacing w:after="0"/>
              <w:rPr>
                <w:sz w:val="20"/>
                <w:szCs w:val="20"/>
                <w:color w:val="auto"/>
              </w:rPr>
            </w:pPr>
            <w:r>
              <w:rPr>
                <w:rFonts w:ascii="Arial" w:cs="Arial" w:eastAsia="Arial" w:hAnsi="Arial"/>
                <w:sz w:val="18"/>
                <w:szCs w:val="18"/>
                <w:b w:val="1"/>
                <w:bCs w:val="1"/>
                <w:color w:val="auto"/>
              </w:rPr>
              <w:t>MM Asset Management Inc.</w:t>
            </w:r>
          </w:p>
        </w:tc>
        <w:tc>
          <w:tcPr>
            <w:tcW w:w="33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0" w:type="dxa"/>
            <w:vAlign w:val="bottom"/>
            <w:tcBorders>
              <w:left w:val="single" w:sz="8" w:color="auto"/>
            </w:tcBorders>
          </w:tcPr>
          <w:p>
            <w:pPr>
              <w:jc w:val="center"/>
              <w:ind w:left="250"/>
              <w:spacing w:after="0" w:line="163" w:lineRule="exact"/>
              <w:rPr>
                <w:sz w:val="20"/>
                <w:szCs w:val="20"/>
                <w:color w:val="auto"/>
              </w:rPr>
            </w:pPr>
            <w:r>
              <w:rPr>
                <w:rFonts w:ascii="Arial" w:cs="Arial" w:eastAsia="Arial" w:hAnsi="Arial"/>
                <w:sz w:val="18"/>
                <w:szCs w:val="18"/>
                <w:b w:val="1"/>
                <w:bCs w:val="1"/>
                <w:color w:val="auto"/>
                <w:w w:val="79"/>
              </w:rPr>
              <w:t>2</w:t>
            </w:r>
          </w:p>
        </w:tc>
        <w:tc>
          <w:tcPr>
            <w:tcW w:w="380" w:type="dxa"/>
            <w:vAlign w:val="bottom"/>
            <w:tcBorders>
              <w:right w:val="single" w:sz="8" w:color="auto"/>
            </w:tcBorders>
          </w:tcPr>
          <w:p>
            <w:pPr>
              <w:spacing w:after="0"/>
              <w:rPr>
                <w:sz w:val="14"/>
                <w:szCs w:val="14"/>
                <w:color w:val="auto"/>
              </w:rPr>
            </w:pPr>
          </w:p>
        </w:tc>
        <w:tc>
          <w:tcPr>
            <w:tcW w:w="6580" w:type="dxa"/>
            <w:vAlign w:val="bottom"/>
            <w:gridSpan w:val="5"/>
            <w:vMerge w:val="restart"/>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Pr>
          <w:p>
            <w:pPr>
              <w:ind w:left="3100"/>
              <w:spacing w:after="0" w:line="163" w:lineRule="exact"/>
              <w:rPr>
                <w:sz w:val="20"/>
                <w:szCs w:val="20"/>
                <w:color w:val="auto"/>
              </w:rPr>
            </w:pPr>
            <w:r>
              <w:rPr>
                <w:rFonts w:ascii="Arial" w:cs="Arial" w:eastAsia="Arial" w:hAnsi="Arial"/>
                <w:sz w:val="18"/>
                <w:szCs w:val="18"/>
                <w:color w:val="auto"/>
              </w:rPr>
              <w:t>(a)</w:t>
            </w:r>
          </w:p>
        </w:tc>
        <w:tc>
          <w:tcPr>
            <w:tcW w:w="380" w:type="dxa"/>
            <w:vAlign w:val="bottom"/>
            <w:tcBorders>
              <w:right w:val="single" w:sz="8" w:color="auto"/>
            </w:tcBorders>
          </w:tcPr>
          <w:p>
            <w:pPr>
              <w:jc w:val="right"/>
              <w:ind w:right="90"/>
              <w:spacing w:after="0" w:line="162"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55"/>
        </w:trPr>
        <w:tc>
          <w:tcPr>
            <w:tcW w:w="540" w:type="dxa"/>
            <w:vAlign w:val="bottom"/>
            <w:tcBorders>
              <w:left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6580" w:type="dxa"/>
            <w:vAlign w:val="bottom"/>
            <w:gridSpan w:val="5"/>
            <w:vMerge w:val="continue"/>
          </w:tcPr>
          <w:p>
            <w:pPr>
              <w:spacing w:after="0"/>
              <w:rPr>
                <w:sz w:val="13"/>
                <w:szCs w:val="13"/>
                <w:color w:val="auto"/>
              </w:rPr>
            </w:pPr>
          </w:p>
        </w:tc>
        <w:tc>
          <w:tcPr>
            <w:tcW w:w="3740" w:type="dxa"/>
            <w:vAlign w:val="bottom"/>
            <w:tcBorders>
              <w:right w:val="single" w:sz="8" w:color="auto"/>
            </w:tcBorders>
            <w:gridSpan w:val="2"/>
            <w:vMerge w:val="restart"/>
          </w:tcPr>
          <w:p>
            <w:pPr>
              <w:jc w:val="right"/>
              <w:ind w:right="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8"/>
        </w:trPr>
        <w:tc>
          <w:tcPr>
            <w:tcW w:w="540" w:type="dxa"/>
            <w:vAlign w:val="bottom"/>
            <w:tcBorders>
              <w:lef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7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40" w:type="dxa"/>
            <w:vAlign w:val="bottom"/>
            <w:tcBorders>
              <w:left w:val="single" w:sz="8" w:color="auto"/>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79"/>
              </w:rPr>
              <w:t>3</w:t>
            </w:r>
          </w:p>
        </w:tc>
        <w:tc>
          <w:tcPr>
            <w:tcW w:w="380" w:type="dxa"/>
            <w:vAlign w:val="bottom"/>
            <w:tcBorders>
              <w:right w:val="single" w:sz="8" w:color="auto"/>
            </w:tcBorders>
          </w:tcPr>
          <w:p>
            <w:pPr>
              <w:spacing w:after="0"/>
              <w:rPr>
                <w:sz w:val="19"/>
                <w:szCs w:val="19"/>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1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0" w:type="dxa"/>
            <w:vAlign w:val="bottom"/>
            <w:tcBorders>
              <w:left w:val="single" w:sz="8" w:color="auto"/>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spacing w:after="0"/>
              <w:rPr>
                <w:sz w:val="17"/>
                <w:szCs w:val="17"/>
                <w:color w:val="auto"/>
              </w:rPr>
            </w:pPr>
          </w:p>
        </w:tc>
        <w:tc>
          <w:tcPr>
            <w:tcW w:w="5020" w:type="dxa"/>
            <w:vAlign w:val="bottom"/>
            <w:tcBorders>
              <w:bottom w:val="single" w:sz="8" w:color="auto"/>
            </w:tcBorders>
            <w:gridSpan w:val="2"/>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50"/>
              <w:spacing w:after="0" w:line="191" w:lineRule="exact"/>
              <w:rPr>
                <w:sz w:val="20"/>
                <w:szCs w:val="20"/>
                <w:color w:val="auto"/>
              </w:rPr>
            </w:pPr>
            <w:r>
              <w:rPr>
                <w:rFonts w:ascii="Arial" w:cs="Arial" w:eastAsia="Arial" w:hAnsi="Arial"/>
                <w:sz w:val="18"/>
                <w:szCs w:val="18"/>
                <w:b w:val="1"/>
                <w:bCs w:val="1"/>
                <w:color w:val="auto"/>
                <w:w w:val="79"/>
              </w:rPr>
              <w:t>4</w:t>
            </w:r>
          </w:p>
        </w:tc>
        <w:tc>
          <w:tcPr>
            <w:tcW w:w="380" w:type="dxa"/>
            <w:vAlign w:val="bottom"/>
            <w:tcBorders>
              <w:right w:val="single" w:sz="8" w:color="auto"/>
            </w:tcBorders>
          </w:tcPr>
          <w:p>
            <w:pPr>
              <w:spacing w:after="0"/>
              <w:rPr>
                <w:sz w:val="16"/>
                <w:szCs w:val="16"/>
                <w:color w:val="auto"/>
              </w:rPr>
            </w:pPr>
          </w:p>
        </w:tc>
        <w:tc>
          <w:tcPr>
            <w:tcW w:w="6580" w:type="dxa"/>
            <w:vAlign w:val="bottom"/>
            <w:gridSpan w:val="5"/>
          </w:tcPr>
          <w:p>
            <w:pPr>
              <w:ind w:left="80"/>
              <w:spacing w:after="0" w:line="191" w:lineRule="exact"/>
              <w:rPr>
                <w:sz w:val="20"/>
                <w:szCs w:val="20"/>
                <w:color w:val="auto"/>
              </w:rPr>
            </w:pPr>
            <w:r>
              <w:rPr>
                <w:rFonts w:ascii="Arial" w:cs="Arial" w:eastAsia="Arial" w:hAnsi="Arial"/>
                <w:sz w:val="18"/>
                <w:szCs w:val="18"/>
                <w:color w:val="auto"/>
              </w:rPr>
              <w:t>CITIZENSHIP OR PLACE OF ORGANIZATION</w:t>
            </w:r>
          </w:p>
        </w:tc>
        <w:tc>
          <w:tcPr>
            <w:tcW w:w="33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Ontario, Canada</w:t>
            </w: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right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100"/>
              <w:spacing w:after="0" w:line="191" w:lineRule="exact"/>
              <w:rPr>
                <w:sz w:val="20"/>
                <w:szCs w:val="20"/>
                <w:color w:val="auto"/>
              </w:rPr>
            </w:pPr>
            <w:r>
              <w:rPr>
                <w:rFonts w:ascii="Arial" w:cs="Arial" w:eastAsia="Arial" w:hAnsi="Arial"/>
                <w:sz w:val="18"/>
                <w:szCs w:val="18"/>
                <w:color w:val="auto"/>
              </w:rPr>
              <w:t>SOLE VOTING POWER</w:t>
            </w:r>
          </w:p>
        </w:tc>
        <w:tc>
          <w:tcPr>
            <w:tcW w:w="33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28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3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600" w:type="dxa"/>
            <w:vAlign w:val="bottom"/>
            <w:tcBorders>
              <w:left w:val="single" w:sz="8" w:color="auto"/>
              <w:right w:val="single" w:sz="8" w:color="auto"/>
            </w:tcBorders>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right w:val="single" w:sz="8" w:color="auto"/>
            </w:tcBorders>
            <w:vMerge w:val="restart"/>
          </w:tcPr>
          <w:p>
            <w:pPr>
              <w:jc w:val="right"/>
              <w:ind w:right="310"/>
              <w:spacing w:after="0" w:line="191" w:lineRule="exact"/>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100"/>
              <w:spacing w:after="0" w:line="191" w:lineRule="exact"/>
              <w:rPr>
                <w:sz w:val="20"/>
                <w:szCs w:val="20"/>
                <w:color w:val="auto"/>
              </w:rPr>
            </w:pPr>
            <w:r>
              <w:rPr>
                <w:rFonts w:ascii="Arial" w:cs="Arial" w:eastAsia="Arial" w:hAnsi="Arial"/>
                <w:sz w:val="18"/>
                <w:szCs w:val="18"/>
                <w:color w:val="auto"/>
              </w:rPr>
              <w:t>SHARED VOTING POWER</w:t>
            </w:r>
          </w:p>
        </w:tc>
        <w:tc>
          <w:tcPr>
            <w:tcW w:w="336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60" w:type="dxa"/>
            <w:vAlign w:val="bottom"/>
          </w:tcPr>
          <w:p>
            <w:pPr>
              <w:spacing w:after="0"/>
              <w:rPr>
                <w:sz w:val="9"/>
                <w:szCs w:val="9"/>
                <w:color w:val="auto"/>
              </w:rPr>
            </w:pPr>
          </w:p>
        </w:tc>
        <w:tc>
          <w:tcPr>
            <w:tcW w:w="620" w:type="dxa"/>
            <w:vAlign w:val="bottom"/>
            <w:tcBorders>
              <w:right w:val="single" w:sz="8" w:color="auto"/>
            </w:tcBorders>
            <w:vMerge w:val="continue"/>
          </w:tcPr>
          <w:p>
            <w:pPr>
              <w:spacing w:after="0"/>
              <w:rPr>
                <w:sz w:val="9"/>
                <w:szCs w:val="9"/>
                <w:color w:val="auto"/>
              </w:rPr>
            </w:pPr>
          </w:p>
        </w:tc>
        <w:tc>
          <w:tcPr>
            <w:tcW w:w="5020" w:type="dxa"/>
            <w:vAlign w:val="bottom"/>
            <w:gridSpan w:val="2"/>
            <w:vMerge w:val="continue"/>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900,000*</w:t>
            </w:r>
          </w:p>
        </w:tc>
        <w:tc>
          <w:tcPr>
            <w:tcW w:w="37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280" w:type="dxa"/>
            <w:vAlign w:val="bottom"/>
            <w:vMerge w:val="continue"/>
          </w:tcPr>
          <w:p>
            <w:pPr>
              <w:spacing w:after="0"/>
              <w:rPr>
                <w:sz w:val="10"/>
                <w:szCs w:val="10"/>
                <w:color w:val="auto"/>
              </w:rPr>
            </w:pPr>
          </w:p>
        </w:tc>
        <w:tc>
          <w:tcPr>
            <w:tcW w:w="37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auto"/>
            </w:tcBorders>
            <w:vMerge w:val="restart"/>
          </w:tcPr>
          <w:p>
            <w:pPr>
              <w:jc w:val="right"/>
              <w:ind w:right="310"/>
              <w:spacing w:after="0" w:line="191" w:lineRule="exact"/>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100"/>
              <w:spacing w:after="0" w:line="191" w:lineRule="exact"/>
              <w:rPr>
                <w:sz w:val="20"/>
                <w:szCs w:val="20"/>
                <w:color w:val="auto"/>
              </w:rPr>
            </w:pPr>
            <w:r>
              <w:rPr>
                <w:rFonts w:ascii="Arial" w:cs="Arial" w:eastAsia="Arial" w:hAnsi="Arial"/>
                <w:sz w:val="18"/>
                <w:szCs w:val="18"/>
                <w:color w:val="auto"/>
              </w:rPr>
              <w:t>SOLE DISPOSITIVE POWER</w:t>
            </w:r>
          </w:p>
        </w:tc>
        <w:tc>
          <w:tcPr>
            <w:tcW w:w="336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54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w w:val="99"/>
              </w:rPr>
              <w:t>EACH</w:t>
            </w:r>
          </w:p>
        </w:tc>
        <w:tc>
          <w:tcPr>
            <w:tcW w:w="26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5020" w:type="dxa"/>
            <w:vAlign w:val="bottom"/>
            <w:gridSpan w:val="2"/>
            <w:vMerge w:val="continue"/>
          </w:tcPr>
          <w:p>
            <w:pPr>
              <w:spacing w:after="0"/>
              <w:rPr>
                <w:sz w:val="10"/>
                <w:szCs w:val="10"/>
                <w:color w:val="auto"/>
              </w:rPr>
            </w:pPr>
          </w:p>
        </w:tc>
        <w:tc>
          <w:tcPr>
            <w:tcW w:w="33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40" w:type="dxa"/>
            <w:vAlign w:val="bottom"/>
            <w:tcBorders>
              <w:left w:val="single" w:sz="8" w:color="auto"/>
            </w:tcBorders>
          </w:tcPr>
          <w:p>
            <w:pPr>
              <w:spacing w:after="0"/>
              <w:rPr>
                <w:sz w:val="8"/>
                <w:szCs w:val="8"/>
                <w:color w:val="auto"/>
              </w:rPr>
            </w:pPr>
          </w:p>
        </w:tc>
        <w:tc>
          <w:tcPr>
            <w:tcW w:w="10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37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80" w:type="dxa"/>
            <w:vAlign w:val="bottom"/>
            <w:vMerge w:val="continue"/>
          </w:tcPr>
          <w:p>
            <w:pPr>
              <w:spacing w:after="0"/>
              <w:rPr>
                <w:sz w:val="11"/>
                <w:szCs w:val="11"/>
                <w:color w:val="auto"/>
              </w:rPr>
            </w:pPr>
          </w:p>
        </w:tc>
        <w:tc>
          <w:tcPr>
            <w:tcW w:w="3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0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36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auto"/>
            </w:tcBorders>
            <w:vMerge w:val="restart"/>
          </w:tcPr>
          <w:p>
            <w:pPr>
              <w:jc w:val="right"/>
              <w:ind w:right="310"/>
              <w:spacing w:after="0" w:line="191" w:lineRule="exact"/>
              <w:rPr>
                <w:sz w:val="20"/>
                <w:szCs w:val="20"/>
                <w:color w:val="auto"/>
              </w:rPr>
            </w:pPr>
            <w:r>
              <w:rPr>
                <w:rFonts w:ascii="Arial" w:cs="Arial" w:eastAsia="Arial" w:hAnsi="Arial"/>
                <w:sz w:val="18"/>
                <w:szCs w:val="18"/>
                <w:b w:val="1"/>
                <w:bCs w:val="1"/>
                <w:color w:val="auto"/>
              </w:rPr>
              <w:t>8</w:t>
            </w:r>
          </w:p>
        </w:tc>
        <w:tc>
          <w:tcPr>
            <w:tcW w:w="5020" w:type="dxa"/>
            <w:vAlign w:val="bottom"/>
            <w:gridSpan w:val="2"/>
            <w:vMerge w:val="restart"/>
          </w:tcPr>
          <w:p>
            <w:pPr>
              <w:ind w:left="100"/>
              <w:spacing w:after="0" w:line="191" w:lineRule="exact"/>
              <w:rPr>
                <w:sz w:val="20"/>
                <w:szCs w:val="20"/>
                <w:color w:val="auto"/>
              </w:rPr>
            </w:pPr>
            <w:r>
              <w:rPr>
                <w:rFonts w:ascii="Arial" w:cs="Arial" w:eastAsia="Arial" w:hAnsi="Arial"/>
                <w:sz w:val="18"/>
                <w:szCs w:val="18"/>
                <w:color w:val="auto"/>
              </w:rPr>
              <w:t>SHARED DISPOSITIVE POWER</w:t>
            </w:r>
          </w:p>
        </w:tc>
        <w:tc>
          <w:tcPr>
            <w:tcW w:w="336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540" w:type="dxa"/>
            <w:vAlign w:val="bottom"/>
            <w:tcBorders>
              <w:lef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5020" w:type="dxa"/>
            <w:vAlign w:val="bottom"/>
            <w:gridSpan w:val="2"/>
            <w:vMerge w:val="continue"/>
          </w:tcPr>
          <w:p>
            <w:pPr>
              <w:spacing w:after="0"/>
              <w:rPr>
                <w:sz w:val="10"/>
                <w:szCs w:val="10"/>
                <w:color w:val="auto"/>
              </w:rPr>
            </w:pPr>
          </w:p>
        </w:tc>
        <w:tc>
          <w:tcPr>
            <w:tcW w:w="33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280" w:type="dxa"/>
            <w:vAlign w:val="bottom"/>
          </w:tcPr>
          <w:p>
            <w:pPr>
              <w:ind w:left="100"/>
              <w:spacing w:after="0"/>
              <w:rPr>
                <w:sz w:val="20"/>
                <w:szCs w:val="20"/>
                <w:color w:val="auto"/>
              </w:rPr>
            </w:pPr>
            <w:r>
              <w:rPr>
                <w:rFonts w:ascii="Arial" w:cs="Arial" w:eastAsia="Arial" w:hAnsi="Arial"/>
                <w:sz w:val="18"/>
                <w:szCs w:val="18"/>
                <w:b w:val="1"/>
                <w:bCs w:val="1"/>
                <w:color w:val="auto"/>
              </w:rPr>
              <w:t>900,000*</w:t>
            </w:r>
          </w:p>
        </w:tc>
        <w:tc>
          <w:tcPr>
            <w:tcW w:w="3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spacing w:after="0"/>
              <w:rPr>
                <w:sz w:val="18"/>
                <w:szCs w:val="18"/>
                <w:color w:val="auto"/>
              </w:rPr>
            </w:pPr>
          </w:p>
        </w:tc>
        <w:tc>
          <w:tcPr>
            <w:tcW w:w="8380" w:type="dxa"/>
            <w:vAlign w:val="bottom"/>
            <w:tcBorders>
              <w:bottom w:val="single" w:sz="8" w:color="auto"/>
            </w:tcBorders>
            <w:gridSpan w:val="3"/>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99"/>
              </w:rPr>
              <w:t>9</w:t>
            </w:r>
          </w:p>
        </w:tc>
        <w:tc>
          <w:tcPr>
            <w:tcW w:w="380" w:type="dxa"/>
            <w:vAlign w:val="bottom"/>
            <w:tcBorders>
              <w:right w:val="single" w:sz="8" w:color="auto"/>
            </w:tcBorders>
          </w:tcPr>
          <w:p>
            <w:pPr>
              <w:spacing w:after="0"/>
              <w:rPr>
                <w:sz w:val="16"/>
                <w:szCs w:val="16"/>
                <w:color w:val="auto"/>
              </w:rPr>
            </w:pPr>
          </w:p>
        </w:tc>
        <w:tc>
          <w:tcPr>
            <w:tcW w:w="9940" w:type="dxa"/>
            <w:vAlign w:val="bottom"/>
            <w:gridSpan w:val="6"/>
          </w:tcPr>
          <w:p>
            <w:pPr>
              <w:ind w:left="80"/>
              <w:spacing w:after="0" w:line="191" w:lineRule="exact"/>
              <w:rPr>
                <w:sz w:val="20"/>
                <w:szCs w:val="20"/>
                <w:color w:val="auto"/>
              </w:rPr>
            </w:pPr>
            <w:r>
              <w:rPr>
                <w:rFonts w:ascii="Arial" w:cs="Arial" w:eastAsia="Arial" w:hAnsi="Arial"/>
                <w:sz w:val="18"/>
                <w:szCs w:val="18"/>
                <w:color w:val="auto"/>
              </w:rPr>
              <w:t>AGGREGATE AMOUNT BENEFICIALLY OWNED BY EACH REPORTING PERSON</w:t>
            </w: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900,000*</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9940" w:type="dxa"/>
            <w:vAlign w:val="bottom"/>
            <w:tcBorders>
              <w:bottom w:val="single" w:sz="8" w:color="auto"/>
            </w:tcBorders>
            <w:gridSpan w:val="6"/>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10</w:t>
            </w:r>
          </w:p>
        </w:tc>
        <w:tc>
          <w:tcPr>
            <w:tcW w:w="380" w:type="dxa"/>
            <w:vAlign w:val="bottom"/>
            <w:tcBorders>
              <w:right w:val="single" w:sz="8" w:color="auto"/>
            </w:tcBorders>
          </w:tcPr>
          <w:p>
            <w:pPr>
              <w:spacing w:after="0"/>
              <w:rPr>
                <w:sz w:val="24"/>
                <w:szCs w:val="24"/>
                <w:color w:val="auto"/>
              </w:rPr>
            </w:pPr>
          </w:p>
        </w:tc>
        <w:tc>
          <w:tcPr>
            <w:tcW w:w="9940" w:type="dxa"/>
            <w:vAlign w:val="bottom"/>
            <w:gridSpan w:val="6"/>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8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54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580" w:type="dxa"/>
            <w:vAlign w:val="bottom"/>
            <w:tcBorders>
              <w:bottom w:val="single" w:sz="8" w:color="auto"/>
            </w:tcBorders>
            <w:gridSpan w:val="5"/>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89"/>
              </w:rPr>
              <w:t>11</w:t>
            </w:r>
          </w:p>
        </w:tc>
        <w:tc>
          <w:tcPr>
            <w:tcW w:w="380" w:type="dxa"/>
            <w:vAlign w:val="bottom"/>
            <w:tcBorders>
              <w:right w:val="single" w:sz="8" w:color="auto"/>
            </w:tcBorders>
          </w:tcPr>
          <w:p>
            <w:pPr>
              <w:spacing w:after="0"/>
              <w:rPr>
                <w:sz w:val="16"/>
                <w:szCs w:val="16"/>
                <w:color w:val="auto"/>
              </w:rPr>
            </w:pPr>
          </w:p>
        </w:tc>
        <w:tc>
          <w:tcPr>
            <w:tcW w:w="6580" w:type="dxa"/>
            <w:vAlign w:val="bottom"/>
            <w:gridSpan w:val="5"/>
          </w:tcPr>
          <w:p>
            <w:pPr>
              <w:ind w:left="80"/>
              <w:spacing w:after="0" w:line="191" w:lineRule="exact"/>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5.69%**</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65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89"/>
              </w:rPr>
              <w:t>12</w:t>
            </w:r>
          </w:p>
        </w:tc>
        <w:tc>
          <w:tcPr>
            <w:tcW w:w="380" w:type="dxa"/>
            <w:vAlign w:val="bottom"/>
            <w:tcBorders>
              <w:right w:val="single" w:sz="8" w:color="auto"/>
            </w:tcBorders>
          </w:tcPr>
          <w:p>
            <w:pPr>
              <w:spacing w:after="0"/>
              <w:rPr>
                <w:sz w:val="16"/>
                <w:szCs w:val="16"/>
                <w:color w:val="auto"/>
              </w:rPr>
            </w:pPr>
          </w:p>
        </w:tc>
        <w:tc>
          <w:tcPr>
            <w:tcW w:w="6580" w:type="dxa"/>
            <w:vAlign w:val="bottom"/>
            <w:gridSpan w:val="5"/>
          </w:tcPr>
          <w:p>
            <w:pPr>
              <w:ind w:left="80"/>
              <w:spacing w:after="0" w:line="191" w:lineRule="exact"/>
              <w:rPr>
                <w:sz w:val="20"/>
                <w:szCs w:val="20"/>
                <w:color w:val="auto"/>
              </w:rPr>
            </w:pPr>
            <w:r>
              <w:rPr>
                <w:rFonts w:ascii="Arial" w:cs="Arial" w:eastAsia="Arial" w:hAnsi="Arial"/>
                <w:sz w:val="18"/>
                <w:szCs w:val="18"/>
                <w:color w:val="auto"/>
              </w:rPr>
              <w:t>TYPE OF REPORTING PERSON*</w:t>
            </w:r>
          </w:p>
        </w:tc>
        <w:tc>
          <w:tcPr>
            <w:tcW w:w="33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CO</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Consists of 900,000 shares of Common Stock.</w:t>
      </w:r>
    </w:p>
    <w:p>
      <w:pPr>
        <w:spacing w:after="0" w:line="19" w:lineRule="exact"/>
        <w:rPr>
          <w:sz w:val="20"/>
          <w:szCs w:val="20"/>
          <w:color w:val="auto"/>
        </w:rPr>
      </w:pPr>
    </w:p>
    <w:p>
      <w:pPr>
        <w:ind w:right="20" w:firstLine="8"/>
        <w:spacing w:after="0" w:line="288" w:lineRule="auto"/>
        <w:tabs>
          <w:tab w:leader="none" w:pos="251"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The percentages set forth herein are calculated based upon 15,812,500 shares of Common Stock outstanding as of November 10, 2021, as reported in the Issuer's Quarterly Report on Form 10-Q filed with the Securities and Exchange Commission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ind w:left="80"/>
        <w:spacing w:after="0"/>
        <w:tabs>
          <w:tab w:leader="none" w:pos="5440" w:val="left"/>
          <w:tab w:leader="none" w:pos="75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159561109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-119380</wp:posOffset>
            </wp:positionV>
            <wp:extent cx="238315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8315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p>
      <w:pPr>
        <w:spacing w:after="0" w:line="24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1  (a).</w:t>
      </w:r>
      <w:r>
        <w:rPr>
          <w:sz w:val="20"/>
          <w:szCs w:val="20"/>
          <w:color w:val="auto"/>
        </w:rPr>
        <w:tab/>
      </w:r>
      <w:r>
        <w:rPr>
          <w:rFonts w:ascii="Arial" w:cs="Arial" w:eastAsia="Arial" w:hAnsi="Arial"/>
          <w:sz w:val="19"/>
          <w:szCs w:val="19"/>
          <w:b w:val="1"/>
          <w:bCs w:val="1"/>
          <w:color w:val="auto"/>
        </w:rPr>
        <w:t>Name of Issuer: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Chardan NexTech Acquisition 2 Corp.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 Address of Issuer's Principal Executive Offices: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212529"/>
          <w:shd w:val="clear" w:color="auto" w:fill="F2F2F2"/>
        </w:rPr>
        <w:t>17 State Street, 21st Floor, New York, NY, 10004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  Name of Person Filing:</w:t>
      </w:r>
    </w:p>
    <w:p>
      <w:pPr>
        <w:spacing w:after="0" w:line="212"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MMCAP International Inc. SPC</w:t>
      </w:r>
    </w:p>
    <w:p>
      <w:pPr>
        <w:spacing w:after="0" w:line="206" w:lineRule="exact"/>
        <w:rPr>
          <w:rFonts w:ascii="Arial" w:cs="Arial" w:eastAsia="Arial" w:hAnsi="Arial"/>
          <w:sz w:val="22"/>
          <w:szCs w:val="22"/>
          <w:color w:val="auto"/>
        </w:rPr>
      </w:pPr>
    </w:p>
    <w:p>
      <w:pPr>
        <w:ind w:left="260" w:hanging="252"/>
        <w:spacing w:after="0"/>
        <w:tabs>
          <w:tab w:leader="none" w:pos="260" w:val="left"/>
        </w:tabs>
        <w:numPr>
          <w:ilvl w:val="0"/>
          <w:numId w:val="4"/>
        </w:numPr>
        <w:rPr>
          <w:rFonts w:ascii="Arial" w:cs="Arial" w:eastAsia="Arial" w:hAnsi="Arial"/>
          <w:sz w:val="22"/>
          <w:szCs w:val="22"/>
          <w:color w:val="auto"/>
        </w:rPr>
      </w:pPr>
      <w:r>
        <w:rPr>
          <w:rFonts w:ascii="Arial" w:cs="Arial" w:eastAsia="Arial" w:hAnsi="Arial"/>
          <w:sz w:val="22"/>
          <w:szCs w:val="22"/>
          <w:color w:val="auto"/>
        </w:rPr>
        <w:t>MM Asset Management Inc.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(b). Address of Principal Business Office or, if None, Residence:</w:t>
      </w:r>
    </w:p>
    <w:p>
      <w:pPr>
        <w:spacing w:after="0" w:line="212" w:lineRule="exact"/>
        <w:rPr>
          <w:sz w:val="20"/>
          <w:szCs w:val="20"/>
          <w:color w:val="auto"/>
        </w:rPr>
      </w:pPr>
    </w:p>
    <w:p>
      <w:pPr>
        <w:ind w:left="580" w:right="5700" w:hanging="572"/>
        <w:spacing w:after="0" w:line="239" w:lineRule="auto"/>
        <w:tabs>
          <w:tab w:leader="none" w:pos="593" w:val="left"/>
        </w:tabs>
        <w:numPr>
          <w:ilvl w:val="0"/>
          <w:numId w:val="5"/>
        </w:numPr>
        <w:rPr>
          <w:rFonts w:ascii="Arial" w:cs="Arial" w:eastAsia="Arial" w:hAnsi="Arial"/>
          <w:sz w:val="22"/>
          <w:szCs w:val="22"/>
          <w:color w:val="auto"/>
        </w:rPr>
      </w:pPr>
      <w:r>
        <w:rPr>
          <w:rFonts w:ascii="Arial" w:cs="Arial" w:eastAsia="Arial" w:hAnsi="Arial"/>
          <w:sz w:val="22"/>
          <w:szCs w:val="22"/>
          <w:color w:val="auto"/>
        </w:rPr>
        <w:t>c/o Mourant Governance Services (Cayman) Limited 94 Solaris Avenue</w:t>
      </w:r>
    </w:p>
    <w:p>
      <w:pPr>
        <w:ind w:left="580"/>
        <w:spacing w:after="0" w:line="230" w:lineRule="auto"/>
        <w:rPr>
          <w:rFonts w:ascii="Arial" w:cs="Arial" w:eastAsia="Arial" w:hAnsi="Arial"/>
          <w:sz w:val="22"/>
          <w:szCs w:val="22"/>
          <w:color w:val="auto"/>
        </w:rPr>
      </w:pPr>
      <w:r>
        <w:rPr>
          <w:rFonts w:ascii="Arial" w:cs="Arial" w:eastAsia="Arial" w:hAnsi="Arial"/>
          <w:sz w:val="22"/>
          <w:szCs w:val="22"/>
          <w:color w:val="auto"/>
        </w:rPr>
        <w:t>Camana Bay, P.O. Box 1348</w:t>
      </w:r>
    </w:p>
    <w:p>
      <w:pPr>
        <w:ind w:left="580"/>
        <w:spacing w:after="0"/>
        <w:rPr>
          <w:rFonts w:ascii="Arial" w:cs="Arial" w:eastAsia="Arial" w:hAnsi="Arial"/>
          <w:sz w:val="22"/>
          <w:szCs w:val="22"/>
          <w:color w:val="auto"/>
        </w:rPr>
      </w:pPr>
      <w:r>
        <w:rPr>
          <w:rFonts w:ascii="Arial" w:cs="Arial" w:eastAsia="Arial" w:hAnsi="Arial"/>
          <w:sz w:val="22"/>
          <w:szCs w:val="22"/>
          <w:color w:val="auto"/>
        </w:rPr>
        <w:t>Grand Cayman, KY1-1108, Cayman Islands</w:t>
      </w:r>
    </w:p>
    <w:p>
      <w:pPr>
        <w:spacing w:after="0" w:line="188" w:lineRule="exact"/>
        <w:rPr>
          <w:rFonts w:ascii="Arial" w:cs="Arial" w:eastAsia="Arial" w:hAnsi="Arial"/>
          <w:sz w:val="22"/>
          <w:szCs w:val="22"/>
          <w:color w:val="auto"/>
        </w:rPr>
      </w:pPr>
    </w:p>
    <w:p>
      <w:pPr>
        <w:ind w:left="640" w:hanging="632"/>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161 Bay Street</w:t>
      </w:r>
    </w:p>
    <w:p>
      <w:pPr>
        <w:ind w:left="580"/>
        <w:spacing w:after="0" w:line="238" w:lineRule="auto"/>
        <w:rPr>
          <w:sz w:val="20"/>
          <w:szCs w:val="20"/>
          <w:color w:val="auto"/>
        </w:rPr>
      </w:pPr>
      <w:r>
        <w:rPr>
          <w:rFonts w:ascii="Arial" w:cs="Arial" w:eastAsia="Arial" w:hAnsi="Arial"/>
          <w:sz w:val="22"/>
          <w:szCs w:val="22"/>
          <w:color w:val="auto"/>
        </w:rPr>
        <w:t>TD Canada Trust Tower Ste 2240</w:t>
      </w:r>
    </w:p>
    <w:p>
      <w:pPr>
        <w:ind w:left="580"/>
        <w:spacing w:after="0"/>
        <w:rPr>
          <w:sz w:val="20"/>
          <w:szCs w:val="20"/>
          <w:color w:val="auto"/>
        </w:rPr>
      </w:pPr>
      <w:r>
        <w:rPr>
          <w:rFonts w:ascii="Arial" w:cs="Arial" w:eastAsia="Arial" w:hAnsi="Arial"/>
          <w:sz w:val="22"/>
          <w:szCs w:val="22"/>
          <w:color w:val="auto"/>
        </w:rPr>
        <w:t>Toronto, ON M5J 2S1 Canada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(c).  Citizenship:</w:t>
      </w:r>
    </w:p>
    <w:p>
      <w:pPr>
        <w:spacing w:after="0" w:line="212"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Cayman Islands</w:t>
      </w:r>
    </w:p>
    <w:p>
      <w:pPr>
        <w:spacing w:after="0" w:line="8" w:lineRule="exact"/>
        <w:rPr>
          <w:rFonts w:ascii="Arial" w:cs="Arial" w:eastAsia="Arial" w:hAnsi="Arial"/>
          <w:sz w:val="22"/>
          <w:szCs w:val="22"/>
          <w:color w:val="auto"/>
        </w:rPr>
      </w:pPr>
    </w:p>
    <w:p>
      <w:pPr>
        <w:ind w:left="260" w:hanging="252"/>
        <w:spacing w:after="0"/>
        <w:tabs>
          <w:tab w:leader="none" w:pos="2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Ontario, Canada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(d). Title of Class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Common Stock, par value $0.0001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(e).  CUSIP Number: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159561109</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Rules 13d-1(b), or 13d-2(b) or (c), check whether the person filing is a:</w:t>
      </w:r>
    </w:p>
    <w:p>
      <w:pPr>
        <w:spacing w:after="0" w:line="186" w:lineRule="exact"/>
        <w:rPr>
          <w:sz w:val="20"/>
          <w:szCs w:val="20"/>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Broker or dealer registered under Section 15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Bank as defined in Section 3(a)(6)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Insurance Company as defined in Section 3(a)(19)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Investment Company registered under Section 8 of the Investment Company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Investment adviser in accordance with Rule 13d-1(b)(1)(ii)(E);</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Employee benefit plan or endowment plan in accordance with Rule 13d-1(b)(1)(ii)(F);</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Parent holding company or control person, in accordance with Rule 13d-1(b)(1)(ii)(G);</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type w:val="continuous"/>
        </w:sectPr>
      </w:pPr>
    </w:p>
    <w:bookmarkStart w:id="4" w:name="page5"/>
    <w:bookmarkEnd w:id="4"/>
    <w:p>
      <w:pPr>
        <w:ind w:left="80"/>
        <w:spacing w:after="0"/>
        <w:tabs>
          <w:tab w:leader="none" w:pos="5440" w:val="left"/>
          <w:tab w:leader="none" w:pos="75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159561109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-119380</wp:posOffset>
            </wp:positionV>
            <wp:extent cx="238315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1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8315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ind w:left="1620" w:right="20" w:hanging="640"/>
        <w:spacing w:after="0" w:line="279" w:lineRule="exact"/>
        <w:tabs>
          <w:tab w:leader="none" w:pos="133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church plan that is excluded from the definition of an investment company under Section 3(c)(14) of the Investment Company Act of 1940:</w:t>
      </w:r>
    </w:p>
    <w:p>
      <w:pPr>
        <w:spacing w:after="0" w:line="158"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Group, in accordance with Rule 13d-1(b)(1)(ii)(j).</w:t>
      </w:r>
    </w:p>
    <w:p>
      <w:pPr>
        <w:spacing w:after="0" w:line="260" w:lineRule="exact"/>
        <w:rPr>
          <w:sz w:val="20"/>
          <w:szCs w:val="20"/>
          <w:color w:val="auto"/>
        </w:rPr>
      </w:pPr>
    </w:p>
    <w:p>
      <w:pPr>
        <w:ind w:left="1700" w:hanging="396"/>
        <w:spacing w:after="0"/>
        <w:tabs>
          <w:tab w:leader="none" w:pos="1700" w:val="left"/>
        </w:tabs>
        <w:numPr>
          <w:ilvl w:val="0"/>
          <w:numId w:val="9"/>
        </w:numPr>
        <w:rPr>
          <w:rFonts w:ascii="MS PGothic" w:cs="MS PGothic" w:eastAsia="MS PGothic" w:hAnsi="MS PGothic"/>
          <w:sz w:val="22"/>
          <w:szCs w:val="22"/>
          <w:color w:val="auto"/>
        </w:rPr>
      </w:pPr>
      <w:r>
        <w:rPr>
          <w:rFonts w:ascii="Arial" w:cs="Arial" w:eastAsia="Arial" w:hAnsi="Arial"/>
          <w:sz w:val="22"/>
          <w:szCs w:val="22"/>
          <w:color w:val="auto"/>
        </w:rPr>
        <w:t>If this statement is filed pursuant to Rule 13d-1(c), check this box.</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identified in Item 1.</w:t>
      </w:r>
    </w:p>
    <w:p>
      <w:pPr>
        <w:spacing w:after="0" w:line="169" w:lineRule="exact"/>
        <w:rPr>
          <w:sz w:val="20"/>
          <w:szCs w:val="20"/>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Amount beneficially owned: </w:t>
      </w:r>
      <w:r>
        <w:rPr>
          <w:rFonts w:ascii="Arial" w:cs="Arial" w:eastAsia="Arial" w:hAnsi="Arial"/>
          <w:sz w:val="22"/>
          <w:szCs w:val="22"/>
          <w:b w:val="1"/>
          <w:bCs w:val="1"/>
          <w:color w:val="auto"/>
        </w:rPr>
        <w:t>900,000*</w:t>
      </w:r>
    </w:p>
    <w:p>
      <w:pPr>
        <w:spacing w:after="0" w:line="206" w:lineRule="exact"/>
        <w:rPr>
          <w:rFonts w:ascii="Arial" w:cs="Arial" w:eastAsia="Arial" w:hAnsi="Arial"/>
          <w:sz w:val="22"/>
          <w:szCs w:val="22"/>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Percent of class: </w:t>
      </w:r>
      <w:r>
        <w:rPr>
          <w:rFonts w:ascii="Arial" w:cs="Arial" w:eastAsia="Arial" w:hAnsi="Arial"/>
          <w:sz w:val="22"/>
          <w:szCs w:val="22"/>
          <w:b w:val="1"/>
          <w:bCs w:val="1"/>
          <w:color w:val="auto"/>
        </w:rPr>
        <w:t>5.69%**</w:t>
      </w:r>
    </w:p>
    <w:p>
      <w:pPr>
        <w:spacing w:after="0" w:line="212" w:lineRule="exact"/>
        <w:rPr>
          <w:rFonts w:ascii="Arial" w:cs="Arial" w:eastAsia="Arial" w:hAnsi="Arial"/>
          <w:sz w:val="22"/>
          <w:szCs w:val="22"/>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00" w:lineRule="exact"/>
        <w:rPr>
          <w:rFonts w:ascii="Arial" w:cs="Arial" w:eastAsia="Arial" w:hAnsi="Arial"/>
          <w:sz w:val="22"/>
          <w:szCs w:val="22"/>
          <w:color w:val="auto"/>
        </w:rPr>
      </w:pPr>
    </w:p>
    <w:p>
      <w:pPr>
        <w:ind w:left="1980" w:hanging="441"/>
        <w:spacing w:after="0"/>
        <w:tabs>
          <w:tab w:leader="none" w:pos="1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Sole power to vote or to direct the vote: </w:t>
      </w:r>
      <w:r>
        <w:rPr>
          <w:rFonts w:ascii="Arial" w:cs="Arial" w:eastAsia="Arial" w:hAnsi="Arial"/>
          <w:sz w:val="22"/>
          <w:szCs w:val="22"/>
          <w:b w:val="1"/>
          <w:bCs w:val="1"/>
          <w:color w:val="auto"/>
        </w:rPr>
        <w:t>0</w:t>
      </w:r>
    </w:p>
    <w:p>
      <w:pPr>
        <w:spacing w:after="0" w:line="206" w:lineRule="exact"/>
        <w:rPr>
          <w:sz w:val="20"/>
          <w:szCs w:val="20"/>
          <w:color w:val="auto"/>
        </w:rPr>
      </w:pPr>
    </w:p>
    <w:p>
      <w:pPr>
        <w:ind w:left="2000" w:hanging="511"/>
        <w:spacing w:after="0"/>
        <w:tabs>
          <w:tab w:leader="none" w:pos="20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Shared power to vote or to direct the vote: </w:t>
      </w:r>
      <w:r>
        <w:rPr>
          <w:rFonts w:ascii="Arial" w:cs="Arial" w:eastAsia="Arial" w:hAnsi="Arial"/>
          <w:sz w:val="22"/>
          <w:szCs w:val="22"/>
          <w:b w:val="1"/>
          <w:bCs w:val="1"/>
          <w:color w:val="auto"/>
        </w:rPr>
        <w:t>900,000*</w:t>
      </w:r>
    </w:p>
    <w:p>
      <w:pPr>
        <w:spacing w:after="0" w:line="206" w:lineRule="exact"/>
        <w:rPr>
          <w:rFonts w:ascii="Arial" w:cs="Arial" w:eastAsia="Arial" w:hAnsi="Arial"/>
          <w:sz w:val="22"/>
          <w:szCs w:val="22"/>
          <w:color w:val="auto"/>
        </w:rPr>
      </w:pPr>
    </w:p>
    <w:p>
      <w:pPr>
        <w:ind w:left="2000" w:hanging="561"/>
        <w:spacing w:after="0"/>
        <w:tabs>
          <w:tab w:leader="none" w:pos="20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Sole power to dispose or to direct the disposition of: </w:t>
      </w:r>
      <w:r>
        <w:rPr>
          <w:rFonts w:ascii="Arial" w:cs="Arial" w:eastAsia="Arial" w:hAnsi="Arial"/>
          <w:sz w:val="22"/>
          <w:szCs w:val="22"/>
          <w:b w:val="1"/>
          <w:bCs w:val="1"/>
          <w:color w:val="auto"/>
        </w:rPr>
        <w:t>0</w:t>
      </w:r>
    </w:p>
    <w:p>
      <w:pPr>
        <w:spacing w:after="0" w:line="206" w:lineRule="exact"/>
        <w:rPr>
          <w:rFonts w:ascii="Arial" w:cs="Arial" w:eastAsia="Arial" w:hAnsi="Arial"/>
          <w:sz w:val="22"/>
          <w:szCs w:val="22"/>
          <w:color w:val="auto"/>
        </w:rPr>
      </w:pPr>
    </w:p>
    <w:p>
      <w:pPr>
        <w:ind w:right="3640" w:firstLine="1449"/>
        <w:spacing w:after="0" w:line="435" w:lineRule="auto"/>
        <w:tabs>
          <w:tab w:leader="none" w:pos="1996"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Shared power to dispose or to direct the disposition of: </w:t>
      </w:r>
      <w:r>
        <w:rPr>
          <w:rFonts w:ascii="Arial" w:cs="Arial" w:eastAsia="Arial" w:hAnsi="Arial"/>
          <w:sz w:val="22"/>
          <w:szCs w:val="22"/>
          <w:b w:val="1"/>
          <w:bCs w:val="1"/>
          <w:color w:val="auto"/>
        </w:rPr>
        <w:t>900,000*</w:t>
      </w:r>
      <w:r>
        <w:rPr>
          <w:rFonts w:ascii="Arial" w:cs="Arial" w:eastAsia="Arial" w:hAnsi="Arial"/>
          <w:sz w:val="22"/>
          <w:szCs w:val="22"/>
          <w:color w:val="auto"/>
        </w:rPr>
        <w:t xml:space="preserve"> </w:t>
      </w:r>
      <w:r>
        <w:rPr>
          <w:rFonts w:ascii="Arial" w:cs="Arial" w:eastAsia="Arial" w:hAnsi="Arial"/>
          <w:sz w:val="22"/>
          <w:szCs w:val="22"/>
          <w:b w:val="1"/>
          <w:bCs w:val="1"/>
          <w:color w:val="auto"/>
        </w:rPr>
        <w:t>* Consists of 900,000 shares of Common Stock.</w:t>
      </w:r>
    </w:p>
    <w:p>
      <w:pPr>
        <w:jc w:val="both"/>
        <w:ind w:firstLine="8"/>
        <w:spacing w:after="0" w:line="243" w:lineRule="auto"/>
        <w:tabs>
          <w:tab w:leader="none" w:pos="302"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The percentages set forth herein are calculated based upon 15,812,500 shares of Common Stock outstanding as of November 10, 2021, as reported in the Issuer's Quarterly Report on Form 10-Q filed with the Securities and Exchange Commission on November 15, 2021.</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Instruction. </w:t>
      </w:r>
      <w:r>
        <w:rPr>
          <w:rFonts w:ascii="Arial" w:cs="Arial" w:eastAsia="Arial" w:hAnsi="Arial"/>
          <w:sz w:val="19"/>
          <w:szCs w:val="19"/>
          <w:color w:val="auto"/>
        </w:rPr>
        <w:t>For computations regarding securities which represent a right to acquire an underlying security, see Rule 13d-3(d)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18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If the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1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ind w:left="80"/>
        <w:spacing w:after="0"/>
        <w:tabs>
          <w:tab w:leader="none" w:pos="5440" w:val="left"/>
          <w:tab w:leader="none" w:pos="75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159561109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-119380</wp:posOffset>
            </wp:positionV>
            <wp:extent cx="238315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1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8315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Item 10. Certification. </w:t>
      </w:r>
      <w:r>
        <w:rPr>
          <w:rFonts w:ascii="Arial" w:cs="Arial" w:eastAsia="Arial" w:hAnsi="Arial"/>
          <w:sz w:val="22"/>
          <w:szCs w:val="22"/>
          <w:color w:val="auto"/>
        </w:rPr>
        <w:t>By signing below I certify that, to the best of my knowledge and belief, the securities referred to</w:t>
      </w:r>
      <w:r>
        <w:rPr>
          <w:rFonts w:ascii="Arial" w:cs="Arial" w:eastAsia="Arial" w:hAnsi="Arial"/>
          <w:sz w:val="22"/>
          <w:szCs w:val="22"/>
          <w:b w:val="1"/>
          <w:bCs w:val="1"/>
          <w:color w:val="auto"/>
        </w:rPr>
        <w:t xml:space="preserve"> </w:t>
      </w:r>
      <w:r>
        <w:rPr>
          <w:rFonts w:ascii="Arial" w:cs="Arial" w:eastAsia="Arial" w:hAnsi="Arial"/>
          <w:sz w:val="22"/>
          <w:szCs w:val="22"/>
          <w:color w:val="auto"/>
        </w:rPr>
        <w:t>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2022</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MMCAP International Inc. SPC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Matthew McIsaac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Matthew McIsaac</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MM Asset Management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Hillel Meltz</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Hillel Meltz</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226695</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2">
        <w:col w:w="4900" w:space="720"/>
        <w:col w:w="562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9"/>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lvl w:ilvl="1">
      <w:lvlJc w:val="left"/>
      <w:lvlText w:val="(%2)"/>
      <w:numFmt w:val="lowerLetter"/>
      <w:start w:val="9"/>
    </w:lvl>
  </w:abstractNum>
  <w:abstractNum w:abstractNumId="10">
    <w:nsid w:val="1190CDE7"/>
    <w:multiLevelType w:val="hybridMultilevel"/>
    <w:lvl w:ilvl="0">
      <w:lvlJc w:val="left"/>
      <w:lvlText w:val="*"/>
      <w:numFmt w:val="bullet"/>
      <w:start w:val="1"/>
    </w:lvl>
    <w:lvl w:ilvl="1">
      <w:lvlJc w:val="left"/>
      <w:lvlText w:val="(%2)"/>
      <w:numFmt w:val="lowerRoman"/>
      <w:start w:val="2"/>
    </w:lvl>
  </w:abstractNum>
  <w:abstractNum w:abstractNumId="11">
    <w:nsid w:val="66EF438D"/>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2022-02-07T05:11:20Z</dcterms:created>
  <dcterms:modified xsi:type="dcterms:W3CDTF">2022-02-07T05:11:20Z</dcterms:modified>
</cp:coreProperties>
</file>