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SCHEDULE 13D</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 No. 2)</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DRAGONFLY ENERGY HOLDINGS CORP.</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Stock, par value $0.0001 per share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(Title of Class of Securities)</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26145B 106</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(CUSIP Number)</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Denis Phares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1190 Trademark Dr. #108</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Reno, Nevada 89521</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Telephone: (775) 622-3448</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(Name, Address and Telephone Number of Person Authorized to Receive Notices and Communications)</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August 13, 2024</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Event Which Requires Filing of This Statement)</w:t>
      </w:r>
    </w:p>
    <w:p>
      <w:pPr>
        <w:spacing w:after="0" w:line="207"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off §§ 240.13d-1(e), 240.13d-1(f) or 240.13d-1(g), check the following box. </w:t>
      </w:r>
      <w:r>
        <w:rPr>
          <w:rFonts w:ascii="MS PGothic" w:cs="MS PGothic" w:eastAsia="MS PGothic" w:hAnsi="MS PGothic"/>
          <w:sz w:val="18"/>
          <w:szCs w:val="18"/>
          <w:color w:val="auto"/>
        </w:rPr>
        <w:t>☐</w:t>
      </w:r>
    </w:p>
    <w:p>
      <w:pPr>
        <w:spacing w:after="0" w:line="166" w:lineRule="exact"/>
        <w:rPr>
          <w:sz w:val="24"/>
          <w:szCs w:val="24"/>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Schedules filed in paper format shall include a signed original and five copies of the schedule, including all exhibits. See §240.13d-7 for other parties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whom copies are to be sent.</w:t>
      </w:r>
    </w:p>
    <w:p>
      <w:pPr>
        <w:spacing w:after="0" w:line="159" w:lineRule="exact"/>
        <w:rPr>
          <w:sz w:val="24"/>
          <w:szCs w:val="24"/>
          <w:color w:val="auto"/>
        </w:rPr>
      </w:pPr>
    </w:p>
    <w:p>
      <w:pPr>
        <w:ind w:left="340" w:hanging="332"/>
        <w:spacing w:after="0" w:line="282"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466090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ind w:left="680" w:hanging="379"/>
        <w:spacing w:after="0"/>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5503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5503545"/>
                    </a:xfrm>
                    <a:prstGeom prst="rect">
                      <a:avLst/>
                    </a:prstGeom>
                    <a:noFill/>
                  </pic:spPr>
                </pic:pic>
              </a:graphicData>
            </a:graphic>
          </wp:anchor>
        </w:drawing>
      </w:r>
    </w:p>
    <w:p>
      <w:pPr>
        <w:spacing w:after="0" w:line="20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Denis Phares</w:t>
      </w:r>
    </w:p>
    <w:p>
      <w:pPr>
        <w:spacing w:after="0" w:line="27" w:lineRule="exact"/>
        <w:rPr>
          <w:sz w:val="20"/>
          <w:szCs w:val="20"/>
          <w:color w:val="auto"/>
        </w:rPr>
      </w:pPr>
    </w:p>
    <w:p>
      <w:pPr>
        <w:ind w:left="680" w:hanging="379"/>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22" w:lineRule="exact"/>
        <w:rPr>
          <w:rFonts w:ascii="Times New Roman" w:cs="Times New Roman" w:eastAsia="Times New Roman" w:hAnsi="Times New Roman"/>
          <w:sz w:val="18"/>
          <w:szCs w:val="18"/>
          <w:color w:val="auto"/>
        </w:rPr>
      </w:pPr>
    </w:p>
    <w:p>
      <w:pPr>
        <w:ind w:left="680"/>
        <w:spacing w:after="0" w:line="207"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4" w:lineRule="exact"/>
        <w:rPr>
          <w:sz w:val="20"/>
          <w:szCs w:val="20"/>
          <w:color w:val="auto"/>
        </w:rPr>
      </w:pPr>
    </w:p>
    <w:p>
      <w:pPr>
        <w:ind w:left="680" w:hanging="379"/>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19" w:lineRule="exact"/>
        <w:rPr>
          <w:sz w:val="20"/>
          <w:szCs w:val="20"/>
          <w:color w:val="auto"/>
        </w:rPr>
      </w:pPr>
    </w:p>
    <w:p>
      <w:pPr>
        <w:ind w:left="680" w:hanging="379"/>
        <w:spacing w:after="0"/>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w:t>
      </w:r>
    </w:p>
    <w:p>
      <w:pPr>
        <w:spacing w:after="0" w:line="22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PF</w:t>
      </w:r>
    </w:p>
    <w:p>
      <w:pPr>
        <w:spacing w:after="0" w:line="27" w:lineRule="exact"/>
        <w:rPr>
          <w:sz w:val="20"/>
          <w:szCs w:val="20"/>
          <w:color w:val="auto"/>
        </w:rPr>
      </w:pPr>
    </w:p>
    <w:p>
      <w:pPr>
        <w:ind w:left="680" w:right="2180" w:hanging="379"/>
        <w:spacing w:after="0" w:line="231" w:lineRule="exact"/>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DISCLOSURE OF LEGAL PROCEEDINGS IS REQUIRED PURSUANT TO ITEM 2(d) or 2(e)   </w:t>
      </w:r>
      <w:r>
        <w:rPr>
          <w:rFonts w:ascii="MS PGothic" w:cs="MS PGothic" w:eastAsia="MS PGothic" w:hAnsi="MS PGothic"/>
          <w:sz w:val="18"/>
          <w:szCs w:val="18"/>
          <w:color w:val="auto"/>
        </w:rPr>
        <w:t>☐</w:t>
      </w:r>
    </w:p>
    <w:p>
      <w:pPr>
        <w:ind w:left="680" w:hanging="379"/>
        <w:spacing w:after="0"/>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05" w:lineRule="exact"/>
        <w:rPr>
          <w:rFonts w:ascii="Times New Roman" w:cs="Times New Roman" w:eastAsia="Times New Roman" w:hAnsi="Times New Roman"/>
          <w:sz w:val="18"/>
          <w:szCs w:val="18"/>
          <w:color w:val="auto"/>
        </w:rPr>
      </w:pPr>
    </w:p>
    <w:p>
      <w:pPr>
        <w:ind w:left="6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United States</w:t>
      </w:r>
    </w:p>
    <w:p>
      <w:pPr>
        <w:spacing w:after="0" w:line="27" w:lineRule="exact"/>
        <w:rPr>
          <w:rFonts w:ascii="Times New Roman" w:cs="Times New Roman" w:eastAsia="Times New Roman" w:hAnsi="Times New Roman"/>
          <w:sz w:val="18"/>
          <w:szCs w:val="18"/>
          <w:color w:val="auto"/>
        </w:rPr>
      </w:pPr>
    </w:p>
    <w:p>
      <w:pPr>
        <w:ind w:left="19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   SOLE VOTING POWER</w:t>
      </w:r>
    </w:p>
    <w:p>
      <w:pPr>
        <w:spacing w:after="0" w:line="220"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14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NUMBER OF</w:t>
            </w:r>
          </w:p>
        </w:tc>
        <w:tc>
          <w:tcPr>
            <w:tcW w:w="560" w:type="dxa"/>
            <w:vAlign w:val="bottom"/>
            <w:tcBorders>
              <w:bottom w:val="single" w:sz="8" w:color="auto"/>
            </w:tcBorders>
          </w:tcPr>
          <w:p>
            <w:pPr>
              <w:spacing w:after="0"/>
              <w:rPr>
                <w:sz w:val="20"/>
                <w:szCs w:val="20"/>
                <w:color w:val="auto"/>
              </w:rPr>
            </w:pPr>
          </w:p>
        </w:tc>
        <w:tc>
          <w:tcPr>
            <w:tcW w:w="90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16,208,886*</w:t>
            </w:r>
          </w:p>
        </w:tc>
        <w:tc>
          <w:tcPr>
            <w:tcW w:w="0" w:type="dxa"/>
            <w:vAlign w:val="bottom"/>
          </w:tcPr>
          <w:p>
            <w:pPr>
              <w:spacing w:after="0"/>
              <w:rPr>
                <w:sz w:val="1"/>
                <w:szCs w:val="1"/>
                <w:color w:val="auto"/>
              </w:rPr>
            </w:pPr>
          </w:p>
        </w:tc>
      </w:tr>
      <w:tr>
        <w:trPr>
          <w:trHeight w:val="191"/>
        </w:trPr>
        <w:tc>
          <w:tcPr>
            <w:tcW w:w="1440" w:type="dxa"/>
            <w:vAlign w:val="bottom"/>
          </w:tcPr>
          <w:p>
            <w:pPr>
              <w:jc w:val="center"/>
              <w:ind w:right="90"/>
              <w:spacing w:after="0" w:line="191" w:lineRule="exact"/>
              <w:rPr>
                <w:sz w:val="20"/>
                <w:szCs w:val="20"/>
                <w:color w:val="auto"/>
              </w:rPr>
            </w:pPr>
            <w:r>
              <w:rPr>
                <w:rFonts w:ascii="Times New Roman" w:cs="Times New Roman" w:eastAsia="Times New Roman" w:hAnsi="Times New Roman"/>
                <w:sz w:val="18"/>
                <w:szCs w:val="18"/>
                <w:color w:val="auto"/>
              </w:rPr>
              <w:t>SHARES</w:t>
            </w:r>
          </w:p>
        </w:tc>
        <w:tc>
          <w:tcPr>
            <w:tcW w:w="560" w:type="dxa"/>
            <w:vAlign w:val="bottom"/>
          </w:tcPr>
          <w:p>
            <w:pPr>
              <w:jc w:val="center"/>
              <w:ind w:left="30"/>
              <w:spacing w:after="0" w:line="191" w:lineRule="exact"/>
              <w:rPr>
                <w:sz w:val="20"/>
                <w:szCs w:val="20"/>
                <w:color w:val="auto"/>
              </w:rPr>
            </w:pPr>
            <w:r>
              <w:rPr>
                <w:rFonts w:ascii="Times New Roman" w:cs="Times New Roman" w:eastAsia="Times New Roman" w:hAnsi="Times New Roman"/>
                <w:sz w:val="18"/>
                <w:szCs w:val="18"/>
                <w:color w:val="auto"/>
                <w:w w:val="88"/>
              </w:rPr>
              <w:t>8</w:t>
            </w:r>
          </w:p>
        </w:tc>
        <w:tc>
          <w:tcPr>
            <w:tcW w:w="9040" w:type="dxa"/>
            <w:vAlign w:val="bottom"/>
          </w:tcPr>
          <w:p>
            <w:pPr>
              <w:ind w:left="120"/>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4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7"/>
              </w:rPr>
              <w:t>BENEFICIALLY</w:t>
            </w:r>
          </w:p>
        </w:tc>
        <w:tc>
          <w:tcPr>
            <w:tcW w:w="560" w:type="dxa"/>
            <w:vAlign w:val="bottom"/>
          </w:tcPr>
          <w:p>
            <w:pPr>
              <w:spacing w:after="0"/>
              <w:rPr>
                <w:sz w:val="18"/>
                <w:szCs w:val="18"/>
                <w:color w:val="auto"/>
              </w:rPr>
            </w:pPr>
          </w:p>
        </w:tc>
        <w:tc>
          <w:tcPr>
            <w:tcW w:w="9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OWNED BY</w:t>
            </w:r>
          </w:p>
        </w:tc>
        <w:tc>
          <w:tcPr>
            <w:tcW w:w="560" w:type="dxa"/>
            <w:vAlign w:val="bottom"/>
            <w:tcBorders>
              <w:bottom w:val="single" w:sz="8" w:color="auto"/>
            </w:tcBorders>
          </w:tcPr>
          <w:p>
            <w:pPr>
              <w:spacing w:after="0"/>
              <w:rPr>
                <w:sz w:val="20"/>
                <w:szCs w:val="20"/>
                <w:color w:val="auto"/>
              </w:rPr>
            </w:pPr>
          </w:p>
        </w:tc>
        <w:tc>
          <w:tcPr>
            <w:tcW w:w="90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78"/>
        </w:trPr>
        <w:tc>
          <w:tcPr>
            <w:tcW w:w="1440" w:type="dxa"/>
            <w:vAlign w:val="bottom"/>
          </w:tcPr>
          <w:p>
            <w:pPr>
              <w:jc w:val="center"/>
              <w:ind w:right="90"/>
              <w:spacing w:after="0" w:line="177" w:lineRule="exact"/>
              <w:rPr>
                <w:sz w:val="20"/>
                <w:szCs w:val="20"/>
                <w:color w:val="auto"/>
              </w:rPr>
            </w:pPr>
            <w:r>
              <w:rPr>
                <w:rFonts w:ascii="Times New Roman" w:cs="Times New Roman" w:eastAsia="Times New Roman" w:hAnsi="Times New Roman"/>
                <w:sz w:val="18"/>
                <w:szCs w:val="18"/>
                <w:color w:val="auto"/>
              </w:rPr>
              <w:t>EACH</w:t>
            </w:r>
          </w:p>
        </w:tc>
        <w:tc>
          <w:tcPr>
            <w:tcW w:w="560" w:type="dxa"/>
            <w:vAlign w:val="bottom"/>
          </w:tcPr>
          <w:p>
            <w:pPr>
              <w:jc w:val="center"/>
              <w:ind w:left="30"/>
              <w:spacing w:after="0" w:line="177" w:lineRule="exact"/>
              <w:rPr>
                <w:sz w:val="20"/>
                <w:szCs w:val="20"/>
                <w:color w:val="auto"/>
              </w:rPr>
            </w:pPr>
            <w:r>
              <w:rPr>
                <w:rFonts w:ascii="Times New Roman" w:cs="Times New Roman" w:eastAsia="Times New Roman" w:hAnsi="Times New Roman"/>
                <w:sz w:val="18"/>
                <w:szCs w:val="18"/>
                <w:color w:val="auto"/>
                <w:w w:val="88"/>
              </w:rPr>
              <w:t>9</w:t>
            </w:r>
          </w:p>
        </w:tc>
        <w:tc>
          <w:tcPr>
            <w:tcW w:w="9040" w:type="dxa"/>
            <w:vAlign w:val="bottom"/>
          </w:tcPr>
          <w:p>
            <w:pPr>
              <w:ind w:left="12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4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8"/>
              </w:rPr>
              <w:t>REPORTING</w:t>
            </w:r>
          </w:p>
        </w:tc>
        <w:tc>
          <w:tcPr>
            <w:tcW w:w="560" w:type="dxa"/>
            <w:vAlign w:val="bottom"/>
          </w:tcPr>
          <w:p>
            <w:pPr>
              <w:spacing w:after="0"/>
              <w:rPr>
                <w:sz w:val="18"/>
                <w:szCs w:val="18"/>
                <w:color w:val="auto"/>
              </w:rPr>
            </w:pPr>
          </w:p>
        </w:tc>
        <w:tc>
          <w:tcPr>
            <w:tcW w:w="9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PERSON</w:t>
            </w:r>
          </w:p>
        </w:tc>
        <w:tc>
          <w:tcPr>
            <w:tcW w:w="560" w:type="dxa"/>
            <w:vAlign w:val="bottom"/>
          </w:tcPr>
          <w:p>
            <w:pPr>
              <w:spacing w:after="0"/>
              <w:rPr>
                <w:sz w:val="18"/>
                <w:szCs w:val="18"/>
                <w:color w:val="auto"/>
              </w:rPr>
            </w:pPr>
          </w:p>
        </w:tc>
        <w:tc>
          <w:tcPr>
            <w:tcW w:w="9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16,208,886*</w:t>
            </w:r>
          </w:p>
        </w:tc>
        <w:tc>
          <w:tcPr>
            <w:tcW w:w="0" w:type="dxa"/>
            <w:vAlign w:val="bottom"/>
          </w:tcPr>
          <w:p>
            <w:pPr>
              <w:spacing w:after="0"/>
              <w:rPr>
                <w:sz w:val="1"/>
                <w:szCs w:val="1"/>
                <w:color w:val="auto"/>
              </w:rPr>
            </w:pPr>
          </w:p>
        </w:tc>
      </w:tr>
      <w:tr>
        <w:trPr>
          <w:trHeight w:val="32"/>
        </w:trPr>
        <w:tc>
          <w:tcPr>
            <w:tcW w:w="1440" w:type="dxa"/>
            <w:vAlign w:val="bottom"/>
            <w:vMerge w:val="restart"/>
          </w:tcPr>
          <w:p>
            <w:pPr>
              <w:jc w:val="center"/>
              <w:ind w:right="90"/>
              <w:spacing w:after="0"/>
              <w:rPr>
                <w:sz w:val="20"/>
                <w:szCs w:val="20"/>
                <w:color w:val="auto"/>
              </w:rPr>
            </w:pPr>
            <w:r>
              <w:rPr>
                <w:rFonts w:ascii="Times New Roman" w:cs="Times New Roman" w:eastAsia="Times New Roman" w:hAnsi="Times New Roman"/>
                <w:sz w:val="18"/>
                <w:szCs w:val="18"/>
                <w:color w:val="auto"/>
                <w:w w:val="97"/>
              </w:rPr>
              <w:t>WITH</w:t>
            </w:r>
          </w:p>
        </w:tc>
        <w:tc>
          <w:tcPr>
            <w:tcW w:w="560" w:type="dxa"/>
            <w:vAlign w:val="bottom"/>
            <w:tcBorders>
              <w:bottom w:val="single" w:sz="8" w:color="auto"/>
            </w:tcBorders>
          </w:tcPr>
          <w:p>
            <w:pPr>
              <w:spacing w:after="0"/>
              <w:rPr>
                <w:sz w:val="2"/>
                <w:szCs w:val="2"/>
                <w:color w:val="auto"/>
              </w:rPr>
            </w:pPr>
          </w:p>
        </w:tc>
        <w:tc>
          <w:tcPr>
            <w:tcW w:w="9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1440" w:type="dxa"/>
            <w:vAlign w:val="bottom"/>
            <w:vMerge w:val="continue"/>
          </w:tcPr>
          <w:p>
            <w:pPr>
              <w:spacing w:after="0"/>
              <w:rPr>
                <w:sz w:val="19"/>
                <w:szCs w:val="19"/>
                <w:color w:val="auto"/>
              </w:rPr>
            </w:pPr>
          </w:p>
        </w:tc>
        <w:tc>
          <w:tcPr>
            <w:tcW w:w="5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10</w:t>
            </w:r>
          </w:p>
        </w:tc>
        <w:tc>
          <w:tcPr>
            <w:tcW w:w="9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8"/>
          <w:szCs w:val="18"/>
          <w:color w:val="auto"/>
        </w:rPr>
        <w:t>0</w:t>
      </w:r>
    </w:p>
    <w:p>
      <w:pPr>
        <w:spacing w:after="0" w:line="27" w:lineRule="exact"/>
        <w:rPr>
          <w:sz w:val="20"/>
          <w:szCs w:val="20"/>
          <w:color w:val="auto"/>
        </w:rPr>
      </w:pPr>
    </w:p>
    <w:p>
      <w:pPr>
        <w:ind w:left="680" w:right="4000" w:hanging="421"/>
        <w:spacing w:after="0" w:line="318" w:lineRule="auto"/>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16,208,886</w:t>
      </w:r>
      <w:r>
        <w:rPr>
          <w:rFonts w:ascii="Times New Roman" w:cs="Times New Roman" w:eastAsia="Times New Roman" w:hAnsi="Times New Roman"/>
          <w:sz w:val="29"/>
          <w:szCs w:val="29"/>
          <w:color w:val="auto"/>
          <w:vertAlign w:val="superscript"/>
        </w:rPr>
        <w:t>*</w:t>
      </w:r>
    </w:p>
    <w:p>
      <w:pPr>
        <w:spacing w:after="0" w:line="1" w:lineRule="exact"/>
        <w:rPr>
          <w:rFonts w:ascii="Times New Roman" w:cs="Times New Roman" w:eastAsia="Times New Roman" w:hAnsi="Times New Roman"/>
          <w:sz w:val="18"/>
          <w:szCs w:val="18"/>
          <w:color w:val="auto"/>
        </w:rPr>
      </w:pPr>
    </w:p>
    <w:p>
      <w:pPr>
        <w:ind w:left="680" w:hanging="425"/>
        <w:spacing w:after="0"/>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(11) EXCLUDES CERTAIN SHARES</w:t>
      </w:r>
    </w:p>
    <w:p>
      <w:pPr>
        <w:spacing w:after="0" w:line="164" w:lineRule="exact"/>
        <w:rPr>
          <w:rFonts w:ascii="Times New Roman" w:cs="Times New Roman" w:eastAsia="Times New Roman" w:hAnsi="Times New Roman"/>
          <w:sz w:val="18"/>
          <w:szCs w:val="18"/>
          <w:color w:val="auto"/>
        </w:rPr>
      </w:pPr>
    </w:p>
    <w:p>
      <w:pPr>
        <w:ind w:left="68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10" w:lineRule="exact"/>
        <w:rPr>
          <w:rFonts w:ascii="Times New Roman" w:cs="Times New Roman" w:eastAsia="Times New Roman" w:hAnsi="Times New Roman"/>
          <w:sz w:val="18"/>
          <w:szCs w:val="18"/>
          <w:color w:val="auto"/>
        </w:rPr>
      </w:pPr>
    </w:p>
    <w:p>
      <w:pPr>
        <w:ind w:left="680" w:right="5420" w:hanging="425"/>
        <w:spacing w:after="0" w:line="374" w:lineRule="auto"/>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 25.6%*</w:t>
      </w:r>
    </w:p>
    <w:p>
      <w:pPr>
        <w:spacing w:after="0" w:line="1" w:lineRule="exact"/>
        <w:rPr>
          <w:rFonts w:ascii="Times New Roman" w:cs="Times New Roman" w:eastAsia="Times New Roman" w:hAnsi="Times New Roman"/>
          <w:sz w:val="18"/>
          <w:szCs w:val="18"/>
          <w:color w:val="auto"/>
        </w:rPr>
      </w:pPr>
    </w:p>
    <w:p>
      <w:pPr>
        <w:ind w:left="680" w:right="8060" w:hanging="425"/>
        <w:spacing w:after="0" w:line="505" w:lineRule="auto"/>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IN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Item 5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Explanatory Note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Amendment No. 2 (this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amends and supplements the Schedule 13D filed by the Reporting Person with the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on October 12, 2022, as amended by Amendment No. 1 filed by the Reporting person with the SEC on February 6, 2024 (together, the “</w:t>
      </w:r>
      <w:r>
        <w:rPr>
          <w:rFonts w:ascii="Times New Roman" w:cs="Times New Roman" w:eastAsia="Times New Roman" w:hAnsi="Times New Roman"/>
          <w:sz w:val="18"/>
          <w:szCs w:val="18"/>
          <w:u w:val="single" w:color="auto"/>
          <w:color w:val="auto"/>
        </w:rPr>
        <w:t>Schedule 13D</w:t>
      </w:r>
      <w:r>
        <w:rPr>
          <w:rFonts w:ascii="Times New Roman" w:cs="Times New Roman" w:eastAsia="Times New Roman" w:hAnsi="Times New Roman"/>
          <w:sz w:val="18"/>
          <w:szCs w:val="18"/>
          <w:color w:val="auto"/>
        </w:rPr>
        <w:t>”). Except as specifically provided herein, this Amendment does not modify or amend any of the information previously reported on the Schedule 13D. Capitalized terms used and not otherwise defined herein shall have the meanings ascribed to such terms in the Schedule 13D. Information given in response to each item shall be deemed incorporated by reference in all other items, as applicable.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u w:val="single" w:color="auto"/>
          <w:color w:val="auto"/>
        </w:rPr>
        <w:t>Source and Amounts of Funds.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3 is hereby supplemented as follows: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Reporting Person acquired 567,407 restricted stock units (“</w:t>
      </w:r>
      <w:r>
        <w:rPr>
          <w:rFonts w:ascii="Times New Roman" w:cs="Times New Roman" w:eastAsia="Times New Roman" w:hAnsi="Times New Roman"/>
          <w:sz w:val="18"/>
          <w:szCs w:val="18"/>
          <w:u w:val="single" w:color="auto"/>
          <w:color w:val="auto"/>
        </w:rPr>
        <w:t>RSUs</w:t>
      </w:r>
      <w:r>
        <w:rPr>
          <w:rFonts w:ascii="Times New Roman" w:cs="Times New Roman" w:eastAsia="Times New Roman" w:hAnsi="Times New Roman"/>
          <w:sz w:val="18"/>
          <w:szCs w:val="18"/>
          <w:color w:val="auto"/>
        </w:rPr>
        <w:t>”) that will be settled in shares of Common Stock that were issued by the Issuer on April 12, 2024, in connection with the Reporting Person’s services performed as Chief Executive Officer of the Issuer for no additional consideration.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u w:val="single" w:color="auto"/>
          <w:color w:val="auto"/>
        </w:rPr>
        <w:t>Interest in Securities of the Issuer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5 of the Schedule 13D is amended and restated as follows: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contained in rows 7, 8, 9, 10, 11 and 13 of the cover page of this Amendment and the information set forth in or incorporated by reference in Item 3 and Item 6 of this Amendment and the Schedule 13D, as applicable, is hereby incorporated by reference in its entirety into this Item 5.</w:t>
      </w:r>
    </w:p>
    <w:p>
      <w:pPr>
        <w:spacing w:after="0" w:line="162" w:lineRule="exact"/>
        <w:rPr>
          <w:sz w:val="20"/>
          <w:szCs w:val="20"/>
          <w:color w:val="auto"/>
        </w:rPr>
      </w:pPr>
    </w:p>
    <w:p>
      <w:pPr>
        <w:jc w:val="both"/>
        <w:ind w:left="660" w:hanging="328"/>
        <w:spacing w:after="0" w:line="255"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Reporting Person directly owns 14,813,667 shares of Common Stock, and indirectly owns 1,217,906 shares of Common Stock through the Phares 2021 GRAT dated July 9, 2021, of which the Reporting Person is a trustee. The Reporting Person has also been granted (i) 177,313 options that have fully vested as of the filing date of this Schedule 13D (the “</w:t>
      </w:r>
      <w:r>
        <w:rPr>
          <w:rFonts w:ascii="Times New Roman" w:cs="Times New Roman" w:eastAsia="Times New Roman" w:hAnsi="Times New Roman"/>
          <w:sz w:val="18"/>
          <w:szCs w:val="18"/>
          <w:u w:val="single" w:color="auto"/>
          <w:color w:val="auto"/>
        </w:rPr>
        <w:t>Filing Date</w:t>
      </w:r>
      <w:r>
        <w:rPr>
          <w:rFonts w:ascii="Times New Roman" w:cs="Times New Roman" w:eastAsia="Times New Roman" w:hAnsi="Times New Roman"/>
          <w:sz w:val="18"/>
          <w:szCs w:val="18"/>
          <w:color w:val="auto"/>
        </w:rPr>
        <w:t>”) and (ii) 567,407 RSUs, none of which have settled or will settle within sixty days of the Filing Date. As a result, the Reporting Person is deemed to beneficially own 16,208,886 shares of Common Stock as of the Filing Date. The Reporting Person’s holdings represent an aggregate of approximately 25.6% of the Issuer’s issued and outstanding shares of Common Stock (based on 63,128,135 shares of Common Stock outstanding as of November 12, 2024, as reported in the Issuer’s Quarterly Report on Form 10-Q filed with the SEC on November 14, 2024).</w:t>
      </w:r>
    </w:p>
    <w:p>
      <w:pPr>
        <w:spacing w:after="0" w:line="188" w:lineRule="exact"/>
        <w:rPr>
          <w:rFonts w:ascii="Times New Roman" w:cs="Times New Roman" w:eastAsia="Times New Roman" w:hAnsi="Times New Roman"/>
          <w:sz w:val="18"/>
          <w:szCs w:val="18"/>
          <w:color w:val="auto"/>
        </w:rPr>
      </w:pPr>
    </w:p>
    <w:p>
      <w:pPr>
        <w:jc w:val="both"/>
        <w:ind w:left="6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August 13, 2024, the Reporting Person beneficially owned 16,208,886 shares of Common Stock, consisting of (i) 14,813,667 shares of Common Stock held directly, (ii) 1,217,906 shares of Common Stock held indirectly through the Phares 2021 GRAT dated July 9, 2021, of which the Reporting Person is a trustee, and (iii) 177,313 shares of Common Stock underlying options that were fully vested as of August 13, 2024. The Reporting Person had also been granted 567,407 RSUs, none of which settled within sixty days of August 13, 2024. The Reporting Person’s holdings represented an aggregate of approximately 25.8% of the Issuer’s issued and outstanding shares of Common Stock (based on 62,597,171 shares of Common Stock outstanding as of August 13, 2024, as reported in the Issuer’s Quarterly Report on Form 10-Q filed with the SEC on August 14, 2024).</w:t>
      </w:r>
    </w:p>
    <w:p>
      <w:pPr>
        <w:spacing w:after="0" w:line="189" w:lineRule="exact"/>
        <w:rPr>
          <w:sz w:val="20"/>
          <w:szCs w:val="20"/>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Reporting Person has the sole power to vote and dispose of 16,208,886 shares of Common Stock. The Reporting Person has the shared power to vote or dispose of zero (0) shares of Common Stock.</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were no transactions by the Reporting Person in shares of Common Stock during the period commencing sixty (60) days prior the filing of this Amendment.</w:t>
      </w:r>
    </w:p>
    <w:p>
      <w:pPr>
        <w:spacing w:after="0" w:line="162"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There were no transactions by the Reporting Person in shares of Common Stock during the period commencing sixty (60) days prior to August 13, 2024.</w:t>
      </w:r>
    </w:p>
    <w:p>
      <w:pPr>
        <w:spacing w:after="0" w:line="162"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 w:name="page4"/>
    <w:bookmarkEnd w:id="3"/>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21, 2024</w:t>
      </w:r>
    </w:p>
    <w:p>
      <w:pPr>
        <w:spacing w:after="0" w:line="2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Denis Phares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Denis Phares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060"/>
      </w:cols>
      <w:pgMar w:left="320" w:top="657"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bullet"/>
      <w:start w:val="1"/>
    </w:lvl>
  </w:abstractNum>
  <w:abstractNum w:abstractNumId="2">
    <w:nsid w:val="41B71EFB"/>
    <w:multiLevelType w:val="hybridMultilevel"/>
    <w:lvl w:ilvl="0">
      <w:lvlJc w:val="left"/>
      <w:lvlText w:val="2"/>
      <w:numFmt w:val="bullet"/>
      <w:start w:val="1"/>
    </w:lvl>
  </w:abstractNum>
  <w:abstractNum w:abstractNumId="3">
    <w:nsid w:val="79E2A9E3"/>
    <w:multiLevelType w:val="hybridMultilevel"/>
    <w:lvl w:ilvl="0">
      <w:lvlJc w:val="left"/>
      <w:lvlText w:val="3"/>
      <w:numFmt w:val="bullet"/>
      <w:start w:val="1"/>
    </w:lvl>
  </w:abstractNum>
  <w:abstractNum w:abstractNumId="4">
    <w:nsid w:val="7545E146"/>
    <w:multiLevelType w:val="hybridMultilevel"/>
    <w:lvl w:ilvl="0">
      <w:lvlJc w:val="left"/>
      <w:lvlText w:val="4"/>
      <w:numFmt w:val="bullet"/>
      <w:start w:val="1"/>
    </w:lvl>
  </w:abstractNum>
  <w:abstractNum w:abstractNumId="5">
    <w:nsid w:val="515F007C"/>
    <w:multiLevelType w:val="hybridMultilevel"/>
    <w:lvl w:ilvl="0">
      <w:lvlJc w:val="left"/>
      <w:lvlText w:val="5"/>
      <w:numFmt w:val="bullet"/>
      <w:start w:val="1"/>
    </w:lvl>
  </w:abstractNum>
  <w:abstractNum w:abstractNumId="6">
    <w:nsid w:val="5BD062C2"/>
    <w:multiLevelType w:val="hybridMultilevel"/>
    <w:lvl w:ilvl="0">
      <w:lvlJc w:val="left"/>
      <w:lvlText w:val="6"/>
      <w:numFmt w:val="bullet"/>
      <w:start w:val="1"/>
    </w:lvl>
  </w:abstractNum>
  <w:abstractNum w:abstractNumId="7">
    <w:nsid w:val="12200854"/>
    <w:multiLevelType w:val="hybridMultilevel"/>
    <w:lvl w:ilvl="0">
      <w:lvlJc w:val="left"/>
      <w:lvlText w:val="%1"/>
      <w:numFmt w:val="decimal"/>
      <w:start w:val="11"/>
    </w:lvl>
  </w:abstractNum>
  <w:abstractNum w:abstractNumId="8">
    <w:nsid w:val="4DB127F8"/>
    <w:multiLevelType w:val="hybridMultilevel"/>
    <w:lvl w:ilvl="0">
      <w:lvlJc w:val="left"/>
      <w:lvlText w:val="%1)"/>
      <w:numFmt w:val="lowerLetter"/>
      <w:start w:val="1"/>
    </w:lvl>
  </w:abstractNum>
  <w:abstractNum w:abstractNumId="9">
    <w:nsid w:val="216231B"/>
    <w:multiLevelType w:val="hybridMultilevel"/>
    <w:lvl w:ilvl="0">
      <w:lvlJc w:val="left"/>
      <w:lvlText w:val="(%1)"/>
      <w:numFmt w:val="lowerLetter"/>
      <w:start w:val="2"/>
    </w:lvl>
  </w:abstractNum>
  <w:abstractNum w:abstractNumId="10">
    <w:nsid w:val="1F16E9E8"/>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2024-11-21T17:15:27Z</dcterms:created>
  <dcterms:modified xsi:type="dcterms:W3CDTF">2024-11-21T17:15:27Z</dcterms:modified>
</cp:coreProperties>
</file>