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405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May 14,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4"/>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40514"/>
            <w:bookmarkEnd w:id="6"/>
            <w:r>
              <w:rPr>
                <w:rFonts w:ascii="Times New Roman;Times;Serif" w:hAnsi="Times New Roman;Times;Serif"/>
                <w:b/>
                <w:i w:val="false"/>
                <w:caps w:val="false"/>
                <w:smallCaps w:val="false"/>
                <w:sz w:val="20"/>
              </w:rPr>
              <w:t>001-40730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1190 Trademark Drive, </w:t>
            </w:r>
            <w:bookmarkStart w:id="9" w:name="xdx_90E_edei--EntityAddressAddressLine2_"/>
            <w:bookmarkEnd w:id="9"/>
            <w:r>
              <w:rPr>
                <w:rFonts w:ascii="Times New Roman;Times;Serif" w:hAnsi="Times New Roman;Times;Serif"/>
                <w:b/>
                <w:i w:val="false"/>
                <w:caps w:val="false"/>
                <w:smallCaps w:val="false"/>
                <w:sz w:val="20"/>
              </w:rPr>
              <w:t>#108</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Reno, </w:t>
            </w:r>
            <w:bookmarkStart w:id="11" w:name="xdx_90F_edei--EntityAddressStateOrProvin"/>
            <w:bookmarkEnd w:id="11"/>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0_edei--EntityAddressPostalZipCode"/>
            <w:bookmarkEnd w:id="12"/>
            <w:r>
              <w:rPr>
                <w:rFonts w:ascii="Times New Roman;Times;Serif" w:hAnsi="Times New Roman;Times;Serif"/>
                <w:b/>
                <w:i w:val="false"/>
                <w:caps w:val="false"/>
                <w:smallCaps w:val="false"/>
                <w:sz w:val="20"/>
              </w:rPr>
              <w:t>89521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3" w:name="xdx_90B_edei--CityAreaCode_c20240514__20"/>
      <w:bookmarkEnd w:id="13"/>
      <w:r>
        <w:rPr>
          <w:rFonts w:ascii="Times New Roman;Times;Serif" w:hAnsi="Times New Roman;Times;Serif"/>
          <w:b/>
          <w:i w:val="false"/>
          <w:caps w:val="false"/>
          <w:smallCaps w:val="false"/>
          <w:sz w:val="20"/>
          <w:u w:val="single"/>
        </w:rPr>
        <w:t xml:space="preserve">(775) </w:t>
      </w:r>
      <w:bookmarkStart w:id="14" w:name="xdx_90D_edei--LocalPhoneNumber_c20240514"/>
      <w:bookmarkEnd w:id="14"/>
      <w:r>
        <w:rPr>
          <w:rFonts w:ascii="Times New Roman;Times;Serif" w:hAnsi="Times New Roman;Times;Serif"/>
          <w:b/>
          <w:i w:val="false"/>
          <w:caps w:val="false"/>
          <w:smallCaps w:val="false"/>
          <w:sz w:val="20"/>
          <w:u w:val="single"/>
        </w:rPr>
        <w:t>622-3448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0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F_edei--SolicitingMaterial_c202405"/>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5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8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68"/>
        <w:gridCol w:w="60"/>
        <w:gridCol w:w="1233"/>
        <w:gridCol w:w="60"/>
        <w:gridCol w:w="2584"/>
      </w:tblGrid>
      <w:tr>
        <w:trPr/>
        <w:tc>
          <w:tcPr>
            <w:tcW w:w="6268"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Security12bTitle_c20240514"/>
            <w:bookmarkEnd w:id="19"/>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40514__2"/>
            <w:bookmarkEnd w:id="20"/>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9_edei--SecurityExchangeName_c2024"/>
            <w:bookmarkEnd w:id="21"/>
            <w:r>
              <w:rPr>
                <w:rFonts w:ascii="Times New Roman;Times;Serif" w:hAnsi="Times New Roman;Times;Serif"/>
                <w:b w:val="false"/>
                <w:i w:val="false"/>
                <w:caps w:val="false"/>
                <w:smallCaps w:val="false"/>
                <w:sz w:val="20"/>
              </w:rPr>
              <w:t>Nasdaq Global Market</w:t>
            </w:r>
          </w:p>
        </w:tc>
      </w:tr>
      <w:tr>
        <w:trPr/>
        <w:tc>
          <w:tcPr>
            <w:tcW w:w="6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Security12bTitle_c20240514"/>
            <w:bookmarkEnd w:id="22"/>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5_edei--TradingSymbol_c20240514__2"/>
            <w:bookmarkEnd w:id="23"/>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5_edei--SecurityExchangeName_c2024"/>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9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D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2024, Dragonfly Energy Holdings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an earnings release disclosing certain information regarding its results of operations for the first quarter ended March 31, 2024. As previously announced, following the publication of the press release, the Company will host an earnings call at 5:00 p.m. (Eastern Time) on May 14, 2024, via a webcast. During the webcast, the Company’s financial results for the first quarter ended March 31, 2024 will be discussed. A copy of the press release is attached as Exhibit 99.1 hereto and incorporated in this Item 2.02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2024, the Company posted presentation materials (the “</w:t>
      </w:r>
      <w:r>
        <w:rPr>
          <w:rFonts w:ascii="Times New Roman;Times;Serif" w:hAnsi="Times New Roman;Times;Serif"/>
          <w:b w:val="false"/>
          <w:i w:val="false"/>
          <w:caps w:val="false"/>
          <w:smallCaps w:val="false"/>
          <w:sz w:val="20"/>
          <w:u w:val="single"/>
        </w:rPr>
        <w:t>Investor Presentation</w:t>
      </w:r>
      <w:r>
        <w:rPr>
          <w:rFonts w:ascii="Times New Roman;Times;Serif" w:hAnsi="Times New Roman;Times;Serif"/>
          <w:b w:val="false"/>
          <w:i w:val="false"/>
          <w:caps w:val="false"/>
          <w:smallCaps w:val="false"/>
          <w:sz w:val="20"/>
        </w:rPr>
        <w:t>”) on the Investor Relations section of its website, which is located at </w:t>
      </w:r>
      <w:r>
        <w:rPr>
          <w:rFonts w:ascii="Times New Roman;Times;Serif" w:hAnsi="Times New Roman;Times;Serif"/>
          <w:b w:val="false"/>
          <w:i w:val="false"/>
          <w:caps w:val="false"/>
          <w:smallCaps w:val="false"/>
          <w:sz w:val="20"/>
          <w:u w:val="single"/>
        </w:rPr>
        <w:t>https://investors.dragonflyenergy.com/events-and-presentations/default.aspx</w:t>
      </w:r>
      <w:r>
        <w:rPr>
          <w:rFonts w:ascii="Times New Roman;Times;Serif" w:hAnsi="Times New Roman;Times;Serif"/>
          <w:b w:val="false"/>
          <w:i w:val="false"/>
          <w:caps w:val="false"/>
          <w:smallCaps w:val="false"/>
          <w:sz w:val="20"/>
        </w:rPr>
        <w:t>. A copy of the Investor Presentation is attached as Exhibit 99.2 hereto.</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2.02 Results of Operation and Financial Condition”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Items 2.02 and 7.01, including the information contained in Exhibits 99.1 and 99.2, is being furnished to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and shall not be deemed to be “filed” for the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980"/>
        <w:gridCol w:w="60"/>
        <w:gridCol w:w="6530"/>
      </w:tblGrid>
      <w:tr>
        <w:trPr/>
        <w:tc>
          <w:tcPr>
            <w:tcW w:w="9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Dragonfly Energy Holdings Corp., dated May 14, 2024.</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Investor Presentation</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025" w:type="dxa"/>
        <w:jc w:val="left"/>
        <w:tblInd w:w="0" w:type="dxa"/>
        <w:tblLayout w:type="fixed"/>
        <w:tblCellMar>
          <w:top w:w="0" w:type="dxa"/>
          <w:left w:w="0" w:type="dxa"/>
          <w:bottom w:w="0" w:type="dxa"/>
          <w:right w:w="0" w:type="dxa"/>
        </w:tblCellMar>
      </w:tblPr>
      <w:tblGrid>
        <w:gridCol w:w="1760"/>
        <w:gridCol w:w="590"/>
        <w:gridCol w:w="567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2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14, 2024</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center"/>
        <w:rPr>
          <w:caps w:val="false"/>
          <w:smallCaps w:val="false"/>
        </w:rPr>
      </w:pPr>
      <w:bookmarkStart w:id="27" w:name="ex99-1.htm"/>
      <w:bookmarkStart w:id="28" w:name="ksex991"/>
      <w:bookmarkEnd w:id="27"/>
      <w:bookmarkEnd w:id="28"/>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drawing>
          <wp:inline distT="0" distB="0" distL="0" distR="0">
            <wp:extent cx="18954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419100"/>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Reports First Quarter 2024 Financial and Operational Results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Dragonfly Energy has continued its expansion into the trucking industry, taking new orders for both its Battle Born</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All-Electric APUs and Battle Born</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Liftgate Power Systems from fleet operators since the beginning of 2024.</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 is announcing certification of its energy storage products for use in oil &amp; gas operations in North America, and identification of first customer within the sector.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 anticipates a continuing recovery in the RV market throughout 2024, which is expected to benefit the OEM business line, particularly with ongoing market share growth.</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RENO, NEVADA (May 14, 2024)</w:t>
      </w:r>
      <w:r>
        <w:rPr>
          <w:rFonts w:ascii="Times New Roman;Times;Serif" w:hAnsi="Times New Roman;Times;Serif"/>
          <w:b w:val="false"/>
          <w:i w:val="false"/>
          <w:caps w:val="false"/>
          <w:smallCaps w:val="false"/>
          <w:sz w:val="20"/>
        </w:rPr>
        <w:t xml:space="preserve"> — Dragonfly Energy Holdings Corp. (“Dragonfly Energy” or the “Company”) (Nasdaq: DFLI), maker of Battle Born Batteries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an industry leader in energy storage, today reported its financial and operational results for the first quarter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2024 Financial Highlights</w:t>
      </w:r>
    </w:p>
    <w:p>
      <w:pPr>
        <w:pStyle w:val="TextBody"/>
        <w:bidi w:val="0"/>
        <w:spacing w:before="0" w:after="0"/>
        <w:ind w:left="0"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$12.5 million, compared to $18.8 million in Q1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$3.1 million, compared to $4.7 million in Q1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$(8.9) million, compared to $(14.6) million in Q1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of $(10.4) million, compared to Net Income of $4.8 million in Q1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Loss per share was $(0.17), compared to Net Income of $0.10 per share in Q1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was $(5.3) million, compared to $8.9 million in Q1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was $(5.2) million, compared to $(5.1) million in Q1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and Business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begun taking orders for its Battle Born</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val="false"/>
                <w:caps w:val="false"/>
                <w:smallCaps w:val="false"/>
                <w:sz w:val="20"/>
              </w:rPr>
              <w:t xml:space="preserve"> All-Electric auxiliary power units (“APUs”) and Battle Born</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val="false"/>
                <w:caps w:val="false"/>
                <w:smallCaps w:val="false"/>
                <w:sz w:val="20"/>
              </w:rPr>
              <w:t xml:space="preserve"> Liftgate Power Systems from trucking providers and fleet operators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announced certification of the Company’s energy storage products for use in oil &amp; gas operations in North America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partnership with the National Forest Foundation to plant trees in honor of Earth Day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the results of a cost and sustainability assessment of the Company’s patented dry electrode battery manufacturing process, which concluded that Dragonfly Energy’s process was significantly more sustainable than conventional battery cell manufacturing processes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partnership with Velociti Inc. to provide the Company’s customers access to Velociti’s Instant ROI and VeloCare programs when deploying its Battle Born</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val="false"/>
                <w:caps w:val="false"/>
                <w:smallCaps w:val="false"/>
                <w:sz w:val="20"/>
              </w:rPr>
              <w:t xml:space="preserve"> All-Electric APU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Announced receipt of the Business of the Year award for 2024 at the annual Nevada Business Awards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the successful production of lithium battery cells with PFAS-free electrodes, in anticipation of tightening regulation of “forever chemicals”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incredibly excited about where Dragonfly Energy stands right now as a company and our opportunities for growth over the long-term,” said Dr. Denis Phares, Chief Executive Officer of Dragonfly Energy. “Combining a valuable brand, a robust intellectual property portfolio, a recovering core market, and the potential for rapid expansion into significant adjacent markets we believe uniquely positions us to further transform the battery industry. Our focus remains on the cost-effective domestic manufacturing of lithium battery cells, a technology we expect will be a critical component of the global energy landscape for decades to come.”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2024 Financial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2024 Net Sales were $12.5 million, compared to $18.8 million in the first quarter of 2023. This decrease was primarily due to lower battery and accessory sales offset by a higher average sales price. For the first quarter 2024, direct-to-consumers (“DTC”) net sales decreased by $4.8 million, compared to $10.0 million in the first quarter of 2023 due to decreased customer demand for our products due to rising interest rates and inflation. Original equipment manufacturers (“OEM”) revenue decreased by $1.5 million, compared to $8.7 million in the first quarter of 2023 primarily due to the Company’s largest RV customer changing the Company’s product from a standard offering to an option. Excluding this customer, RV OEM sales were up 69% year over year for the first quarter 2024, largely due to sales to new customers such as Forest River, as well as standardization expansion of the Battle Born Batteries</w:t>
      </w:r>
      <w:r>
        <w:rPr>
          <w:rFonts w:ascii="Times New Roman;Times;Serif" w:hAnsi="Times New Roman;Times;Serif"/>
          <w:b w:val="false"/>
          <w:i/>
          <w:caps w:val="false"/>
          <w:smallCaps w:val="false"/>
          <w:position w:val="7"/>
          <w:sz w:val="16"/>
          <w:sz w:val="20"/>
        </w:rPr>
        <w:t xml:space="preserve">® </w:t>
      </w:r>
      <w:r>
        <w:rPr>
          <w:rFonts w:ascii="Times New Roman;Times;Serif" w:hAnsi="Times New Roman;Times;Serif"/>
          <w:b w:val="false"/>
          <w:i w:val="false"/>
          <w:caps w:val="false"/>
          <w:smallCaps w:val="false"/>
          <w:sz w:val="20"/>
        </w:rPr>
        <w:t>Brand of products across Airstream and nuCamp’s product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2024 Gross Profit was $3.1 million, compared to $4.7 million in the first quarter of 2023. The decrease in the Company’s gross profit was primarily due to a lower unit volume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 the first quarter of 2024 were $(8.9) million, compared to $(14.6) million in the first quarter of 2023. The decrease was primarily driven by reduced headcount, lower shipping costs, lower legal costs, and lower overall stock-based compensation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in the first quarter of 2024 was $(4.5) million, compared to Total Other Income of $14.7 million in the first quarter of 2023. Other expense of $(4.5) million in the quarter ended March 31, 2024 is comprised primarily of interest expense of $4.8 million related to our debt securities offset by a change in fair market value of warrant liability in the amount of $0.2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 Net Loss of $(10.4) million, or $(0.17) per diluted share in the first quarter of 2024, compared to Net Income of $4.8 million or $0.10 per diluted share in the first quarter of 2023. This result was driven by lower sales partially offset by lower cost of goods sold, and lower operating expenses, and a decrease in other income (due to the change in fair market value of the Company’s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in the first quarter of 2024 was $(5.3) million, compared to $8.9 million in the first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2024, Adjusted EBITDA excluding stock-based compensation, changes in the fair market value of the Company’s warrants, and other one-time expenses, was a $(5.2) million, compared to a $(5.1) million for the first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ended the first quarter with $8.5 million in cash, down from $12.7 million that was available as of the end year ended 2023. Dragonfly Energy’s uses of cash in the first quarter of 2024 included payment for critical cell manufacturing equipment, as well as acceleration of payments to vendors, who the Company sees as crucial partners as it expands into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$150 million equity line of credit remains effectively unutilized. The Company believes that it controls appropriate levers to manage its liquidity position and enable it to execute on plans to enter new markets, take advantage of new opportunities, and continue research and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 &amp; Gas Market Entry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proud to announce that it has achieved full certification for its energy storage products to be deployed for use in oil &amp; gas operations in North America. As a result of this certification, the Company is pleased to announce it is working with its previously announced partner, Connexa Energy Company (“Connexa”), to deliver a power product to market leading natural gas compressor packager Alegacy Equipment and their dedicated affiliate Agnes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 system, which Connexa will integrate, will be used in natural gas compression equipment to reduce methane emissions across the oilfield. The Company expects the first of these systems to be deployed over the summer.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expects this new business line to begin contributing to net sales by the fourth quarter of 2024.</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2024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RV market is showing signs of recovery. In addition, the Company believes that its entry into the heavy-duty trucking market, while still in its early stages, is gaining traction and has the potential to be a more meaningful revenue contributor in the second half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Q2 2024 Guidance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are expected to range between $14.0 - $15.0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is expected in the range of 24.0% - 26.0%</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are expected to be in a range of $(8.5) - $(9.5)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is expected be an expense in the range of $(3.0) – $(4.0)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is expected to be between $(8.0) - $(10.0) million for the second quarter of 2024, or $(0.13) - $(0.16) per share based on approximately 61.0 million shares outstanding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Dragonfly Energy management team will host a conference call to discuss its first quarter 2024 financial and operational results this afternoon, Tuesday, May 14, 2024, at 5:00 pm E.T. The call can be accessed live via webcast by clicking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through the Events and Presentations page within the Investor Relations section of Dragonfly Energy’s website at </w:t>
      </w:r>
      <w:r>
        <w:rPr>
          <w:rFonts w:ascii="Times New Roman;Times;Serif" w:hAnsi="Times New Roman;Times;Serif"/>
          <w:b w:val="false"/>
          <w:i w:val="false"/>
          <w:caps w:val="false"/>
          <w:smallCaps w:val="false"/>
          <w:sz w:val="20"/>
          <w:u w:val="single"/>
        </w:rPr>
        <w:t xml:space="preserve">https://investors.dragonflyenergy.com/events-and-presentations/default.aspx. </w:t>
      </w:r>
      <w:r>
        <w:rPr>
          <w:rFonts w:ascii="Times New Roman;Times;Serif" w:hAnsi="Times New Roman;Times;Serif"/>
          <w:b w:val="false"/>
          <w:i w:val="false"/>
          <w:caps w:val="false"/>
          <w:smallCaps w:val="false"/>
          <w:sz w:val="20"/>
        </w:rPr>
        <w:t>The call can also be accessed live via telephone by dialing (646) 564-2877, toll-free in North America (800) 549-8228, or for international callers +1 (289) 819-1520, and referencing conference ID: 23810. Please log in to the webcast or dial in to the call at least 10 minutes prior to the start of the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archive of the webcast will be available for a period of time shortly after the call on the Events and Presentations page on the Investor Relations section of Dragonfly Energy’s website, along with the earnings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Dragonfly Energy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about Dragonfly Energy and its commitment to clean energy advancements, visit </w:t>
      </w:r>
      <w:r>
        <w:rPr>
          <w:rFonts w:ascii="Times New Roman;Times;Serif" w:hAnsi="Times New Roman;Times;Serif"/>
          <w:b w:val="false"/>
          <w:i w:val="false"/>
          <w:caps w:val="false"/>
          <w:smallCaps w:val="false"/>
          <w:sz w:val="20"/>
          <w:u w:val="single"/>
        </w:rPr>
        <w:t>www.dragonflyenergy.com/investors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2024,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access capital as and when needed under its $150 million ChEF Equity Facility;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achieve the anticipated benefits of its customer arrangements with THOR Industries and THOR Industries’ affiliated brands (including Keystone RV Company); the impact of the coronavirus disease pandemic, including any mutations or variants thereof and/or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2023 to be filed with the SEC and in the Company’s subsequent filings with the SEC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Caldwell Bailey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Inc.</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DragonflyIR@icrinc.com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73"/>
        <w:gridCol w:w="60"/>
        <w:gridCol w:w="180"/>
        <w:gridCol w:w="970"/>
        <w:gridCol w:w="95"/>
        <w:gridCol w:w="60"/>
        <w:gridCol w:w="211"/>
        <w:gridCol w:w="1144"/>
        <w:gridCol w:w="112"/>
      </w:tblGrid>
      <w:tr>
        <w:trPr/>
        <w:tc>
          <w:tcPr>
            <w:tcW w:w="73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60" w:type="dxa"/>
            <w:gridSpan w:val="6"/>
            <w:tcBorders>
              <w:bottom w:val="single" w:sz="12" w:space="0" w:color="000000"/>
            </w:tcBorders>
            <w:tcMar>
              <w:bottom w:w="28" w:type="dxa"/>
            </w:tcMar>
            <w:vAlign w:val="center"/>
          </w:tcPr>
          <w:p>
            <w:pPr>
              <w:pStyle w:val="TableContents"/>
              <w:bidi w:val="0"/>
              <w:spacing w:before="0" w:after="283"/>
              <w:jc w:val="center"/>
              <w:rPr/>
            </w:pPr>
            <w:r>
              <w:rPr/>
              <w:t>As of</w:t>
            </w:r>
          </w:p>
        </w:tc>
        <w:tc>
          <w:tcPr>
            <w:tcW w:w="112" w:type="dxa"/>
            <w:tcBorders/>
            <w:vAlign w:val="center"/>
          </w:tcPr>
          <w:p>
            <w:pPr>
              <w:pStyle w:val="TableContents"/>
              <w:bidi w:val="0"/>
              <w:spacing w:before="0" w:after="283"/>
              <w:jc w:val="center"/>
              <w:rPr/>
            </w:pPr>
            <w:r>
              <w:rPr/>
              <w:t> </w:t>
            </w:r>
          </w:p>
        </w:tc>
      </w:tr>
      <w:tr>
        <w:trPr/>
        <w:tc>
          <w:tcPr>
            <w:tcW w:w="73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0" w:type="dxa"/>
            <w:gridSpan w:val="2"/>
            <w:tcBorders>
              <w:bottom w:val="single" w:sz="12" w:space="0" w:color="000000"/>
            </w:tcBorders>
            <w:tcMar>
              <w:bottom w:w="28" w:type="dxa"/>
            </w:tcMar>
            <w:vAlign w:val="center"/>
          </w:tcPr>
          <w:p>
            <w:pPr>
              <w:pStyle w:val="TableContents"/>
              <w:bidi w:val="0"/>
              <w:spacing w:before="0" w:after="283"/>
              <w:jc w:val="center"/>
              <w:rPr/>
            </w:pPr>
            <w:r>
              <w:rPr/>
              <w:t>March 31,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pPr>
            <w:r>
              <w:rPr/>
              <w:t>December 31, 2023</w:t>
            </w:r>
          </w:p>
        </w:tc>
        <w:tc>
          <w:tcPr>
            <w:tcW w:w="112" w:type="dxa"/>
            <w:tcBorders/>
            <w:vAlign w:val="center"/>
          </w:tcPr>
          <w:p>
            <w:pPr>
              <w:pStyle w:val="TableContents"/>
              <w:bidi w:val="0"/>
              <w:spacing w:before="0" w:after="283"/>
              <w:jc w:val="center"/>
              <w:rPr/>
            </w:pPr>
            <w:r>
              <w:rPr/>
              <w:t> </w:t>
            </w:r>
          </w:p>
        </w:tc>
      </w:tr>
      <w:tr>
        <w:trPr/>
        <w:tc>
          <w:tcPr>
            <w:tcW w:w="7373"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970" w:type="dxa"/>
            <w:tcBorders/>
            <w:shd w:fill="FFFFFF" w:val="clear"/>
            <w:vAlign w:val="center"/>
          </w:tcPr>
          <w:p>
            <w:pPr>
              <w:pStyle w:val="TableContents"/>
              <w:bidi w:val="0"/>
              <w:spacing w:before="0" w:after="283"/>
              <w:jc w:val="right"/>
              <w:rPr/>
            </w:pPr>
            <w:r>
              <w:rPr/>
              <w:t>8,501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1144" w:type="dxa"/>
            <w:tcBorders/>
            <w:shd w:fill="FFFFFF" w:val="clear"/>
            <w:vAlign w:val="center"/>
          </w:tcPr>
          <w:p>
            <w:pPr>
              <w:pStyle w:val="TableContents"/>
              <w:bidi w:val="0"/>
              <w:spacing w:before="0" w:after="283"/>
              <w:jc w:val="right"/>
              <w:rPr/>
            </w:pPr>
            <w:r>
              <w:rPr/>
              <w:t>12,713</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pPr>
            <w:r>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1,639</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33,578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38,778</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843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772</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1,468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1,381</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519</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pPr>
            <w:r>
              <w:rPr/>
              <w:t>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118</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47,691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55,920</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16,770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15,969</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Operating lease right of use asset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pPr>
            <w:r>
              <w:rPr/>
              <w:t>23,988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3,315</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88,449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75,204</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970" w:type="dxa"/>
            <w:tcBorders/>
            <w:shd w:fill="FFFFFF" w:val="clear"/>
            <w:vAlign w:val="center"/>
          </w:tcPr>
          <w:p>
            <w:pPr>
              <w:pStyle w:val="TableContents"/>
              <w:bidi w:val="0"/>
              <w:spacing w:before="0" w:after="283"/>
              <w:jc w:val="right"/>
              <w:rPr/>
            </w:pPr>
            <w:r>
              <w:rPr/>
              <w:t>9,550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1144" w:type="dxa"/>
            <w:tcBorders/>
            <w:shd w:fill="FFFFFF" w:val="clear"/>
            <w:vAlign w:val="center"/>
          </w:tcPr>
          <w:p>
            <w:pPr>
              <w:pStyle w:val="TableContents"/>
              <w:bidi w:val="0"/>
              <w:spacing w:before="0" w:after="283"/>
              <w:jc w:val="right"/>
              <w:rPr/>
            </w:pPr>
            <w:r>
              <w:rPr/>
              <w:t>10,258</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pPr>
            <w:r>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8,295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7,107</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1,713</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201</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Uncertain tax position liability</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91</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pPr>
            <w:r>
              <w:rPr/>
              <w:t>Notes payable, net of deferred financing fees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21,837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19,683</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1,682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1,288</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pPr>
            <w:r>
              <w:rPr/>
              <w:t>Financing lease liability, current portion</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pPr>
            <w:r>
              <w:rPr/>
              <w:t>43,523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40,377</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b/>
              </w:rPr>
            </w:pPr>
            <w:r>
              <w:rPr>
                <w:b/>
              </w:rPr>
              <w:t>Long-Term Liabilities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4,227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4,463</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pPr>
            <w:r>
              <w:rPr/>
              <w:t>Accrued expenses, long-term</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152</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22,763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2,234</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pPr>
            <w:r>
              <w:rPr/>
              <w:t>Financing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66</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pPr>
            <w:r>
              <w:rPr/>
              <w:t>27,115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6,915</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47,292</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Preferred stock, 5,000,000 shares at $0.0001 par value, authorized, no shares issued and outstanding as of March 31, 2024 and December 31, 2023, respectively</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pPr>
            <w:r>
              <w:rPr/>
              <w:t>Common stock, 250,000,000 shares at $0.0001 par value, authorized, 60,260,282 shares issued and outstanding as of March 31, 2024 and December 31, 2023, respectively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6</w:t>
            </w:r>
          </w:p>
        </w:tc>
        <w:tc>
          <w:tcPr>
            <w:tcW w:w="112" w:type="dxa"/>
            <w:tcBorders/>
            <w:shd w:fill="FFFFFF" w:val="clear"/>
            <w:vAlign w:val="center"/>
          </w:tcPr>
          <w:p>
            <w:pPr>
              <w:pStyle w:val="TableContents"/>
              <w:bidi w:val="0"/>
              <w:spacing w:before="0" w:after="283"/>
              <w:jc w:val="left"/>
              <w:rPr/>
            </w:pPr>
            <w:r>
              <w:rPr/>
              <w:t> </w:t>
            </w:r>
          </w:p>
        </w:tc>
      </w:tr>
      <w:tr>
        <w:trPr/>
        <w:tc>
          <w:tcPr>
            <w:tcW w:w="7373"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69,711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69,445</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pPr>
            <w:r>
              <w:rPr/>
              <w:t>Retained deficit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pPr>
            <w:r>
              <w:rPr/>
              <w:t>(51,906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(41,539</w:t>
            </w:r>
          </w:p>
        </w:tc>
        <w:tc>
          <w:tcPr>
            <w:tcW w:w="112" w:type="dxa"/>
            <w:tcBorders/>
            <w:shd w:fill="FFFFFF" w:val="clear"/>
            <w:vAlign w:val="center"/>
          </w:tcPr>
          <w:p>
            <w:pPr>
              <w:pStyle w:val="TableContents"/>
              <w:bidi w:val="0"/>
              <w:spacing w:before="0" w:after="283"/>
              <w:jc w:val="left"/>
              <w:rPr/>
            </w:pPr>
            <w:r>
              <w:rPr/>
              <w:t>)</w:t>
            </w:r>
          </w:p>
        </w:tc>
      </w:tr>
      <w:tr>
        <w:trPr/>
        <w:tc>
          <w:tcPr>
            <w:tcW w:w="7373"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27,912</w:t>
            </w:r>
          </w:p>
        </w:tc>
        <w:tc>
          <w:tcPr>
            <w:tcW w:w="112" w:type="dxa"/>
            <w:tcBorders/>
            <w:shd w:fill="CCEEFF" w:val="clear"/>
            <w:vAlign w:val="center"/>
          </w:tcPr>
          <w:p>
            <w:pPr>
              <w:pStyle w:val="TableContents"/>
              <w:bidi w:val="0"/>
              <w:spacing w:before="0" w:after="283"/>
              <w:jc w:val="left"/>
              <w:rPr/>
            </w:pPr>
            <w:r>
              <w:rPr/>
              <w:t> </w:t>
            </w:r>
          </w:p>
        </w:tc>
      </w:tr>
      <w:tr>
        <w:trPr/>
        <w:tc>
          <w:tcPr>
            <w:tcW w:w="7373"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88,449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75,204</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Interim Consolidated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7265" w:type="dxa"/>
        <w:jc w:val="left"/>
        <w:tblInd w:w="0" w:type="dxa"/>
        <w:tblLayout w:type="fixed"/>
        <w:tblCellMar>
          <w:top w:w="0" w:type="dxa"/>
          <w:left w:w="0" w:type="dxa"/>
          <w:bottom w:w="0" w:type="dxa"/>
          <w:right w:w="0" w:type="dxa"/>
        </w:tblCellMar>
      </w:tblPr>
      <w:tblGrid>
        <w:gridCol w:w="4460"/>
        <w:gridCol w:w="60"/>
        <w:gridCol w:w="140"/>
        <w:gridCol w:w="1100"/>
        <w:gridCol w:w="95"/>
        <w:gridCol w:w="60"/>
        <w:gridCol w:w="140"/>
        <w:gridCol w:w="1100"/>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center"/>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18,791</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14,124</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4,667</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880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9,495</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2,744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4,184</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14,559</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(5,839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(9,892</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(3,856</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18,523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(4,528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14,667</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Net (Loss) Income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(10,367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4,775</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(10,367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4,775</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Net (Loss) Income Per Share- 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0.11</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Net (Loss) Income Per Share-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Weighted Average Number of Shares- 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60,260,282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45,104,515</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Weighted Average Number of Shares-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60,260,282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48,455,996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center"/>
              <w:rPr/>
            </w:pPr>
            <w:r>
              <w:rPr/>
              <w:t> </w:t>
            </w:r>
          </w:p>
        </w:tc>
      </w:tr>
      <w:tr>
        <w:trPr/>
        <w:tc>
          <w:tcPr>
            <w:tcW w:w="809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(10,367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4,775</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Adjustments to Reconcile Net Income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4,487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(18,523</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Non-cash interest expense (paid-in-kind)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1,238</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297</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Amortization of right of 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308</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(1,577</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(1,966</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(196</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299</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6,465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180</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(8,613</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(3,838</w:t>
            </w:r>
          </w:p>
        </w:tc>
        <w:tc>
          <w:tcPr>
            <w:tcW w:w="110" w:type="dxa"/>
            <w:tcBorders/>
            <w:shd w:fill="CCEEFF" w:val="clear"/>
            <w:vAlign w:val="center"/>
          </w:tcPr>
          <w:p>
            <w:pPr>
              <w:pStyle w:val="TableContents"/>
              <w:bidi w:val="0"/>
              <w:spacing w:before="0" w:after="283"/>
              <w:jc w:val="left"/>
              <w:rPr>
                <w:b/>
              </w:rPr>
            </w:pPr>
            <w:r>
              <w:rPr>
                <w:b/>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(589</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(817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(589</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680" w:type="dxa"/>
        <w:jc w:val="left"/>
        <w:tblInd w:w="0" w:type="dxa"/>
        <w:tblLayout w:type="fixed"/>
        <w:tblCellMar>
          <w:top w:w="0" w:type="dxa"/>
          <w:left w:w="0" w:type="dxa"/>
          <w:bottom w:w="0" w:type="dxa"/>
          <w:right w:w="0" w:type="dxa"/>
        </w:tblCellMar>
      </w:tblPr>
      <w:tblGrid>
        <w:gridCol w:w="7715"/>
        <w:gridCol w:w="60"/>
        <w:gridCol w:w="140"/>
        <w:gridCol w:w="680"/>
        <w:gridCol w:w="95"/>
        <w:gridCol w:w="60"/>
        <w:gridCol w:w="140"/>
        <w:gridCol w:w="680"/>
        <w:gridCol w:w="110"/>
      </w:tblGrid>
      <w:tr>
        <w:trPr/>
        <w:tc>
          <w:tcPr>
            <w:tcW w:w="7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center"/>
              <w:rPr/>
            </w:pPr>
            <w:r>
              <w:rPr/>
              <w:t> </w:t>
            </w:r>
          </w:p>
        </w:tc>
      </w:tr>
      <w:tr>
        <w:trPr/>
        <w:tc>
          <w:tcPr>
            <w:tcW w:w="7715"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Proceeds from public offering,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597</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Proceeds from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Repayment of note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Proceeds from exercise of 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747</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Proceeds from exercise of options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93</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2,437</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(1,990</w:t>
            </w:r>
          </w:p>
        </w:tc>
        <w:tc>
          <w:tcPr>
            <w:tcW w:w="110" w:type="dxa"/>
            <w:tcBorders/>
            <w:shd w:fill="CCEEFF" w:val="clear"/>
            <w:vAlign w:val="center"/>
          </w:tcPr>
          <w:p>
            <w:pPr>
              <w:pStyle w:val="TableContents"/>
              <w:bidi w:val="0"/>
              <w:spacing w:before="0" w:after="283"/>
              <w:jc w:val="left"/>
              <w:rPr/>
            </w:pPr>
            <w:r>
              <w:rPr/>
              <w:t>)</w:t>
            </w:r>
          </w:p>
        </w:tc>
      </w:tr>
      <w:tr>
        <w:trPr/>
        <w:tc>
          <w:tcPr>
            <w:tcW w:w="7715" w:type="dxa"/>
            <w:tcBorders/>
            <w:shd w:fill="FFFFFF" w:val="clear"/>
            <w:vAlign w:val="center"/>
          </w:tcPr>
          <w:p>
            <w:pPr>
              <w:pStyle w:val="TableContents"/>
              <w:bidi w:val="0"/>
              <w:spacing w:before="0" w:after="283"/>
              <w:jc w:val="left"/>
              <w:rPr/>
            </w:pPr>
            <w:r>
              <w:rPr/>
              <w:t>Cash and cash equivalents -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17,781</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b/>
              </w:rPr>
            </w:pPr>
            <w:r>
              <w:rPr>
                <w:b/>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15,791</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2,003</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Purchases of property and equipment, not yet paid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352</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Recognition of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21,095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10,167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considered a non-GAAP financial measure under the rules of the SEC because it excludes certain amounts included in net loss calculated in accordance with GAAP. Specifically, the Company calculates Adjusted EBITDA by GAAP net loss adjusted to exclude stock-based compensation expense, business combination related expenses and other one-time,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included Adjusted EBITDA because it is a key measure used by Dragonfly’s management team to evaluate its operating performance, generate future operating plans, and make strategic decisions, including those relating to operating expenses. As such, the Company believes Adjusted EBITDA is helpful in highlighting trends in the ongoing core operating results of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it should not be considered in isolation or as a substitute for analysis of net loss or other results as reported under GAAP. Some of these limitations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cash expenditures, future requirements for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the Company’s working capital needs;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tax expense or the cash requirements to pay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amortization and depreciation are non-cash charges, the assets being amortized and depreciated will often have to be replaced in the future and Adjusted EBITDA does not reflect any cash requirements for such replacements;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should not be construed as an inference that the Company’s future results will be unaffected by unusual or non-recurring items for which the Company may adjust in historical periods;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the industry may calculate Adjusted EBITDA differently than the Company does, limiting its usefulness as a comparative measure.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Reconciliations of Non-GAAP Financial Measures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EBITDA and 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reconciliations of EBITDA and Adjusted EBITDA to the most directly comparable GAAP financial measure for each of the periods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Dragonfly Energy Holdings Corp.</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hanging="0"/>
        <w:jc w:val="center"/>
        <w:rPr/>
      </w:pPr>
      <w:bookmarkStart w:id="29" w:name="ex99-2.htm"/>
      <w:bookmarkStart w:id="30" w:name="ksex992"/>
      <w:bookmarkEnd w:id="29"/>
      <w:bookmarkEnd w:id="30"/>
      <w:r>
        <w:rPr/>
        <w:t> </w:t>
      </w:r>
      <w:r>
        <w:br w:type="page"/>
      </w:r>
    </w:p>
    <w:p>
      <w:pPr>
        <w:pStyle w:val="TextBody"/>
        <w:bidi w:val="0"/>
        <w:jc w:val="right"/>
        <w:rPr>
          <w:b/>
        </w:rPr>
      </w:pPr>
      <w:r>
        <w:rPr>
          <w:b/>
        </w:rPr>
        <w:t>Exhibit 99.2</w:t>
      </w:r>
    </w:p>
    <w:p>
      <w:pPr>
        <w:pStyle w:val="TextBody"/>
        <w:bidi w:val="0"/>
        <w:jc w:val="center"/>
        <w:rPr/>
      </w:pPr>
      <w:r>
        <w:rPr/>
        <w:t> </w:t>
      </w:r>
    </w:p>
    <w:p>
      <w:pPr>
        <w:pStyle w:val="TextBody"/>
        <w:bidi w:val="0"/>
        <w:jc w:val="center"/>
        <w:rPr/>
      </w:pPr>
      <w:r>
        <w:rPr/>
        <w:drawing>
          <wp:inline distT="0" distB="0" distL="0" distR="0">
            <wp:extent cx="10420350" cy="5895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20350" cy="58959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10439400" cy="5895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39400" cy="58959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10410825" cy="5895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10825" cy="58959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10429875" cy="5886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29875" cy="588645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10477500" cy="5886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588645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10439400" cy="5895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39400" cy="58959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0477500" cy="5886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58864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0458450" cy="5895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58450" cy="58959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0439400" cy="58769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39400" cy="58769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0420350" cy="5895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20350" cy="58959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0439400" cy="5895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39400" cy="58959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0458450" cy="5895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58450" cy="58959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0439400" cy="58959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39400" cy="58959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0477500" cy="58959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4103</Words>
  <Characters>22607</Characters>
  <CharactersWithSpaces>27141</CharactersWithSpaces>
  <Paragraphs>1501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