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29,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8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0"/>
              </w:rPr>
              <w:t>001-40730</w:t>
            </w:r>
          </w:p>
        </w:tc>
        <w:tc>
          <w:tcPr>
            <w:tcW w:w="380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85-1873463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2"/>
              </w:rPr>
              <w:t>1190 Trademark Drive #108</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Reno, Nevada</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89521</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2"/>
        </w:trPr>
        <w:tc>
          <w:tcPr>
            <w:tcW w:w="4500" w:type="dxa"/>
            <w:vAlign w:val="bottom"/>
          </w:tcPr>
          <w:p>
            <w:pPr>
              <w:jc w:val="center"/>
              <w:spacing w:after="0" w:line="201" w:lineRule="exact"/>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17"/>
                <w:szCs w:val="17"/>
                <w:color w:val="auto"/>
              </w:rPr>
            </w:pP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rPr>
              <w:t>DFLI</w:t>
            </w:r>
          </w:p>
        </w:tc>
        <w:tc>
          <w:tcPr>
            <w:tcW w:w="220" w:type="dxa"/>
            <w:vAlign w:val="bottom"/>
          </w:tcPr>
          <w:p>
            <w:pPr>
              <w:spacing w:after="0"/>
              <w:rPr>
                <w:sz w:val="17"/>
                <w:szCs w:val="17"/>
                <w:color w:val="auto"/>
              </w:rPr>
            </w:pPr>
          </w:p>
        </w:tc>
        <w:tc>
          <w:tcPr>
            <w:tcW w:w="426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Global Market</w:t>
            </w:r>
          </w:p>
        </w:tc>
      </w:tr>
      <w:tr>
        <w:trPr>
          <w:trHeight w:val="216"/>
        </w:trPr>
        <w:tc>
          <w:tcPr>
            <w:tcW w:w="4500" w:type="dxa"/>
            <w:vAlign w:val="bottom"/>
          </w:tcPr>
          <w:p>
            <w:pPr>
              <w:jc w:val="center"/>
              <w:spacing w:after="0"/>
              <w:rPr>
                <w:sz w:val="20"/>
                <w:szCs w:val="20"/>
                <w:color w:val="auto"/>
              </w:rPr>
            </w:pPr>
            <w:r>
              <w:rPr>
                <w:rFonts w:ascii="Arial" w:cs="Arial" w:eastAsia="Arial" w:hAnsi="Arial"/>
                <w:sz w:val="18"/>
                <w:szCs w:val="18"/>
                <w:color w:val="auto"/>
                <w:w w:val="89"/>
              </w:rPr>
              <w:t>Redeemable warrants, exercisable for common stock at an</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DFLIW</w:t>
            </w: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The Nasdaq Capital Market</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89"/>
              </w:rPr>
              <w:t>exercise price of $11.50 per share, subject to adjustment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8.01 Other Events” below.</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March 29, 2023, Dragonfly Energy Holdings Corp. (the “</w:t>
      </w:r>
      <w:r>
        <w:rPr>
          <w:rFonts w:ascii="Arial" w:cs="Arial" w:eastAsia="Arial" w:hAnsi="Arial"/>
          <w:sz w:val="16"/>
          <w:szCs w:val="16"/>
          <w:b w:val="1"/>
          <w:bCs w:val="1"/>
          <w:color w:val="auto"/>
        </w:rPr>
        <w:t>Company</w:t>
      </w:r>
      <w:r>
        <w:rPr>
          <w:rFonts w:ascii="Arial" w:cs="Arial" w:eastAsia="Arial" w:hAnsi="Arial"/>
          <w:sz w:val="16"/>
          <w:szCs w:val="16"/>
          <w:color w:val="auto"/>
        </w:rPr>
        <w:t>”) issued a press release announcing its financial results for the fourth quarter and year ended December 31, 2022. As previously announced, following the publication of the press release, the Company will host an earnings call at 5:00 p.m. (Eastern Time) on March 29, 2023, via a webcast. During the webcast, the Company’s financial results for the fourth quarter and year ended December 31, 2022 will be discussed. A copy of the press release is attached as Exhibit 99.1 hereto and incorporated in this Item 2.02 by reference.</w:t>
      </w:r>
    </w:p>
    <w:p>
      <w:pPr>
        <w:spacing w:after="0" w:line="1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2.02 Results of Operation and Financial Condition” above.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under Items 2.02 and 7.01, including the information contained in Exhibit 99.1, is being furnished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shall not be deemed to be “filed” for the purposes of Section 18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or otherwise subject to the liabilities of that section, and shall not be deemed to be incorporated by reference into any filing under the Securities Act of 1933, as amended, or the Exchange Act of 1934, except as shall be expressly set forth by a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preparation of the Company’s financial statements for the year ended December 31, 2022, the Company determined that it would not be in compliance with the Senior Leverage Ratio and Fixed Charge Coverage Ratio tests (the “</w:t>
      </w:r>
      <w:r>
        <w:rPr>
          <w:rFonts w:ascii="Arial" w:cs="Arial" w:eastAsia="Arial" w:hAnsi="Arial"/>
          <w:sz w:val="18"/>
          <w:szCs w:val="18"/>
          <w:b w:val="1"/>
          <w:bCs w:val="1"/>
          <w:color w:val="auto"/>
        </w:rPr>
        <w:t>Tests</w:t>
      </w:r>
      <w:r>
        <w:rPr>
          <w:rFonts w:ascii="Arial" w:cs="Arial" w:eastAsia="Arial" w:hAnsi="Arial"/>
          <w:sz w:val="18"/>
          <w:szCs w:val="18"/>
          <w:color w:val="auto"/>
        </w:rPr>
        <w:t>”) under its term loan agreement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as of the last day of the quarter ending March 31, 2023. On March 29, 2023, the Company received a waiver (the “</w:t>
      </w:r>
      <w:r>
        <w:rPr>
          <w:rFonts w:ascii="Arial" w:cs="Arial" w:eastAsia="Arial" w:hAnsi="Arial"/>
          <w:sz w:val="18"/>
          <w:szCs w:val="18"/>
          <w:b w:val="1"/>
          <w:bCs w:val="1"/>
          <w:color w:val="auto"/>
        </w:rPr>
        <w:t>Waiver</w:t>
      </w:r>
      <w:r>
        <w:rPr>
          <w:rFonts w:ascii="Arial" w:cs="Arial" w:eastAsia="Arial" w:hAnsi="Arial"/>
          <w:sz w:val="18"/>
          <w:szCs w:val="18"/>
          <w:color w:val="auto"/>
        </w:rPr>
        <w:t>”) from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Loan Agreement in regards to its compliance with the Tests as of the last day of the quarter ending March 31, 2023. A copy of the Waiver is attached as Exhibit 10.1 hereto and incorporated in this Item 8.01 by reference.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light of the foregoing information, the Company is continuing to work with its accountants to complete the audit of its financial statements for the year ended December 31, 2022 as promptly as possible. The Company intends to file a Notification of Late Filing on Form 12b-25 with the SEC, which will provide the Company with an extension to file its Annual Report on Form 10-K for the year ended December 31, 2022 (the “</w:t>
      </w:r>
      <w:r>
        <w:rPr>
          <w:rFonts w:ascii="Arial" w:cs="Arial" w:eastAsia="Arial" w:hAnsi="Arial"/>
          <w:sz w:val="18"/>
          <w:szCs w:val="18"/>
          <w:b w:val="1"/>
          <w:bCs w:val="1"/>
          <w:color w:val="auto"/>
        </w:rPr>
        <w:t>Form 10-K</w:t>
      </w:r>
      <w:r>
        <w:rPr>
          <w:rFonts w:ascii="Arial" w:cs="Arial" w:eastAsia="Arial" w:hAnsi="Arial"/>
          <w:sz w:val="18"/>
          <w:szCs w:val="18"/>
          <w:color w:val="auto"/>
        </w:rPr>
        <w:t>”). The Company expects to file the Form 10-K on or before April 17, 2023, which is within the 15-calendar day extension period provided for by the SEC under Rule 12b-25.</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980" w:type="dxa"/>
            <w:vAlign w:val="bottom"/>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tcBorders>
              <w:top w:val="single" w:sz="8" w:color="auto"/>
            </w:tcBorders>
            <w:gridSpan w:val="4"/>
          </w:tcPr>
          <w:p>
            <w:pPr>
              <w:spacing w:after="0" w:line="176" w:lineRule="exact"/>
              <w:rPr>
                <w:sz w:val="20"/>
                <w:szCs w:val="20"/>
                <w:color w:val="auto"/>
              </w:rPr>
            </w:pPr>
            <w:r>
              <w:rPr>
                <w:rFonts w:ascii="Arial" w:cs="Arial" w:eastAsia="Arial" w:hAnsi="Arial"/>
                <w:sz w:val="18"/>
                <w:szCs w:val="18"/>
                <w:color w:val="0000EE"/>
                <w:w w:val="93"/>
              </w:rPr>
              <w:t>Limited Waiver, dated as of March 29, 2023, to the Term Loan, Guarantee and Security Agreement, dated as of October 7, 2022, by and</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among Dragonfly Energy Holdings Corp., Dragonfly Energy Corp., the lenders from time to time party thereto and Alter Domus (US) LLC.</w:t>
            </w: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Press Release of Dragonfly Energy Holdings Corp., dated March 29, 2023.</w:t>
            </w:r>
          </w:p>
        </w:tc>
        <w:tc>
          <w:tcPr>
            <w:tcW w:w="4680" w:type="dxa"/>
            <w:vAlign w:val="bottom"/>
            <w:tcBorders>
              <w:top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March 29,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WAIVER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LIMITED WAIVER</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Waiver</w:t>
      </w:r>
      <w:r>
        <w:rPr>
          <w:rFonts w:ascii="Arial" w:cs="Arial" w:eastAsia="Arial" w:hAnsi="Arial"/>
          <w:sz w:val="18"/>
          <w:szCs w:val="18"/>
          <w:color w:val="auto"/>
        </w:rPr>
        <w:t>”) is made as of March 29, 2023, by and among DRAGONFLY ENERGY CORP. (“</w:t>
      </w:r>
      <w:r>
        <w:rPr>
          <w:rFonts w:ascii="Arial" w:cs="Arial" w:eastAsia="Arial" w:hAnsi="Arial"/>
          <w:sz w:val="18"/>
          <w:szCs w:val="18"/>
          <w:u w:val="single" w:color="auto"/>
          <w:color w:val="auto"/>
        </w:rPr>
        <w:t>Borrower</w:t>
      </w:r>
      <w:r>
        <w:rPr>
          <w:rFonts w:ascii="Arial" w:cs="Arial" w:eastAsia="Arial" w:hAnsi="Arial"/>
          <w:sz w:val="18"/>
          <w:szCs w:val="18"/>
          <w:color w:val="auto"/>
        </w:rPr>
        <w:t>”), DRAGONFLY ENERGY HOLDINGS CORP. (F/K/A CHARDAN NEXTECH ACQUISITION 2 CORP) (“</w:t>
      </w:r>
      <w:r>
        <w:rPr>
          <w:rFonts w:ascii="Arial" w:cs="Arial" w:eastAsia="Arial" w:hAnsi="Arial"/>
          <w:sz w:val="18"/>
          <w:szCs w:val="18"/>
          <w:u w:val="single" w:color="auto"/>
          <w:color w:val="auto"/>
        </w:rPr>
        <w:t>Holdings</w:t>
      </w:r>
      <w:r>
        <w:rPr>
          <w:rFonts w:ascii="Arial" w:cs="Arial" w:eastAsia="Arial" w:hAnsi="Arial"/>
          <w:sz w:val="18"/>
          <w:szCs w:val="18"/>
          <w:color w:val="auto"/>
        </w:rPr>
        <w:t>”), the Lenders signatory hereto (the “</w:t>
      </w:r>
      <w:r>
        <w:rPr>
          <w:rFonts w:ascii="Arial" w:cs="Arial" w:eastAsia="Arial" w:hAnsi="Arial"/>
          <w:sz w:val="18"/>
          <w:szCs w:val="18"/>
          <w:u w:val="single" w:color="auto"/>
          <w:color w:val="auto"/>
        </w:rPr>
        <w:t>Required Lenders</w:t>
      </w:r>
      <w:r>
        <w:rPr>
          <w:rFonts w:ascii="Arial" w:cs="Arial" w:eastAsia="Arial" w:hAnsi="Arial"/>
          <w:sz w:val="18"/>
          <w:szCs w:val="18"/>
          <w:color w:val="auto"/>
        </w:rPr>
        <w:t>”), and ALTER DOMUS (US) LLC, as agent on behalf of the Lenders under the Loan Agreement (as hereinafter defined)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Borrower, Holdings, the Required Lenders and the Agent are parties to that certain Term Loan, Guarantee and Security Agreement dated as of October 7, 2022, (as amended, modified, extended, restated, replaced, and/or supplemented from time to time, the “</w:t>
      </w:r>
      <w:r>
        <w:rPr>
          <w:rFonts w:ascii="Arial" w:cs="Arial" w:eastAsia="Arial" w:hAnsi="Arial"/>
          <w:sz w:val="16"/>
          <w:szCs w:val="16"/>
          <w:u w:val="single" w:color="auto"/>
          <w:color w:val="auto"/>
        </w:rPr>
        <w:t>Loan Agreement</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of the Loan Agreement, the Credit Parties are required to measure the Senior Leverage Ratio as of the last day of the Fiscal Quarter ending March 31, 2023 if Liquidity (Average) is less than $17,500,000 as of the last day of the Fiscal Quarter ending March 31, 2023 (the “</w:t>
      </w:r>
      <w:r>
        <w:rPr>
          <w:rFonts w:ascii="Arial" w:cs="Arial" w:eastAsia="Arial" w:hAnsi="Arial"/>
          <w:sz w:val="18"/>
          <w:szCs w:val="18"/>
          <w:u w:val="single" w:color="auto"/>
          <w:color w:val="auto"/>
        </w:rPr>
        <w:t>Senior Leverage Ratio Test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4.2(c)</w:t>
      </w:r>
      <w:r>
        <w:rPr>
          <w:rFonts w:ascii="Arial" w:cs="Arial" w:eastAsia="Arial" w:hAnsi="Arial"/>
          <w:sz w:val="17"/>
          <w:szCs w:val="17"/>
          <w:color w:val="auto"/>
        </w:rPr>
        <w:t xml:space="preserve"> of the Loan Agreement, the Credit Parties are required to measure the Fixed Charge Coverage Ratio for the trailing four (4) Fiscal Quarter period ending on March 31, 2023 if Liquidity is less than $15,000,000 as of the last day of the Fiscal Quarter ending March 31, 2023 (the “</w:t>
      </w:r>
      <w:r>
        <w:rPr>
          <w:rFonts w:ascii="Arial" w:cs="Arial" w:eastAsia="Arial" w:hAnsi="Arial"/>
          <w:sz w:val="17"/>
          <w:szCs w:val="17"/>
          <w:u w:val="single" w:color="auto"/>
          <w:color w:val="auto"/>
        </w:rPr>
        <w:t>Fixed Charge Coverage Ratio Test</w:t>
      </w:r>
      <w:r>
        <w:rPr>
          <w:rFonts w:ascii="Arial" w:cs="Arial" w:eastAsia="Arial" w:hAnsi="Arial"/>
          <w:sz w:val="17"/>
          <w:szCs w:val="17"/>
          <w:color w:val="auto"/>
        </w:rPr>
        <w:t>” and together with the Senior Leverage Ratio Test, the “</w:t>
      </w:r>
      <w:r>
        <w:rPr>
          <w:rFonts w:ascii="Arial" w:cs="Arial" w:eastAsia="Arial" w:hAnsi="Arial"/>
          <w:sz w:val="17"/>
          <w:szCs w:val="17"/>
          <w:u w:val="single" w:color="auto"/>
          <w:color w:val="auto"/>
        </w:rPr>
        <w:t>Tests</w:t>
      </w:r>
      <w:r>
        <w:rPr>
          <w:rFonts w:ascii="Arial" w:cs="Arial" w:eastAsia="Arial" w:hAnsi="Arial"/>
          <w:sz w:val="17"/>
          <w:szCs w:val="17"/>
          <w:color w:val="auto"/>
        </w:rPr>
        <w:t>”); and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Credit Parties have requested that the Agent and the Required Lenders waive the Tests for the Fiscal Quarter ending March 31, 2023 and, subject to the satisfaction of the conditions set forth below, each of the Agent and the Required Lenders are willing to waive the Tests for the Fiscal Quarter ending March 31, 2023 on the terms set forth herein.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Credit Parties, the Required Lenders and the Agent each hereby agrees as follows:</w:t>
      </w:r>
    </w:p>
    <w:p>
      <w:pPr>
        <w:spacing w:after="0" w:line="225" w:lineRule="exact"/>
        <w:rPr>
          <w:sz w:val="20"/>
          <w:szCs w:val="20"/>
          <w:color w:val="auto"/>
        </w:rPr>
      </w:pPr>
    </w:p>
    <w:p>
      <w:pPr>
        <w:ind w:left="840" w:hanging="184"/>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terms used but not otherwise defined herein have the meanings assigned to them in the Loan Agreement.</w:t>
      </w:r>
    </w:p>
    <w:p>
      <w:pPr>
        <w:spacing w:after="0" w:line="225" w:lineRule="exact"/>
        <w:rPr>
          <w:rFonts w:ascii="Arial" w:cs="Arial" w:eastAsia="Arial" w:hAnsi="Arial"/>
          <w:sz w:val="18"/>
          <w:szCs w:val="18"/>
          <w:color w:val="auto"/>
        </w:rPr>
      </w:pPr>
    </w:p>
    <w:p>
      <w:pPr>
        <w:jc w:val="both"/>
        <w:ind w:right="20" w:firstLine="656"/>
        <w:spacing w:after="0" w:line="286" w:lineRule="auto"/>
        <w:tabs>
          <w:tab w:leader="none" w:pos="841"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Limited Waiver</w:t>
      </w:r>
      <w:r>
        <w:rPr>
          <w:rFonts w:ascii="Arial" w:cs="Arial" w:eastAsia="Arial" w:hAnsi="Arial"/>
          <w:sz w:val="17"/>
          <w:szCs w:val="17"/>
          <w:color w:val="auto"/>
        </w:rPr>
        <w:t xml:space="preserve">. Effective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 each of the Agent and the Required Lenders hereby waives the Tests for the Fiscal Quarter ending March 31, 2023;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waiver is applicable only to the Tests for the Fiscal Quarter ending March 31, 2023 and to no other current or prospective financial covenants under the Loan Agreement, whether known or unknown as of the Effective Date.</w:t>
      </w:r>
    </w:p>
    <w:p>
      <w:pPr>
        <w:spacing w:after="0" w:line="165" w:lineRule="exact"/>
        <w:rPr>
          <w:rFonts w:ascii="Arial" w:cs="Arial" w:eastAsia="Arial" w:hAnsi="Arial"/>
          <w:sz w:val="17"/>
          <w:szCs w:val="17"/>
          <w:color w:val="auto"/>
        </w:rPr>
      </w:pPr>
    </w:p>
    <w:p>
      <w:pPr>
        <w:ind w:left="840" w:hanging="184"/>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w:t>
      </w:r>
      <w:r>
        <w:rPr>
          <w:rFonts w:ascii="Arial" w:cs="Arial" w:eastAsia="Arial" w:hAnsi="Arial"/>
          <w:sz w:val="16"/>
          <w:szCs w:val="16"/>
          <w:color w:val="auto"/>
        </w:rPr>
        <w:t>. This Waiver shall become effective as of the date first written above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upon the satisfaction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below:</w:t>
      </w:r>
    </w:p>
    <w:p>
      <w:pPr>
        <w:spacing w:after="0" w:line="211"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counterparts of this Waiver shall have been executed and delivered by the Credit Parties, the Agent and the Required Lenders;</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Borrower shall have paid the legal fees and expenses of Chapman and Cutler LLP, counsel for the Required Lenders, incurred in connection with the preparation, negotiation, execution and delivery of this Waiver and other services rendered in connection with the Loan Agreement prior to the date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right="20" w:firstLine="656"/>
        <w:spacing w:after="0" w:line="342" w:lineRule="auto"/>
        <w:tabs>
          <w:tab w:leader="none" w:pos="90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Borrower shall have paid the legal fees and expenses of Holland &amp; Knight LLP, counsel for the Agent, incurred in connection with the preparation, negotiation, execution and delivery of this Waiver and other services rendered in connection with the Loan Agreement prior to the date hereof.</w:t>
      </w:r>
    </w:p>
    <w:p>
      <w:pPr>
        <w:spacing w:after="0" w:line="124" w:lineRule="exact"/>
        <w:rPr>
          <w:sz w:val="20"/>
          <w:szCs w:val="20"/>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6" w:lineRule="auto"/>
        <w:tabs>
          <w:tab w:leader="none" w:pos="91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Credit Parties represent and warrant that after giving effect to this Waiver, the representations and warranties contained in the Loan Agreement are true and correct in all material respects on and as of the date hereof as if such representations and warranties had been made on and as of the date hereof (except to the extent that any such representations and warranties specifically relate to an earlier date).</w:t>
      </w:r>
    </w:p>
    <w:p>
      <w:pPr>
        <w:spacing w:after="0" w:line="165" w:lineRule="exact"/>
        <w:rPr>
          <w:rFonts w:ascii="Arial" w:cs="Arial" w:eastAsia="Arial" w:hAnsi="Arial"/>
          <w:sz w:val="17"/>
          <w:szCs w:val="17"/>
          <w:color w:val="auto"/>
        </w:rPr>
      </w:pPr>
    </w:p>
    <w:p>
      <w:pPr>
        <w:ind w:firstLine="656"/>
        <w:spacing w:after="0" w:line="277" w:lineRule="auto"/>
        <w:tabs>
          <w:tab w:leader="none" w:pos="92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Credit Parties represent and warrant that after giving effect to this Waiver, no Default or Event of Default will have occurred and be continuing on and as of the Effective Date.</w:t>
      </w:r>
    </w:p>
    <w:p>
      <w:pPr>
        <w:spacing w:after="0" w:line="170" w:lineRule="exact"/>
        <w:rPr>
          <w:sz w:val="20"/>
          <w:szCs w:val="20"/>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Waiver is designated a Loan Document by the Agent.</w:t>
      </w:r>
    </w:p>
    <w:p>
      <w:pPr>
        <w:spacing w:after="0" w:line="225" w:lineRule="exact"/>
        <w:rPr>
          <w:rFonts w:ascii="Arial" w:cs="Arial" w:eastAsia="Arial" w:hAnsi="Arial"/>
          <w:sz w:val="18"/>
          <w:szCs w:val="18"/>
          <w:color w:val="auto"/>
        </w:rPr>
      </w:pPr>
    </w:p>
    <w:p>
      <w:pPr>
        <w:jc w:val="both"/>
        <w:ind w:firstLine="656"/>
        <w:spacing w:after="0" w:line="273" w:lineRule="auto"/>
        <w:tabs>
          <w:tab w:leader="none" w:pos="82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Waiver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Waiver.</w:t>
      </w:r>
    </w:p>
    <w:p>
      <w:pPr>
        <w:spacing w:after="0" w:line="173" w:lineRule="exact"/>
        <w:rPr>
          <w:rFonts w:ascii="Arial" w:cs="Arial" w:eastAsia="Arial" w:hAnsi="Arial"/>
          <w:sz w:val="17"/>
          <w:szCs w:val="17"/>
          <w:color w:val="auto"/>
        </w:rPr>
      </w:pPr>
    </w:p>
    <w:p>
      <w:pPr>
        <w:jc w:val="both"/>
        <w:ind w:right="20" w:firstLine="656"/>
        <w:spacing w:after="0" w:line="261" w:lineRule="auto"/>
        <w:tabs>
          <w:tab w:leader="none" w:pos="828"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THIS WAIVER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2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Waiver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Waiver are for the purposes of reference only and shall not affect the construction of this Waiver.</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Waiver shall be binding upon and inure to the benefit of the parties hereto and their respective successors and assigns; provided that none of the Credit Parties may assign or transfer any of its rights or obligations under this Waiver without the prior written consent of the Agent.</w:t>
      </w:r>
    </w:p>
    <w:p>
      <w:pPr>
        <w:spacing w:after="0" w:line="183" w:lineRule="exact"/>
        <w:rPr>
          <w:rFonts w:ascii="Arial" w:cs="Arial" w:eastAsia="Arial" w:hAnsi="Arial"/>
          <w:sz w:val="18"/>
          <w:szCs w:val="18"/>
          <w:color w:val="auto"/>
        </w:rPr>
      </w:pPr>
    </w:p>
    <w:p>
      <w:pPr>
        <w:ind w:firstLine="656"/>
        <w:spacing w:after="0" w:line="342" w:lineRule="auto"/>
        <w:tabs>
          <w:tab w:leader="none" w:pos="91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illegality or unenforceability of any provision of this Waiver or any instrument or agreement required hereunder shall not in any way affect or impair the legality or enforceability of the remaining provisions of this Amendment or any instrument or agreement required hereunder.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Limited Waiver to be duly executed by their duly authorized officers, all as of the date and year first above written.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BORROWER:</w:t>
            </w: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DRAGONFLY ENERGY CORP.</w:t>
            </w:r>
          </w:p>
        </w:tc>
      </w:tr>
      <w:tr>
        <w:trPr>
          <w:trHeight w:val="473"/>
        </w:trPr>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Denis Phares</w:t>
            </w:r>
          </w:p>
        </w:tc>
      </w:tr>
      <w:tr>
        <w:trPr>
          <w:trHeight w:val="202"/>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0" w:type="dxa"/>
            <w:vAlign w:val="bottom"/>
          </w:tcPr>
          <w:p>
            <w:pPr>
              <w:ind w:left="22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Denis Phares, Ph.D.</w:t>
            </w:r>
          </w:p>
        </w:tc>
      </w:tr>
      <w:tr>
        <w:trPr>
          <w:trHeight w:val="230"/>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Chairman &amp; CEO</w:t>
            </w:r>
          </w:p>
        </w:tc>
      </w:tr>
      <w:tr>
        <w:trPr>
          <w:trHeight w:val="391"/>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HOLDINGS :</w:t>
            </w: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DRAGONFLY ENERGY HOLDINGS CORP. (F/K/A</w:t>
            </w:r>
          </w:p>
        </w:tc>
      </w:tr>
      <w:tr>
        <w:trPr>
          <w:trHeight w:val="237"/>
        </w:trPr>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53"/>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Denis Phares</w:t>
            </w:r>
          </w:p>
        </w:tc>
      </w:tr>
      <w:tr>
        <w:trPr>
          <w:trHeight w:val="202"/>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0" w:type="dxa"/>
            <w:vAlign w:val="bottom"/>
          </w:tcPr>
          <w:p>
            <w:pPr>
              <w:ind w:left="22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Denis Phares, Ph.D.</w:t>
            </w:r>
          </w:p>
        </w:tc>
      </w:tr>
      <w:tr>
        <w:trPr>
          <w:trHeight w:val="230"/>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Chairman &amp; CEO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W</w:t>
      </w:r>
      <w:r>
        <w:rPr>
          <w:rFonts w:ascii="Arial" w:cs="Arial" w:eastAsia="Arial" w:hAnsi="Arial"/>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tabs>
          <w:tab w:leader="none" w:pos="5620" w:val="left"/>
        </w:tabs>
        <w:rPr>
          <w:sz w:val="20"/>
          <w:szCs w:val="20"/>
          <w:color w:val="auto"/>
        </w:rPr>
      </w:pPr>
      <w:r>
        <w:rPr>
          <w:rFonts w:ascii="Arial" w:cs="Arial" w:eastAsia="Arial" w:hAnsi="Arial"/>
          <w:sz w:val="18"/>
          <w:szCs w:val="18"/>
          <w:b w:val="1"/>
          <w:bCs w:val="1"/>
          <w:u w:val="single" w:color="auto"/>
          <w:color w:val="auto"/>
        </w:rPr>
        <w:t>AGENT</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ALTER DOMUS (US)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Pinju Chiu</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Associate Counsel</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W</w:t>
      </w:r>
      <w:r>
        <w:rPr>
          <w:rFonts w:ascii="Arial" w:cs="Arial" w:eastAsia="Arial" w:hAnsi="Arial"/>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LENDERS:</w:t>
            </w:r>
          </w:p>
        </w:tc>
        <w:tc>
          <w:tcPr>
            <w:tcW w:w="7960" w:type="dxa"/>
            <w:vAlign w:val="bottom"/>
            <w:gridSpan w:val="2"/>
          </w:tcPr>
          <w:p>
            <w:pPr>
              <w:ind w:left="2360"/>
              <w:spacing w:after="0"/>
              <w:rPr>
                <w:sz w:val="20"/>
                <w:szCs w:val="20"/>
                <w:color w:val="auto"/>
              </w:rPr>
            </w:pPr>
            <w:r>
              <w:rPr>
                <w:rFonts w:ascii="Arial" w:cs="Arial" w:eastAsia="Arial" w:hAnsi="Arial"/>
                <w:sz w:val="18"/>
                <w:szCs w:val="18"/>
                <w:b w:val="1"/>
                <w:bCs w:val="1"/>
                <w:color w:val="auto"/>
              </w:rPr>
              <w:t>ENERGY IMPACT CREDIT FUND I LP</w:t>
            </w:r>
          </w:p>
        </w:tc>
      </w:tr>
      <w:tr>
        <w:trPr>
          <w:trHeight w:val="453"/>
        </w:trPr>
        <w:tc>
          <w:tcPr>
            <w:tcW w:w="86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Energy Impact Credit Fund I GP LLC, its general partner</w:t>
            </w:r>
          </w:p>
        </w:tc>
      </w:tr>
      <w:tr>
        <w:trPr>
          <w:trHeight w:val="453"/>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Harry Giovani</w:t>
            </w:r>
          </w:p>
        </w:tc>
      </w:tr>
      <w:tr>
        <w:trPr>
          <w:trHeight w:val="202"/>
        </w:trPr>
        <w:tc>
          <w:tcPr>
            <w:tcW w:w="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920" w:type="dxa"/>
            <w:vAlign w:val="bottom"/>
          </w:tcPr>
          <w:p>
            <w:pPr>
              <w:ind w:left="236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Harry Giovani</w:t>
            </w:r>
          </w:p>
        </w:tc>
      </w:tr>
      <w:tr>
        <w:trPr>
          <w:trHeight w:val="230"/>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Arial" w:cs="Arial" w:eastAsia="Arial" w:hAnsi="Arial"/>
                <w:sz w:val="18"/>
                <w:szCs w:val="18"/>
                <w:b w:val="1"/>
                <w:bCs w:val="1"/>
                <w:color w:val="auto"/>
              </w:rPr>
              <w:t>ENERGY IMPACT CREDIT FUND II LP</w:t>
            </w:r>
          </w:p>
        </w:tc>
      </w:tr>
      <w:tr>
        <w:trPr>
          <w:trHeight w:val="432"/>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Energy Impact Credit Fund II GP LLC, its general partner</w:t>
            </w:r>
          </w:p>
        </w:tc>
      </w:tr>
      <w:tr>
        <w:trPr>
          <w:trHeight w:val="453"/>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Harry Giovani</w:t>
            </w:r>
          </w:p>
        </w:tc>
      </w:tr>
      <w:tr>
        <w:trPr>
          <w:trHeight w:val="202"/>
        </w:trPr>
        <w:tc>
          <w:tcPr>
            <w:tcW w:w="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920" w:type="dxa"/>
            <w:vAlign w:val="bottom"/>
          </w:tcPr>
          <w:p>
            <w:pPr>
              <w:ind w:left="236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Harry Giovani</w:t>
            </w:r>
          </w:p>
        </w:tc>
      </w:tr>
      <w:tr>
        <w:trPr>
          <w:trHeight w:val="230"/>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W</w:t>
      </w:r>
      <w:r>
        <w:rPr>
          <w:rFonts w:ascii="Arial" w:cs="Arial" w:eastAsia="Arial" w:hAnsi="Arial"/>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 w:name="page9"/>
    <w:bookmarkEnd w:id="8"/>
    <w:p>
      <w:pPr>
        <w:ind w:left="4520"/>
        <w:spacing w:after="0"/>
        <w:rPr>
          <w:sz w:val="20"/>
          <w:szCs w:val="20"/>
          <w:color w:val="auto"/>
        </w:rPr>
      </w:pPr>
      <w:r>
        <w:rPr>
          <w:rFonts w:ascii="Arial" w:cs="Arial" w:eastAsia="Arial" w:hAnsi="Arial"/>
          <w:sz w:val="18"/>
          <w:szCs w:val="18"/>
          <w:b w:val="1"/>
          <w:bCs w:val="1"/>
          <w:color w:val="auto"/>
        </w:rPr>
        <w:t>BP HOLDINGS XVII LP</w:t>
      </w:r>
    </w:p>
    <w:p>
      <w:pPr>
        <w:sectPr>
          <w:pgSz w:w="11900" w:h="16838" w:orient="portrait"/>
          <w:cols w:equalWidth="0" w:num="1">
            <w:col w:w="9019"/>
          </w:cols>
          <w:pgMar w:left="1440" w:top="661" w:right="1440" w:bottom="1440" w:gutter="0" w:footer="0" w:header="0"/>
        </w:sectPr>
      </w:pP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color w:val="auto"/>
        </w:rPr>
        <w:t>BPC AS Cayman LLC, its General Partner BPC AS LLC, its Manager</w:t>
      </w:r>
    </w:p>
    <w:p>
      <w:pPr>
        <w:spacing w:after="0" w:line="170" w:lineRule="exact"/>
        <w:rPr>
          <w:sz w:val="20"/>
          <w:szCs w:val="20"/>
          <w:color w:val="auto"/>
        </w:rPr>
      </w:pPr>
    </w:p>
    <w:p>
      <w:pPr>
        <w:sectPr>
          <w:pgSz w:w="11900" w:h="16838" w:orient="portrait"/>
          <w:cols w:equalWidth="0" w:num="2">
            <w:col w:w="4780" w:space="300"/>
            <w:col w:w="3939"/>
          </w:cols>
          <w:pgMar w:left="1440" w:top="661" w:right="1440" w:bottom="1440" w:gutter="0" w:footer="0" w:header="0"/>
          <w:type w:val="continuous"/>
        </w:sect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Haynes</w:t>
      </w:r>
    </w:p>
    <w:p>
      <w:pPr>
        <w:spacing w:after="0" w:line="5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Portfolio Manager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W</w:t>
      </w:r>
      <w:r>
        <w:rPr>
          <w:rFonts w:ascii="Arial" w:cs="Arial" w:eastAsia="Arial" w:hAnsi="Arial"/>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154305</wp:posOffset>
            </wp:positionV>
            <wp:extent cx="1191260" cy="805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12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Reports Fourth Quarter and Full Year 2022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 year 2022 Revenue grew to $86.3 million, 10.6% higher compared to 2021</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RENO, NEVADA (March 29, 2023) </w:t>
      </w:r>
      <w:r>
        <w:rPr>
          <w:rFonts w:ascii="Arial" w:cs="Arial" w:eastAsia="Arial" w:hAnsi="Arial"/>
          <w:sz w:val="16"/>
          <w:szCs w:val="16"/>
          <w:color w:val="auto"/>
        </w:rPr>
        <w:t>— Dragonfly Energy Holdings Corp. (“Dragonfly” or the “Company”) (Nasdaq: DFLI), an industry leader in energy</w:t>
      </w:r>
      <w:r>
        <w:rPr>
          <w:rFonts w:ascii="Arial" w:cs="Arial" w:eastAsia="Arial" w:hAnsi="Arial"/>
          <w:sz w:val="16"/>
          <w:szCs w:val="16"/>
          <w:b w:val="1"/>
          <w:bCs w:val="1"/>
          <w:color w:val="auto"/>
        </w:rPr>
        <w:t xml:space="preserve"> </w:t>
      </w:r>
      <w:r>
        <w:rPr>
          <w:rFonts w:ascii="Arial" w:cs="Arial" w:eastAsia="Arial" w:hAnsi="Arial"/>
          <w:sz w:val="16"/>
          <w:szCs w:val="16"/>
          <w:color w:val="auto"/>
        </w:rPr>
        <w:t>storage and producer of deep cycle lithium-ion storage batteries, today reported financial and operational results for the fourth quarter and full year of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Financial Highlights</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of $20.2 million were unchanged compared to Q4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of $4.4 million, decreased $1.7 million from $6.1 million in Q4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expenses of $(12.5) million, were higher compared to $(6.2) million in Q4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was a negative $(7.8) million, lower compared to $0.1 million in Q4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was a negative $(4.8) million, compared $1.0 million in Q4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Financial Highlights</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of $86.3 million were 10.6% higher compared to $78.0 million in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of $24.0 million was lower compared to $29.6 million in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expenses of $(37.5) million, increased compared to $(23.2) million in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for the full year 2022 was a negative $(12.6) million, compared to $7.1 million in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for the full year 2022 was a negative $(7.9) million, compared to $8.5 million in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was $17.8 million, and debt was $76.2 million on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Business Highlights</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batteries sold in 2022 was 28.6% higher at 95,949 units compared to 74,632 units sold in 2021</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 of Dragonfly IntelLigence™ providing reliable communication capabilities via unique mesh network, enabling accurate remote monitoring for entire lithium battery banks via Dragonfly Mobile App</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Granted patent for “systems and methods for dry powder coating layers of an electrochemical cell” enabling development of non-flammable cells</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executed well in 2022, with strong Net Sales and record growth within the OEM segment, while effectively managing headwinds that challenged the wider industry,” said Denis Phares, CEO of Dragonfly Energy. “We have a robust patent portfolio and we continued to innovate, offering great new products like out IntelLigence line, and Dragonfly’s dry powder coating cell manufacturing technology and non-flammable battery technology, for which we have already begun production of the cell pilot. We are excited to execute on our plan for the next 18 months and we look forward to sharing our progress in the coming 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2022 Financial and Operating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Fourth quarter 2022 Net Sales were $20.2 million, which was unchanged versus the fourth quarter of 2021. Full year 2022 Net Sales increased 10.6% to $86.3 million compared to $78.0 million in 2021. While total battery unit sales increased, we saw a significant mix shift toward OEMs, which typically carry lower average sale prices.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Fourth quarter 2022 Gross Profit was $4.4 million, lower compared to $6.1 million in the fourth quarter of 2021. Full year 2022 Gross Profit was $24.0 million, lower than in 2021 at $29.6 million. The decline in both periods was primarily driven by a change in revenue mix that favored a larger percentage of lower margin OEM sales, as well as a relative increase in some components of cost of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Fourth quarter 2022 Operating Expenses were $(12.5) million, which was higher compared to $(6.2) million in the fourth quarter of 2021. Full year 2022 Operating Expenses of $(37.5) million, increased compared to $(23.2) million in 2021. The fourth quarter and full year included business combination and other deal related expenses of $(1.1) million associated with the company going public in October 2022.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Fourth quarter 2022 Net Loss was $(11.7) million, compared to a Net Loss of $(0.1) million in the fourth quarter of 2021. The Company recognized a Net Loss for the full year 2022 of $(19.1) million, versus Net Income of $4.3 million in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Fourth quarter 2022 EBITDA was $(7.8) million, compared to $0.1 million in 2021. Full year 2022 EBITDA was $(12.6) million, compared to $7.1 million in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Fourth quarter 2022 Adjusted EBITDA, excluding stock-based compensation, deal-related expenses and other one-time items, was $(4.8) million, compared to $0.9 million in the fourth quarter of 2021. Full year 2022 Adjusted EBITDA excluding stock-based compensation, deal-related expenses and other one-time items, was $(7.9) million, compared to $8.5 million in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ended the fourth quarter of 2022 with $17.8 million in cash and $76.2 million in debt. Dragonfly retains strong financial flexibility with access to a $150 million equity line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1Q &amp; Full Year 2023 Guidance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2023:</w:t>
      </w:r>
    </w:p>
    <w:p>
      <w:pPr>
        <w:spacing w:after="0" w:line="225"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are expected to range between $17 - $19 million, as softer demand from within the DTC segment is expected to be more than offset by growth within the OEM segment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is expected to increase modestly due to lower overhead, depreciation and labor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are expected to be $11.5 - $12.5 million, in-line with recent quarters when excluding the impacts from our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Income (Expense) is expected be an expense in the range of $(3.5) - $(3.7) million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Losses are expected to be between $(10.5) - $(11.5) million for the quarter, or ($0.27) - ($0.30) per share based on 38.7 million shares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year 2023:</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 growth is expected to accelerate as the year passes, with particular strength coming from the OEM business in the second half of 2023</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are expected to be between $112 - $122 million, or 36% higher year-over-year at the mid-point of the range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Margins are expected to increase modestly on a year-over-year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are expected to increase, but at a slower rate than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is expected to return to being positive in the second half of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Dragonfly Energy management team will host a conference call to discuss its fourth quarter and full year 2022 financial results this afternoon, Wednesday, March 29, 2023, at 5pm ET. The call can also be accessed live via telephone by dialing (888) 886-7786 or for international callers (416) 764-8658, and referencing Dragonfly Energy. Please log in to the webcast or dial in to the call at least 10 minutes prior to the start of the event. The live webcast of the conference will also be available at </w:t>
      </w:r>
      <w:r>
        <w:rPr>
          <w:rFonts w:ascii="Arial" w:cs="Arial" w:eastAsia="Arial" w:hAnsi="Arial"/>
          <w:sz w:val="18"/>
          <w:szCs w:val="18"/>
          <w:u w:val="single" w:color="auto"/>
          <w:color w:val="auto"/>
        </w:rPr>
        <w:t>https://investors.dragonflyenergy.com/events-and-presentations/default.aspx</w:t>
      </w:r>
      <w:r>
        <w:rPr>
          <w:rFonts w:ascii="Arial" w:cs="Arial" w:eastAsia="Arial" w:hAnsi="Arial"/>
          <w:sz w:val="18"/>
          <w:szCs w:val="18"/>
          <w:color w:val="auto"/>
        </w:rPr>
        <w:t xml:space="preserve"> on the Events and Presentations page on the Investor Relations section of Dragonfly’s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Dragonfly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Dragonfly Energy Holdings Corp. (Nasdaq: DFLI) headquartered in Reno, Nevada, is a leading supplier of deep cycle lithium-ion batteries. Dragonfly’s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Arial" w:cs="Arial" w:eastAsia="Arial" w:hAnsi="Arial"/>
          <w:sz w:val="18"/>
          <w:szCs w:val="18"/>
          <w:u w:val="single" w:color="auto"/>
          <w:color w:val="auto"/>
        </w:rPr>
        <w:t>www.dragonflyenergy.com/investors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2022 financial results contained in this press release are subject to finalization in connection with the completion of the audit and the preparation of the Company’s Annual Report Form 10-K report for the year ended December 31, 2022. 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2023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Company’s ability to recognize the anticipated benefits of the of the Company’s recent business combination with Chardan NexTech Acquisition 2 Corp. and related transactions; the Company’s ability to successfully increase market penetration into target markets; the growth of the addressable markets that the Company intends to target; the Company’s ability to access capital as and when needed under its $150 million ChEF Equity Facility; the Company’s ability to protect its patents and other intellectual property; and the Company’s ability to generate revenue from future product sales and its ability to achieve and maintain profitability. These and other risks and uncertainties are described more fully in the sections entitled “Risk Factors” and “Cautionary Note Regarding Forward-Looking Statements” in the Company’s Registration Statement on Form S-4 relating to the business combination declared effective by the U.S. Securities and Exchange Commission the (“SEC”) on September 16, 2022 and in the Company’s subsequent filings with the SEC.</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Dragonfly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DragonflyIR@icrinc.com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Cash</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17,781</w:t>
            </w:r>
          </w:p>
        </w:tc>
        <w:tc>
          <w:tcPr>
            <w:tcW w:w="440" w:type="dxa"/>
            <w:vAlign w:val="bottom"/>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25,586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3,044</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49,846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27,127</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Prepaid income tax</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1,787</w:t>
            </w:r>
          </w:p>
        </w:tc>
        <w:tc>
          <w:tcPr>
            <w:tcW w:w="80" w:type="dxa"/>
            <w:vAlign w:val="bottom"/>
            <w:shd w:val="clear" w:color="auto" w:fill="CCEEFF"/>
          </w:tcPr>
          <w:p>
            <w:pPr>
              <w:spacing w:after="0"/>
              <w:rPr>
                <w:sz w:val="20"/>
                <w:szCs w:val="20"/>
                <w:color w:val="auto"/>
              </w:rPr>
            </w:pPr>
          </w:p>
        </w:tc>
      </w:tr>
      <w:tr>
        <w:trPr>
          <w:trHeight w:val="210"/>
        </w:trPr>
        <w:tc>
          <w:tcPr>
            <w:tcW w:w="6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74,032</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66,081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10,760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4,461</w:t>
            </w:r>
          </w:p>
        </w:tc>
        <w:tc>
          <w:tcPr>
            <w:tcW w:w="80" w:type="dxa"/>
            <w:vAlign w:val="bottom"/>
          </w:tcPr>
          <w:p>
            <w:pPr>
              <w:spacing w:after="0"/>
              <w:rPr>
                <w:sz w:val="18"/>
                <w:szCs w:val="18"/>
                <w:color w:val="auto"/>
              </w:rPr>
            </w:pPr>
          </w:p>
        </w:tc>
      </w:tr>
      <w:tr>
        <w:trPr>
          <w:trHeight w:val="23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4,513</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w:t>
            </w:r>
          </w:p>
        </w:tc>
        <w:tc>
          <w:tcPr>
            <w:tcW w:w="80" w:type="dxa"/>
            <w:vAlign w:val="bottom"/>
            <w:shd w:val="clear" w:color="auto" w:fill="CCEEFF"/>
          </w:tcPr>
          <w:p>
            <w:pPr>
              <w:spacing w:after="0"/>
              <w:rPr>
                <w:sz w:val="20"/>
                <w:szCs w:val="20"/>
                <w:color w:val="auto"/>
              </w:rPr>
            </w:pPr>
          </w:p>
        </w:tc>
      </w:tr>
      <w:tr>
        <w:trPr>
          <w:trHeight w:val="243"/>
        </w:trPr>
        <w:tc>
          <w:tcPr>
            <w:tcW w:w="68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89,305</w:t>
            </w:r>
          </w:p>
        </w:tc>
        <w:tc>
          <w:tcPr>
            <w:tcW w:w="32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76,251</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197"/>
        </w:trPr>
        <w:tc>
          <w:tcPr>
            <w:tcW w:w="6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14,018</w:t>
            </w: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11,360</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Accrued payroll and other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6,295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2,608</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Uncertain tax position liability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Notes payable, current portion</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80" w:type="dxa"/>
            <w:vAlign w:val="bottom"/>
          </w:tcPr>
          <w:p>
            <w:pPr>
              <w:spacing w:after="0"/>
              <w:rPr>
                <w:sz w:val="18"/>
                <w:szCs w:val="18"/>
                <w:color w:val="auto"/>
              </w:rPr>
            </w:pPr>
          </w:p>
        </w:tc>
      </w:tr>
      <w:tr>
        <w:trPr>
          <w:trHeight w:val="23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1,188</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20"/>
                <w:szCs w:val="20"/>
                <w:color w:val="auto"/>
              </w:rPr>
            </w:pPr>
          </w:p>
        </w:tc>
      </w:tr>
      <w:tr>
        <w:trPr>
          <w:trHeight w:val="210"/>
        </w:trPr>
        <w:tc>
          <w:tcPr>
            <w:tcW w:w="6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21,867</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17,990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 Term Liabilities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Notes payable non current, net of debt discount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19,242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37,053</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long term</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r>
      <w:tr>
        <w:trPr>
          <w:trHeight w:val="223"/>
        </w:trPr>
        <w:tc>
          <w:tcPr>
            <w:tcW w:w="6840" w:type="dxa"/>
            <w:vAlign w:val="bottom"/>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3,541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4,694</w:t>
            </w:r>
          </w:p>
        </w:tc>
        <w:tc>
          <w:tcPr>
            <w:tcW w:w="80" w:type="dxa"/>
            <w:vAlign w:val="bottom"/>
          </w:tcPr>
          <w:p>
            <w:pPr>
              <w:spacing w:after="0"/>
              <w:rPr>
                <w:sz w:val="19"/>
                <w:szCs w:val="19"/>
                <w:color w:val="auto"/>
              </w:rPr>
            </w:pPr>
          </w:p>
        </w:tc>
      </w:tr>
      <w:tr>
        <w:trPr>
          <w:trHeight w:val="236"/>
        </w:trPr>
        <w:tc>
          <w:tcPr>
            <w:tcW w:w="6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 Term Liabilities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8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77,973</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60,190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170,000,000 shares at $0.0001 par value, authorized, 43,272,728 and</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36,496,998 shares issued and outstanding as of December 31, 2022 and 2021, respectively</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r>
      <w:tr>
        <w:trPr>
          <w:trHeight w:val="202"/>
        </w:trPr>
        <w:tc>
          <w:tcPr>
            <w:tcW w:w="684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5,000,000 shares at $0.0001 par value, authorized, no shares issued and</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outstanding as of December 31, 2022 and 2021, respectively</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3,619</w:t>
            </w:r>
          </w:p>
        </w:tc>
        <w:tc>
          <w:tcPr>
            <w:tcW w:w="8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Retained (deficit) earnings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(6,673)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12,438</w:t>
            </w:r>
          </w:p>
        </w:tc>
        <w:tc>
          <w:tcPr>
            <w:tcW w:w="80" w:type="dxa"/>
            <w:vAlign w:val="bottom"/>
          </w:tcPr>
          <w:p>
            <w:pPr>
              <w:spacing w:after="0"/>
              <w:rPr>
                <w:sz w:val="19"/>
                <w:szCs w:val="19"/>
                <w:color w:val="auto"/>
              </w:rPr>
            </w:pPr>
          </w:p>
        </w:tc>
      </w:tr>
      <w:tr>
        <w:trPr>
          <w:trHeight w:val="236"/>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16,061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$89,305</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76,251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data presented for the year ended December 31, 2022 should be considered preliminary and is subject to completion of the Company’s annual close procedures and the Company’s independent auditor has not yet completed their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Income From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spacing w:after="0" w:line="260" w:lineRule="auto"/>
        <w:rPr>
          <w:sz w:val="20"/>
          <w:szCs w:val="20"/>
          <w:color w:val="auto"/>
        </w:rPr>
      </w:pPr>
      <w:r>
        <w:rPr>
          <w:rFonts w:ascii="Arial" w:cs="Arial" w:eastAsia="Arial" w:hAnsi="Arial"/>
          <w:sz w:val="18"/>
          <w:szCs w:val="18"/>
          <w:color w:val="auto"/>
        </w:rPr>
        <w:t>Change in fair market value of warrant liability Debt extinguishment</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ind w:right="380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68" w:lineRule="exact"/>
        <w:rPr>
          <w:sz w:val="20"/>
          <w:szCs w:val="20"/>
          <w:color w:val="auto"/>
        </w:rPr>
      </w:pPr>
    </w:p>
    <w:tbl>
      <w:tblPr>
        <w:tblLayout w:type="fixed"/>
        <w:tblInd w:w="312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43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86,251</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78,000</w:t>
            </w:r>
          </w:p>
        </w:tc>
        <w:tc>
          <w:tcPr>
            <w:tcW w:w="60" w:type="dxa"/>
            <w:vAlign w:val="bottom"/>
          </w:tcPr>
          <w:p>
            <w:pPr>
              <w:spacing w:after="0"/>
              <w:rPr>
                <w:sz w:val="24"/>
                <w:szCs w:val="24"/>
                <w:color w:val="auto"/>
              </w:rPr>
            </w:pPr>
          </w:p>
        </w:tc>
      </w:tr>
      <w:tr>
        <w:trPr>
          <w:trHeight w:val="27"/>
        </w:trPr>
        <w:tc>
          <w:tcPr>
            <w:tcW w:w="3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34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62,247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48,375</w:t>
            </w:r>
          </w:p>
        </w:tc>
        <w:tc>
          <w:tcPr>
            <w:tcW w:w="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24,004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29,625</w:t>
            </w:r>
          </w:p>
        </w:tc>
        <w:tc>
          <w:tcPr>
            <w:tcW w:w="60" w:type="dxa"/>
            <w:vAlign w:val="bottom"/>
          </w:tcPr>
          <w:p>
            <w:pPr>
              <w:spacing w:after="0"/>
              <w:rPr>
                <w:sz w:val="24"/>
                <w:szCs w:val="24"/>
                <w:color w:val="auto"/>
              </w:rPr>
            </w:pPr>
          </w:p>
        </w:tc>
      </w:tr>
      <w:tr>
        <w:trPr>
          <w:trHeight w:val="634"/>
        </w:trPr>
        <w:tc>
          <w:tcPr>
            <w:tcW w:w="34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2,689</w:t>
            </w:r>
          </w:p>
        </w:tc>
        <w:tc>
          <w:tcPr>
            <w:tcW w:w="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21,106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10,621</w:t>
            </w:r>
          </w:p>
        </w:tc>
        <w:tc>
          <w:tcPr>
            <w:tcW w:w="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13,671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9,848</w:t>
            </w:r>
          </w:p>
        </w:tc>
        <w:tc>
          <w:tcPr>
            <w:tcW w:w="60" w:type="dxa"/>
            <w:vAlign w:val="bottom"/>
          </w:tcPr>
          <w:p>
            <w:pPr>
              <w:spacing w:after="0"/>
              <w:rPr>
                <w:sz w:val="20"/>
                <w:szCs w:val="20"/>
                <w:color w:val="auto"/>
              </w:rPr>
            </w:pPr>
          </w:p>
        </w:tc>
      </w:tr>
      <w:tr>
        <w:trPr>
          <w:trHeight w:val="27"/>
        </w:trPr>
        <w:tc>
          <w:tcPr>
            <w:tcW w:w="3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34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37,541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23,158</w:t>
            </w:r>
          </w:p>
        </w:tc>
        <w:tc>
          <w:tcPr>
            <w:tcW w:w="60" w:type="dxa"/>
            <w:vAlign w:val="bottom"/>
          </w:tcPr>
          <w:p>
            <w:pPr>
              <w:spacing w:after="0"/>
              <w:rPr>
                <w:sz w:val="24"/>
                <w:szCs w:val="24"/>
                <w:color w:val="auto"/>
              </w:rPr>
            </w:pPr>
          </w:p>
        </w:tc>
      </w:tr>
      <w:tr>
        <w:trPr>
          <w:trHeight w:val="27"/>
        </w:trPr>
        <w:tc>
          <w:tcPr>
            <w:tcW w:w="3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340" w:type="dxa"/>
            <w:vAlign w:val="bottom"/>
          </w:tcPr>
          <w:p>
            <w:pPr>
              <w:spacing w:after="0"/>
              <w:rPr>
                <w:sz w:val="24"/>
                <w:szCs w:val="24"/>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(13,537)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6,467</w:t>
            </w:r>
          </w:p>
        </w:tc>
        <w:tc>
          <w:tcPr>
            <w:tcW w:w="60" w:type="dxa"/>
            <w:vAlign w:val="bottom"/>
          </w:tcPr>
          <w:p>
            <w:pPr>
              <w:spacing w:after="0"/>
              <w:rPr>
                <w:sz w:val="24"/>
                <w:szCs w:val="24"/>
                <w:color w:val="auto"/>
              </w:rPr>
            </w:pPr>
          </w:p>
        </w:tc>
      </w:tr>
      <w:tr>
        <w:trPr>
          <w:trHeight w:val="634"/>
        </w:trPr>
        <w:tc>
          <w:tcPr>
            <w:tcW w:w="34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(6,945)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34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5,446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(4,824)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-2794000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-2502535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-2228215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-1953895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-1679575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-1396365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-1104900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-822325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-548005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-273685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00" w:space="220"/>
            <w:col w:w="7420"/>
          </w:cols>
          <w:pgMar w:left="320" w:top="580"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69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b w:val="1"/>
                <w:bCs w:val="1"/>
                <w:color w:val="auto"/>
              </w:rPr>
              <w:t>Total Other Expense</w:t>
            </w:r>
          </w:p>
        </w:tc>
        <w:tc>
          <w:tcPr>
            <w:tcW w:w="6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
              <w:spacing w:after="0" w:line="203" w:lineRule="exact"/>
              <w:rPr>
                <w:sz w:val="20"/>
                <w:szCs w:val="20"/>
                <w:color w:val="auto"/>
              </w:rPr>
            </w:pPr>
            <w:r>
              <w:rPr>
                <w:rFonts w:ascii="Arial" w:cs="Arial" w:eastAsia="Arial" w:hAnsi="Arial"/>
                <w:sz w:val="18"/>
                <w:szCs w:val="18"/>
                <w:color w:val="auto"/>
              </w:rPr>
              <w:t>(6,283)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69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Taxes</w:t>
            </w:r>
          </w:p>
        </w:tc>
        <w:tc>
          <w:tcPr>
            <w:tcW w:w="6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(19,820)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6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(19,111)</w:t>
            </w:r>
          </w:p>
        </w:tc>
        <w:tc>
          <w:tcPr>
            <w:tcW w:w="7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 Basic</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0.50)</w:t>
            </w:r>
          </w:p>
        </w:tc>
        <w:tc>
          <w:tcPr>
            <w:tcW w:w="7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Earnings Per Share Diluted</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Shares Basic</w:t>
            </w:r>
          </w:p>
        </w:tc>
        <w:tc>
          <w:tcPr>
            <w:tcW w:w="6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38,565,307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35,579,137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Diluted</w:t>
            </w:r>
          </w:p>
        </w:tc>
        <w:tc>
          <w:tcPr>
            <w:tcW w:w="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38,565,307</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37,742,337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456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w w:val="91"/>
              </w:rPr>
              <w:t>Dragonfly Energy Holdings Corp.</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5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88"/>
              </w:rPr>
              <w:t>Statement of Cash Flows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5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89"/>
              </w:rPr>
              <w:t>Years Ended December 31, 2022 and 2021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5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88"/>
              </w:rPr>
              <w:t>(in thousands)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380" w:type="dxa"/>
            <w:vAlign w:val="bottom"/>
          </w:tcPr>
          <w:p>
            <w:pPr>
              <w:jc w:val="center"/>
              <w:ind w:left="470"/>
              <w:spacing w:after="0"/>
              <w:rPr>
                <w:sz w:val="20"/>
                <w:szCs w:val="20"/>
                <w:color w:val="auto"/>
              </w:rPr>
            </w:pPr>
            <w:r>
              <w:rPr>
                <w:rFonts w:ascii="Arial" w:cs="Arial" w:eastAsia="Arial" w:hAnsi="Arial"/>
                <w:sz w:val="18"/>
                <w:szCs w:val="18"/>
                <w:b w:val="1"/>
                <w:bCs w:val="1"/>
                <w:color w:val="auto"/>
                <w:w w:val="93"/>
              </w:rPr>
              <w:t>Unaudited</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800" w:type="dxa"/>
            <w:vAlign w:val="bottom"/>
          </w:tcPr>
          <w:p>
            <w:pPr>
              <w:spacing w:after="0"/>
              <w:rPr>
                <w:sz w:val="20"/>
                <w:szCs w:val="20"/>
                <w:color w:val="auto"/>
              </w:rPr>
            </w:pPr>
          </w:p>
        </w:tc>
        <w:tc>
          <w:tcPr>
            <w:tcW w:w="45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Net (Loss) Income</w:t>
            </w:r>
          </w:p>
        </w:tc>
        <w:tc>
          <w:tcPr>
            <w:tcW w:w="456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(19,111)   $</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4,338</w:t>
            </w:r>
          </w:p>
        </w:tc>
      </w:tr>
      <w:tr>
        <w:trPr>
          <w:trHeight w:val="216"/>
        </w:trPr>
        <w:tc>
          <w:tcPr>
            <w:tcW w:w="6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w:t>
            </w:r>
          </w:p>
        </w:tc>
        <w:tc>
          <w:tcPr>
            <w:tcW w:w="1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Used in Operating Activities</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1,837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734</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Debt extinguishment</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4,824</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1,822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206</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w w:val="98"/>
              </w:rPr>
              <w:t>Change in fair market value of warrant liability</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rPr>
              <w:t>(5,446)</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(453)</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Non cash interest expense (paid in kind)</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1,192</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108</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891</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617</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(769)</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1,007</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w w:val="86"/>
              </w:rPr>
              <w:t>(22,719)</w:t>
            </w: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(21,179)</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(1,839)</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5,459</w:t>
            </w: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(6,353)</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1,520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1,196</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1,029</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(1,156)</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3,783</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8,903</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38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3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rPr>
              <w:t>(196)</w:t>
            </w: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(1,345)</w:t>
            </w:r>
          </w:p>
        </w:tc>
      </w:tr>
      <w:tr>
        <w:trPr>
          <w:trHeight w:val="236"/>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318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8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31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85"/>
              </w:rPr>
              <w:t>(28,873</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(13,573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3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80" w:right="339" w:bottom="393"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Proceeds from disposal of property and equipment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980"/>
        <w:spacing w:after="0"/>
        <w:rPr>
          <w:sz w:val="20"/>
          <w:szCs w:val="20"/>
          <w:color w:val="auto"/>
        </w:rPr>
      </w:pPr>
      <w:r>
        <w:rPr>
          <w:rFonts w:ascii="Arial" w:cs="Arial" w:eastAsia="Arial" w:hAnsi="Arial"/>
          <w:sz w:val="16"/>
          <w:szCs w:val="16"/>
          <w:color w:val="auto"/>
        </w:rPr>
        <w:t>(6,405)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(6,405)</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(2,970)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(2,909)</w:t>
      </w:r>
    </w:p>
    <w:p>
      <w:pPr>
        <w:spacing w:after="0" w:line="206" w:lineRule="exact"/>
        <w:rPr>
          <w:sz w:val="20"/>
          <w:szCs w:val="20"/>
          <w:color w:val="auto"/>
        </w:rPr>
      </w:pPr>
    </w:p>
    <w:p>
      <w:pPr>
        <w:sectPr>
          <w:pgSz w:w="11900" w:h="16838" w:orient="portrait"/>
          <w:cols w:equalWidth="0" w:num="3">
            <w:col w:w="7720" w:space="720"/>
            <w:col w:w="1500" w:space="720"/>
            <w:col w:w="580"/>
          </w:cols>
          <w:pgMar w:left="320" w:top="580" w:right="339" w:bottom="393"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Proceeds from term loan</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Repayment from note payable</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OID debt issuance costs</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Effect of recapitalization</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purchase agreement</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Proceeds from revolving note agreement</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note agreement</w:t>
            </w: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44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24,851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38,906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(Decrease) / Increase in Cash and Restricted Cash</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(10,849)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22,424</w:t>
            </w:r>
          </w:p>
        </w:tc>
        <w:tc>
          <w:tcPr>
            <w:tcW w:w="0" w:type="dxa"/>
            <w:vAlign w:val="bottom"/>
          </w:tcPr>
          <w:p>
            <w:pPr>
              <w:spacing w:after="0"/>
              <w:rPr>
                <w:sz w:val="1"/>
                <w:szCs w:val="1"/>
                <w:color w:val="auto"/>
              </w:rPr>
            </w:pPr>
          </w:p>
        </w:tc>
      </w:tr>
      <w:tr>
        <w:trPr>
          <w:trHeight w:val="24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restricted cash</w:t>
            </w: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28,630</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56"/>
        </w:trPr>
        <w:tc>
          <w:tcPr>
            <w:tcW w:w="65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Ending cash and restricted cash</w:t>
            </w:r>
          </w:p>
        </w:tc>
        <w:tc>
          <w:tcPr>
            <w:tcW w:w="440" w:type="dxa"/>
            <w:vAlign w:val="bottom"/>
            <w:tcBorders>
              <w:top w:val="single" w:sz="8" w:color="CCEEFF"/>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17,781</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28,630</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11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w:t>
            </w:r>
          </w:p>
        </w:tc>
        <w:tc>
          <w:tcPr>
            <w:tcW w:w="8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interest</w:t>
            </w:r>
          </w:p>
        </w:tc>
        <w:tc>
          <w:tcPr>
            <w:tcW w:w="440" w:type="dxa"/>
            <w:vAlign w:val="bottom"/>
            <w:tcBorders>
              <w:top w:val="single" w:sz="8" w:color="CCEEFF"/>
              <w:bottom w:val="single" w:sz="8" w:color="CCEEFF"/>
            </w:tcBorders>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Non Cash Items</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540" w:type="dxa"/>
            <w:vAlign w:val="bottom"/>
          </w:tcPr>
          <w:p>
            <w:pPr>
              <w:ind w:left="180"/>
              <w:spacing w:after="0"/>
              <w:rPr>
                <w:sz w:val="20"/>
                <w:szCs w:val="20"/>
                <w:color w:val="auto"/>
              </w:rPr>
            </w:pPr>
            <w:r>
              <w:rPr>
                <w:rFonts w:ascii="Arial" w:cs="Arial" w:eastAsia="Arial" w:hAnsi="Arial"/>
                <w:sz w:val="18"/>
                <w:szCs w:val="18"/>
                <w:color w:val="auto"/>
              </w:rPr>
              <w:t>Receivable of options exercised</w:t>
            </w:r>
          </w:p>
        </w:tc>
        <w:tc>
          <w:tcPr>
            <w:tcW w:w="11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Purchases of property and equipment, not yet paid</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180"/>
              <w:spacing w:after="0"/>
              <w:rPr>
                <w:sz w:val="20"/>
                <w:szCs w:val="20"/>
                <w:color w:val="auto"/>
              </w:rPr>
            </w:pPr>
            <w:r>
              <w:rPr>
                <w:rFonts w:ascii="Arial" w:cs="Arial" w:eastAsia="Arial" w:hAnsi="Arial"/>
                <w:sz w:val="18"/>
                <w:szCs w:val="18"/>
                <w:color w:val="auto"/>
                <w:w w:val="98"/>
              </w:rPr>
              <w:t>Recognition of right of use asset obtained in exchange for operating lease liability</w:t>
            </w:r>
          </w:p>
        </w:tc>
        <w:tc>
          <w:tcPr>
            <w:tcW w:w="44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5,745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Warrant liability assumed in merger</w:t>
            </w:r>
          </w:p>
        </w:tc>
        <w:tc>
          <w:tcPr>
            <w:tcW w:w="4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180"/>
              <w:spacing w:after="0"/>
              <w:rPr>
                <w:sz w:val="20"/>
                <w:szCs w:val="20"/>
                <w:color w:val="auto"/>
              </w:rPr>
            </w:pPr>
            <w:r>
              <w:rPr>
                <w:rFonts w:ascii="Arial" w:cs="Arial" w:eastAsia="Arial" w:hAnsi="Arial"/>
                <w:sz w:val="18"/>
                <w:szCs w:val="18"/>
                <w:color w:val="auto"/>
              </w:rPr>
              <w:t>Recognition of warrant liability</w:t>
            </w:r>
          </w:p>
        </w:tc>
        <w:tc>
          <w:tcPr>
            <w:tcW w:w="44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52,956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Cashless exercise of liability classified warrants</w:t>
            </w:r>
          </w:p>
        </w:tc>
        <w:tc>
          <w:tcPr>
            <w:tcW w:w="4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16,669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393"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Income From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spacing w:after="0" w:line="260" w:lineRule="auto"/>
        <w:rPr>
          <w:sz w:val="20"/>
          <w:szCs w:val="20"/>
          <w:color w:val="auto"/>
        </w:rPr>
      </w:pPr>
      <w:r>
        <w:rPr>
          <w:rFonts w:ascii="Arial" w:cs="Arial" w:eastAsia="Arial" w:hAnsi="Arial"/>
          <w:sz w:val="18"/>
          <w:szCs w:val="18"/>
          <w:color w:val="auto"/>
        </w:rPr>
        <w:t>Change in fair market value of warrant liability Debt extinguishment</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3800"/>
        <w:spacing w:after="0"/>
        <w:rPr>
          <w:sz w:val="20"/>
          <w:szCs w:val="20"/>
          <w:color w:val="auto"/>
        </w:rPr>
      </w:pPr>
      <w:r>
        <w:rPr>
          <w:rFonts w:ascii="Arial" w:cs="Arial" w:eastAsia="Arial" w:hAnsi="Arial"/>
          <w:sz w:val="16"/>
          <w:szCs w:val="16"/>
          <w:b w:val="1"/>
          <w:bCs w:val="1"/>
          <w:color w:val="auto"/>
        </w:rPr>
        <w:t>Quarters Ended December 31, 2022 and 2021</w:t>
      </w:r>
    </w:p>
    <w:p>
      <w:pPr>
        <w:spacing w:after="0" w:line="32" w:lineRule="exact"/>
        <w:rPr>
          <w:sz w:val="20"/>
          <w:szCs w:val="20"/>
          <w:color w:val="auto"/>
        </w:rPr>
      </w:pPr>
    </w:p>
    <w:p>
      <w:pPr>
        <w:jc w:val="center"/>
        <w:ind w:right="380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41" w:lineRule="exact"/>
        <w:rPr>
          <w:sz w:val="20"/>
          <w:szCs w:val="20"/>
          <w:color w:val="auto"/>
        </w:rPr>
      </w:pPr>
    </w:p>
    <w:tbl>
      <w:tblPr>
        <w:tblLayout w:type="fixed"/>
        <w:tblInd w:w="312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439"/>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20,209</w:t>
            </w:r>
          </w:p>
        </w:tc>
        <w:tc>
          <w:tcPr>
            <w:tcW w:w="180" w:type="dxa"/>
            <w:vAlign w:val="bottom"/>
          </w:tcPr>
          <w:p>
            <w:pPr>
              <w:spacing w:after="0"/>
              <w:rPr>
                <w:sz w:val="24"/>
                <w:szCs w:val="24"/>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20,179</w:t>
            </w:r>
          </w:p>
        </w:tc>
        <w:tc>
          <w:tcPr>
            <w:tcW w:w="60" w:type="dxa"/>
            <w:vAlign w:val="bottom"/>
          </w:tcPr>
          <w:p>
            <w:pPr>
              <w:spacing w:after="0"/>
              <w:rPr>
                <w:sz w:val="24"/>
                <w:szCs w:val="24"/>
                <w:color w:val="auto"/>
              </w:rPr>
            </w:pPr>
          </w:p>
        </w:tc>
      </w:tr>
      <w:tr>
        <w:trPr>
          <w:trHeight w:val="432"/>
        </w:trPr>
        <w:tc>
          <w:tcPr>
            <w:tcW w:w="3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14,061</w:t>
            </w:r>
          </w:p>
        </w:tc>
        <w:tc>
          <w:tcPr>
            <w:tcW w:w="6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4,443</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6,118</w:t>
            </w:r>
          </w:p>
        </w:tc>
        <w:tc>
          <w:tcPr>
            <w:tcW w:w="60" w:type="dxa"/>
            <w:vAlign w:val="bottom"/>
          </w:tcPr>
          <w:p>
            <w:pPr>
              <w:spacing w:after="0"/>
              <w:rPr>
                <w:sz w:val="24"/>
                <w:szCs w:val="24"/>
                <w:color w:val="auto"/>
              </w:rPr>
            </w:pPr>
          </w:p>
        </w:tc>
      </w:tr>
      <w:tr>
        <w:trPr>
          <w:trHeight w:val="634"/>
        </w:trPr>
        <w:tc>
          <w:tcPr>
            <w:tcW w:w="32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7,328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2,191</w:t>
            </w:r>
          </w:p>
        </w:tc>
        <w:tc>
          <w:tcPr>
            <w:tcW w:w="60" w:type="dxa"/>
            <w:vAlign w:val="bottom"/>
          </w:tcPr>
          <w:p>
            <w:pPr>
              <w:spacing w:after="0"/>
              <w:rPr>
                <w:sz w:val="18"/>
                <w:szCs w:val="18"/>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60" w:type="dxa"/>
            <w:vAlign w:val="bottom"/>
          </w:tcPr>
          <w:p>
            <w:pPr>
              <w:spacing w:after="0"/>
              <w:rPr>
                <w:sz w:val="20"/>
                <w:szCs w:val="20"/>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6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(8,038)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634"/>
        </w:trPr>
        <w:tc>
          <w:tcPr>
            <w:tcW w:w="32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(3,288)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3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5,446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(4,824)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-2794000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-2502535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-2228215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-1953895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-1679575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-1396365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-1105535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-822325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-548005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-273685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00" w:space="220"/>
            <w:col w:w="7420"/>
          </w:cols>
          <w:pgMar w:left="320" w:top="580"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69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b w:val="1"/>
                <w:bCs w:val="1"/>
                <w:color w:val="auto"/>
              </w:rPr>
              <w:t>Total Other Expense</w:t>
            </w:r>
          </w:p>
        </w:tc>
        <w:tc>
          <w:tcPr>
            <w:tcW w:w="6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1"/>
              <w:spacing w:after="0" w:line="203" w:lineRule="exact"/>
              <w:rPr>
                <w:sz w:val="20"/>
                <w:szCs w:val="20"/>
                <w:color w:val="auto"/>
              </w:rPr>
            </w:pPr>
            <w:r>
              <w:rPr>
                <w:rFonts w:ascii="Arial" w:cs="Arial" w:eastAsia="Arial" w:hAnsi="Arial"/>
                <w:sz w:val="18"/>
                <w:szCs w:val="18"/>
                <w:color w:val="auto"/>
              </w:rPr>
              <w:t>(2,626)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69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Taxes</w:t>
            </w:r>
          </w:p>
        </w:tc>
        <w:tc>
          <w:tcPr>
            <w:tcW w:w="6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(10,664)</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69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6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69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(11,655)</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 Basic</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(0.27)</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Earnings Per Share Diluted</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37"/>
        </w:trPr>
        <w:tc>
          <w:tcPr>
            <w:tcW w:w="694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Shares Basic</w:t>
            </w:r>
          </w:p>
        </w:tc>
        <w:tc>
          <w:tcPr>
            <w:tcW w:w="6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42,948,026</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36,102,440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Diluted</w:t>
            </w: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42,948,026</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36,102,440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is considered a non-GAAP financial measure under the rules of the SEC because it excludes certain amounts included in net loss calculated in accordance with GAAP. Specifically, the Company calculates Adjusted EBITDA by GAAP net loss adjusted to exclude stock-based compensation expense, business combination related expenses and other one-time, non-recurring items.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has limitations as an analytical tool, and it should not be considered in isolation or as a substitute for analysis of net loss or other results as reported under GAAP. Some of these limitations are:</w:t>
      </w:r>
    </w:p>
    <w:p>
      <w:pPr>
        <w:spacing w:after="0" w:line="170"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the Company’s cash expenditures, future requirements for capital expenditures, or contractual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the Company’s working capital needs;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the Company’s tax expense or the cash requirements to pay taxes;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amortization and depreciation are non-cash charges, the assets being amortized and depreciated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should not be construed as an inference that the Company’s future results will be unaffected by unusual or non-recurring items for which the Company may adjust in historical periods;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the industry may calculate Adjusted EBITDA differently than the Company does, limiting its usefulness as a comparative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reconciliations of EBITDA and Adjusted EBITDA to the most directly comparable GAAP financial measure for each of the periods indicated.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80" w:type="dxa"/>
            <w:vAlign w:val="bottom"/>
            <w:tcBorders>
              <w:bottom w:val="single" w:sz="8" w:color="CCEEFF"/>
            </w:tcBorders>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EBITDA Calculation</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41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(19,111)</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4,338</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Interest &amp; Other Income</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Plus: Taxes</w:t>
            </w: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r>
      <w:tr>
        <w:trPr>
          <w:trHeight w:val="25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Depreciation &amp; Amortization</w:t>
            </w:r>
          </w:p>
        </w:tc>
        <w:tc>
          <w:tcPr>
            <w:tcW w:w="36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03"/>
        </w:trPr>
        <w:tc>
          <w:tcPr>
            <w:tcW w:w="33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EBITDA</w:t>
            </w:r>
          </w:p>
        </w:tc>
        <w:tc>
          <w:tcPr>
            <w:tcW w:w="36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(12,645)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7,084</w:t>
            </w:r>
          </w:p>
        </w:tc>
        <w:tc>
          <w:tcPr>
            <w:tcW w:w="100" w:type="dxa"/>
            <w:vAlign w:val="bottom"/>
            <w:tcBorders>
              <w:top w:val="single" w:sz="8" w:color="CCEEFF"/>
            </w:tcBorders>
          </w:tcPr>
          <w:p>
            <w:pPr>
              <w:spacing w:after="0"/>
              <w:rPr>
                <w:sz w:val="17"/>
                <w:szCs w:val="17"/>
                <w:color w:val="auto"/>
              </w:rPr>
            </w:pPr>
          </w:p>
        </w:tc>
      </w:tr>
      <w:tr>
        <w:trPr>
          <w:trHeight w:val="216"/>
        </w:trPr>
        <w:tc>
          <w:tcPr>
            <w:tcW w:w="33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Adjustments to EBITDA</w:t>
            </w: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Stock Based Compensation</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Plus: ERP Implementation</w:t>
            </w: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Promissory Note Forgiveness</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Plus: Loss on Disposal of Assets</w:t>
            </w: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Separation Agreement</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3380" w:type="dxa"/>
            <w:vAlign w:val="bottom"/>
          </w:tcPr>
          <w:p>
            <w:pPr>
              <w:ind w:left="180"/>
              <w:spacing w:after="0"/>
              <w:rPr>
                <w:sz w:val="20"/>
                <w:szCs w:val="20"/>
                <w:color w:val="auto"/>
              </w:rPr>
            </w:pPr>
            <w:r>
              <w:rPr>
                <w:rFonts w:ascii="Arial" w:cs="Arial" w:eastAsia="Arial" w:hAnsi="Arial"/>
                <w:sz w:val="18"/>
                <w:szCs w:val="18"/>
                <w:color w:val="auto"/>
              </w:rPr>
              <w:t>Plus: Business Combination Expenses</w:t>
            </w:r>
          </w:p>
        </w:tc>
        <w:tc>
          <w:tcPr>
            <w:tcW w:w="3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414"/>
        </w:trPr>
        <w:tc>
          <w:tcPr>
            <w:tcW w:w="3380" w:type="dxa"/>
            <w:vAlign w:val="bottom"/>
          </w:tcPr>
          <w:p>
            <w:pPr>
              <w:spacing w:after="0"/>
              <w:rPr>
                <w:sz w:val="24"/>
                <w:szCs w:val="24"/>
                <w:color w:val="auto"/>
              </w:rPr>
            </w:pPr>
          </w:p>
        </w:tc>
        <w:tc>
          <w:tcPr>
            <w:tcW w:w="41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Dragonfly Energy Holdings Corp.</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41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0"/>
              </w:rPr>
              <w:t>Quarters Ended December 31, 2022 and 2021</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414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380" w:type="dxa"/>
            <w:vAlign w:val="bottom"/>
            <w:tcBorders>
              <w:bottom w:val="single" w:sz="8" w:color="CCEEFF"/>
            </w:tcBorders>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EBITDA Calculation</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41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(11,655)</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Interest &amp; Other Income</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Plus:Taxes</w:t>
            </w: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r>
      <w:tr>
        <w:trPr>
          <w:trHeight w:val="25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Plus:Depreciation &amp; Amortization</w:t>
            </w:r>
          </w:p>
        </w:tc>
        <w:tc>
          <w:tcPr>
            <w:tcW w:w="36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r>
      <w:tr>
        <w:trPr>
          <w:trHeight w:val="203"/>
        </w:trPr>
        <w:tc>
          <w:tcPr>
            <w:tcW w:w="33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EBITDA</w:t>
            </w:r>
          </w:p>
        </w:tc>
        <w:tc>
          <w:tcPr>
            <w:tcW w:w="36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(7,843)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tcPr>
          <w:p>
            <w:pPr>
              <w:spacing w:after="0"/>
              <w:rPr>
                <w:sz w:val="17"/>
                <w:szCs w:val="17"/>
                <w:color w:val="auto"/>
              </w:rPr>
            </w:pPr>
          </w:p>
        </w:tc>
      </w:tr>
      <w:tr>
        <w:trPr>
          <w:trHeight w:val="216"/>
        </w:trPr>
        <w:tc>
          <w:tcPr>
            <w:tcW w:w="33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Adjustments to EBITDA</w:t>
            </w: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Plus:Stock Based Compensation</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Plus:ERP Implementation</w:t>
            </w: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Plus:Loss on Disposal of Assets</w:t>
            </w:r>
          </w:p>
        </w:tc>
        <w:tc>
          <w:tcPr>
            <w:tcW w:w="3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Plus:Separtation Agreement</w:t>
            </w:r>
          </w:p>
        </w:tc>
        <w:tc>
          <w:tcPr>
            <w:tcW w:w="3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5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Plus:Business Comination Expenses</w:t>
            </w:r>
          </w:p>
        </w:tc>
        <w:tc>
          <w:tcPr>
            <w:tcW w:w="36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r>
      <w:tr>
        <w:trPr>
          <w:trHeight w:val="217"/>
        </w:trPr>
        <w:tc>
          <w:tcPr>
            <w:tcW w:w="3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36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CCEEFF"/>
            </w:tcBorders>
          </w:tcPr>
          <w:p>
            <w:pPr>
              <w:spacing w:after="0"/>
              <w:rPr>
                <w:sz w:val="18"/>
                <w:szCs w:val="18"/>
                <w:color w:val="auto"/>
              </w:rPr>
            </w:pPr>
          </w:p>
        </w:tc>
      </w:tr>
      <w:tr>
        <w:trPr>
          <w:trHeight w:val="425"/>
        </w:trPr>
        <w:tc>
          <w:tcPr>
            <w:tcW w:w="3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2023-03-29T15:39:42Z</dcterms:created>
  <dcterms:modified xsi:type="dcterms:W3CDTF">2023-03-29T15:39:42Z</dcterms:modified>
</cp:coreProperties>
</file>