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2022 (November 14,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DRAGONFLY ENERGY HOLDINGS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Delaware</w:t>
            </w:r>
          </w:p>
        </w:tc>
        <w:tc>
          <w:tcPr>
            <w:tcW w:w="4520" w:type="dxa"/>
            <w:vAlign w:val="bottom"/>
            <w:gridSpan w:val="3"/>
          </w:tcPr>
          <w:p>
            <w:pPr>
              <w:jc w:val="right"/>
              <w:ind w:right="1330"/>
              <w:spacing w:after="0"/>
              <w:rPr>
                <w:sz w:val="20"/>
                <w:szCs w:val="20"/>
                <w:color w:val="auto"/>
              </w:rPr>
            </w:pPr>
            <w:r>
              <w:rPr>
                <w:rFonts w:ascii="Arial" w:cs="Arial" w:eastAsia="Arial" w:hAnsi="Arial"/>
                <w:sz w:val="18"/>
                <w:szCs w:val="18"/>
                <w:b w:val="1"/>
                <w:bCs w:val="1"/>
                <w:color w:val="auto"/>
              </w:rPr>
              <w:t>001-40730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85-1873463</w:t>
            </w:r>
          </w:p>
        </w:tc>
      </w:tr>
      <w:tr>
        <w:trPr>
          <w:trHeight w:val="202"/>
        </w:trPr>
        <w:tc>
          <w:tcPr>
            <w:tcW w:w="3020" w:type="dxa"/>
            <w:vAlign w:val="bottom"/>
            <w:tcBorders>
              <w:top w:val="single" w:sz="8" w:color="auto"/>
            </w:tcBorders>
          </w:tcPr>
          <w:p>
            <w:pPr>
              <w:jc w:val="center"/>
              <w:ind w:left="710"/>
              <w:spacing w:after="0" w:line="201" w:lineRule="exact"/>
              <w:rPr>
                <w:sz w:val="20"/>
                <w:szCs w:val="20"/>
                <w:color w:val="auto"/>
              </w:rPr>
            </w:pPr>
            <w:r>
              <w:rPr>
                <w:rFonts w:ascii="Arial" w:cs="Arial" w:eastAsia="Arial" w:hAnsi="Arial"/>
                <w:sz w:val="18"/>
                <w:szCs w:val="18"/>
                <w:color w:val="auto"/>
                <w:w w:val="92"/>
              </w:rPr>
              <w:t>(State or other jurisdiction</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710"/>
              <w:spacing w:after="0"/>
              <w:rPr>
                <w:sz w:val="20"/>
                <w:szCs w:val="20"/>
                <w:color w:val="auto"/>
              </w:rPr>
            </w:pPr>
            <w:r>
              <w:rPr>
                <w:rFonts w:ascii="Arial" w:cs="Arial" w:eastAsia="Arial" w:hAnsi="Arial"/>
                <w:sz w:val="18"/>
                <w:szCs w:val="18"/>
                <w:color w:val="auto"/>
                <w:w w:val="93"/>
              </w:rPr>
              <w:t>of incorporation)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3"/>
              </w:rPr>
              <w:t>1190 Trademark Drive #108</w:t>
            </w:r>
          </w:p>
        </w:tc>
        <w:tc>
          <w:tcPr>
            <w:tcW w:w="2820" w:type="dxa"/>
            <w:vAlign w:val="bottom"/>
          </w:tcPr>
          <w:p>
            <w:pPr>
              <w:spacing w:after="0"/>
              <w:rPr>
                <w:sz w:val="24"/>
                <w:szCs w:val="24"/>
                <w:color w:val="auto"/>
              </w:rPr>
            </w:pPr>
          </w:p>
        </w:tc>
      </w:tr>
      <w:tr>
        <w:trPr>
          <w:trHeight w:val="220"/>
        </w:trPr>
        <w:tc>
          <w:tcPr>
            <w:tcW w:w="3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9"/>
              </w:rPr>
              <w:t>Reno, Nevada 89521</w:t>
            </w:r>
          </w:p>
        </w:tc>
        <w:tc>
          <w:tcPr>
            <w:tcW w:w="28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(775) 622-3448</w:t>
            </w:r>
          </w:p>
        </w:tc>
        <w:tc>
          <w:tcPr>
            <w:tcW w:w="28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Title of Each Class: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4380" w:type="dxa"/>
            <w:vAlign w:val="bottom"/>
            <w:shd w:val="clear" w:color="auto" w:fill="CCEEFF"/>
          </w:tcPr>
          <w:p>
            <w:pPr>
              <w:jc w:val="center"/>
              <w:ind w:right="490"/>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DFLI</w:t>
            </w:r>
          </w:p>
        </w:tc>
        <w:tc>
          <w:tcPr>
            <w:tcW w:w="4180" w:type="dxa"/>
            <w:vAlign w:val="bottom"/>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3"/>
              </w:rPr>
              <w:t>The Nasdaq Global Market</w:t>
            </w:r>
          </w:p>
        </w:tc>
      </w:tr>
      <w:tr>
        <w:trPr>
          <w:trHeight w:val="198"/>
        </w:trPr>
        <w:tc>
          <w:tcPr>
            <w:tcW w:w="4380" w:type="dxa"/>
            <w:vAlign w:val="bottom"/>
          </w:tcPr>
          <w:p>
            <w:pPr>
              <w:jc w:val="center"/>
              <w:ind w:right="450"/>
              <w:spacing w:after="0" w:line="198" w:lineRule="exact"/>
              <w:rPr>
                <w:sz w:val="20"/>
                <w:szCs w:val="20"/>
                <w:color w:val="auto"/>
              </w:rPr>
            </w:pPr>
            <w:r>
              <w:rPr>
                <w:rFonts w:ascii="Arial" w:cs="Arial" w:eastAsia="Arial" w:hAnsi="Arial"/>
                <w:sz w:val="18"/>
                <w:szCs w:val="18"/>
                <w:b w:val="1"/>
                <w:bCs w:val="1"/>
                <w:color w:val="auto"/>
                <w:w w:val="89"/>
              </w:rPr>
              <w:t>Redeemable warrants, exercisable for common</w:t>
            </w:r>
          </w:p>
        </w:tc>
        <w:tc>
          <w:tcPr>
            <w:tcW w:w="26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DFLIW</w:t>
            </w:r>
          </w:p>
        </w:tc>
        <w:tc>
          <w:tcPr>
            <w:tcW w:w="4180" w:type="dxa"/>
            <w:vAlign w:val="bottom"/>
          </w:tcPr>
          <w:p>
            <w:pPr>
              <w:jc w:val="center"/>
              <w:ind w:left="490"/>
              <w:spacing w:after="0" w:line="198" w:lineRule="exact"/>
              <w:rPr>
                <w:sz w:val="20"/>
                <w:szCs w:val="20"/>
                <w:color w:val="auto"/>
              </w:rPr>
            </w:pPr>
            <w:r>
              <w:rPr>
                <w:rFonts w:ascii="Arial" w:cs="Arial" w:eastAsia="Arial" w:hAnsi="Arial"/>
                <w:sz w:val="18"/>
                <w:szCs w:val="18"/>
                <w:b w:val="1"/>
                <w:bCs w:val="1"/>
                <w:color w:val="auto"/>
                <w:w w:val="93"/>
              </w:rPr>
              <w:t>The Nasdaq Capital Market</w:t>
            </w:r>
          </w:p>
        </w:tc>
      </w:tr>
      <w:tr>
        <w:trPr>
          <w:trHeight w:val="216"/>
        </w:trPr>
        <w:tc>
          <w:tcPr>
            <w:tcW w:w="4380" w:type="dxa"/>
            <w:vAlign w:val="bottom"/>
          </w:tcPr>
          <w:p>
            <w:pPr>
              <w:jc w:val="center"/>
              <w:ind w:right="450"/>
              <w:spacing w:after="0"/>
              <w:rPr>
                <w:sz w:val="20"/>
                <w:szCs w:val="20"/>
                <w:color w:val="auto"/>
              </w:rPr>
            </w:pPr>
            <w:r>
              <w:rPr>
                <w:rFonts w:ascii="Arial" w:cs="Arial" w:eastAsia="Arial" w:hAnsi="Arial"/>
                <w:sz w:val="18"/>
                <w:szCs w:val="18"/>
                <w:b w:val="1"/>
                <w:bCs w:val="1"/>
                <w:color w:val="auto"/>
                <w:w w:val="87"/>
              </w:rPr>
              <w:t>stock at an exercise price of $11.50 per share,</w:t>
            </w:r>
          </w:p>
        </w:tc>
        <w:tc>
          <w:tcPr>
            <w:tcW w:w="268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34"/>
        </w:trPr>
        <w:tc>
          <w:tcPr>
            <w:tcW w:w="438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subject to adjustment</w:t>
            </w:r>
          </w:p>
        </w:tc>
        <w:tc>
          <w:tcPr>
            <w:tcW w:w="2680" w:type="dxa"/>
            <w:vAlign w:val="bottom"/>
          </w:tcPr>
          <w:p>
            <w:pPr>
              <w:spacing w:after="0"/>
              <w:rPr>
                <w:sz w:val="20"/>
                <w:szCs w:val="20"/>
                <w:color w:val="auto"/>
              </w:rPr>
            </w:pPr>
          </w:p>
        </w:tc>
        <w:tc>
          <w:tcPr>
            <w:tcW w:w="4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18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14, 2022, Dragonfly Energy Holdings Corp.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financial results of Dragonfly Energy Corp. for the nine months ended September 30, 2022. A copy of the press release is attached as Exhibit 99.1 hereto and incorporated in this Item 2.02 by reference.</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information set forth in Item 2.02 (including Exhibit 99.1) shall not be deemed “filed” for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432"/>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 Number</w:t>
            </w:r>
          </w:p>
        </w:tc>
        <w:tc>
          <w:tcPr>
            <w:tcW w:w="10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60" w:type="dxa"/>
            <w:vAlign w:val="bottom"/>
            <w:gridSpan w:val="2"/>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of the Company dated November 14, 2022.</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DRAGONFLY ENERGY HOLDINGS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14, 2022</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 Phares</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Denis Phares</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154305</wp:posOffset>
            </wp:positionV>
            <wp:extent cx="118300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300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Reports Financial and Operating Results for the First Nine Months of 2022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Successful completion of business combination; Shares commenced trading on Nasdaq Exchange</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RENO, NEVADA (November 14, 2022) </w:t>
      </w:r>
      <w:r>
        <w:rPr>
          <w:rFonts w:ascii="Arial" w:cs="Arial" w:eastAsia="Arial" w:hAnsi="Arial"/>
          <w:sz w:val="18"/>
          <w:szCs w:val="18"/>
          <w:color w:val="auto"/>
        </w:rPr>
        <w:t>— Dragonfly Energy Holdings Corp. (f/k/a Chardan NexTech Acquisition 2 Corp. or “CNTQ”) (Nasdaq: DFLI)</w:t>
      </w:r>
      <w:r>
        <w:rPr>
          <w:rFonts w:ascii="Arial" w:cs="Arial" w:eastAsia="Arial" w:hAnsi="Arial"/>
          <w:sz w:val="18"/>
          <w:szCs w:val="18"/>
          <w:b w:val="1"/>
          <w:bCs w:val="1"/>
          <w:color w:val="auto"/>
        </w:rPr>
        <w:t xml:space="preserve"> </w:t>
      </w:r>
      <w:r>
        <w:rPr>
          <w:rFonts w:ascii="Arial" w:cs="Arial" w:eastAsia="Arial" w:hAnsi="Arial"/>
          <w:sz w:val="18"/>
          <w:szCs w:val="18"/>
          <w:color w:val="auto"/>
        </w:rPr>
        <w:t>(“Dragonfly Energy”), an industry leader in energy storage and producer of deep cycle lithium-ion storage batteries, announced it has released financial and operating results for Dragonfly Energy Corp. for the first nine months of 2022. The unaudited condensed consolidated financial statements of Dragonfly Energy Corp. and additional information, including updated pro forma information, can be found in Dragonfly Energy’s Current Report on Form 8-K/A, filed with the Securities and Exchange Commission today, November 14, 2022 (the “Form 8-K”). This earnings release should be read together with the information contained in the Form 8-K.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Year-to-Date Operational Highlights</w:t>
      </w:r>
    </w:p>
    <w:p>
      <w:pPr>
        <w:spacing w:after="0" w:line="13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32"/>
          <w:szCs w:val="32"/>
          <w:color w:val="auto"/>
          <w:vertAlign w:val="superscript"/>
        </w:rPr>
      </w:pPr>
      <w:r>
        <w:rPr>
          <w:rFonts w:ascii="Arial" w:cs="Arial" w:eastAsia="Arial" w:hAnsi="Arial"/>
          <w:sz w:val="16"/>
          <w:szCs w:val="16"/>
          <w:color w:val="auto"/>
        </w:rPr>
        <w:t>Completed business combination on October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with CNTQ and commenced trading on the Nasdaq under the ticker “DFLI” on October 10</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ind w:left="660" w:hanging="328"/>
        <w:spacing w:after="0" w:line="24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July 2022, Dragonfly Energy announced it had entered into a non-binding letter of intent for Aqua Metals to supply commercial quantities of lithium hydroxide to Dragonfly Energy, as well as providing battery recycling services</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July 2022, Thor Industries announced it had formed a strategic partnership with Dragonfly Energy, including an investment of $15 million.</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Earlier this year, Dragonfly Energy announced Bruker Clean Technology Research would be installing an in-house research facility for the company, dedicated to lithium and next-generation solid-state battery optimization.</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Earlier this year, Dragonfly Energy announced it acquired the assets and intellectual property of Wakespeed Offshore, providing the company the ability to offer complete alternator-connected systems for marine and RV markets. In October, Dragonfly Energy launched a new website, re-branding and mobile app for the Wakespeed brand.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start of 2022, Dragonfly Energy announced it had entered into an exclusive agreement to provide Dragonfly Energy batteries as standard or optional OEM equipment on Keystone RV travel trailers and fifth-wheels.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first earnings report as a public company represents an important milestone for Dragonfly Energy as a new publicly traded company,” said Denis Phares, CEO of Dragonfly Energy. “We are uniquely positioned to deliver value in a market that is incredibly important to our society’s energy needs. We’re proud to have demonstrated consistent growth since our inception, even in this challenging economy. In the coming quarters, we will update the market on our progress as we continue the growth of our core business and continue to make ongoing strides in our exciting solid-state battery development efforts, as part of our ultimate goal of revolutionizing grid storage.”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Dragonfly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Dragonfly Energy Holdings Corp. (Nasdaq: DFLI)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Arial" w:cs="Arial" w:eastAsia="Arial" w:hAnsi="Arial"/>
          <w:sz w:val="18"/>
          <w:szCs w:val="18"/>
          <w:u w:val="single" w:color="auto"/>
          <w:color w:val="auto"/>
        </w:rPr>
        <w:t>www.dragonflyenergy.com/investors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Registration Statement on Form S-4 relating to the business combination declared effective by the U.S. Securities and Exchange Commission the (“SEC”) on September 16, 2022, in the Company’s Current Report on Form 8-K filed with the SEC on October 7, 2022, as amended by the Amendment No. 1 to the Current Report on Form 8-K/A filed with the SEC on October 12, 2022 and the Amendment No. 2 to the Current Report on Form 8-K/A filed with the SEC on November 14, 2022, and in the Company’s subsequent filings with the SEC.</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2022-11-14T21:20:51Z</dcterms:created>
  <dcterms:modified xsi:type="dcterms:W3CDTF">2022-11-14T21:20:51Z</dcterms:modified>
</cp:coreProperties>
</file>