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13G/A</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3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CHARDAN NEXTECH ACQUISITION 2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Redeemable Warrants included as part of the Units, each exercisable for one share of Common Stock for $11.50 per share </w:t>
      </w:r>
      <w:r>
        <w:rPr>
          <w:rFonts w:ascii="Times New Roman" w:cs="Times New Roman" w:eastAsia="Times New Roman" w:hAnsi="Times New Roman"/>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159561117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16"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o </w:t>
      </w:r>
      <w:r>
        <w:rPr>
          <w:rFonts w:ascii="Times New Roman" w:cs="Times New Roman" w:eastAsia="Times New Roman" w:hAnsi="Times New Roman"/>
          <w:sz w:val="17"/>
          <w:szCs w:val="17"/>
          <w:color w:val="auto"/>
        </w:rPr>
        <w:t>Rule 13d-1(b)</w:t>
      </w:r>
    </w:p>
    <w:p>
      <w:pPr>
        <w:spacing w:after="0" w:line="40" w:lineRule="exact"/>
        <w:rPr>
          <w:sz w:val="24"/>
          <w:szCs w:val="24"/>
          <w:color w:val="auto"/>
        </w:rPr>
      </w:pPr>
    </w:p>
    <w:p>
      <w:pPr>
        <w:jc w:val="both"/>
        <w:ind w:left="660" w:right="9340" w:hanging="4"/>
        <w:spacing w:after="0" w:line="259" w:lineRule="auto"/>
        <w:tabs>
          <w:tab w:leader="none" w:pos="894"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 xml:space="preserve">Rule 13d-1(c) </w:t>
      </w:r>
      <w:r>
        <w:rPr>
          <w:rFonts w:ascii="Times New Roman" w:cs="Times New Roman" w:eastAsia="Times New Roman" w:hAnsi="Times New Roman"/>
          <w:sz w:val="21"/>
          <w:szCs w:val="21"/>
          <w:color w:val="auto"/>
        </w:rPr>
        <w:t xml:space="preserve">o </w:t>
      </w:r>
      <w:r>
        <w:rPr>
          <w:rFonts w:ascii="Times New Roman" w:cs="Times New Roman" w:eastAsia="Times New Roman" w:hAnsi="Times New Roman"/>
          <w:sz w:val="17"/>
          <w:szCs w:val="17"/>
          <w:color w:val="auto"/>
        </w:rPr>
        <w:t>Rule 13d-1(d)</w:t>
      </w:r>
    </w:p>
    <w:p>
      <w:pPr>
        <w:spacing w:after="0" w:line="200" w:lineRule="exact"/>
        <w:rPr>
          <w:sz w:val="24"/>
          <w:szCs w:val="24"/>
          <w:color w:val="auto"/>
        </w:rPr>
      </w:pPr>
    </w:p>
    <w:p>
      <w:pPr>
        <w:spacing w:after="0" w:line="211"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7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361315</wp:posOffset>
            </wp:positionV>
            <wp:extent cx="713613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159561117</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00"/>
              <w:spacing w:after="0"/>
              <w:rPr>
                <w:sz w:val="20"/>
                <w:szCs w:val="20"/>
                <w:color w:val="auto"/>
              </w:rPr>
            </w:pPr>
            <w:r>
              <w:rPr>
                <w:rFonts w:ascii="Times New Roman" w:cs="Times New Roman" w:eastAsia="Times New Roman" w:hAnsi="Times New Roman"/>
                <w:sz w:val="18"/>
                <w:szCs w:val="18"/>
                <w:b w:val="1"/>
                <w:bCs w:val="1"/>
                <w:color w:val="auto"/>
              </w:rPr>
              <w:t>Page 2 of 13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Vellar Opportunities Fund Master, Ltd.</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 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Cayman Islands</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60"/>
              <w:spacing w:after="0"/>
              <w:rPr>
                <w:sz w:val="20"/>
                <w:szCs w:val="20"/>
                <w:color w:val="auto"/>
              </w:rPr>
            </w:pPr>
            <w:r>
              <w:rPr>
                <w:rFonts w:ascii="Times New Roman" w:cs="Times New Roman" w:eastAsia="Times New Roman" w:hAnsi="Times New Roman"/>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CO</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40"/>
        </w:trPr>
        <w:tc>
          <w:tcPr>
            <w:tcW w:w="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520" w:type="dxa"/>
            <w:vAlign w:val="bottom"/>
            <w:tcBorders>
              <w:bottom w:val="single" w:sz="8" w:color="808080"/>
            </w:tcBorders>
          </w:tcPr>
          <w:p>
            <w:pPr>
              <w:spacing w:after="0"/>
              <w:rPr>
                <w:sz w:val="24"/>
                <w:szCs w:val="24"/>
                <w:color w:val="auto"/>
              </w:rPr>
            </w:pPr>
          </w:p>
        </w:tc>
        <w:tc>
          <w:tcPr>
            <w:tcW w:w="3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0"/>
        </w:trPr>
        <w:tc>
          <w:tcPr>
            <w:tcW w:w="40" w:type="dxa"/>
            <w:vAlign w:val="bottom"/>
            <w:tcBorders>
              <w:right w:val="single" w:sz="8" w:color="808080"/>
            </w:tcBorders>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1360" w:type="dxa"/>
            <w:vAlign w:val="bottom"/>
            <w:tcBorders>
              <w:right w:val="single" w:sz="8" w:color="808080"/>
            </w:tcBorders>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4520" w:type="dxa"/>
            <w:vAlign w:val="bottom"/>
            <w:tcBorders>
              <w:right w:val="single" w:sz="8" w:color="808080"/>
            </w:tcBorders>
            <w:shd w:val="clear" w:color="auto" w:fill="808080"/>
          </w:tcPr>
          <w:p>
            <w:pPr>
              <w:spacing w:after="0"/>
              <w:rPr>
                <w:sz w:val="5"/>
                <w:szCs w:val="5"/>
                <w:color w:val="auto"/>
              </w:rPr>
            </w:pPr>
          </w:p>
        </w:tc>
        <w:tc>
          <w:tcPr>
            <w:tcW w:w="3360" w:type="dxa"/>
            <w:vAlign w:val="bottom"/>
            <w:tcBorders>
              <w:right w:val="single" w:sz="8" w:color="808080"/>
            </w:tcBorders>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3"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159561117</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00"/>
              <w:spacing w:after="0"/>
              <w:rPr>
                <w:sz w:val="20"/>
                <w:szCs w:val="20"/>
                <w:color w:val="auto"/>
              </w:rPr>
            </w:pPr>
            <w:r>
              <w:rPr>
                <w:rFonts w:ascii="Times New Roman" w:cs="Times New Roman" w:eastAsia="Times New Roman" w:hAnsi="Times New Roman"/>
                <w:sz w:val="18"/>
                <w:szCs w:val="18"/>
                <w:b w:val="1"/>
                <w:bCs w:val="1"/>
                <w:color w:val="auto"/>
              </w:rPr>
              <w:t>Page 3 of 13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Cohen &amp; Company Financial Management, LLC</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 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60"/>
              <w:spacing w:after="0"/>
              <w:rPr>
                <w:sz w:val="20"/>
                <w:szCs w:val="20"/>
                <w:color w:val="auto"/>
              </w:rPr>
            </w:pPr>
            <w:r>
              <w:rPr>
                <w:rFonts w:ascii="Times New Roman" w:cs="Times New Roman" w:eastAsia="Times New Roman" w:hAnsi="Times New Roman"/>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IA, OO</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40"/>
        </w:trPr>
        <w:tc>
          <w:tcPr>
            <w:tcW w:w="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520" w:type="dxa"/>
            <w:vAlign w:val="bottom"/>
            <w:tcBorders>
              <w:bottom w:val="single" w:sz="8" w:color="808080"/>
            </w:tcBorders>
          </w:tcPr>
          <w:p>
            <w:pPr>
              <w:spacing w:after="0"/>
              <w:rPr>
                <w:sz w:val="24"/>
                <w:szCs w:val="24"/>
                <w:color w:val="auto"/>
              </w:rPr>
            </w:pPr>
          </w:p>
        </w:tc>
        <w:tc>
          <w:tcPr>
            <w:tcW w:w="3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0"/>
        </w:trPr>
        <w:tc>
          <w:tcPr>
            <w:tcW w:w="40" w:type="dxa"/>
            <w:vAlign w:val="bottom"/>
            <w:tcBorders>
              <w:right w:val="single" w:sz="8" w:color="808080"/>
            </w:tcBorders>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1360" w:type="dxa"/>
            <w:vAlign w:val="bottom"/>
            <w:tcBorders>
              <w:right w:val="single" w:sz="8" w:color="808080"/>
            </w:tcBorders>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4520" w:type="dxa"/>
            <w:vAlign w:val="bottom"/>
            <w:tcBorders>
              <w:right w:val="single" w:sz="8" w:color="808080"/>
            </w:tcBorders>
            <w:shd w:val="clear" w:color="auto" w:fill="808080"/>
          </w:tcPr>
          <w:p>
            <w:pPr>
              <w:spacing w:after="0"/>
              <w:rPr>
                <w:sz w:val="5"/>
                <w:szCs w:val="5"/>
                <w:color w:val="auto"/>
              </w:rPr>
            </w:pPr>
          </w:p>
        </w:tc>
        <w:tc>
          <w:tcPr>
            <w:tcW w:w="3360" w:type="dxa"/>
            <w:vAlign w:val="bottom"/>
            <w:tcBorders>
              <w:right w:val="single" w:sz="8" w:color="808080"/>
            </w:tcBorders>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2"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159561117</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00"/>
              <w:spacing w:after="0"/>
              <w:rPr>
                <w:sz w:val="20"/>
                <w:szCs w:val="20"/>
                <w:color w:val="auto"/>
              </w:rPr>
            </w:pPr>
            <w:r>
              <w:rPr>
                <w:rFonts w:ascii="Times New Roman" w:cs="Times New Roman" w:eastAsia="Times New Roman" w:hAnsi="Times New Roman"/>
                <w:sz w:val="18"/>
                <w:szCs w:val="18"/>
                <w:b w:val="1"/>
                <w:bCs w:val="1"/>
                <w:color w:val="auto"/>
              </w:rPr>
              <w:t>Page 4 of 13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Dekania Investors, LLC</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 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60"/>
              <w:spacing w:after="0"/>
              <w:rPr>
                <w:sz w:val="20"/>
                <w:szCs w:val="20"/>
                <w:color w:val="auto"/>
              </w:rPr>
            </w:pPr>
            <w:r>
              <w:rPr>
                <w:rFonts w:ascii="Times New Roman" w:cs="Times New Roman" w:eastAsia="Times New Roman" w:hAnsi="Times New Roman"/>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OO, HC</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4"/>
        </w:trPr>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40" w:type="dxa"/>
            <w:vAlign w:val="bottom"/>
            <w:tcBorders>
              <w:right w:val="single" w:sz="8" w:color="808080"/>
            </w:tcBorders>
            <w:shd w:val="clear" w:color="auto" w:fill="808080"/>
          </w:tcPr>
          <w:p>
            <w:pPr>
              <w:spacing w:after="0"/>
              <w:rPr>
                <w:sz w:val="7"/>
                <w:szCs w:val="7"/>
                <w:color w:val="auto"/>
              </w:rPr>
            </w:pPr>
          </w:p>
        </w:tc>
        <w:tc>
          <w:tcPr>
            <w:tcW w:w="560" w:type="dxa"/>
            <w:vAlign w:val="bottom"/>
            <w:shd w:val="clear" w:color="auto" w:fill="808080"/>
          </w:tcPr>
          <w:p>
            <w:pPr>
              <w:spacing w:after="0"/>
              <w:rPr>
                <w:sz w:val="7"/>
                <w:szCs w:val="7"/>
                <w:color w:val="auto"/>
              </w:rPr>
            </w:pPr>
          </w:p>
        </w:tc>
        <w:tc>
          <w:tcPr>
            <w:tcW w:w="320" w:type="dxa"/>
            <w:vAlign w:val="bottom"/>
            <w:tcBorders>
              <w:right w:val="single" w:sz="8" w:color="808080"/>
            </w:tcBorders>
            <w:shd w:val="clear" w:color="auto" w:fill="808080"/>
          </w:tcPr>
          <w:p>
            <w:pPr>
              <w:spacing w:after="0"/>
              <w:rPr>
                <w:sz w:val="7"/>
                <w:szCs w:val="7"/>
                <w:color w:val="auto"/>
              </w:rPr>
            </w:pPr>
          </w:p>
        </w:tc>
        <w:tc>
          <w:tcPr>
            <w:tcW w:w="1360" w:type="dxa"/>
            <w:vAlign w:val="bottom"/>
            <w:tcBorders>
              <w:right w:val="single" w:sz="8" w:color="808080"/>
            </w:tcBorders>
            <w:shd w:val="clear" w:color="auto" w:fill="808080"/>
          </w:tcPr>
          <w:p>
            <w:pPr>
              <w:spacing w:after="0"/>
              <w:rPr>
                <w:sz w:val="7"/>
                <w:szCs w:val="7"/>
                <w:color w:val="auto"/>
              </w:rPr>
            </w:pPr>
          </w:p>
        </w:tc>
        <w:tc>
          <w:tcPr>
            <w:tcW w:w="880" w:type="dxa"/>
            <w:vAlign w:val="bottom"/>
            <w:tcBorders>
              <w:right w:val="single" w:sz="8" w:color="808080"/>
            </w:tcBorders>
            <w:shd w:val="clear" w:color="auto" w:fill="808080"/>
          </w:tcPr>
          <w:p>
            <w:pPr>
              <w:spacing w:after="0"/>
              <w:rPr>
                <w:sz w:val="7"/>
                <w:szCs w:val="7"/>
                <w:color w:val="auto"/>
              </w:rPr>
            </w:pPr>
          </w:p>
        </w:tc>
        <w:tc>
          <w:tcPr>
            <w:tcW w:w="220" w:type="dxa"/>
            <w:vAlign w:val="bottom"/>
            <w:tcBorders>
              <w:right w:val="single" w:sz="8" w:color="808080"/>
            </w:tcBorders>
            <w:shd w:val="clear" w:color="auto" w:fill="808080"/>
          </w:tcPr>
          <w:p>
            <w:pPr>
              <w:spacing w:after="0"/>
              <w:rPr>
                <w:sz w:val="7"/>
                <w:szCs w:val="7"/>
                <w:color w:val="auto"/>
              </w:rPr>
            </w:pPr>
          </w:p>
        </w:tc>
        <w:tc>
          <w:tcPr>
            <w:tcW w:w="4520" w:type="dxa"/>
            <w:vAlign w:val="bottom"/>
            <w:tcBorders>
              <w:right w:val="single" w:sz="8" w:color="808080"/>
            </w:tcBorders>
            <w:shd w:val="clear" w:color="auto" w:fill="808080"/>
          </w:tcPr>
          <w:p>
            <w:pPr>
              <w:spacing w:after="0"/>
              <w:rPr>
                <w:sz w:val="7"/>
                <w:szCs w:val="7"/>
                <w:color w:val="auto"/>
              </w:rPr>
            </w:pPr>
          </w:p>
        </w:tc>
        <w:tc>
          <w:tcPr>
            <w:tcW w:w="3360" w:type="dxa"/>
            <w:vAlign w:val="bottom"/>
            <w:tcBorders>
              <w:right w:val="single" w:sz="8" w:color="808080"/>
            </w:tcBorders>
            <w:shd w:val="clear" w:color="auto" w:fill="808080"/>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3"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159561117</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00"/>
              <w:spacing w:after="0"/>
              <w:rPr>
                <w:sz w:val="20"/>
                <w:szCs w:val="20"/>
                <w:color w:val="auto"/>
              </w:rPr>
            </w:pPr>
            <w:r>
              <w:rPr>
                <w:rFonts w:ascii="Times New Roman" w:cs="Times New Roman" w:eastAsia="Times New Roman" w:hAnsi="Times New Roman"/>
                <w:sz w:val="18"/>
                <w:szCs w:val="18"/>
                <w:b w:val="1"/>
                <w:bCs w:val="1"/>
                <w:color w:val="auto"/>
              </w:rPr>
              <w:t>Page 5 of 13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Cohen &amp; Company LLC</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 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60"/>
              <w:spacing w:after="0"/>
              <w:rPr>
                <w:sz w:val="20"/>
                <w:szCs w:val="20"/>
                <w:color w:val="auto"/>
              </w:rPr>
            </w:pPr>
            <w:r>
              <w:rPr>
                <w:rFonts w:ascii="Times New Roman" w:cs="Times New Roman" w:eastAsia="Times New Roman" w:hAnsi="Times New Roman"/>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OO, HC</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10"/>
        </w:trPr>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40" w:type="dxa"/>
            <w:vAlign w:val="bottom"/>
            <w:tcBorders>
              <w:right w:val="single" w:sz="8" w:color="808080"/>
            </w:tcBorders>
            <w:shd w:val="clear" w:color="auto" w:fill="808080"/>
          </w:tcPr>
          <w:p>
            <w:pPr>
              <w:spacing w:after="0"/>
              <w:rPr>
                <w:sz w:val="7"/>
                <w:szCs w:val="7"/>
                <w:color w:val="auto"/>
              </w:rPr>
            </w:pPr>
          </w:p>
        </w:tc>
        <w:tc>
          <w:tcPr>
            <w:tcW w:w="560" w:type="dxa"/>
            <w:vAlign w:val="bottom"/>
            <w:shd w:val="clear" w:color="auto" w:fill="808080"/>
          </w:tcPr>
          <w:p>
            <w:pPr>
              <w:spacing w:after="0"/>
              <w:rPr>
                <w:sz w:val="7"/>
                <w:szCs w:val="7"/>
                <w:color w:val="auto"/>
              </w:rPr>
            </w:pPr>
          </w:p>
        </w:tc>
        <w:tc>
          <w:tcPr>
            <w:tcW w:w="320" w:type="dxa"/>
            <w:vAlign w:val="bottom"/>
            <w:tcBorders>
              <w:right w:val="single" w:sz="8" w:color="808080"/>
            </w:tcBorders>
            <w:shd w:val="clear" w:color="auto" w:fill="808080"/>
          </w:tcPr>
          <w:p>
            <w:pPr>
              <w:spacing w:after="0"/>
              <w:rPr>
                <w:sz w:val="7"/>
                <w:szCs w:val="7"/>
                <w:color w:val="auto"/>
              </w:rPr>
            </w:pPr>
          </w:p>
        </w:tc>
        <w:tc>
          <w:tcPr>
            <w:tcW w:w="1360" w:type="dxa"/>
            <w:vAlign w:val="bottom"/>
            <w:tcBorders>
              <w:right w:val="single" w:sz="8" w:color="808080"/>
            </w:tcBorders>
            <w:shd w:val="clear" w:color="auto" w:fill="808080"/>
          </w:tcPr>
          <w:p>
            <w:pPr>
              <w:spacing w:after="0"/>
              <w:rPr>
                <w:sz w:val="7"/>
                <w:szCs w:val="7"/>
                <w:color w:val="auto"/>
              </w:rPr>
            </w:pPr>
          </w:p>
        </w:tc>
        <w:tc>
          <w:tcPr>
            <w:tcW w:w="880" w:type="dxa"/>
            <w:vAlign w:val="bottom"/>
            <w:tcBorders>
              <w:right w:val="single" w:sz="8" w:color="808080"/>
            </w:tcBorders>
            <w:shd w:val="clear" w:color="auto" w:fill="808080"/>
          </w:tcPr>
          <w:p>
            <w:pPr>
              <w:spacing w:after="0"/>
              <w:rPr>
                <w:sz w:val="7"/>
                <w:szCs w:val="7"/>
                <w:color w:val="auto"/>
              </w:rPr>
            </w:pPr>
          </w:p>
        </w:tc>
        <w:tc>
          <w:tcPr>
            <w:tcW w:w="220" w:type="dxa"/>
            <w:vAlign w:val="bottom"/>
            <w:tcBorders>
              <w:right w:val="single" w:sz="8" w:color="808080"/>
            </w:tcBorders>
            <w:shd w:val="clear" w:color="auto" w:fill="808080"/>
          </w:tcPr>
          <w:p>
            <w:pPr>
              <w:spacing w:after="0"/>
              <w:rPr>
                <w:sz w:val="7"/>
                <w:szCs w:val="7"/>
                <w:color w:val="auto"/>
              </w:rPr>
            </w:pPr>
          </w:p>
        </w:tc>
        <w:tc>
          <w:tcPr>
            <w:tcW w:w="4520" w:type="dxa"/>
            <w:vAlign w:val="bottom"/>
            <w:tcBorders>
              <w:right w:val="single" w:sz="8" w:color="808080"/>
            </w:tcBorders>
            <w:shd w:val="clear" w:color="auto" w:fill="808080"/>
          </w:tcPr>
          <w:p>
            <w:pPr>
              <w:spacing w:after="0"/>
              <w:rPr>
                <w:sz w:val="7"/>
                <w:szCs w:val="7"/>
                <w:color w:val="auto"/>
              </w:rPr>
            </w:pPr>
          </w:p>
        </w:tc>
        <w:tc>
          <w:tcPr>
            <w:tcW w:w="3360" w:type="dxa"/>
            <w:vAlign w:val="bottom"/>
            <w:tcBorders>
              <w:right w:val="single" w:sz="8" w:color="808080"/>
            </w:tcBorders>
            <w:shd w:val="clear" w:color="auto" w:fill="808080"/>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23"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159561117</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00"/>
              <w:spacing w:after="0"/>
              <w:rPr>
                <w:sz w:val="20"/>
                <w:szCs w:val="20"/>
                <w:color w:val="auto"/>
              </w:rPr>
            </w:pPr>
            <w:r>
              <w:rPr>
                <w:rFonts w:ascii="Times New Roman" w:cs="Times New Roman" w:eastAsia="Times New Roman" w:hAnsi="Times New Roman"/>
                <w:sz w:val="18"/>
                <w:szCs w:val="18"/>
                <w:b w:val="1"/>
                <w:bCs w:val="1"/>
                <w:color w:val="auto"/>
              </w:rPr>
              <w:t>Page 6 of 13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Cohen &amp; Company Inc.</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 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60"/>
              <w:spacing w:after="0"/>
              <w:rPr>
                <w:sz w:val="20"/>
                <w:szCs w:val="20"/>
                <w:color w:val="auto"/>
              </w:rPr>
            </w:pPr>
            <w:r>
              <w:rPr>
                <w:rFonts w:ascii="Times New Roman" w:cs="Times New Roman" w:eastAsia="Times New Roman" w:hAnsi="Times New Roman"/>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CO, HC</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4"/>
        </w:trPr>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40" w:type="dxa"/>
            <w:vAlign w:val="bottom"/>
            <w:tcBorders>
              <w:right w:val="single" w:sz="8" w:color="808080"/>
            </w:tcBorders>
            <w:shd w:val="clear" w:color="auto" w:fill="808080"/>
          </w:tcPr>
          <w:p>
            <w:pPr>
              <w:spacing w:after="0"/>
              <w:rPr>
                <w:sz w:val="7"/>
                <w:szCs w:val="7"/>
                <w:color w:val="auto"/>
              </w:rPr>
            </w:pPr>
          </w:p>
        </w:tc>
        <w:tc>
          <w:tcPr>
            <w:tcW w:w="560" w:type="dxa"/>
            <w:vAlign w:val="bottom"/>
            <w:shd w:val="clear" w:color="auto" w:fill="808080"/>
          </w:tcPr>
          <w:p>
            <w:pPr>
              <w:spacing w:after="0"/>
              <w:rPr>
                <w:sz w:val="7"/>
                <w:szCs w:val="7"/>
                <w:color w:val="auto"/>
              </w:rPr>
            </w:pPr>
          </w:p>
        </w:tc>
        <w:tc>
          <w:tcPr>
            <w:tcW w:w="320" w:type="dxa"/>
            <w:vAlign w:val="bottom"/>
            <w:tcBorders>
              <w:right w:val="single" w:sz="8" w:color="808080"/>
            </w:tcBorders>
            <w:shd w:val="clear" w:color="auto" w:fill="808080"/>
          </w:tcPr>
          <w:p>
            <w:pPr>
              <w:spacing w:after="0"/>
              <w:rPr>
                <w:sz w:val="7"/>
                <w:szCs w:val="7"/>
                <w:color w:val="auto"/>
              </w:rPr>
            </w:pPr>
          </w:p>
        </w:tc>
        <w:tc>
          <w:tcPr>
            <w:tcW w:w="1360" w:type="dxa"/>
            <w:vAlign w:val="bottom"/>
            <w:tcBorders>
              <w:right w:val="single" w:sz="8" w:color="808080"/>
            </w:tcBorders>
            <w:shd w:val="clear" w:color="auto" w:fill="808080"/>
          </w:tcPr>
          <w:p>
            <w:pPr>
              <w:spacing w:after="0"/>
              <w:rPr>
                <w:sz w:val="7"/>
                <w:szCs w:val="7"/>
                <w:color w:val="auto"/>
              </w:rPr>
            </w:pPr>
          </w:p>
        </w:tc>
        <w:tc>
          <w:tcPr>
            <w:tcW w:w="880" w:type="dxa"/>
            <w:vAlign w:val="bottom"/>
            <w:tcBorders>
              <w:right w:val="single" w:sz="8" w:color="808080"/>
            </w:tcBorders>
            <w:shd w:val="clear" w:color="auto" w:fill="808080"/>
          </w:tcPr>
          <w:p>
            <w:pPr>
              <w:spacing w:after="0"/>
              <w:rPr>
                <w:sz w:val="7"/>
                <w:szCs w:val="7"/>
                <w:color w:val="auto"/>
              </w:rPr>
            </w:pPr>
          </w:p>
        </w:tc>
        <w:tc>
          <w:tcPr>
            <w:tcW w:w="220" w:type="dxa"/>
            <w:vAlign w:val="bottom"/>
            <w:tcBorders>
              <w:right w:val="single" w:sz="8" w:color="808080"/>
            </w:tcBorders>
            <w:shd w:val="clear" w:color="auto" w:fill="808080"/>
          </w:tcPr>
          <w:p>
            <w:pPr>
              <w:spacing w:after="0"/>
              <w:rPr>
                <w:sz w:val="7"/>
                <w:szCs w:val="7"/>
                <w:color w:val="auto"/>
              </w:rPr>
            </w:pPr>
          </w:p>
        </w:tc>
        <w:tc>
          <w:tcPr>
            <w:tcW w:w="4520" w:type="dxa"/>
            <w:vAlign w:val="bottom"/>
            <w:tcBorders>
              <w:right w:val="single" w:sz="8" w:color="808080"/>
            </w:tcBorders>
            <w:shd w:val="clear" w:color="auto" w:fill="808080"/>
          </w:tcPr>
          <w:p>
            <w:pPr>
              <w:spacing w:after="0"/>
              <w:rPr>
                <w:sz w:val="7"/>
                <w:szCs w:val="7"/>
                <w:color w:val="auto"/>
              </w:rPr>
            </w:pPr>
          </w:p>
        </w:tc>
        <w:tc>
          <w:tcPr>
            <w:tcW w:w="3360" w:type="dxa"/>
            <w:vAlign w:val="bottom"/>
            <w:tcBorders>
              <w:right w:val="single" w:sz="8" w:color="808080"/>
            </w:tcBorders>
            <w:shd w:val="clear" w:color="auto" w:fill="808080"/>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23"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159561117</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00"/>
              <w:spacing w:after="0"/>
              <w:rPr>
                <w:sz w:val="20"/>
                <w:szCs w:val="20"/>
                <w:color w:val="auto"/>
              </w:rPr>
            </w:pPr>
            <w:r>
              <w:rPr>
                <w:rFonts w:ascii="Times New Roman" w:cs="Times New Roman" w:eastAsia="Times New Roman" w:hAnsi="Times New Roman"/>
                <w:sz w:val="18"/>
                <w:szCs w:val="18"/>
                <w:b w:val="1"/>
                <w:bCs w:val="1"/>
                <w:color w:val="auto"/>
              </w:rPr>
              <w:t>Page 7 of 13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Daniel G. Cohen</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 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60"/>
              <w:spacing w:after="0"/>
              <w:rPr>
                <w:sz w:val="20"/>
                <w:szCs w:val="20"/>
                <w:color w:val="auto"/>
              </w:rPr>
            </w:pPr>
            <w:r>
              <w:rPr>
                <w:rFonts w:ascii="Times New Roman" w:cs="Times New Roman" w:eastAsia="Times New Roman" w:hAnsi="Times New Roman"/>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IN, HC</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40" w:type="dxa"/>
            <w:vAlign w:val="bottom"/>
            <w:tcBorders>
              <w:right w:val="single" w:sz="8" w:color="808080"/>
            </w:tcBorders>
            <w:shd w:val="clear" w:color="auto" w:fill="808080"/>
          </w:tcPr>
          <w:p>
            <w:pPr>
              <w:spacing w:after="0"/>
              <w:rPr>
                <w:sz w:val="7"/>
                <w:szCs w:val="7"/>
                <w:color w:val="auto"/>
              </w:rPr>
            </w:pPr>
          </w:p>
        </w:tc>
        <w:tc>
          <w:tcPr>
            <w:tcW w:w="560" w:type="dxa"/>
            <w:vAlign w:val="bottom"/>
            <w:shd w:val="clear" w:color="auto" w:fill="808080"/>
          </w:tcPr>
          <w:p>
            <w:pPr>
              <w:spacing w:after="0"/>
              <w:rPr>
                <w:sz w:val="7"/>
                <w:szCs w:val="7"/>
                <w:color w:val="auto"/>
              </w:rPr>
            </w:pPr>
          </w:p>
        </w:tc>
        <w:tc>
          <w:tcPr>
            <w:tcW w:w="320" w:type="dxa"/>
            <w:vAlign w:val="bottom"/>
            <w:tcBorders>
              <w:right w:val="single" w:sz="8" w:color="808080"/>
            </w:tcBorders>
            <w:shd w:val="clear" w:color="auto" w:fill="808080"/>
          </w:tcPr>
          <w:p>
            <w:pPr>
              <w:spacing w:after="0"/>
              <w:rPr>
                <w:sz w:val="7"/>
                <w:szCs w:val="7"/>
                <w:color w:val="auto"/>
              </w:rPr>
            </w:pPr>
          </w:p>
        </w:tc>
        <w:tc>
          <w:tcPr>
            <w:tcW w:w="1360" w:type="dxa"/>
            <w:vAlign w:val="bottom"/>
            <w:tcBorders>
              <w:right w:val="single" w:sz="8" w:color="808080"/>
            </w:tcBorders>
            <w:shd w:val="clear" w:color="auto" w:fill="808080"/>
          </w:tcPr>
          <w:p>
            <w:pPr>
              <w:spacing w:after="0"/>
              <w:rPr>
                <w:sz w:val="7"/>
                <w:szCs w:val="7"/>
                <w:color w:val="auto"/>
              </w:rPr>
            </w:pPr>
          </w:p>
        </w:tc>
        <w:tc>
          <w:tcPr>
            <w:tcW w:w="880" w:type="dxa"/>
            <w:vAlign w:val="bottom"/>
            <w:tcBorders>
              <w:right w:val="single" w:sz="8" w:color="808080"/>
            </w:tcBorders>
            <w:shd w:val="clear" w:color="auto" w:fill="808080"/>
          </w:tcPr>
          <w:p>
            <w:pPr>
              <w:spacing w:after="0"/>
              <w:rPr>
                <w:sz w:val="7"/>
                <w:szCs w:val="7"/>
                <w:color w:val="auto"/>
              </w:rPr>
            </w:pPr>
          </w:p>
        </w:tc>
        <w:tc>
          <w:tcPr>
            <w:tcW w:w="220" w:type="dxa"/>
            <w:vAlign w:val="bottom"/>
            <w:tcBorders>
              <w:right w:val="single" w:sz="8" w:color="808080"/>
            </w:tcBorders>
            <w:shd w:val="clear" w:color="auto" w:fill="808080"/>
          </w:tcPr>
          <w:p>
            <w:pPr>
              <w:spacing w:after="0"/>
              <w:rPr>
                <w:sz w:val="7"/>
                <w:szCs w:val="7"/>
                <w:color w:val="auto"/>
              </w:rPr>
            </w:pPr>
          </w:p>
        </w:tc>
        <w:tc>
          <w:tcPr>
            <w:tcW w:w="4520" w:type="dxa"/>
            <w:vAlign w:val="bottom"/>
            <w:tcBorders>
              <w:right w:val="single" w:sz="8" w:color="808080"/>
            </w:tcBorders>
            <w:shd w:val="clear" w:color="auto" w:fill="808080"/>
          </w:tcPr>
          <w:p>
            <w:pPr>
              <w:spacing w:after="0"/>
              <w:rPr>
                <w:sz w:val="7"/>
                <w:szCs w:val="7"/>
                <w:color w:val="auto"/>
              </w:rPr>
            </w:pPr>
          </w:p>
        </w:tc>
        <w:tc>
          <w:tcPr>
            <w:tcW w:w="3360" w:type="dxa"/>
            <w:vAlign w:val="bottom"/>
            <w:tcBorders>
              <w:right w:val="single" w:sz="8" w:color="808080"/>
            </w:tcBorders>
            <w:shd w:val="clear" w:color="auto" w:fill="808080"/>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22" w:right="339" w:bottom="1440" w:gutter="0" w:footer="0" w:header="0"/>
        </w:sectPr>
      </w:pPr>
    </w:p>
    <w:bookmarkStart w:id="7" w:name="page8"/>
    <w:bookmarkEnd w:id="7"/>
    <w:p>
      <w:pPr>
        <w:spacing w:after="0" w:line="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159561117</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800"/>
              <w:spacing w:after="0"/>
              <w:rPr>
                <w:sz w:val="20"/>
                <w:szCs w:val="20"/>
                <w:color w:val="auto"/>
              </w:rPr>
            </w:pPr>
            <w:r>
              <w:rPr>
                <w:rFonts w:ascii="Times New Roman" w:cs="Times New Roman" w:eastAsia="Times New Roman" w:hAnsi="Times New Roman"/>
                <w:sz w:val="18"/>
                <w:szCs w:val="18"/>
                <w:b w:val="1"/>
                <w:bCs w:val="1"/>
                <w:color w:val="auto"/>
              </w:rPr>
              <w:t>Page 8 of 13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19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CHARDAN NEXTECH ACQUISITION 2 CORP.</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17 State Street, 21st Floor</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(a) Name of Persons Filing:</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Vellar Opportunities Fund Master, Ltd.</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Cohen &amp; Company Financial Management, LLC</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Dekania Investors, LLC</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Cohen &amp; Company LLC</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Cohen &amp; Company Inc.</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Daniel G. Cohen</w:t>
      </w:r>
    </w:p>
    <w:p>
      <w:pPr>
        <w:spacing w:after="0" w:line="20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(b) Names of Person Filing, Address of Principal Business Office, Citizenship:</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Vellar Opportunities Fund Offshore, Ltd.</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 Mourant Governance Services (Cayman) Limited 94</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Solaris Avenue, Camana Bay</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PO Box 1348 Grand Cayman KY1-1108</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Cayman Islands</w:t>
      </w:r>
    </w:p>
    <w:p>
      <w:pPr>
        <w:spacing w:after="0" w:line="2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Cohen &amp; Company Financial Management, LLC</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3 Columbus Circle, Suite 2400</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United States</w:t>
      </w:r>
    </w:p>
    <w:p>
      <w:pPr>
        <w:spacing w:after="0" w:line="2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Dekania Investors, LLC</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3 Columbus Circle, Suite 2400</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United States</w:t>
      </w:r>
    </w:p>
    <w:p>
      <w:pPr>
        <w:spacing w:after="0" w:line="2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Cohen &amp; Company LLC</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3 Columbus Circle, Suite 2400</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United States</w:t>
      </w:r>
    </w:p>
    <w:p>
      <w:pPr>
        <w:spacing w:after="0" w:line="2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Cohen &amp; Company Inc.</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3 Columbus Circle, Suite 2400</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United States</w:t>
      </w:r>
    </w:p>
    <w:p>
      <w:pPr>
        <w:spacing w:after="0" w:line="2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Daniel Cohen</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 Cohen &amp; Company Inc.</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3 Columbus Circle, Suite 2400</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United States</w:t>
      </w:r>
    </w:p>
    <w:p>
      <w:pPr>
        <w:spacing w:after="0" w:line="20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(c) Citizenship:</w:t>
      </w:r>
    </w:p>
    <w:p>
      <w:pPr>
        <w:spacing w:after="0" w:line="33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Vellar Opportunities Fund Master, Ltd. – Cayman Islands</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Cohen &amp; Company Financial Management, LLC – Delaware, United States</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Dekania Investors, LLC – Delaware, United States</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Cohen &amp; Company LLC – Delaware, United States</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Cohen &amp; Company Inc. – Delaware, United States</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Daniel G. Cohen – United States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(d) Title of Class of Securities</w:t>
      </w:r>
    </w:p>
    <w:p>
      <w:pPr>
        <w:spacing w:after="0" w:line="121" w:lineRule="exact"/>
        <w:rPr>
          <w:sz w:val="20"/>
          <w:szCs w:val="20"/>
          <w:color w:val="auto"/>
        </w:rPr>
      </w:pPr>
    </w:p>
    <w:p>
      <w:pPr>
        <w:ind w:left="800"/>
        <w:spacing w:after="0" w:line="282" w:lineRule="auto"/>
        <w:rPr>
          <w:sz w:val="20"/>
          <w:szCs w:val="20"/>
          <w:color w:val="auto"/>
        </w:rPr>
      </w:pPr>
      <w:r>
        <w:rPr>
          <w:rFonts w:ascii="Times New Roman" w:cs="Times New Roman" w:eastAsia="Times New Roman" w:hAnsi="Times New Roman"/>
          <w:sz w:val="18"/>
          <w:szCs w:val="18"/>
          <w:color w:val="auto"/>
        </w:rPr>
        <w:t>Redeemable Warrants included as part of the Units, each exercisable for one share of Common Stock for $11.50 per share (the “Common Stock”)</w:t>
      </w:r>
    </w:p>
    <w:p>
      <w:pPr>
        <w:spacing w:after="0" w:line="158"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159561117</w:t>
      </w:r>
    </w:p>
    <w:p>
      <w:pPr>
        <w:spacing w:after="0" w:line="335" w:lineRule="exact"/>
        <w:rPr>
          <w:sz w:val="20"/>
          <w:szCs w:val="20"/>
          <w:color w:val="auto"/>
        </w:rPr>
      </w:pPr>
    </w:p>
    <w:tbl>
      <w:tblPr>
        <w:tblLayout w:type="fixed"/>
        <w:tblInd w:w="30" w:type="dxa"/>
        <w:tblCellMar>
          <w:top w:w="0" w:type="dxa"/>
          <w:left w:w="0" w:type="dxa"/>
          <w:bottom w:w="0" w:type="dxa"/>
          <w:right w:w="0" w:type="dxa"/>
        </w:tblCellMar>
      </w:tblPr>
      <w:tr>
        <w:trPr>
          <w:trHeight w:val="347"/>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159561117</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800"/>
              <w:spacing w:after="0"/>
              <w:rPr>
                <w:sz w:val="20"/>
                <w:szCs w:val="20"/>
                <w:color w:val="auto"/>
              </w:rPr>
            </w:pPr>
            <w:r>
              <w:rPr>
                <w:rFonts w:ascii="Times New Roman" w:cs="Times New Roman" w:eastAsia="Times New Roman" w:hAnsi="Times New Roman"/>
                <w:sz w:val="18"/>
                <w:szCs w:val="18"/>
                <w:b w:val="1"/>
                <w:bCs w:val="1"/>
                <w:color w:val="auto"/>
              </w:rPr>
              <w:t>Page 9 of 13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ectPr>
          <w:pgSz w:w="11900" w:h="16838" w:orient="portrait"/>
          <w:cols w:equalWidth="0" w:num="1">
            <w:col w:w="11240"/>
          </w:cols>
          <w:pgMar w:left="320" w:top="663" w:right="339" w:bottom="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22" w:lineRule="exact"/>
        <w:rPr>
          <w:sz w:val="20"/>
          <w:szCs w:val="20"/>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53" w:lineRule="exact"/>
        <w:rPr>
          <w:rFonts w:ascii="Times New Roman" w:cs="Times New Roman" w:eastAsia="Times New Roman" w:hAnsi="Times New Roman"/>
          <w:sz w:val="18"/>
          <w:szCs w:val="18"/>
          <w:color w:val="auto"/>
        </w:rPr>
      </w:pPr>
    </w:p>
    <w:p>
      <w:pPr>
        <w:ind w:left="600" w:hanging="295"/>
        <w:spacing w:after="0"/>
        <w:tabs>
          <w:tab w:leader="none" w:pos="6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7"/>
          <w:szCs w:val="17"/>
          <w:color w:val="auto"/>
        </w:rPr>
        <w:t>An investment adviser in accordance with §240.13d-1(b)(1)(ii)(E);</w:t>
      </w:r>
    </w:p>
    <w:p>
      <w:pPr>
        <w:spacing w:after="0" w:line="107"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30" w:lineRule="exact"/>
        <w:rPr>
          <w:rFonts w:ascii="Times New Roman" w:cs="Times New Roman" w:eastAsia="Times New Roman" w:hAnsi="Times New Roman"/>
          <w:sz w:val="18"/>
          <w:szCs w:val="18"/>
          <w:color w:val="auto"/>
        </w:rPr>
      </w:pPr>
    </w:p>
    <w:p>
      <w:pPr>
        <w:ind w:left="900" w:right="200" w:hanging="595"/>
        <w:spacing w:after="0" w:line="237" w:lineRule="exact"/>
        <w:tabs>
          <w:tab w:leader="none" w:pos="603"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8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130" w:lineRule="exact"/>
        <w:rPr>
          <w:rFonts w:ascii="Times New Roman" w:cs="Times New Roman" w:eastAsia="Times New Roman" w:hAnsi="Times New Roman"/>
          <w:sz w:val="18"/>
          <w:szCs w:val="18"/>
          <w:color w:val="auto"/>
        </w:rPr>
      </w:pPr>
    </w:p>
    <w:p>
      <w:pPr>
        <w:ind w:left="900" w:right="460" w:hanging="595"/>
        <w:spacing w:after="0" w:line="237" w:lineRule="exact"/>
        <w:tabs>
          <w:tab w:leader="none" w:pos="603"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-24765</wp:posOffset>
            </wp:positionV>
            <wp:extent cx="8001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159561117</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700"/>
              <w:spacing w:after="0"/>
              <w:rPr>
                <w:sz w:val="20"/>
                <w:szCs w:val="20"/>
                <w:color w:val="auto"/>
              </w:rPr>
            </w:pPr>
            <w:r>
              <w:rPr>
                <w:rFonts w:ascii="Times New Roman" w:cs="Times New Roman" w:eastAsia="Times New Roman" w:hAnsi="Times New Roman"/>
                <w:sz w:val="18"/>
                <w:szCs w:val="18"/>
                <w:b w:val="1"/>
                <w:bCs w:val="1"/>
                <w:color w:val="auto"/>
              </w:rPr>
              <w:t>Page 10 of 13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4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Vellar Opportunities Fund Master, Ltd.</w:t>
      </w:r>
    </w:p>
    <w:p>
      <w:pPr>
        <w:spacing w:after="0" w:line="117" w:lineRule="exact"/>
        <w:rPr>
          <w:sz w:val="20"/>
          <w:szCs w:val="20"/>
          <w:color w:val="auto"/>
        </w:rPr>
      </w:pPr>
    </w:p>
    <w:p>
      <w:pPr>
        <w:ind w:left="1400" w:hanging="240"/>
        <w:spacing w:after="0"/>
        <w:tabs>
          <w:tab w:leader="none" w:pos="1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0</w:t>
      </w:r>
    </w:p>
    <w:p>
      <w:pPr>
        <w:spacing w:after="0" w:line="117" w:lineRule="exact"/>
        <w:rPr>
          <w:rFonts w:ascii="Times New Roman" w:cs="Times New Roman" w:eastAsia="Times New Roman" w:hAnsi="Times New Roman"/>
          <w:sz w:val="18"/>
          <w:szCs w:val="18"/>
          <w:color w:val="auto"/>
        </w:rPr>
      </w:pPr>
    </w:p>
    <w:p>
      <w:pPr>
        <w:ind w:left="1420" w:hanging="260"/>
        <w:spacing w:after="0"/>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0.0%</w:t>
      </w:r>
    </w:p>
    <w:p>
      <w:pPr>
        <w:spacing w:after="0" w:line="117" w:lineRule="exact"/>
        <w:rPr>
          <w:rFonts w:ascii="Times New Roman" w:cs="Times New Roman" w:eastAsia="Times New Roman" w:hAnsi="Times New Roman"/>
          <w:sz w:val="18"/>
          <w:szCs w:val="18"/>
          <w:color w:val="auto"/>
        </w:rPr>
      </w:pPr>
    </w:p>
    <w:p>
      <w:pPr>
        <w:ind w:left="1400" w:hanging="240"/>
        <w:spacing w:after="0"/>
        <w:tabs>
          <w:tab w:leader="none" w:pos="1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to which the person has:</w:t>
      </w:r>
    </w:p>
    <w:p>
      <w:pPr>
        <w:spacing w:after="0" w:line="117" w:lineRule="exact"/>
        <w:rPr>
          <w:rFonts w:ascii="Times New Roman" w:cs="Times New Roman" w:eastAsia="Times New Roman" w:hAnsi="Times New Roman"/>
          <w:sz w:val="18"/>
          <w:szCs w:val="18"/>
          <w:color w:val="auto"/>
        </w:rPr>
      </w:pPr>
    </w:p>
    <w:p>
      <w:pPr>
        <w:ind w:left="1740" w:hanging="220"/>
        <w:spacing w:after="0"/>
        <w:tabs>
          <w:tab w:leader="none" w:pos="17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117" w:lineRule="exact"/>
        <w:rPr>
          <w:rFonts w:ascii="Times New Roman" w:cs="Times New Roman" w:eastAsia="Times New Roman" w:hAnsi="Times New Roman"/>
          <w:sz w:val="18"/>
          <w:szCs w:val="18"/>
          <w:color w:val="auto"/>
        </w:rPr>
      </w:pPr>
    </w:p>
    <w:p>
      <w:pPr>
        <w:ind w:left="1780" w:hanging="260"/>
        <w:spacing w:after="0"/>
        <w:tabs>
          <w:tab w:leader="none" w:pos="17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0</w:t>
      </w:r>
    </w:p>
    <w:p>
      <w:pPr>
        <w:spacing w:after="0" w:line="117" w:lineRule="exact"/>
        <w:rPr>
          <w:rFonts w:ascii="Times New Roman" w:cs="Times New Roman" w:eastAsia="Times New Roman" w:hAnsi="Times New Roman"/>
          <w:sz w:val="18"/>
          <w:szCs w:val="18"/>
          <w:color w:val="auto"/>
        </w:rPr>
      </w:pPr>
    </w:p>
    <w:p>
      <w:pPr>
        <w:ind w:left="1840" w:hanging="320"/>
        <w:spacing w:after="0"/>
        <w:tabs>
          <w:tab w:leader="none" w:pos="18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direct the disposition:</w:t>
      </w:r>
    </w:p>
    <w:p>
      <w:pPr>
        <w:spacing w:after="0" w:line="117" w:lineRule="exact"/>
        <w:rPr>
          <w:rFonts w:ascii="Times New Roman" w:cs="Times New Roman" w:eastAsia="Times New Roman" w:hAnsi="Times New Roman"/>
          <w:sz w:val="18"/>
          <w:szCs w:val="18"/>
          <w:color w:val="auto"/>
        </w:rPr>
      </w:pPr>
    </w:p>
    <w:p>
      <w:pPr>
        <w:ind w:left="1820" w:hanging="300"/>
        <w:spacing w:after="0"/>
        <w:tabs>
          <w:tab w:leader="none" w:pos="18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0</w:t>
      </w:r>
    </w:p>
    <w:p>
      <w:pPr>
        <w:spacing w:after="0" w:line="200" w:lineRule="exact"/>
        <w:rPr>
          <w:sz w:val="20"/>
          <w:szCs w:val="20"/>
          <w:color w:val="auto"/>
        </w:rPr>
      </w:pPr>
    </w:p>
    <w:p>
      <w:pPr>
        <w:spacing w:after="0" w:line="24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Cohen &amp; Company Financial Management, LLC</w:t>
      </w:r>
    </w:p>
    <w:p>
      <w:pPr>
        <w:spacing w:after="0" w:line="117" w:lineRule="exact"/>
        <w:rPr>
          <w:sz w:val="20"/>
          <w:szCs w:val="20"/>
          <w:color w:val="auto"/>
        </w:rPr>
      </w:pPr>
    </w:p>
    <w:p>
      <w:pPr>
        <w:ind w:left="1400" w:hanging="240"/>
        <w:spacing w:after="0"/>
        <w:tabs>
          <w:tab w:leader="none" w:pos="14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0</w:t>
      </w:r>
    </w:p>
    <w:p>
      <w:pPr>
        <w:spacing w:after="0" w:line="117" w:lineRule="exact"/>
        <w:rPr>
          <w:rFonts w:ascii="Times New Roman" w:cs="Times New Roman" w:eastAsia="Times New Roman" w:hAnsi="Times New Roman"/>
          <w:sz w:val="18"/>
          <w:szCs w:val="18"/>
          <w:color w:val="auto"/>
        </w:rPr>
      </w:pPr>
    </w:p>
    <w:p>
      <w:pPr>
        <w:ind w:left="1420" w:hanging="260"/>
        <w:spacing w:after="0"/>
        <w:tabs>
          <w:tab w:leader="none" w:pos="1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0.0%</w:t>
      </w:r>
    </w:p>
    <w:p>
      <w:pPr>
        <w:spacing w:after="0" w:line="117" w:lineRule="exact"/>
        <w:rPr>
          <w:rFonts w:ascii="Times New Roman" w:cs="Times New Roman" w:eastAsia="Times New Roman" w:hAnsi="Times New Roman"/>
          <w:sz w:val="18"/>
          <w:szCs w:val="18"/>
          <w:color w:val="auto"/>
        </w:rPr>
      </w:pPr>
    </w:p>
    <w:p>
      <w:pPr>
        <w:ind w:left="1400" w:hanging="240"/>
        <w:spacing w:after="0"/>
        <w:tabs>
          <w:tab w:leader="none" w:pos="14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to which the person has:</w:t>
      </w:r>
    </w:p>
    <w:p>
      <w:pPr>
        <w:spacing w:after="0" w:line="117" w:lineRule="exact"/>
        <w:rPr>
          <w:rFonts w:ascii="Times New Roman" w:cs="Times New Roman" w:eastAsia="Times New Roman" w:hAnsi="Times New Roman"/>
          <w:sz w:val="18"/>
          <w:szCs w:val="18"/>
          <w:color w:val="auto"/>
        </w:rPr>
      </w:pPr>
    </w:p>
    <w:p>
      <w:pPr>
        <w:ind w:left="1740" w:hanging="220"/>
        <w:spacing w:after="0"/>
        <w:tabs>
          <w:tab w:leader="none" w:pos="17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117" w:lineRule="exact"/>
        <w:rPr>
          <w:rFonts w:ascii="Times New Roman" w:cs="Times New Roman" w:eastAsia="Times New Roman" w:hAnsi="Times New Roman"/>
          <w:sz w:val="18"/>
          <w:szCs w:val="18"/>
          <w:color w:val="auto"/>
        </w:rPr>
      </w:pPr>
    </w:p>
    <w:p>
      <w:pPr>
        <w:ind w:left="1780" w:hanging="260"/>
        <w:spacing w:after="0"/>
        <w:tabs>
          <w:tab w:leader="none" w:pos="17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0</w:t>
      </w:r>
    </w:p>
    <w:p>
      <w:pPr>
        <w:spacing w:after="0" w:line="117" w:lineRule="exact"/>
        <w:rPr>
          <w:rFonts w:ascii="Times New Roman" w:cs="Times New Roman" w:eastAsia="Times New Roman" w:hAnsi="Times New Roman"/>
          <w:sz w:val="18"/>
          <w:szCs w:val="18"/>
          <w:color w:val="auto"/>
        </w:rPr>
      </w:pPr>
    </w:p>
    <w:p>
      <w:pPr>
        <w:ind w:left="1840" w:hanging="320"/>
        <w:spacing w:after="0"/>
        <w:tabs>
          <w:tab w:leader="none" w:pos="18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direct the disposition:</w:t>
      </w:r>
    </w:p>
    <w:p>
      <w:pPr>
        <w:spacing w:after="0" w:line="117" w:lineRule="exact"/>
        <w:rPr>
          <w:rFonts w:ascii="Times New Roman" w:cs="Times New Roman" w:eastAsia="Times New Roman" w:hAnsi="Times New Roman"/>
          <w:sz w:val="18"/>
          <w:szCs w:val="18"/>
          <w:color w:val="auto"/>
        </w:rPr>
      </w:pPr>
    </w:p>
    <w:p>
      <w:pPr>
        <w:ind w:left="1820" w:hanging="300"/>
        <w:spacing w:after="0"/>
        <w:tabs>
          <w:tab w:leader="none" w:pos="18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0</w:t>
      </w:r>
    </w:p>
    <w:p>
      <w:pPr>
        <w:spacing w:after="0" w:line="200" w:lineRule="exact"/>
        <w:rPr>
          <w:sz w:val="20"/>
          <w:szCs w:val="20"/>
          <w:color w:val="auto"/>
        </w:rPr>
      </w:pPr>
    </w:p>
    <w:p>
      <w:pPr>
        <w:spacing w:after="0" w:line="24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Cohen &amp; Company Inc.</w:t>
      </w:r>
    </w:p>
    <w:p>
      <w:pPr>
        <w:spacing w:after="0" w:line="117" w:lineRule="exact"/>
        <w:rPr>
          <w:sz w:val="20"/>
          <w:szCs w:val="20"/>
          <w:color w:val="auto"/>
        </w:rPr>
      </w:pPr>
    </w:p>
    <w:p>
      <w:pPr>
        <w:ind w:left="1400" w:hanging="240"/>
        <w:spacing w:after="0"/>
        <w:tabs>
          <w:tab w:leader="none" w:pos="14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0</w:t>
      </w:r>
    </w:p>
    <w:p>
      <w:pPr>
        <w:spacing w:after="0" w:line="117" w:lineRule="exact"/>
        <w:rPr>
          <w:rFonts w:ascii="Times New Roman" w:cs="Times New Roman" w:eastAsia="Times New Roman" w:hAnsi="Times New Roman"/>
          <w:sz w:val="18"/>
          <w:szCs w:val="18"/>
          <w:color w:val="auto"/>
        </w:rPr>
      </w:pPr>
    </w:p>
    <w:p>
      <w:pPr>
        <w:ind w:left="1420" w:hanging="260"/>
        <w:spacing w:after="0"/>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0.0%</w:t>
      </w:r>
    </w:p>
    <w:p>
      <w:pPr>
        <w:spacing w:after="0" w:line="117" w:lineRule="exact"/>
        <w:rPr>
          <w:rFonts w:ascii="Times New Roman" w:cs="Times New Roman" w:eastAsia="Times New Roman" w:hAnsi="Times New Roman"/>
          <w:sz w:val="18"/>
          <w:szCs w:val="18"/>
          <w:color w:val="auto"/>
        </w:rPr>
      </w:pPr>
    </w:p>
    <w:p>
      <w:pPr>
        <w:ind w:left="1400" w:hanging="240"/>
        <w:spacing w:after="0"/>
        <w:tabs>
          <w:tab w:leader="none" w:pos="14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to which the person has:</w:t>
      </w:r>
    </w:p>
    <w:p>
      <w:pPr>
        <w:spacing w:after="0" w:line="117" w:lineRule="exact"/>
        <w:rPr>
          <w:rFonts w:ascii="Times New Roman" w:cs="Times New Roman" w:eastAsia="Times New Roman" w:hAnsi="Times New Roman"/>
          <w:sz w:val="18"/>
          <w:szCs w:val="18"/>
          <w:color w:val="auto"/>
        </w:rPr>
      </w:pPr>
    </w:p>
    <w:p>
      <w:pPr>
        <w:ind w:left="1740" w:hanging="220"/>
        <w:spacing w:after="0"/>
        <w:tabs>
          <w:tab w:leader="none" w:pos="17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117" w:lineRule="exact"/>
        <w:rPr>
          <w:rFonts w:ascii="Times New Roman" w:cs="Times New Roman" w:eastAsia="Times New Roman" w:hAnsi="Times New Roman"/>
          <w:sz w:val="18"/>
          <w:szCs w:val="18"/>
          <w:color w:val="auto"/>
        </w:rPr>
      </w:pPr>
    </w:p>
    <w:p>
      <w:pPr>
        <w:ind w:left="1780" w:hanging="260"/>
        <w:spacing w:after="0"/>
        <w:tabs>
          <w:tab w:leader="none" w:pos="17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0</w:t>
      </w:r>
    </w:p>
    <w:p>
      <w:pPr>
        <w:spacing w:after="0" w:line="117" w:lineRule="exact"/>
        <w:rPr>
          <w:rFonts w:ascii="Times New Roman" w:cs="Times New Roman" w:eastAsia="Times New Roman" w:hAnsi="Times New Roman"/>
          <w:sz w:val="18"/>
          <w:szCs w:val="18"/>
          <w:color w:val="auto"/>
        </w:rPr>
      </w:pPr>
    </w:p>
    <w:p>
      <w:pPr>
        <w:ind w:left="1840" w:hanging="320"/>
        <w:spacing w:after="0"/>
        <w:tabs>
          <w:tab w:leader="none" w:pos="18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direct the disposition:</w:t>
      </w:r>
    </w:p>
    <w:p>
      <w:pPr>
        <w:spacing w:after="0" w:line="117" w:lineRule="exact"/>
        <w:rPr>
          <w:rFonts w:ascii="Times New Roman" w:cs="Times New Roman" w:eastAsia="Times New Roman" w:hAnsi="Times New Roman"/>
          <w:sz w:val="18"/>
          <w:szCs w:val="18"/>
          <w:color w:val="auto"/>
        </w:rPr>
      </w:pPr>
    </w:p>
    <w:p>
      <w:pPr>
        <w:ind w:left="1820" w:hanging="300"/>
        <w:spacing w:after="0"/>
        <w:tabs>
          <w:tab w:leader="none" w:pos="18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0</w:t>
      </w:r>
    </w:p>
    <w:p>
      <w:pPr>
        <w:spacing w:after="0" w:line="200" w:lineRule="exact"/>
        <w:rPr>
          <w:sz w:val="20"/>
          <w:szCs w:val="20"/>
          <w:color w:val="auto"/>
        </w:rPr>
      </w:pPr>
    </w:p>
    <w:p>
      <w:pPr>
        <w:spacing w:after="0" w:line="24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Dekania Investors, LLC.</w:t>
      </w:r>
    </w:p>
    <w:p>
      <w:pPr>
        <w:sectPr>
          <w:pgSz w:w="11900" w:h="16838" w:orient="portrait"/>
          <w:cols w:equalWidth="0" w:num="1">
            <w:col w:w="11240"/>
          </w:cols>
          <w:pgMar w:left="320" w:top="360" w:right="339" w:bottom="0" w:gutter="0" w:footer="0" w:header="0"/>
        </w:sectPr>
      </w:pPr>
    </w:p>
    <w:bookmarkStart w:id="9" w:name="page10"/>
    <w:bookmarkEnd w:id="9"/>
    <w:p>
      <w:pPr>
        <w:ind w:left="1400" w:hanging="240"/>
        <w:spacing w:after="0"/>
        <w:tabs>
          <w:tab w:leader="none" w:pos="1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0</w:t>
      </w:r>
    </w:p>
    <w:p>
      <w:pPr>
        <w:spacing w:after="0" w:line="117" w:lineRule="exact"/>
        <w:rPr>
          <w:rFonts w:ascii="Times New Roman" w:cs="Times New Roman" w:eastAsia="Times New Roman" w:hAnsi="Times New Roman"/>
          <w:sz w:val="18"/>
          <w:szCs w:val="18"/>
          <w:color w:val="auto"/>
        </w:rPr>
      </w:pPr>
    </w:p>
    <w:p>
      <w:pPr>
        <w:ind w:left="1420" w:hanging="260"/>
        <w:spacing w:after="0"/>
        <w:tabs>
          <w:tab w:leader="none" w:pos="1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0.0%</w:t>
      </w:r>
    </w:p>
    <w:p>
      <w:pPr>
        <w:spacing w:after="0" w:line="117" w:lineRule="exact"/>
        <w:rPr>
          <w:rFonts w:ascii="Times New Roman" w:cs="Times New Roman" w:eastAsia="Times New Roman" w:hAnsi="Times New Roman"/>
          <w:sz w:val="18"/>
          <w:szCs w:val="18"/>
          <w:color w:val="auto"/>
        </w:rPr>
      </w:pPr>
    </w:p>
    <w:p>
      <w:pPr>
        <w:ind w:left="1400" w:hanging="240"/>
        <w:spacing w:after="0"/>
        <w:tabs>
          <w:tab w:leader="none" w:pos="1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to which the person has:</w:t>
      </w:r>
    </w:p>
    <w:p>
      <w:pPr>
        <w:spacing w:after="0" w:line="117" w:lineRule="exact"/>
        <w:rPr>
          <w:rFonts w:ascii="Times New Roman" w:cs="Times New Roman" w:eastAsia="Times New Roman" w:hAnsi="Times New Roman"/>
          <w:sz w:val="18"/>
          <w:szCs w:val="18"/>
          <w:color w:val="auto"/>
        </w:rPr>
      </w:pPr>
    </w:p>
    <w:p>
      <w:pPr>
        <w:ind w:left="1740" w:hanging="220"/>
        <w:spacing w:after="0"/>
        <w:tabs>
          <w:tab w:leader="none" w:pos="17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117" w:lineRule="exact"/>
        <w:rPr>
          <w:rFonts w:ascii="Times New Roman" w:cs="Times New Roman" w:eastAsia="Times New Roman" w:hAnsi="Times New Roman"/>
          <w:sz w:val="18"/>
          <w:szCs w:val="18"/>
          <w:color w:val="auto"/>
        </w:rPr>
      </w:pPr>
    </w:p>
    <w:p>
      <w:pPr>
        <w:ind w:left="1780" w:hanging="260"/>
        <w:spacing w:after="0"/>
        <w:tabs>
          <w:tab w:leader="none" w:pos="17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0</w:t>
      </w:r>
    </w:p>
    <w:p>
      <w:pPr>
        <w:spacing w:after="0" w:line="117" w:lineRule="exact"/>
        <w:rPr>
          <w:rFonts w:ascii="Times New Roman" w:cs="Times New Roman" w:eastAsia="Times New Roman" w:hAnsi="Times New Roman"/>
          <w:sz w:val="18"/>
          <w:szCs w:val="18"/>
          <w:color w:val="auto"/>
        </w:rPr>
      </w:pPr>
    </w:p>
    <w:p>
      <w:pPr>
        <w:ind w:left="1840" w:hanging="320"/>
        <w:spacing w:after="0"/>
        <w:tabs>
          <w:tab w:leader="none" w:pos="18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direct the disposition:</w:t>
      </w:r>
    </w:p>
    <w:p>
      <w:pPr>
        <w:spacing w:after="0" w:line="117" w:lineRule="exact"/>
        <w:rPr>
          <w:rFonts w:ascii="Times New Roman" w:cs="Times New Roman" w:eastAsia="Times New Roman" w:hAnsi="Times New Roman"/>
          <w:sz w:val="18"/>
          <w:szCs w:val="18"/>
          <w:color w:val="auto"/>
        </w:rPr>
      </w:pPr>
    </w:p>
    <w:p>
      <w:pPr>
        <w:ind w:left="1820" w:hanging="300"/>
        <w:spacing w:after="0"/>
        <w:tabs>
          <w:tab w:leader="none" w:pos="18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0</w:t>
      </w:r>
    </w:p>
    <w:p>
      <w:pPr>
        <w:spacing w:after="0" w:line="200" w:lineRule="exact"/>
        <w:rPr>
          <w:sz w:val="20"/>
          <w:szCs w:val="20"/>
          <w:color w:val="auto"/>
        </w:rPr>
      </w:pPr>
    </w:p>
    <w:p>
      <w:pPr>
        <w:spacing w:after="0" w:line="24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Cohen &amp; Company, LLC</w:t>
      </w:r>
    </w:p>
    <w:p>
      <w:pPr>
        <w:spacing w:after="0" w:line="117" w:lineRule="exact"/>
        <w:rPr>
          <w:sz w:val="20"/>
          <w:szCs w:val="20"/>
          <w:color w:val="auto"/>
        </w:rPr>
      </w:pPr>
    </w:p>
    <w:p>
      <w:pPr>
        <w:ind w:left="1400" w:hanging="240"/>
        <w:spacing w:after="0"/>
        <w:tabs>
          <w:tab w:leader="none" w:pos="1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0</w:t>
      </w:r>
    </w:p>
    <w:p>
      <w:pPr>
        <w:spacing w:after="0" w:line="117" w:lineRule="exact"/>
        <w:rPr>
          <w:rFonts w:ascii="Times New Roman" w:cs="Times New Roman" w:eastAsia="Times New Roman" w:hAnsi="Times New Roman"/>
          <w:sz w:val="18"/>
          <w:szCs w:val="18"/>
          <w:color w:val="auto"/>
        </w:rPr>
      </w:pPr>
    </w:p>
    <w:p>
      <w:pPr>
        <w:ind w:left="1420" w:hanging="260"/>
        <w:spacing w:after="0"/>
        <w:tabs>
          <w:tab w:leader="none" w:pos="1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0.0%</w:t>
      </w:r>
    </w:p>
    <w:p>
      <w:pPr>
        <w:spacing w:after="0" w:line="117" w:lineRule="exact"/>
        <w:rPr>
          <w:rFonts w:ascii="Times New Roman" w:cs="Times New Roman" w:eastAsia="Times New Roman" w:hAnsi="Times New Roman"/>
          <w:sz w:val="18"/>
          <w:szCs w:val="18"/>
          <w:color w:val="auto"/>
        </w:rPr>
      </w:pPr>
    </w:p>
    <w:p>
      <w:pPr>
        <w:ind w:left="1400" w:hanging="240"/>
        <w:spacing w:after="0"/>
        <w:tabs>
          <w:tab w:leader="none" w:pos="1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to which the person has:</w:t>
      </w:r>
    </w:p>
    <w:p>
      <w:pPr>
        <w:spacing w:after="0" w:line="117" w:lineRule="exact"/>
        <w:rPr>
          <w:rFonts w:ascii="Times New Roman" w:cs="Times New Roman" w:eastAsia="Times New Roman" w:hAnsi="Times New Roman"/>
          <w:sz w:val="18"/>
          <w:szCs w:val="18"/>
          <w:color w:val="auto"/>
        </w:rPr>
      </w:pPr>
    </w:p>
    <w:p>
      <w:pPr>
        <w:ind w:left="1740" w:hanging="220"/>
        <w:spacing w:after="0"/>
        <w:tabs>
          <w:tab w:leader="none" w:pos="17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117" w:lineRule="exact"/>
        <w:rPr>
          <w:rFonts w:ascii="Times New Roman" w:cs="Times New Roman" w:eastAsia="Times New Roman" w:hAnsi="Times New Roman"/>
          <w:sz w:val="18"/>
          <w:szCs w:val="18"/>
          <w:color w:val="auto"/>
        </w:rPr>
      </w:pPr>
    </w:p>
    <w:p>
      <w:pPr>
        <w:ind w:left="1780" w:hanging="260"/>
        <w:spacing w:after="0"/>
        <w:tabs>
          <w:tab w:leader="none" w:pos="17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0</w:t>
      </w:r>
    </w:p>
    <w:p>
      <w:pPr>
        <w:spacing w:after="0" w:line="117" w:lineRule="exact"/>
        <w:rPr>
          <w:rFonts w:ascii="Times New Roman" w:cs="Times New Roman" w:eastAsia="Times New Roman" w:hAnsi="Times New Roman"/>
          <w:sz w:val="18"/>
          <w:szCs w:val="18"/>
          <w:color w:val="auto"/>
        </w:rPr>
      </w:pPr>
    </w:p>
    <w:p>
      <w:pPr>
        <w:ind w:left="1840" w:hanging="320"/>
        <w:spacing w:after="0"/>
        <w:tabs>
          <w:tab w:leader="none" w:pos="18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direct the disposition:</w:t>
      </w:r>
    </w:p>
    <w:p>
      <w:pPr>
        <w:spacing w:after="0" w:line="117" w:lineRule="exact"/>
        <w:rPr>
          <w:rFonts w:ascii="Times New Roman" w:cs="Times New Roman" w:eastAsia="Times New Roman" w:hAnsi="Times New Roman"/>
          <w:sz w:val="18"/>
          <w:szCs w:val="18"/>
          <w:color w:val="auto"/>
        </w:rPr>
      </w:pPr>
    </w:p>
    <w:p>
      <w:pPr>
        <w:ind w:left="1820" w:hanging="300"/>
        <w:spacing w:after="0"/>
        <w:tabs>
          <w:tab w:leader="none" w:pos="18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0</w:t>
      </w:r>
    </w:p>
    <w:p>
      <w:pPr>
        <w:spacing w:after="0" w:line="200" w:lineRule="exact"/>
        <w:rPr>
          <w:sz w:val="20"/>
          <w:szCs w:val="20"/>
          <w:color w:val="auto"/>
        </w:rPr>
      </w:pPr>
    </w:p>
    <w:p>
      <w:pPr>
        <w:spacing w:after="0" w:line="24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Daniel G. Cohen:</w:t>
      </w:r>
    </w:p>
    <w:p>
      <w:pPr>
        <w:spacing w:after="0" w:line="117" w:lineRule="exact"/>
        <w:rPr>
          <w:sz w:val="20"/>
          <w:szCs w:val="20"/>
          <w:color w:val="auto"/>
        </w:rPr>
      </w:pPr>
    </w:p>
    <w:p>
      <w:pPr>
        <w:ind w:left="1400" w:hanging="240"/>
        <w:spacing w:after="0"/>
        <w:tabs>
          <w:tab w:leader="none" w:pos="14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0</w:t>
      </w:r>
    </w:p>
    <w:p>
      <w:pPr>
        <w:spacing w:after="0" w:line="117" w:lineRule="exact"/>
        <w:rPr>
          <w:rFonts w:ascii="Times New Roman" w:cs="Times New Roman" w:eastAsia="Times New Roman" w:hAnsi="Times New Roman"/>
          <w:sz w:val="18"/>
          <w:szCs w:val="18"/>
          <w:color w:val="auto"/>
        </w:rPr>
      </w:pPr>
    </w:p>
    <w:p>
      <w:pPr>
        <w:ind w:left="1420" w:hanging="260"/>
        <w:spacing w:after="0"/>
        <w:tabs>
          <w:tab w:leader="none" w:pos="1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0.0%</w:t>
      </w:r>
    </w:p>
    <w:p>
      <w:pPr>
        <w:spacing w:after="0" w:line="117" w:lineRule="exact"/>
        <w:rPr>
          <w:rFonts w:ascii="Times New Roman" w:cs="Times New Roman" w:eastAsia="Times New Roman" w:hAnsi="Times New Roman"/>
          <w:sz w:val="18"/>
          <w:szCs w:val="18"/>
          <w:color w:val="auto"/>
        </w:rPr>
      </w:pPr>
    </w:p>
    <w:p>
      <w:pPr>
        <w:ind w:left="1400" w:hanging="240"/>
        <w:spacing w:after="0"/>
        <w:tabs>
          <w:tab w:leader="none" w:pos="14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to which the person has:</w:t>
      </w:r>
    </w:p>
    <w:p>
      <w:pPr>
        <w:spacing w:after="0" w:line="117" w:lineRule="exact"/>
        <w:rPr>
          <w:rFonts w:ascii="Times New Roman" w:cs="Times New Roman" w:eastAsia="Times New Roman" w:hAnsi="Times New Roman"/>
          <w:sz w:val="18"/>
          <w:szCs w:val="18"/>
          <w:color w:val="auto"/>
        </w:rPr>
      </w:pPr>
    </w:p>
    <w:p>
      <w:pPr>
        <w:ind w:left="1740" w:hanging="220"/>
        <w:spacing w:after="0"/>
        <w:tabs>
          <w:tab w:leader="none" w:pos="17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117" w:lineRule="exact"/>
        <w:rPr>
          <w:rFonts w:ascii="Times New Roman" w:cs="Times New Roman" w:eastAsia="Times New Roman" w:hAnsi="Times New Roman"/>
          <w:sz w:val="18"/>
          <w:szCs w:val="18"/>
          <w:color w:val="auto"/>
        </w:rPr>
      </w:pPr>
    </w:p>
    <w:p>
      <w:pPr>
        <w:ind w:left="1780" w:hanging="260"/>
        <w:spacing w:after="0"/>
        <w:tabs>
          <w:tab w:leader="none" w:pos="17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0</w:t>
      </w:r>
    </w:p>
    <w:p>
      <w:pPr>
        <w:spacing w:after="0" w:line="117" w:lineRule="exact"/>
        <w:rPr>
          <w:rFonts w:ascii="Times New Roman" w:cs="Times New Roman" w:eastAsia="Times New Roman" w:hAnsi="Times New Roman"/>
          <w:sz w:val="18"/>
          <w:szCs w:val="18"/>
          <w:color w:val="auto"/>
        </w:rPr>
      </w:pPr>
    </w:p>
    <w:p>
      <w:pPr>
        <w:ind w:left="1840" w:hanging="320"/>
        <w:spacing w:after="0"/>
        <w:tabs>
          <w:tab w:leader="none" w:pos="18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direct the disposition:</w:t>
      </w:r>
    </w:p>
    <w:p>
      <w:pPr>
        <w:spacing w:after="0" w:line="117" w:lineRule="exact"/>
        <w:rPr>
          <w:rFonts w:ascii="Times New Roman" w:cs="Times New Roman" w:eastAsia="Times New Roman" w:hAnsi="Times New Roman"/>
          <w:sz w:val="18"/>
          <w:szCs w:val="18"/>
          <w:color w:val="auto"/>
        </w:rPr>
      </w:pPr>
    </w:p>
    <w:p>
      <w:pPr>
        <w:ind w:left="1820" w:hanging="300"/>
        <w:spacing w:after="0"/>
        <w:tabs>
          <w:tab w:leader="none" w:pos="18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0</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31" w:lineRule="exact"/>
        <w:rPr>
          <w:sz w:val="20"/>
          <w:szCs w:val="20"/>
          <w:color w:val="auto"/>
        </w:rPr>
      </w:pPr>
    </w:p>
    <w:p>
      <w:pPr>
        <w:ind w:left="400" w:firstLine="396"/>
        <w:spacing w:after="0" w:line="260"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ind w:left="1300" w:hanging="1295"/>
        <w:spacing w:after="0" w:line="263"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Please see Exhibit II attached hereto.</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121" w:lineRule="exact"/>
        <w:rPr>
          <w:sz w:val="20"/>
          <w:szCs w:val="20"/>
          <w:color w:val="auto"/>
        </w:rPr>
      </w:pPr>
    </w:p>
    <w:p>
      <w:pPr>
        <w:jc w:val="both"/>
        <w:ind w:left="80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121" w:right="339" w:bottom="1440" w:gutter="0" w:footer="0" w:header="0"/>
        </w:sectPr>
      </w:pPr>
    </w:p>
    <w:bookmarkStart w:id="10" w:name="page11"/>
    <w:bookmarkEnd w:id="10"/>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159561117</w:t>
            </w:r>
          </w:p>
        </w:tc>
        <w:tc>
          <w:tcPr>
            <w:tcW w:w="452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760"/>
              <w:spacing w:after="0"/>
              <w:rPr>
                <w:sz w:val="20"/>
                <w:szCs w:val="20"/>
                <w:color w:val="auto"/>
              </w:rPr>
            </w:pPr>
            <w:r>
              <w:rPr>
                <w:rFonts w:ascii="Times New Roman" w:cs="Times New Roman" w:eastAsia="Times New Roman" w:hAnsi="Times New Roman"/>
                <w:sz w:val="18"/>
                <w:szCs w:val="18"/>
                <w:b w:val="1"/>
                <w:bCs w:val="1"/>
                <w:color w:val="auto"/>
              </w:rPr>
              <w:t>Page 11 of 13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11, 2022</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Vellar Opportunities Fund Master, Ltd.</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Solomon I.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Solomon I. Cohen, Director</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Cohen &amp; Company Financial Management, LLC</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Cohen &amp; Company Inc.</w:t>
      </w:r>
    </w:p>
    <w:p>
      <w:pPr>
        <w:spacing w:after="0" w:line="205" w:lineRule="exact"/>
        <w:rPr>
          <w:sz w:val="20"/>
          <w:szCs w:val="20"/>
          <w:color w:val="auto"/>
        </w:rPr>
      </w:pPr>
    </w:p>
    <w:p>
      <w:pPr>
        <w:ind w:left="5640"/>
        <w:spacing w:after="0"/>
        <w:tabs>
          <w:tab w:leader="none" w:pos="6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Daniel G.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18415</wp:posOffset>
            </wp:positionV>
            <wp:extent cx="32658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Daniel G. Cohen, Chairman of the Board of Directors</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Dekania Investors, LLC</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Joseph Pooler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Joseph Pooler, Chief Financial Officer</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Cohen &amp; Company LLC</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Joseph Pooler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Joseph Pooler, Chief Financial Officer</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Cohen &amp; Company Inc.</w:t>
      </w:r>
    </w:p>
    <w:p>
      <w:pPr>
        <w:spacing w:after="0" w:line="227" w:lineRule="exact"/>
        <w:rPr>
          <w:sz w:val="20"/>
          <w:szCs w:val="20"/>
          <w:color w:val="auto"/>
        </w:rPr>
      </w:pPr>
    </w:p>
    <w:p>
      <w:pPr>
        <w:ind w:left="5640"/>
        <w:spacing w:after="0"/>
        <w:tabs>
          <w:tab w:leader="none" w:pos="6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Daniel G.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18415</wp:posOffset>
            </wp:positionV>
            <wp:extent cx="32658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Daniel G. Cohen, Chairman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Daniel G.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11" w:name="page12"/>
    <w:bookmarkEnd w:id="11"/>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159561117</w:t>
            </w:r>
          </w:p>
        </w:tc>
        <w:tc>
          <w:tcPr>
            <w:tcW w:w="452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760"/>
              <w:spacing w:after="0"/>
              <w:rPr>
                <w:sz w:val="20"/>
                <w:szCs w:val="20"/>
                <w:color w:val="auto"/>
              </w:rPr>
            </w:pPr>
            <w:r>
              <w:rPr>
                <w:rFonts w:ascii="Times New Roman" w:cs="Times New Roman" w:eastAsia="Times New Roman" w:hAnsi="Times New Roman"/>
                <w:sz w:val="18"/>
                <w:szCs w:val="18"/>
                <w:b w:val="1"/>
                <w:bCs w:val="1"/>
                <w:color w:val="auto"/>
              </w:rPr>
              <w:t>Page 12 of 13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I</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STATEMENT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13d-1(k)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undersigned acknowledge and agree that the foregoing statement on Schedule 13G/A, is filed on behalf of each of the undersigned and that all subsequent amendments to this statement on Schedule 13G/A,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11, 2022</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Vellar Opportunities Fund Master, Ltd.</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Solomon I.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Solomon I. Cohen, Director</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Cohen &amp; Company Financial Management, LLC</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Cohen &amp; Company Inc.</w:t>
      </w:r>
    </w:p>
    <w:p>
      <w:pPr>
        <w:spacing w:after="0" w:line="205" w:lineRule="exact"/>
        <w:rPr>
          <w:sz w:val="20"/>
          <w:szCs w:val="20"/>
          <w:color w:val="auto"/>
        </w:rPr>
      </w:pPr>
    </w:p>
    <w:p>
      <w:pPr>
        <w:ind w:left="5640"/>
        <w:spacing w:after="0"/>
        <w:tabs>
          <w:tab w:leader="none" w:pos="6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Daniel G.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18415</wp:posOffset>
            </wp:positionV>
            <wp:extent cx="32658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Daniel G. Cohen, Chairman of the Board of Directors</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Dekania Investors, LLC</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Joseph Pooler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Joseph Pooler, Chief Financial Officer</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Cohen &amp; Company LLC</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Joseph Pooler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Joseph Pooler, Chief Financial Officer</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Cohen &amp; Company Inc.</w:t>
      </w:r>
    </w:p>
    <w:p>
      <w:pPr>
        <w:spacing w:after="0" w:line="227" w:lineRule="exact"/>
        <w:rPr>
          <w:sz w:val="20"/>
          <w:szCs w:val="20"/>
          <w:color w:val="auto"/>
        </w:rPr>
      </w:pPr>
    </w:p>
    <w:p>
      <w:pPr>
        <w:ind w:left="5640"/>
        <w:spacing w:after="0"/>
        <w:tabs>
          <w:tab w:leader="none" w:pos="6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Daniel G.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18415</wp:posOffset>
            </wp:positionV>
            <wp:extent cx="32658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Daniel G. Cohen, Chairman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Daniel G.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12" w:name="page13"/>
    <w:bookmarkEnd w:id="12"/>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159561117</w:t>
            </w:r>
          </w:p>
        </w:tc>
        <w:tc>
          <w:tcPr>
            <w:tcW w:w="452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760"/>
              <w:spacing w:after="0"/>
              <w:rPr>
                <w:sz w:val="20"/>
                <w:szCs w:val="20"/>
                <w:color w:val="auto"/>
              </w:rPr>
            </w:pPr>
            <w:r>
              <w:rPr>
                <w:rFonts w:ascii="Times New Roman" w:cs="Times New Roman" w:eastAsia="Times New Roman" w:hAnsi="Times New Roman"/>
                <w:sz w:val="18"/>
                <w:szCs w:val="18"/>
                <w:b w:val="1"/>
                <w:bCs w:val="1"/>
                <w:color w:val="auto"/>
              </w:rPr>
              <w:t>Page 13 of 13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Cohen &amp; Company Financial Management, LLC and Cohen &amp; Company Inc. are the relevant entities for which Mr. Cohen may be considered a control person.</w:t>
      </w:r>
    </w:p>
    <w:sectPr>
      <w:pgSz w:w="11900" w:h="16838" w:orient="portrait"/>
      <w:cols w:equalWidth="0" w:num="1">
        <w:col w:w="11240"/>
      </w:cols>
      <w:pgMar w:left="320" w:top="4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1)"/>
      <w:numFmt w:val="lowerLetter"/>
      <w:start w:val="1"/>
    </w:lvl>
    <w:lvl w:ilvl="1">
      <w:lvlJc w:val="left"/>
      <w:lvlText w:val="(%2)"/>
      <w:numFmt w:val="lowerRoman"/>
      <w:start w:val="1"/>
    </w:lvl>
  </w:abstractNum>
  <w:abstractNum w:abstractNumId="3">
    <w:nsid w:val="507ED7AB"/>
    <w:multiLevelType w:val="hybridMultilevel"/>
    <w:lvl w:ilvl="0">
      <w:lvlJc w:val="left"/>
      <w:lvlText w:val="(%1)"/>
      <w:numFmt w:val="lowerLetter"/>
      <w:start w:val="1"/>
    </w:lvl>
    <w:lvl w:ilvl="1">
      <w:lvlJc w:val="left"/>
      <w:lvlText w:val="(%2)"/>
      <w:numFmt w:val="lowerRoman"/>
      <w:start w:val="1"/>
    </w:lvl>
  </w:abstractNum>
  <w:abstractNum w:abstractNumId="4">
    <w:nsid w:val="2EB141F2"/>
    <w:multiLevelType w:val="hybridMultilevel"/>
    <w:lvl w:ilvl="0">
      <w:lvlJc w:val="left"/>
      <w:lvlText w:val="(%1)"/>
      <w:numFmt w:val="lowerLetter"/>
      <w:start w:val="1"/>
    </w:lvl>
    <w:lvl w:ilvl="1">
      <w:lvlJc w:val="left"/>
      <w:lvlText w:val="(%2)"/>
      <w:numFmt w:val="lowerRoman"/>
      <w:start w:val="1"/>
    </w:lvl>
  </w:abstractNum>
  <w:abstractNum w:abstractNumId="5">
    <w:nsid w:val="41B71EFB"/>
    <w:multiLevelType w:val="hybridMultilevel"/>
    <w:lvl w:ilvl="0">
      <w:lvlJc w:val="left"/>
      <w:lvlText w:val="(%1)"/>
      <w:numFmt w:val="lowerLetter"/>
      <w:start w:val="1"/>
    </w:lvl>
    <w:lvl w:ilvl="1">
      <w:lvlJc w:val="left"/>
      <w:lvlText w:val="(%2)"/>
      <w:numFmt w:val="lowerRoman"/>
      <w:start w:val="1"/>
    </w:lvl>
  </w:abstractNum>
  <w:abstractNum w:abstractNumId="6">
    <w:nsid w:val="79E2A9E3"/>
    <w:multiLevelType w:val="hybridMultilevel"/>
    <w:lvl w:ilvl="0">
      <w:lvlJc w:val="left"/>
      <w:lvlText w:val="(%1)"/>
      <w:numFmt w:val="lowerLetter"/>
      <w:start w:val="1"/>
    </w:lvl>
    <w:lvl w:ilvl="1">
      <w:lvlJc w:val="left"/>
      <w:lvlText w:val="(%2)"/>
      <w:numFmt w:val="lowerRoman"/>
      <w:start w:val="1"/>
    </w:lvl>
  </w:abstractNum>
  <w:abstractNum w:abstractNumId="7">
    <w:nsid w:val="7545E146"/>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2022-10-05T12:07:59Z</dcterms:created>
  <dcterms:modified xsi:type="dcterms:W3CDTF">2022-10-05T12:07:59Z</dcterms:modified>
</cp:coreProperties>
</file>