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132715</wp:posOffset>
            </wp:positionV>
            <wp:extent cx="25031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161290</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920" w:right="2120" w:hanging="3912"/>
        <w:spacing w:after="0" w:line="500" w:lineRule="auto"/>
        <w:tabs>
          <w:tab w:leader="none" w:pos="327"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60" w:right="1740" w:hanging="4452"/>
        <w:spacing w:after="0" w:line="500" w:lineRule="auto"/>
        <w:tabs>
          <w:tab w:leader="none" w:pos="33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234" w:lineRule="exact"/>
        <w:rPr>
          <w:sz w:val="24"/>
          <w:szCs w:val="24"/>
          <w:color w:val="auto"/>
        </w:rPr>
      </w:pPr>
    </w:p>
    <w:tbl>
      <w:tblPr>
        <w:tblLayout w:type="fixed"/>
        <w:tblInd w:w="1300" w:type="dxa"/>
        <w:tblCellMar>
          <w:top w:w="0" w:type="dxa"/>
          <w:left w:w="0" w:type="dxa"/>
          <w:bottom w:w="0" w:type="dxa"/>
          <w:right w:w="0" w:type="dxa"/>
        </w:tblCellMar>
      </w:tblPr>
      <w:tr>
        <w:trPr>
          <w:trHeight w:val="261"/>
        </w:trPr>
        <w:tc>
          <w:tcPr>
            <w:tcW w:w="2340" w:type="dxa"/>
            <w:vAlign w:val="bottom"/>
          </w:tcPr>
          <w:p>
            <w:pPr>
              <w:spacing w:after="0"/>
              <w:rPr>
                <w:sz w:val="22"/>
                <w:szCs w:val="22"/>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540" w:type="dxa"/>
            <w:vAlign w:val="bottom"/>
          </w:tcPr>
          <w:p>
            <w:pPr>
              <w:spacing w:after="0"/>
              <w:rPr>
                <w:sz w:val="22"/>
                <w:szCs w:val="22"/>
                <w:color w:val="auto"/>
              </w:rPr>
            </w:pPr>
          </w:p>
        </w:tc>
      </w:tr>
      <w:tr>
        <w:trPr>
          <w:trHeight w:val="413"/>
        </w:trPr>
        <w:tc>
          <w:tcPr>
            <w:tcW w:w="6320" w:type="dxa"/>
            <w:vAlign w:val="bottom"/>
            <w:gridSpan w:val="2"/>
          </w:tcPr>
          <w:p>
            <w:pPr>
              <w:jc w:val="center"/>
              <w:ind w:right="3290"/>
              <w:spacing w:after="0"/>
              <w:rPr>
                <w:sz w:val="20"/>
                <w:szCs w:val="20"/>
                <w:color w:val="auto"/>
              </w:rPr>
            </w:pPr>
            <w:r>
              <w:rPr>
                <w:rFonts w:ascii="Arial" w:cs="Arial" w:eastAsia="Arial" w:hAnsi="Arial"/>
                <w:sz w:val="18"/>
                <w:szCs w:val="18"/>
                <w:b w:val="1"/>
                <w:bCs w:val="1"/>
                <w:color w:val="auto"/>
                <w:w w:val="90"/>
              </w:rPr>
              <w:t>Nevada</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85-1873463</w:t>
            </w:r>
          </w:p>
        </w:tc>
      </w:tr>
      <w:tr>
        <w:trPr>
          <w:trHeight w:val="216"/>
        </w:trPr>
        <w:tc>
          <w:tcPr>
            <w:tcW w:w="6320" w:type="dxa"/>
            <w:vAlign w:val="bottom"/>
            <w:gridSpan w:val="2"/>
          </w:tcPr>
          <w:p>
            <w:pPr>
              <w:jc w:val="center"/>
              <w:ind w:right="331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320" w:type="dxa"/>
            <w:vAlign w:val="bottom"/>
            <w:gridSpan w:val="2"/>
          </w:tcPr>
          <w:p>
            <w:pPr>
              <w:jc w:val="center"/>
              <w:ind w:right="331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2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92"/>
              </w:rPr>
              <w:t>1190 Trademark Drive, #108</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89521</w:t>
            </w:r>
          </w:p>
        </w:tc>
      </w:tr>
      <w:tr>
        <w:trPr>
          <w:trHeight w:val="220"/>
        </w:trPr>
        <w:tc>
          <w:tcPr>
            <w:tcW w:w="632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87"/>
              </w:rPr>
              <w:t>Reno,</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Nevada</w:t>
            </w:r>
          </w:p>
        </w:tc>
      </w:tr>
      <w:tr>
        <w:trPr>
          <w:trHeight w:val="230"/>
        </w:trPr>
        <w:tc>
          <w:tcPr>
            <w:tcW w:w="6320" w:type="dxa"/>
            <w:vAlign w:val="bottom"/>
            <w:gridSpan w:val="2"/>
          </w:tcPr>
          <w:p>
            <w:pPr>
              <w:jc w:val="center"/>
              <w:ind w:right="331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1"/>
              </w:rPr>
              <w:t>(Zip Code)</w:t>
            </w:r>
          </w:p>
        </w:tc>
      </w:tr>
      <w:tr>
        <w:trPr>
          <w:trHeight w:val="418"/>
        </w:trPr>
        <w:tc>
          <w:tcPr>
            <w:tcW w:w="6320" w:type="dxa"/>
            <w:vAlign w:val="bottom"/>
            <w:gridSpan w:val="2"/>
          </w:tcPr>
          <w:p>
            <w:pPr>
              <w:jc w:val="center"/>
              <w:ind w:left="2230"/>
              <w:spacing w:after="0"/>
              <w:rPr>
                <w:sz w:val="20"/>
                <w:szCs w:val="20"/>
                <w:color w:val="auto"/>
              </w:rPr>
            </w:pPr>
            <w:r>
              <w:rPr>
                <w:rFonts w:ascii="Arial" w:cs="Arial" w:eastAsia="Arial" w:hAnsi="Arial"/>
                <w:sz w:val="18"/>
                <w:szCs w:val="18"/>
                <w:b w:val="1"/>
                <w:bCs w:val="1"/>
                <w:color w:val="auto"/>
                <w:w w:val="90"/>
              </w:rPr>
              <w:t>(775) 622-3448</w:t>
            </w:r>
          </w:p>
        </w:tc>
        <w:tc>
          <w:tcPr>
            <w:tcW w:w="1540" w:type="dxa"/>
            <w:vAlign w:val="bottom"/>
          </w:tcPr>
          <w:p>
            <w:pPr>
              <w:spacing w:after="0"/>
              <w:rPr>
                <w:sz w:val="24"/>
                <w:szCs w:val="24"/>
                <w:color w:val="auto"/>
              </w:rPr>
            </w:pPr>
          </w:p>
        </w:tc>
      </w:tr>
      <w:tr>
        <w:trPr>
          <w:trHeight w:val="230"/>
        </w:trPr>
        <w:tc>
          <w:tcPr>
            <w:tcW w:w="234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154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240"/>
          </w:cols>
          <w:pgMar w:left="320" w:top="746" w:right="339" w:bottom="171" w:gutter="0" w:footer="0" w:header="0"/>
        </w:sectPr>
      </w:pPr>
    </w:p>
    <w:p>
      <w:pPr>
        <w:spacing w:after="0" w:line="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171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4"/>
          <w:szCs w:val="24"/>
          <w:color w:val="auto"/>
        </w:rPr>
      </w:pPr>
    </w:p>
    <w:p>
      <w:pPr>
        <w:jc w:val="center"/>
        <w:ind w:right="340"/>
        <w:spacing w:after="0" w:line="323" w:lineRule="auto"/>
        <w:rPr>
          <w:sz w:val="20"/>
          <w:szCs w:val="20"/>
          <w:color w:val="auto"/>
        </w:rPr>
      </w:pPr>
      <w:r>
        <w:rPr>
          <w:rFonts w:ascii="Arial" w:cs="Arial" w:eastAsia="Arial" w:hAnsi="Arial"/>
          <w:sz w:val="16"/>
          <w:szCs w:val="16"/>
          <w:color w:val="auto"/>
        </w:rPr>
        <w:t>Redeemable Warrants, exercisable for common stock at an exercise price of $11.50 per share, subject to adjustment</w:t>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u w:val="single" w:color="auto"/>
          <w:color w:val="auto"/>
        </w:rPr>
        <w:t>None</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2020" w:type="dxa"/>
            <w:vAlign w:val="bottom"/>
          </w:tcPr>
          <w:p>
            <w:pPr>
              <w:jc w:val="center"/>
              <w:ind w:right="570"/>
              <w:spacing w:after="0"/>
              <w:rPr>
                <w:sz w:val="20"/>
                <w:szCs w:val="20"/>
                <w:color w:val="auto"/>
              </w:rPr>
            </w:pPr>
            <w:r>
              <w:rPr>
                <w:rFonts w:ascii="Arial" w:cs="Arial" w:eastAsia="Arial" w:hAnsi="Arial"/>
                <w:sz w:val="18"/>
                <w:szCs w:val="18"/>
                <w:color w:val="auto"/>
                <w:w w:val="92"/>
              </w:rPr>
              <w:t>Trading Symbol(s)</w:t>
            </w: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2020" w:type="dxa"/>
            <w:vAlign w:val="bottom"/>
          </w:tcPr>
          <w:p>
            <w:pPr>
              <w:jc w:val="center"/>
              <w:ind w:right="570"/>
              <w:spacing w:after="0"/>
              <w:rPr>
                <w:sz w:val="20"/>
                <w:szCs w:val="20"/>
                <w:color w:val="auto"/>
              </w:rPr>
            </w:pPr>
            <w:r>
              <w:rPr>
                <w:rFonts w:ascii="Arial" w:cs="Arial" w:eastAsia="Arial" w:hAnsi="Arial"/>
                <w:sz w:val="18"/>
                <w:szCs w:val="18"/>
                <w:color w:val="auto"/>
              </w:rPr>
              <w:t>DFLI</w:t>
            </w:r>
          </w:p>
        </w:tc>
        <w:tc>
          <w:tcPr>
            <w:tcW w:w="4260" w:type="dxa"/>
            <w:vAlign w:val="bottom"/>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310"/>
        </w:trPr>
        <w:tc>
          <w:tcPr>
            <w:tcW w:w="2020" w:type="dxa"/>
            <w:vAlign w:val="bottom"/>
          </w:tcPr>
          <w:p>
            <w:pPr>
              <w:jc w:val="center"/>
              <w:ind w:right="570"/>
              <w:spacing w:after="0"/>
              <w:rPr>
                <w:sz w:val="20"/>
                <w:szCs w:val="20"/>
                <w:color w:val="auto"/>
              </w:rPr>
            </w:pPr>
            <w:r>
              <w:rPr>
                <w:rFonts w:ascii="Arial" w:cs="Arial" w:eastAsia="Arial" w:hAnsi="Arial"/>
                <w:sz w:val="18"/>
                <w:szCs w:val="18"/>
                <w:color w:val="auto"/>
                <w:w w:val="99"/>
              </w:rPr>
              <w:t>DFLIW</w:t>
            </w:r>
          </w:p>
        </w:tc>
        <w:tc>
          <w:tcPr>
            <w:tcW w:w="4260" w:type="dxa"/>
            <w:vAlign w:val="bottom"/>
          </w:tcPr>
          <w:p>
            <w:pPr>
              <w:jc w:val="center"/>
              <w:spacing w:after="0"/>
              <w:rPr>
                <w:sz w:val="20"/>
                <w:szCs w:val="20"/>
                <w:color w:val="auto"/>
              </w:rPr>
            </w:pPr>
            <w:r>
              <w:rPr>
                <w:rFonts w:ascii="Arial" w:cs="Arial" w:eastAsia="Arial" w:hAnsi="Arial"/>
                <w:sz w:val="18"/>
                <w:szCs w:val="18"/>
                <w:color w:val="auto"/>
                <w:w w:val="90"/>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wp:posOffset>
            </wp:positionH>
            <wp:positionV relativeFrom="paragraph">
              <wp:posOffset>-359410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689" w:lineRule="exact"/>
        <w:rPr>
          <w:sz w:val="24"/>
          <w:szCs w:val="24"/>
          <w:color w:val="auto"/>
        </w:rPr>
      </w:pPr>
    </w:p>
    <w:p>
      <w:pPr>
        <w:sectPr>
          <w:pgSz w:w="11900" w:h="16838" w:orient="portrait"/>
          <w:cols w:equalWidth="0" w:num="2">
            <w:col w:w="4640" w:space="320"/>
            <w:col w:w="6280"/>
          </w:cols>
          <w:pgMar w:left="320" w:top="746" w:right="339" w:bottom="171" w:gutter="0" w:footer="0" w:header="0"/>
          <w:type w:val="continuous"/>
        </w:sectPr>
      </w:pPr>
    </w:p>
    <w:p>
      <w:pPr>
        <w:spacing w:after="0" w:line="1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2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746" w:right="339" w:bottom="171" w:gutter="0" w:footer="0" w:header="0"/>
          <w:type w:val="continuous"/>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MS PGothic" w:cs="MS PGothic" w:eastAsia="MS PGothic" w:hAnsi="MS PGothic"/>
          <w:sz w:val="18"/>
          <w:szCs w:val="18"/>
          <w:color w:val="auto"/>
        </w:rPr>
        <w:t>☐</w:t>
      </w:r>
    </w:p>
    <w:p>
      <w:pPr>
        <w:spacing w:after="0" w:line="182"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market value of voting stock held by non-affiliates of the Registrant on June 30, 2022, based on the closing price of $10.1499 for shares of the registrant’s common stock as reported by the Nasdaq Global Market, was approximately $128.4 million. Shares of common 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21, 2023, there were 45,794,923 shares of the registrant’s common stock, par value $0.0001 per share, issued and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Portions of the registrant’s Proxy Statement relating to the 2023 Annual Meeting of Stockholders, scheduled to be filed with the Securities and Exchange Commission within 120 days after the end of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9"/>
          </w:tcPr>
          <w:p>
            <w:pPr>
              <w:jc w:val="center"/>
              <w:ind w:right="314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10480" w:type="dxa"/>
            <w:vAlign w:val="bottom"/>
            <w:tcBorders>
              <w:top w:val="single" w:sz="8" w:color="CCEEFF"/>
            </w:tcBorders>
            <w:gridSpan w:val="28"/>
            <w:shd w:val="clear" w:color="auto" w:fill="CCEEFF"/>
          </w:tcPr>
          <w:p>
            <w:pPr>
              <w:spacing w:after="0" w:line="142" w:lineRule="exact"/>
              <w:rPr>
                <w:sz w:val="20"/>
                <w:szCs w:val="20"/>
                <w:color w:val="auto"/>
              </w:rPr>
            </w:pPr>
            <w:r>
              <w:rPr>
                <w:rFonts w:ascii="Arial" w:cs="Arial" w:eastAsia="Arial" w:hAnsi="Arial"/>
                <w:sz w:val="16"/>
                <w:szCs w:val="16"/>
                <w:color w:val="0000EE"/>
              </w:rPr>
              <w:t>Part I</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 Business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1A. Risk Factors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1B. Unresolved Staff Comments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2. Properties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3. Legal Proceedings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4. Mine Safety Disclosures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Part II</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5. Market for Registrant’s Common Equity, Related Stockholder Matters and Issuer Purchases of Equity Securities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6. [Reserved]</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7. 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7A. 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8. Financial Statements and Supplementary Data</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9. Changes in and Disagreements with Accountants on Accounting and Financial Disclosure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9A. Controls and Procedures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9B. Other Information</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9C. Disclosure Regarding Foreign Jurisdiction that Prevent Inspections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Part III</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10. Directors, Executive Officers and Corporate Governance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11. Executive Compensation</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12. Security Ownership of Certain Beneficial Owners and Management and Related Stockholder Matters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13. Certain Relationships and Related Transactions, and Director Independence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14. Principal Accountant Fees and Services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Part IV</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15. Exhibit and Financial Statement Schedules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Item 16. Form 10-K Summary</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80" w:type="dxa"/>
            <w:vAlign w:val="bottom"/>
            <w:gridSpan w:val="28"/>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gridSpan w:val="6"/>
          </w:tcPr>
          <w:p>
            <w:pPr>
              <w:jc w:val="center"/>
              <w:ind w:right="4740"/>
              <w:spacing w:after="0"/>
              <w:rPr>
                <w:sz w:val="20"/>
                <w:szCs w:val="20"/>
                <w:color w:val="auto"/>
              </w:rPr>
            </w:pPr>
            <w:r>
              <w:rPr>
                <w:rFonts w:ascii="Arial" w:cs="Arial" w:eastAsia="Arial" w:hAnsi="Arial"/>
                <w:sz w:val="18"/>
                <w:szCs w:val="18"/>
                <w:color w:val="auto"/>
                <w:w w:val="98"/>
              </w:rPr>
              <w:t>i</w:t>
            </w:r>
          </w:p>
        </w:tc>
        <w:tc>
          <w:tcPr>
            <w:tcW w:w="76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made pursuant to the safe harbor provisions of the Private Securities Litigation Reform Act of 1995 under Section 27A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recent Business Combination (as defined herein), which may be affected by, among other things, the factors listed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Global Market and Public Warrants (as defined herein) on the Nasdaq Capital Market;</w:t>
      </w: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including any mutations or variants thereof, and its effect on business and financial conditions;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events or circumstances that result in our failure to timely achieve the anticipated benefits of our customer arrangements with THOR Industries and its affiliate brands (including Keystone RV Company);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8"/>
          <w:szCs w:val="18"/>
          <w:i w:val="1"/>
          <w:iCs w:val="1"/>
          <w:color w:val="auto"/>
        </w:rPr>
        <w:t>Part I—Item 1A—Risk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for additional risks which could adversely impact our business and financial performance.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report to “Dragonfly,” the “Company,” “we,” “us,” or “our” mean Dragonfly Energy Holdings Corp. and its subsidiaries unless stated otherwise or the context otherwise indicates.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a manufacturer of non-toxic deep cycle lithium-ion batteries that caters to customers in the consumer (including the recreational vehicle (“</w:t>
      </w:r>
      <w:r>
        <w:rPr>
          <w:rFonts w:ascii="Arial" w:cs="Arial" w:eastAsia="Arial" w:hAnsi="Arial"/>
          <w:sz w:val="17"/>
          <w:szCs w:val="17"/>
          <w:b w:val="1"/>
          <w:bCs w:val="1"/>
          <w:color w:val="auto"/>
        </w:rPr>
        <w:t>RV</w:t>
      </w:r>
      <w:r>
        <w:rPr>
          <w:rFonts w:ascii="Arial" w:cs="Arial" w:eastAsia="Arial" w:hAnsi="Arial"/>
          <w:sz w:val="17"/>
          <w:szCs w:val="17"/>
          <w:color w:val="auto"/>
        </w:rPr>
        <w:t>”), marine vessel and off-grid residence industries), industrial and energy storage markets,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deep cycle lithium iron phosphate (“</w:t>
      </w:r>
      <w:r>
        <w:rPr>
          <w:rFonts w:ascii="Arial" w:cs="Arial" w:eastAsia="Arial" w:hAnsi="Arial"/>
          <w:sz w:val="18"/>
          <w:szCs w:val="18"/>
          <w:b w:val="1"/>
          <w:bCs w:val="1"/>
          <w:color w:val="auto"/>
        </w:rPr>
        <w:t>LFP</w:t>
      </w:r>
      <w:r>
        <w:rPr>
          <w:rFonts w:ascii="Arial" w:cs="Arial" w:eastAsia="Arial" w:hAnsi="Arial"/>
          <w:sz w:val="18"/>
          <w:szCs w:val="18"/>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dual-brand strategy for battery products, Dragonfly Energy (“</w:t>
      </w:r>
      <w:r>
        <w:rPr>
          <w:rFonts w:ascii="Arial" w:cs="Arial" w:eastAsia="Arial" w:hAnsi="Arial"/>
          <w:sz w:val="17"/>
          <w:szCs w:val="17"/>
          <w:b w:val="1"/>
          <w:bCs w:val="1"/>
          <w:color w:val="auto"/>
        </w:rPr>
        <w:t>Dragonfly Energy</w:t>
      </w:r>
      <w:r>
        <w:rPr>
          <w:rFonts w:ascii="Arial" w:cs="Arial" w:eastAsia="Arial" w:hAnsi="Arial"/>
          <w:sz w:val="17"/>
          <w:szCs w:val="17"/>
          <w:color w:val="auto"/>
        </w:rPr>
        <w:t>”) and Battle Born Batteries (“</w:t>
      </w:r>
      <w:r>
        <w:rPr>
          <w:rFonts w:ascii="Arial" w:cs="Arial" w:eastAsia="Arial" w:hAnsi="Arial"/>
          <w:sz w:val="17"/>
          <w:szCs w:val="17"/>
          <w:b w:val="1"/>
          <w:bCs w:val="1"/>
          <w:color w:val="auto"/>
        </w:rPr>
        <w:t>Battle Born</w:t>
      </w:r>
      <w:r>
        <w:rPr>
          <w:rFonts w:ascii="Arial" w:cs="Arial" w:eastAsia="Arial" w:hAnsi="Arial"/>
          <w:sz w:val="17"/>
          <w:szCs w:val="17"/>
          <w:color w:val="auto"/>
        </w:rPr>
        <w:t>”). Battle Born branded products are primarily sold direct to consumers, while the Dragonfly Energy brand is primarily sold to original equipment manufacturers (“</w:t>
      </w:r>
      <w:r>
        <w:rPr>
          <w:rFonts w:ascii="Arial" w:cs="Arial" w:eastAsia="Arial" w:hAnsi="Arial"/>
          <w:sz w:val="17"/>
          <w:szCs w:val="17"/>
          <w:b w:val="1"/>
          <w:bCs w:val="1"/>
          <w:color w:val="auto"/>
        </w:rPr>
        <w:t>OEMs</w:t>
      </w:r>
      <w:r>
        <w:rPr>
          <w:rFonts w:ascii="Arial" w:cs="Arial" w:eastAsia="Arial" w:hAnsi="Arial"/>
          <w:sz w:val="17"/>
          <w:szCs w:val="17"/>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began as an aftermarket-focused business initially targeting direct-to-consumer sales in the RV market. Since 2020, we have sold over 226,000 batteries. For the years ended December 31, 2022 and 2021, we sold 96,034 and 74,652 batteries, respectively, and had $86.3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RV Company (“</w:t>
      </w:r>
      <w:r>
        <w:rPr>
          <w:rFonts w:ascii="Arial" w:cs="Arial" w:eastAsia="Arial" w:hAnsi="Arial"/>
          <w:sz w:val="17"/>
          <w:szCs w:val="17"/>
          <w:b w:val="1"/>
          <w:bCs w:val="1"/>
          <w:color w:val="auto"/>
        </w:rPr>
        <w:t>Keystone</w:t>
      </w:r>
      <w:r>
        <w:rPr>
          <w:rFonts w:ascii="Arial" w:cs="Arial" w:eastAsia="Arial" w:hAnsi="Arial"/>
          <w:sz w:val="17"/>
          <w:szCs w:val="17"/>
          <w:color w:val="auto"/>
        </w:rPr>
        <w:t>”), who fulfills certain of its LFP battery requirements exclusively through us (with potential annual renewals), THOR Industries (“</w:t>
      </w:r>
      <w:r>
        <w:rPr>
          <w:rFonts w:ascii="Arial" w:cs="Arial" w:eastAsia="Arial" w:hAnsi="Arial"/>
          <w:sz w:val="17"/>
          <w:szCs w:val="17"/>
          <w:b w:val="1"/>
          <w:bCs w:val="1"/>
          <w:color w:val="auto"/>
        </w:rPr>
        <w:t>THOR</w:t>
      </w:r>
      <w:r>
        <w:rPr>
          <w:rFonts w:ascii="Arial" w:cs="Arial" w:eastAsia="Arial" w:hAnsi="Arial"/>
          <w:sz w:val="17"/>
          <w:szCs w:val="17"/>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offer a line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Arial" w:cs="Arial" w:eastAsia="Arial" w:hAnsi="Arial"/>
          <w:sz w:val="18"/>
          <w:szCs w:val="18"/>
          <w:b w:val="1"/>
          <w:bCs w:val="1"/>
          <w:color w:val="auto"/>
        </w:rPr>
        <w:t>Thomason Jones</w:t>
      </w:r>
      <w:r>
        <w:rPr>
          <w:rFonts w:ascii="Arial" w:cs="Arial" w:eastAsia="Arial" w:hAnsi="Arial"/>
          <w:sz w:val="18"/>
          <w:szCs w:val="18"/>
          <w:color w:val="auto"/>
        </w:rPr>
        <w:t>”) and the other parties thereto, we also acquired the assets, including the Wakespeed Offshore brand (“</w:t>
      </w:r>
      <w:r>
        <w:rPr>
          <w:rFonts w:ascii="Arial" w:cs="Arial" w:eastAsia="Arial" w:hAnsi="Arial"/>
          <w:sz w:val="18"/>
          <w:szCs w:val="18"/>
          <w:b w:val="1"/>
          <w:bCs w:val="1"/>
          <w:color w:val="auto"/>
        </w:rPr>
        <w:t>Wakespeed</w:t>
      </w:r>
      <w:r>
        <w:rPr>
          <w:rFonts w:ascii="Arial" w:cs="Arial" w:eastAsia="Arial" w:hAnsi="Arial"/>
          <w:sz w:val="18"/>
          <w:szCs w:val="18"/>
          <w:color w:val="auto"/>
        </w:rPr>
        <w:t>”) of Thomason Jones, allowing us to include our own alternator regulator in systems that we sell.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75" w:lineRule="auto"/>
        <w:rPr>
          <w:sz w:val="20"/>
          <w:szCs w:val="20"/>
          <w:color w:val="auto"/>
        </w:rPr>
      </w:pPr>
      <w:r>
        <w:rPr>
          <w:rFonts w:ascii="Arial" w:cs="Arial" w:eastAsia="Arial" w:hAnsi="Arial"/>
          <w:sz w:val="17"/>
          <w:szCs w:val="17"/>
          <w:color w:val="auto"/>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decades, lead-acid batteries have been the dominant player in power and energy markets worldwide. Since the introduction of the absorbed glass mat (“</w:t>
      </w:r>
      <w:r>
        <w:rPr>
          <w:rFonts w:ascii="Arial" w:cs="Arial" w:eastAsia="Arial" w:hAnsi="Arial"/>
          <w:sz w:val="18"/>
          <w:szCs w:val="18"/>
          <w:b w:val="1"/>
          <w:bCs w:val="1"/>
          <w:color w:val="auto"/>
        </w:rPr>
        <w:t>AGM</w:t>
      </w:r>
      <w:r>
        <w:rPr>
          <w:rFonts w:ascii="Arial" w:cs="Arial" w:eastAsia="Arial" w:hAnsi="Arial"/>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84"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Environmentally Friendly, Socially Responsible and Safer. </w:t>
      </w:r>
      <w:r>
        <w:rPr>
          <w:rFonts w:ascii="Arial" w:cs="Arial" w:eastAsia="Arial" w:hAnsi="Arial"/>
          <w:sz w:val="18"/>
          <w:szCs w:val="18"/>
          <w:color w:val="auto"/>
        </w:rPr>
        <w:t>Lead-acid batteries that are not recycled or disposed of properly are extremely toxic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9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Longer Lifespan. </w:t>
      </w:r>
      <w:r>
        <w:rPr>
          <w:rFonts w:ascii="Arial" w:cs="Arial" w:eastAsia="Arial" w:hAnsi="Arial"/>
          <w:sz w:val="16"/>
          <w:szCs w:val="16"/>
          <w:color w:val="auto"/>
        </w:rPr>
        <w:t>Lithium-ion batteries have longer lifecycles compared to lead-acid batteries. LFP batteries are able to cycle (i.e., discharge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 and Performance. </w:t>
      </w:r>
      <w:r>
        <w:rPr>
          <w:rFonts w:ascii="Arial" w:cs="Arial" w:eastAsia="Arial" w:hAnsi="Arial"/>
          <w:sz w:val="17"/>
          <w:szCs w:val="17"/>
          <w:color w:val="auto"/>
        </w:rPr>
        <w:t>As new technologies evolve and people consume more electricity, the importance of battery power and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77"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Charging. </w:t>
      </w:r>
      <w:r>
        <w:rPr>
          <w:rFonts w:ascii="Arial" w:cs="Arial" w:eastAsia="Arial" w:hAnsi="Arial"/>
          <w:sz w:val="17"/>
          <w:szCs w:val="17"/>
          <w:color w:val="auto"/>
        </w:rPr>
        <w:t>Lead-acid batteries were the first rechargeable batteries on the market. However, due to new advancements in energy density (i.e.,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Maintenance-Free. </w:t>
      </w:r>
      <w:r>
        <w:rPr>
          <w:rFonts w:ascii="Arial" w:cs="Arial" w:eastAsia="Arial" w:hAnsi="Arial"/>
          <w:sz w:val="18"/>
          <w:szCs w:val="18"/>
          <w:color w:val="auto"/>
        </w:rPr>
        <w:t>LFP batteries provide the benefit of being a maintenance-free option compared to lead-acid batteries. Unlike lead-acid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According to a Frost and Sullivan report commissioned by us (“</w:t>
      </w:r>
      <w:r>
        <w:rPr>
          <w:rFonts w:ascii="Arial" w:cs="Arial" w:eastAsia="Arial" w:hAnsi="Arial"/>
          <w:sz w:val="18"/>
          <w:szCs w:val="18"/>
          <w:b w:val="1"/>
          <w:bCs w:val="1"/>
          <w:color w:val="auto"/>
        </w:rPr>
        <w:t>Frost &amp; Sullivan</w:t>
      </w:r>
      <w:r>
        <w:rPr>
          <w:rFonts w:ascii="Arial" w:cs="Arial" w:eastAsia="Arial" w:hAnsi="Arial"/>
          <w:sz w:val="18"/>
          <w:szCs w:val="18"/>
          <w:color w:val="auto"/>
        </w:rPr>
        <w:t>”), the total addressable market (“</w:t>
      </w:r>
      <w:r>
        <w:rPr>
          <w:rFonts w:ascii="Arial" w:cs="Arial" w:eastAsia="Arial" w:hAnsi="Arial"/>
          <w:sz w:val="18"/>
          <w:szCs w:val="18"/>
          <w:b w:val="1"/>
          <w:bCs w:val="1"/>
          <w:color w:val="auto"/>
        </w:rPr>
        <w:t>TAM</w:t>
      </w:r>
      <w:r>
        <w:rPr>
          <w:rFonts w:ascii="Arial" w:cs="Arial" w:eastAsia="Arial" w:hAnsi="Arial"/>
          <w:sz w:val="18"/>
          <w:szCs w:val="18"/>
          <w:color w:val="auto"/>
        </w:rPr>
        <w:t>”) of our three current end markets is estimated to be approximately $12 billion by 2025.</w:t>
      </w:r>
    </w:p>
    <w:p>
      <w:pPr>
        <w:spacing w:after="0" w:line="166" w:lineRule="exact"/>
        <w:rPr>
          <w:sz w:val="20"/>
          <w:szCs w:val="20"/>
          <w:color w:val="auto"/>
        </w:rPr>
      </w:pPr>
    </w:p>
    <w:p>
      <w:pPr>
        <w:jc w:val="both"/>
        <w:ind w:left="660" w:hanging="328"/>
        <w:spacing w:after="0" w:line="287"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Recreational Vehicles. </w:t>
      </w:r>
      <w:r>
        <w:rPr>
          <w:rFonts w:ascii="Arial" w:cs="Arial" w:eastAsia="Arial" w:hAnsi="Arial"/>
          <w:sz w:val="16"/>
          <w:szCs w:val="16"/>
          <w:color w:val="auto"/>
        </w:rPr>
        <w:t>The growth of the RV market is expected to continue to drive demand for LFP storage batteries. According to the 2022 RV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Association (“</w:t>
      </w:r>
      <w:r>
        <w:rPr>
          <w:rFonts w:ascii="Arial" w:cs="Arial" w:eastAsia="Arial" w:hAnsi="Arial"/>
          <w:sz w:val="16"/>
          <w:szCs w:val="16"/>
          <w:b w:val="1"/>
          <w:bCs w:val="1"/>
          <w:color w:val="auto"/>
        </w:rPr>
        <w:t>RVIA</w:t>
      </w:r>
      <w:r>
        <w:rPr>
          <w:rFonts w:ascii="Arial" w:cs="Arial" w:eastAsia="Arial" w:hAnsi="Arial"/>
          <w:sz w:val="16"/>
          <w:szCs w:val="16"/>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Arial" w:cs="Arial" w:eastAsia="Arial" w:hAnsi="Arial"/>
          <w:sz w:val="16"/>
          <w:szCs w:val="16"/>
          <w:b w:val="1"/>
          <w:bCs w:val="1"/>
          <w:color w:val="auto"/>
        </w:rPr>
        <w:t>CAGR</w:t>
      </w:r>
      <w:r>
        <w:rPr>
          <w:rFonts w:ascii="Arial" w:cs="Arial" w:eastAsia="Arial" w:hAnsi="Arial"/>
          <w:sz w:val="16"/>
          <w:szCs w:val="16"/>
          <w:color w:val="auto"/>
        </w:rPr>
        <w:t>”) of 6.8%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67"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Marine Vessels. </w:t>
      </w:r>
      <w:r>
        <w:rPr>
          <w:rFonts w:ascii="Arial" w:cs="Arial" w:eastAsia="Arial" w:hAnsi="Arial"/>
          <w:sz w:val="17"/>
          <w:szCs w:val="17"/>
          <w:color w:val="auto"/>
        </w:rPr>
        <w:t>As boating becomes more popular in North America, the need for a reliable, non-flammable energy storage system is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both"/>
        <w:ind w:left="660" w:hanging="328"/>
        <w:spacing w:after="0" w:line="27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Off-Grid Residences. </w:t>
      </w:r>
      <w:r>
        <w:rPr>
          <w:rFonts w:ascii="Arial" w:cs="Arial" w:eastAsia="Arial" w:hAnsi="Arial"/>
          <w:sz w:val="17"/>
          <w:szCs w:val="17"/>
          <w:color w:val="auto"/>
        </w:rPr>
        <w:t>Many people are turning to off-grid housing and, as individuals and governments become more conscious of their carbon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Arial" w:cs="Arial" w:eastAsia="Arial" w:hAnsi="Arial"/>
          <w:sz w:val="17"/>
          <w:szCs w:val="17"/>
          <w:b w:val="1"/>
          <w:bCs w:val="1"/>
          <w:color w:val="auto"/>
        </w:rPr>
        <w:t>SEIA</w:t>
      </w:r>
      <w:r>
        <w:rPr>
          <w:rFonts w:ascii="Arial" w:cs="Arial" w:eastAsia="Arial" w:hAnsi="Arial"/>
          <w:sz w:val="17"/>
          <w:szCs w:val="17"/>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Addressable Adjacent Markets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87" w:lineRule="exact"/>
        <w:rPr>
          <w:sz w:val="20"/>
          <w:szCs w:val="20"/>
          <w:color w:val="auto"/>
        </w:rPr>
      </w:pPr>
    </w:p>
    <w:p>
      <w:pPr>
        <w:jc w:val="both"/>
        <w:ind w:left="66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 Material Handlings / Work Truck. </w:t>
      </w:r>
      <w:r>
        <w:rPr>
          <w:rFonts w:ascii="Arial" w:cs="Arial" w:eastAsia="Arial" w:hAnsi="Arial"/>
          <w:sz w:val="18"/>
          <w:szCs w:val="18"/>
          <w:color w:val="auto"/>
        </w:rPr>
        <w:t>The industrial vehicle market includes work trucks, material handling and warehousing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9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Specialty Vehicles. </w:t>
      </w:r>
      <w:r>
        <w:rPr>
          <w:rFonts w:ascii="Arial" w:cs="Arial" w:eastAsia="Arial" w:hAnsi="Arial"/>
          <w:sz w:val="17"/>
          <w:szCs w:val="17"/>
          <w:color w:val="auto"/>
        </w:rPr>
        <w:t>According to Mordor Intelligence, as of 2019, approximately 40% of the specialty vehicle market in the United States consists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77"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Emergency and Standby Power. </w:t>
      </w:r>
      <w:r>
        <w:rPr>
          <w:rFonts w:ascii="Arial" w:cs="Arial" w:eastAsia="Arial" w:hAnsi="Arial"/>
          <w:sz w:val="18"/>
          <w:szCs w:val="18"/>
          <w:color w:val="auto"/>
        </w:rPr>
        <w:t>Demand for reliable emergency and standby power sources is expected to continue to drive demand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91"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Telecom. </w:t>
      </w:r>
      <w:r>
        <w:rPr>
          <w:rFonts w:ascii="Arial" w:cs="Arial" w:eastAsia="Arial" w:hAnsi="Arial"/>
          <w:sz w:val="16"/>
          <w:szCs w:val="16"/>
          <w:color w:val="auto"/>
        </w:rPr>
        <w:t>Demand for mobile data continues to increase and network providers are investing heavily in 5G networks, particularly in unserved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66" w:lineRule="exact"/>
        <w:rPr>
          <w:rFonts w:ascii="Arial" w:cs="Arial" w:eastAsia="Arial" w:hAnsi="Arial"/>
          <w:sz w:val="16"/>
          <w:szCs w:val="16"/>
          <w:color w:val="auto"/>
        </w:rPr>
      </w:pPr>
    </w:p>
    <w:p>
      <w:pPr>
        <w:jc w:val="both"/>
        <w:ind w:left="660" w:hanging="328"/>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Rail. </w:t>
      </w:r>
      <w:r>
        <w:rPr>
          <w:rFonts w:ascii="Arial" w:cs="Arial" w:eastAsia="Arial" w:hAnsi="Arial"/>
          <w:sz w:val="16"/>
          <w:szCs w:val="16"/>
          <w:color w:val="auto"/>
        </w:rPr>
        <w:t>Rail transportation is a large potential market, with an estimated market size of $98.6 billion in 2022, according to IBISWorld. Many railroad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Centers. </w:t>
      </w:r>
      <w:r>
        <w:rPr>
          <w:rFonts w:ascii="Arial" w:cs="Arial" w:eastAsia="Arial" w:hAnsi="Arial"/>
          <w:sz w:val="17"/>
          <w:szCs w:val="17"/>
          <w:color w:val="auto"/>
        </w:rPr>
        <w:t>Data centers have seen strong growth in recent years, with over 2,750 data centers in the United States as of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0"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On-grid Storage. </w:t>
      </w:r>
      <w:r>
        <w:rPr>
          <w:rFonts w:ascii="Arial" w:cs="Arial" w:eastAsia="Arial" w:hAnsi="Arial"/>
          <w:sz w:val="17"/>
          <w:szCs w:val="17"/>
          <w:color w:val="auto"/>
        </w:rPr>
        <w:t>On-grid energy storage is used on a large-scale platform within an electrical power grid in conjunction with variable renewable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70" w:lineRule="exact"/>
        <w:rPr>
          <w:sz w:val="20"/>
          <w:szCs w:val="20"/>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Premier Lithium-Ion Battery Technology. </w:t>
      </w:r>
      <w:r>
        <w:rPr>
          <w:rFonts w:ascii="Arial" w:cs="Arial" w:eastAsia="Arial" w:hAnsi="Arial"/>
          <w:sz w:val="18"/>
          <w:szCs w:val="18"/>
          <w:color w:val="auto"/>
        </w:rPr>
        <w:t>Each of our innovative batteries features custom designed components to enhance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Growing Patent Portfolio. </w:t>
      </w:r>
      <w:r>
        <w:rPr>
          <w:rFonts w:ascii="Arial" w:cs="Arial" w:eastAsia="Arial" w:hAnsi="Arial"/>
          <w:sz w:val="18"/>
          <w:szCs w:val="18"/>
          <w:color w:val="auto"/>
        </w:rPr>
        <w:t>We have developed and filed patent applications on commercially relevant aspects of our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compositions systems and production processes. To date, we have owned 26 issued patents, with an additional 22 patent applications pending, in the United States, China, Europe, Australia, Canada and other regions.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Go-To-Market Strategy. </w:t>
      </w:r>
      <w:r>
        <w:rPr>
          <w:rFonts w:ascii="Arial" w:cs="Arial" w:eastAsia="Arial" w:hAnsi="Arial"/>
          <w:sz w:val="17"/>
          <w:szCs w:val="17"/>
          <w:color w:val="auto"/>
        </w:rPr>
        <w:t>We have successfully established a direct-to-consumer platform and have developed strong working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Customer Base with Brand Recognition. </w:t>
      </w:r>
      <w:r>
        <w:rPr>
          <w:rFonts w:ascii="Arial" w:cs="Arial" w:eastAsia="Arial" w:hAnsi="Arial"/>
          <w:sz w:val="16"/>
          <w:szCs w:val="16"/>
          <w:color w:val="auto"/>
        </w:rPr>
        <w:t>We have a growing customer base of more than 15,000 customers featuring OEMs,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Quality Manufacturing Process. </w:t>
      </w:r>
      <w:r>
        <w:rPr>
          <w:rFonts w:ascii="Arial" w:cs="Arial" w:eastAsia="Arial" w:hAnsi="Arial"/>
          <w:sz w:val="18"/>
          <w:szCs w:val="18"/>
          <w:color w:val="auto"/>
        </w:rPr>
        <w:t>Unlike competitors that outsource their manufacturing processes, our batteries are designed, assembled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83"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Drop-in Replacement. </w:t>
      </w:r>
      <w:r>
        <w:rPr>
          <w:rFonts w:ascii="Arial" w:cs="Arial" w:eastAsia="Arial" w:hAnsi="Arial"/>
          <w:sz w:val="16"/>
          <w:szCs w:val="16"/>
          <w:color w:val="auto"/>
        </w:rPr>
        <w:t>Our battery modules are largely designed to be “drop-in replacements” for traditional lead-acid batteries, which means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leverage our competitive strengths, technology leadership and market share position to pursue our growth strategy through the following:</w:t>
      </w:r>
    </w:p>
    <w:p>
      <w:pPr>
        <w:spacing w:after="0" w:line="248" w:lineRule="exact"/>
        <w:rPr>
          <w:sz w:val="20"/>
          <w:szCs w:val="20"/>
          <w:color w:val="auto"/>
        </w:rPr>
      </w:pPr>
    </w:p>
    <w:p>
      <w:pPr>
        <w:jc w:val="both"/>
        <w:ind w:left="660" w:hanging="328"/>
        <w:spacing w:after="0" w:line="25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Product Offerings. </w:t>
      </w:r>
      <w:r>
        <w:rPr>
          <w:rFonts w:ascii="Arial" w:cs="Arial" w:eastAsia="Arial" w:hAnsi="Arial"/>
          <w:sz w:val="18"/>
          <w:szCs w:val="18"/>
          <w:color w:val="auto"/>
        </w:rPr>
        <w:t>In the short-term, our aim is to further diversify our product offerings to give consumers, as well as OEMs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End Markets. </w:t>
      </w:r>
      <w:r>
        <w:rPr>
          <w:rFonts w:ascii="Arial" w:cs="Arial" w:eastAsia="Arial" w:hAnsi="Arial"/>
          <w:sz w:val="18"/>
          <w:szCs w:val="18"/>
          <w:color w:val="auto"/>
        </w:rPr>
        <w:t>We have identified additional end markets that we believe in the medium- to longer-term will increasingly look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8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Commercialize Solid-State Technology. </w:t>
      </w:r>
      <w:r>
        <w:rPr>
          <w:rFonts w:ascii="Arial" w:cs="Arial" w:eastAsia="Arial" w:hAnsi="Arial"/>
          <w:sz w:val="16"/>
          <w:szCs w:val="16"/>
          <w:color w:val="auto"/>
        </w:rPr>
        <w:t>We believe solid-state technology presents a significant advantage to all products currently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Chemistry Comparison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several dominant battery chemistries in the lithium-ion market that can be used for different purposes. Two widely adopted chemistries found in the market today are nickel manganese cobalt (“</w:t>
      </w:r>
      <w:r>
        <w:rPr>
          <w:rFonts w:ascii="Arial" w:cs="Arial" w:eastAsia="Arial" w:hAnsi="Arial"/>
          <w:sz w:val="17"/>
          <w:szCs w:val="17"/>
          <w:b w:val="1"/>
          <w:bCs w:val="1"/>
          <w:color w:val="auto"/>
        </w:rPr>
        <w:t>NMC</w:t>
      </w:r>
      <w:r>
        <w:rPr>
          <w:rFonts w:ascii="Arial" w:cs="Arial" w:eastAsia="Arial" w:hAnsi="Arial"/>
          <w:sz w:val="17"/>
          <w:szCs w:val="17"/>
          <w:color w:val="auto"/>
        </w:rPr>
        <w:t>”), and nickel cobalt aluminum (“</w:t>
      </w:r>
      <w:r>
        <w:rPr>
          <w:rFonts w:ascii="Arial" w:cs="Arial" w:eastAsia="Arial" w:hAnsi="Arial"/>
          <w:sz w:val="17"/>
          <w:szCs w:val="17"/>
          <w:b w:val="1"/>
          <w:bCs w:val="1"/>
          <w:color w:val="auto"/>
        </w:rPr>
        <w:t>NCA</w:t>
      </w:r>
      <w:r>
        <w:rPr>
          <w:rFonts w:ascii="Arial" w:cs="Arial" w:eastAsia="Arial" w:hAnsi="Arial"/>
          <w:sz w:val="17"/>
          <w:szCs w:val="17"/>
          <w:color w:val="auto"/>
        </w:rPr>
        <w:t>”). The higher energy density and shorter cycle life found in NMC and NCA batteries are suitable for markets where fast charging and high energy density are required, such as electric vehicle (“</w:t>
      </w:r>
      <w:r>
        <w:rPr>
          <w:rFonts w:ascii="Arial" w:cs="Arial" w:eastAsia="Arial" w:hAnsi="Arial"/>
          <w:sz w:val="17"/>
          <w:szCs w:val="17"/>
          <w:b w:val="1"/>
          <w:bCs w:val="1"/>
          <w:color w:val="auto"/>
        </w:rPr>
        <w:t>EV</w:t>
      </w:r>
      <w:r>
        <w:rPr>
          <w:rFonts w:ascii="Arial" w:cs="Arial" w:eastAsia="Arial" w:hAnsi="Arial"/>
          <w:sz w:val="17"/>
          <w:szCs w:val="17"/>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120650</wp:posOffset>
            </wp:positionV>
            <wp:extent cx="5657850" cy="1482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Arial" w:cs="Arial" w:eastAsia="Arial" w:hAnsi="Arial"/>
          <w:sz w:val="17"/>
          <w:szCs w:val="17"/>
          <w:i w:val="1"/>
          <w:iCs w:val="1"/>
          <w:color w:val="auto"/>
        </w:rPr>
        <w:t>Lithium and Cobalt: A tale of</w:t>
      </w:r>
      <w:r>
        <w:rPr>
          <w:rFonts w:ascii="Arial" w:cs="Arial" w:eastAsia="Arial" w:hAnsi="Arial"/>
          <w:sz w:val="17"/>
          <w:szCs w:val="17"/>
          <w:color w:val="auto"/>
        </w:rPr>
        <w:t xml:space="preserve"> </w:t>
      </w:r>
      <w:r>
        <w:rPr>
          <w:rFonts w:ascii="Arial" w:cs="Arial" w:eastAsia="Arial" w:hAnsi="Arial"/>
          <w:sz w:val="17"/>
          <w:szCs w:val="17"/>
          <w:i w:val="1"/>
          <w:iCs w:val="1"/>
          <w:color w:val="auto"/>
        </w:rPr>
        <w:t>two commodities</w:t>
      </w:r>
      <w:r>
        <w:rPr>
          <w:rFonts w:ascii="Arial" w:cs="Arial" w:eastAsia="Arial" w:hAnsi="Arial"/>
          <w:sz w:val="17"/>
          <w:szCs w:val="17"/>
          <w:color w:val="auto"/>
        </w:rPr>
        <w:t>”, global forecasts for cobalt show supply shortages arising as early as 2022, slowing down NMC battery growth. Both of these elements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Solid-State Cells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Arial" w:cs="Arial" w:eastAsia="Arial" w:hAnsi="Arial"/>
          <w:sz w:val="17"/>
          <w:szCs w:val="17"/>
          <w:i w:val="1"/>
          <w:iCs w:val="1"/>
          <w:color w:val="auto"/>
        </w:rPr>
        <w:t>Research and Development</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-8890</wp:posOffset>
            </wp:positionV>
            <wp:extent cx="5743575" cy="265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435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2005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1487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1826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1487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Management System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enables batteries to draw power under 135 degrees Fahrenheit, and is designed to cut off charging at 24 degrees Fahrenheit to protect cells;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it actively monitors the rate of change of currents to detect and prevent short circuiting, and also protects against potential ground faults;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allows for up to an average of 300 amps continuously, 500 amp surges for 30 seconds, and momentary, half second maximum capacity surges;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enables batteries to recharge even if completely drained;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utilizes larger resistors to ensure balanced loads to improve performance and extend useful life;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facilitates scalability by enabling batteries to be combined in parallel and in series.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Battery Communication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first half of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Alternator Regulation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Beyond our current battery modules, we have several LFP products in development that will enable us to access additional end markets.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Products. </w:t>
      </w:r>
      <w:r>
        <w:rPr>
          <w:rFonts w:ascii="Arial" w:cs="Arial" w:eastAsia="Arial" w:hAnsi="Arial"/>
          <w:sz w:val="18"/>
          <w:szCs w:val="18"/>
          <w:color w:val="auto"/>
        </w:rPr>
        <w:t>Our current offerings feature battery products that serve the RV, marine vessel and off-grid markets. Although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were previously capacity constrained the expansion into our manufacturing facility will allow us to add production capacity and increase product offerings and scale based on demand.</w:t>
      </w:r>
    </w:p>
    <w:p>
      <w:pPr>
        <w:spacing w:after="0" w:line="183"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1"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76"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87"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System Integrator. </w:t>
      </w:r>
      <w:r>
        <w:rPr>
          <w:rFonts w:ascii="Arial" w:cs="Arial" w:eastAsia="Arial" w:hAnsi="Arial"/>
          <w:sz w:val="17"/>
          <w:szCs w:val="17"/>
          <w:color w:val="auto"/>
        </w:rPr>
        <w:t>A natural evolution of our business is to offer customers a system integration solution providing more efficient power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128270</wp:posOffset>
            </wp:positionV>
            <wp:extent cx="2571750" cy="1739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114935</wp:posOffset>
            </wp:positionV>
            <wp:extent cx="3171825" cy="228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1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Manufacturing and Production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151765</wp:posOffset>
            </wp:positionV>
            <wp:extent cx="5657850" cy="1071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8, 2022, we entered into a 124-month lease for an additional 390,240 square foot warehouse, which, once built, we intend to utilize for the manufacture of our solid-state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Relationships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RV OEM Strategic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“Supply Agreement”). Under the Supply Agreement, we will be the exclusive supplier to Keystone for certain of its future LFP battery requirements, solidifying our long-standing relationship with Keystone.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July 2022, we strengthened our ties with the THOR group of RV OEMs when (i) THOR Industries made a $15,000,000 strategic investment in us and</w:t>
      </w:r>
    </w:p>
    <w:p>
      <w:pPr>
        <w:spacing w:after="0" w:line="46" w:lineRule="exact"/>
        <w:rPr>
          <w:sz w:val="20"/>
          <w:szCs w:val="20"/>
          <w:color w:val="auto"/>
        </w:rPr>
      </w:pPr>
    </w:p>
    <w:p>
      <w:pPr>
        <w:jc w:val="both"/>
        <w:ind w:firstLine="8"/>
        <w:spacing w:after="0" w:line="267" w:lineRule="auto"/>
        <w:tabs>
          <w:tab w:leader="none" w:pos="274"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301" w:lineRule="auto"/>
        <w:rPr>
          <w:sz w:val="20"/>
          <w:szCs w:val="20"/>
          <w:color w:val="auto"/>
        </w:rPr>
      </w:pPr>
      <w:r>
        <w:rPr>
          <w:rFonts w:ascii="Arial" w:cs="Arial" w:eastAsia="Arial" w:hAnsi="Arial"/>
          <w:sz w:val="16"/>
          <w:szCs w:val="16"/>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we have 177 employees; 171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65"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 Employees are regularly educated in safety around their workspaces, and employees participate in volunteer roles on a safety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emergency readiness roles. We have a dedicated safety coordinator who tracks and measures our performance, and helps us benchmark our safety programs against our peers.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Diversity, Equity &amp; Inclusion</w:t>
      </w:r>
      <w:r>
        <w:rPr>
          <w:rFonts w:ascii="Arial" w:cs="Arial" w:eastAsia="Arial" w:hAnsi="Arial"/>
          <w:sz w:val="16"/>
          <w:szCs w:val="16"/>
          <w:color w:val="auto"/>
        </w:rPr>
        <w:t> — Our culture has benefitted from the diversity of our workforce from the very beginning. Inclusion and equity are</w:t>
      </w:r>
      <w:r>
        <w:rPr>
          <w:rFonts w:ascii="Arial" w:cs="Arial" w:eastAsia="Arial" w:hAnsi="Arial"/>
          <w:sz w:val="16"/>
          <w:szCs w:val="16"/>
          <w:i w:val="1"/>
          <w:iCs w:val="1"/>
          <w:color w:val="auto"/>
        </w:rPr>
        <w:t xml:space="preserve"> </w:t>
      </w:r>
      <w:r>
        <w:rPr>
          <w:rFonts w:ascii="Arial" w:cs="Arial" w:eastAsia="Arial" w:hAnsi="Arial"/>
          <w:sz w:val="16"/>
          <w:szCs w:val="16"/>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Collaboration</w:t>
      </w:r>
      <w:r>
        <w:rPr>
          <w:rFonts w:ascii="Arial" w:cs="Arial" w:eastAsia="Arial" w:hAnsi="Arial"/>
          <w:sz w:val="16"/>
          <w:szCs w:val="16"/>
          <w:color w:val="auto"/>
        </w:rPr>
        <w:t> — As we grow, opportunities for cross-functional collaboration are not as organic as they used to be. We have responded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change by staying mindful and acting intentionally to gather cross-functional input on new initiatives and continuous improvement efforts.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Continuous Improvement</w:t>
      </w:r>
      <w:r>
        <w:rPr>
          <w:rFonts w:ascii="Arial" w:cs="Arial" w:eastAsia="Arial" w:hAnsi="Arial"/>
          <w:sz w:val="18"/>
          <w:szCs w:val="18"/>
          <w:color w:val="auto"/>
        </w:rPr>
        <w:t> — We apply continuous improvement measures to processes as well as people. We encourage professional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through ongoing learning, credentialing, and collaboration with their industry peers.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7, 2022 (the “</w:t>
      </w:r>
      <w:r>
        <w:rPr>
          <w:rFonts w:ascii="Arial" w:cs="Arial" w:eastAsia="Arial" w:hAnsi="Arial"/>
          <w:sz w:val="17"/>
          <w:szCs w:val="17"/>
          <w:b w:val="1"/>
          <w:bCs w:val="1"/>
          <w:color w:val="auto"/>
        </w:rPr>
        <w:t>Closing Date</w:t>
      </w:r>
      <w:r>
        <w:rPr>
          <w:rFonts w:ascii="Arial" w:cs="Arial" w:eastAsia="Arial" w:hAnsi="Arial"/>
          <w:sz w:val="17"/>
          <w:szCs w:val="17"/>
          <w:color w:val="auto"/>
        </w:rPr>
        <w:t>”), Chardan NexTech 2 Acquisition Corp., a Delaware company (“</w:t>
      </w:r>
      <w:r>
        <w:rPr>
          <w:rFonts w:ascii="Arial" w:cs="Arial" w:eastAsia="Arial" w:hAnsi="Arial"/>
          <w:sz w:val="17"/>
          <w:szCs w:val="17"/>
          <w:b w:val="1"/>
          <w:bCs w:val="1"/>
          <w:color w:val="auto"/>
        </w:rPr>
        <w:t>Chardan</w:t>
      </w:r>
      <w:r>
        <w:rPr>
          <w:rFonts w:ascii="Arial" w:cs="Arial" w:eastAsia="Arial" w:hAnsi="Arial"/>
          <w:sz w:val="17"/>
          <w:szCs w:val="17"/>
          <w:color w:val="auto"/>
        </w:rPr>
        <w:t>”), and Dragonfly Energy Corp, a Nevada corporation (together with its consolidated subsidiaries, “</w:t>
      </w:r>
      <w:r>
        <w:rPr>
          <w:rFonts w:ascii="Arial" w:cs="Arial" w:eastAsia="Arial" w:hAnsi="Arial"/>
          <w:sz w:val="17"/>
          <w:szCs w:val="17"/>
          <w:b w:val="1"/>
          <w:bCs w:val="1"/>
          <w:color w:val="auto"/>
        </w:rPr>
        <w:t>Legacy Dragonfly</w:t>
      </w:r>
      <w:r>
        <w:rPr>
          <w:rFonts w:ascii="Arial" w:cs="Arial" w:eastAsia="Arial" w:hAnsi="Arial"/>
          <w:sz w:val="17"/>
          <w:szCs w:val="17"/>
          <w:color w:val="auto"/>
        </w:rPr>
        <w:t>”), consummated the merger (the “</w:t>
      </w:r>
      <w:r>
        <w:rPr>
          <w:rFonts w:ascii="Arial" w:cs="Arial" w:eastAsia="Arial" w:hAnsi="Arial"/>
          <w:sz w:val="17"/>
          <w:szCs w:val="17"/>
          <w:b w:val="1"/>
          <w:bCs w:val="1"/>
          <w:color w:val="auto"/>
        </w:rPr>
        <w:t>Closing</w:t>
      </w:r>
      <w:r>
        <w:rPr>
          <w:rFonts w:ascii="Arial" w:cs="Arial" w:eastAsia="Arial" w:hAnsi="Arial"/>
          <w:sz w:val="17"/>
          <w:szCs w:val="17"/>
          <w:color w:val="auto"/>
        </w:rPr>
        <w:t>”) pursuant to the Agreement and Plan of Merger, dated as of May 15, 2022 (as amended,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by and among Chardan, Bronco Merger Sub, Inc., a Delaware corporation and wholly-owned subsidiary of Chardan (“</w:t>
      </w:r>
      <w:r>
        <w:rPr>
          <w:rFonts w:ascii="Arial" w:cs="Arial" w:eastAsia="Arial" w:hAnsi="Arial"/>
          <w:sz w:val="17"/>
          <w:szCs w:val="17"/>
          <w:b w:val="1"/>
          <w:bCs w:val="1"/>
          <w:color w:val="auto"/>
        </w:rPr>
        <w:t>Merger Sub</w:t>
      </w:r>
      <w:r>
        <w:rPr>
          <w:rFonts w:ascii="Arial" w:cs="Arial" w:eastAsia="Arial" w:hAnsi="Arial"/>
          <w:sz w:val="17"/>
          <w:szCs w:val="17"/>
          <w:color w:val="auto"/>
        </w:rPr>
        <w:t>”), and Legacy Dragonfly. Pursuant to the Business Combination Agreement, Merger Sub merged with and into Legacy Dragonfly (the “</w:t>
      </w:r>
      <w:r>
        <w:rPr>
          <w:rFonts w:ascii="Arial" w:cs="Arial" w:eastAsia="Arial" w:hAnsi="Arial"/>
          <w:sz w:val="17"/>
          <w:szCs w:val="17"/>
          <w:b w:val="1"/>
          <w:bCs w:val="1"/>
          <w:color w:val="auto"/>
        </w:rPr>
        <w:t>Merger</w:t>
      </w:r>
      <w:r>
        <w:rPr>
          <w:rFonts w:ascii="Arial" w:cs="Arial" w:eastAsia="Arial" w:hAnsi="Arial"/>
          <w:sz w:val="17"/>
          <w:szCs w:val="17"/>
          <w:color w:val="auto"/>
        </w:rPr>
        <w:t>” and, together with the other transactions contemplated by the Business Combination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Legacy Dragonfly continuing as the surviving corporation in the Merger and as our wholly owned subsidiary. In connection with the Business Combination, Chardan changed its name to Dragonfly Energy Holdings Corp.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Prior to the completion of the Business Combination, Chardan was a shell company. Chardan was incorporated in the state of Delaware on June 23, 2020. Chardan consummated its initial public offering at a price of $10 per unit on August 13, 2021 (the “</w:t>
      </w:r>
      <w:r>
        <w:rPr>
          <w:rFonts w:ascii="Arial" w:cs="Arial" w:eastAsia="Arial" w:hAnsi="Arial"/>
          <w:sz w:val="17"/>
          <w:szCs w:val="17"/>
          <w:b w:val="1"/>
          <w:bCs w:val="1"/>
          <w:color w:val="auto"/>
        </w:rPr>
        <w:t>Chardan IPO</w:t>
      </w:r>
      <w:r>
        <w:rPr>
          <w:rFonts w:ascii="Arial" w:cs="Arial" w:eastAsia="Arial" w:hAnsi="Arial"/>
          <w:sz w:val="17"/>
          <w:szCs w:val="17"/>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Chardan, Merger Sub, Legacy Dragonfly or the holders of any of the following securities:</w:t>
      </w:r>
    </w:p>
    <w:p>
      <w:pPr>
        <w:spacing w:after="0" w:line="166" w:lineRule="exact"/>
        <w:rPr>
          <w:sz w:val="20"/>
          <w:szCs w:val="20"/>
          <w:color w:val="auto"/>
        </w:rPr>
      </w:pPr>
    </w:p>
    <w:p>
      <w:pPr>
        <w:jc w:val="both"/>
        <w:ind w:firstLine="656"/>
        <w:spacing w:after="0" w:line="281" w:lineRule="auto"/>
        <w:tabs>
          <w:tab w:leader="none" w:pos="902"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 (“</w:t>
      </w:r>
      <w:r>
        <w:rPr>
          <w:rFonts w:ascii="Arial" w:cs="Arial" w:eastAsia="Arial" w:hAnsi="Arial"/>
          <w:sz w:val="17"/>
          <w:szCs w:val="17"/>
          <w:b w:val="1"/>
          <w:bCs w:val="1"/>
          <w:color w:val="auto"/>
        </w:rPr>
        <w:t>Legacy Dragonfly Common Stock</w:t>
      </w:r>
      <w:r>
        <w:rPr>
          <w:rFonts w:ascii="Arial" w:cs="Arial" w:eastAsia="Arial" w:hAnsi="Arial"/>
          <w:sz w:val="17"/>
          <w:szCs w:val="17"/>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and (ii) the contingent right to receive Earnout Shares (as defined below) (which may be zero) following the Closing.</w:t>
      </w:r>
    </w:p>
    <w:p>
      <w:pPr>
        <w:spacing w:after="0" w:line="168" w:lineRule="exact"/>
        <w:rPr>
          <w:rFonts w:ascii="Arial" w:cs="Arial" w:eastAsia="Arial" w:hAnsi="Arial"/>
          <w:sz w:val="17"/>
          <w:szCs w:val="17"/>
          <w:color w:val="auto"/>
        </w:rPr>
      </w:pPr>
    </w:p>
    <w:p>
      <w:pPr>
        <w:jc w:val="both"/>
        <w:ind w:firstLine="656"/>
        <w:spacing w:after="0" w:line="273" w:lineRule="auto"/>
        <w:tabs>
          <w:tab w:leader="none" w:pos="934"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to the Merger Consideration set forth above, additional contingent shares (“</w:t>
      </w:r>
      <w:r>
        <w:rPr>
          <w:rFonts w:ascii="Arial" w:cs="Arial" w:eastAsia="Arial" w:hAnsi="Arial"/>
          <w:sz w:val="18"/>
          <w:szCs w:val="18"/>
          <w:b w:val="1"/>
          <w:bCs w:val="1"/>
          <w:color w:val="auto"/>
        </w:rPr>
        <w:t>Earnout Shares</w:t>
      </w:r>
      <w:r>
        <w:rPr>
          <w:rFonts w:ascii="Arial" w:cs="Arial" w:eastAsia="Arial" w:hAnsi="Arial"/>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Investment</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Pursuant to the subscription agreement, dated as of May 15, 2022 (the “</w:t>
      </w:r>
      <w:r>
        <w:rPr>
          <w:rFonts w:ascii="Arial" w:cs="Arial" w:eastAsia="Arial" w:hAnsi="Arial"/>
          <w:sz w:val="18"/>
          <w:szCs w:val="18"/>
          <w:b w:val="1"/>
          <w:bCs w:val="1"/>
          <w:color w:val="auto"/>
        </w:rPr>
        <w:t>Subscription Agreement</w:t>
      </w:r>
      <w:r>
        <w:rPr>
          <w:rFonts w:ascii="Arial" w:cs="Arial" w:eastAsia="Arial" w:hAnsi="Arial"/>
          <w:sz w:val="18"/>
          <w:szCs w:val="18"/>
          <w:color w:val="auto"/>
        </w:rPr>
        <w:t>”), by and between Chardan and Chardan NexTech Investments 2 LLC (or an affiliate thereof if assigned pursuant to the Subscription Agreement, the “</w:t>
      </w:r>
      <w:r>
        <w:rPr>
          <w:rFonts w:ascii="Arial" w:cs="Arial" w:eastAsia="Arial" w:hAnsi="Arial"/>
          <w:sz w:val="18"/>
          <w:szCs w:val="18"/>
          <w:b w:val="1"/>
          <w:bCs w:val="1"/>
          <w:color w:val="auto"/>
        </w:rPr>
        <w:t>Sponsor</w:t>
      </w:r>
      <w:r>
        <w:rPr>
          <w:rFonts w:ascii="Arial" w:cs="Arial" w:eastAsia="Arial" w:hAnsi="Arial"/>
          <w:sz w:val="18"/>
          <w:szCs w:val="18"/>
          <w:color w:val="auto"/>
        </w:rPr>
        <w:t>”), the Sponsor agreed to purchase, and Chardan agreed to sell to the Sponsor, an aggregate of 500,000 shares of Chardan common stock (“</w:t>
      </w:r>
      <w:r>
        <w:rPr>
          <w:rFonts w:ascii="Arial" w:cs="Arial" w:eastAsia="Arial" w:hAnsi="Arial"/>
          <w:sz w:val="18"/>
          <w:szCs w:val="18"/>
          <w:b w:val="1"/>
          <w:bCs w:val="1"/>
          <w:color w:val="auto"/>
        </w:rPr>
        <w:t>Chardan Common Stock</w:t>
      </w:r>
      <w:r>
        <w:rPr>
          <w:rFonts w:ascii="Arial" w:cs="Arial" w:eastAsia="Arial" w:hAnsi="Arial"/>
          <w:sz w:val="18"/>
          <w:szCs w:val="18"/>
          <w:color w:val="auto"/>
        </w:rPr>
        <w:t>”) for gross proceeds to Chardan of $5 million in a private placement. On September 28, 2022, the Sponsor and Chardan Capital Markets LLC, a New York limited liability company (“</w:t>
      </w:r>
      <w:r>
        <w:rPr>
          <w:rFonts w:ascii="Arial" w:cs="Arial" w:eastAsia="Arial" w:hAnsi="Arial"/>
          <w:sz w:val="18"/>
          <w:szCs w:val="18"/>
          <w:b w:val="1"/>
          <w:bCs w:val="1"/>
          <w:color w:val="auto"/>
        </w:rPr>
        <w:t>CCM LLC</w:t>
      </w:r>
      <w:r>
        <w:rPr>
          <w:rFonts w:ascii="Arial" w:cs="Arial" w:eastAsia="Arial" w:hAnsi="Arial"/>
          <w:sz w:val="18"/>
          <w:szCs w:val="18"/>
          <w:color w:val="auto"/>
        </w:rPr>
        <w:t>”), entered into an assignment, assumption and joinder agreement, pursuant to which the Sponsor assigned all of the Sponsor’s rights, benefits and obligations under the Subscription Agreement to CCM LLC.</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91" w:lineRule="auto"/>
        <w:rPr>
          <w:sz w:val="20"/>
          <w:szCs w:val="20"/>
          <w:color w:val="auto"/>
        </w:rPr>
      </w:pPr>
      <w:r>
        <w:rPr>
          <w:rFonts w:ascii="Arial" w:cs="Arial" w:eastAsia="Arial" w:hAnsi="Arial"/>
          <w:sz w:val="16"/>
          <w:szCs w:val="16"/>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Arial" w:cs="Arial" w:eastAsia="Arial" w:hAnsi="Arial"/>
          <w:sz w:val="16"/>
          <w:szCs w:val="16"/>
          <w:b w:val="1"/>
          <w:bCs w:val="1"/>
          <w:color w:val="auto"/>
        </w:rPr>
        <w:t>Offset</w:t>
      </w:r>
      <w:r>
        <w:rPr>
          <w:rFonts w:ascii="Arial" w:cs="Arial" w:eastAsia="Arial" w:hAnsi="Arial"/>
          <w:sz w:val="16"/>
          <w:szCs w:val="16"/>
          <w:color w:val="auto"/>
        </w:rPr>
        <w:t>”). During the week of September 26, 2022 CCM LLC acquired in the open market in total 485,000 shares of our common stock at purchase prices per share ranging from $10.33 to $10.38 (such shares, the “</w:t>
      </w:r>
      <w:r>
        <w:rPr>
          <w:rFonts w:ascii="Arial" w:cs="Arial" w:eastAsia="Arial" w:hAnsi="Arial"/>
          <w:sz w:val="16"/>
          <w:szCs w:val="16"/>
          <w:b w:val="1"/>
          <w:bCs w:val="1"/>
          <w:color w:val="auto"/>
        </w:rPr>
        <w:t>Purchased Shares</w:t>
      </w:r>
      <w:r>
        <w:rPr>
          <w:rFonts w:ascii="Arial" w:cs="Arial" w:eastAsia="Arial" w:hAnsi="Arial"/>
          <w:sz w:val="16"/>
          <w:szCs w:val="16"/>
          <w:color w:val="auto"/>
        </w:rPr>
        <w:t>”). The Purchased Shares were not redeemed, resulting in (i) our receipt of $5,016,547 from the trust account that held the proceeds from the Chardan IPO (based on a per share redemption price of $10.34) and (ii) a reduction in CCM LLC’s purchase commitment under the Subscription Agreement to zero in accordance with the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Consistent with the commitment letter (the “</w:t>
      </w:r>
      <w:r>
        <w:rPr>
          <w:rFonts w:ascii="Arial" w:cs="Arial" w:eastAsia="Arial" w:hAnsi="Arial"/>
          <w:sz w:val="17"/>
          <w:szCs w:val="17"/>
          <w:b w:val="1"/>
          <w:bCs w:val="1"/>
          <w:color w:val="auto"/>
        </w:rPr>
        <w:t>Debt Commitment Letter</w:t>
      </w:r>
      <w:r>
        <w:rPr>
          <w:rFonts w:ascii="Arial" w:cs="Arial" w:eastAsia="Arial" w:hAnsi="Arial"/>
          <w:sz w:val="17"/>
          <w:szCs w:val="17"/>
          <w:color w:val="auto"/>
        </w:rPr>
        <w:t>”) dated May 15, 2022 by and between Chardan and Legacy Dragonfly, CCM Investments 5 LLC, an affiliate of CCM LLC (“</w:t>
      </w:r>
      <w:r>
        <w:rPr>
          <w:rFonts w:ascii="Arial" w:cs="Arial" w:eastAsia="Arial" w:hAnsi="Arial"/>
          <w:sz w:val="17"/>
          <w:szCs w:val="17"/>
          <w:b w:val="1"/>
          <w:bCs w:val="1"/>
          <w:color w:val="auto"/>
        </w:rPr>
        <w:t>CCM 5</w:t>
      </w:r>
      <w:r>
        <w:rPr>
          <w:rFonts w:ascii="Arial" w:cs="Arial" w:eastAsia="Arial" w:hAnsi="Arial"/>
          <w:sz w:val="17"/>
          <w:szCs w:val="17"/>
          <w:color w:val="auto"/>
        </w:rPr>
        <w:t>”, and in connection with the Term Loan, the “</w:t>
      </w:r>
      <w:r>
        <w:rPr>
          <w:rFonts w:ascii="Arial" w:cs="Arial" w:eastAsia="Arial" w:hAnsi="Arial"/>
          <w:sz w:val="17"/>
          <w:szCs w:val="17"/>
          <w:b w:val="1"/>
          <w:bCs w:val="1"/>
          <w:color w:val="auto"/>
        </w:rPr>
        <w:t>Chardan Lender</w:t>
      </w:r>
      <w:r>
        <w:rPr>
          <w:rFonts w:ascii="Arial" w:cs="Arial" w:eastAsia="Arial" w:hAnsi="Arial"/>
          <w:sz w:val="17"/>
          <w:szCs w:val="17"/>
          <w:color w:val="auto"/>
        </w:rPr>
        <w:t>”), and EICF Agent LLC (“</w:t>
      </w:r>
      <w:r>
        <w:rPr>
          <w:rFonts w:ascii="Arial" w:cs="Arial" w:eastAsia="Arial" w:hAnsi="Arial"/>
          <w:sz w:val="17"/>
          <w:szCs w:val="17"/>
          <w:b w:val="1"/>
          <w:bCs w:val="1"/>
          <w:color w:val="auto"/>
        </w:rPr>
        <w:t>EIP</w:t>
      </w:r>
      <w:r>
        <w:rPr>
          <w:rFonts w:ascii="Arial" w:cs="Arial" w:eastAsia="Arial" w:hAnsi="Arial"/>
          <w:sz w:val="17"/>
          <w:szCs w:val="17"/>
          <w:color w:val="auto"/>
        </w:rPr>
        <w:t>” and, collectively with the Chardan Lender, the “Initial Term Loan Lenders”), in connection with the Closing, Chardan, Legacy Dragonfly and the Initial Term Loan Lenders entered into the Term Loan, Guarantee and Security Agreement (the “</w:t>
      </w:r>
      <w:r>
        <w:rPr>
          <w:rFonts w:ascii="Arial" w:cs="Arial" w:eastAsia="Arial" w:hAnsi="Arial"/>
          <w:sz w:val="17"/>
          <w:szCs w:val="17"/>
          <w:b w:val="1"/>
          <w:bCs w:val="1"/>
          <w:color w:val="auto"/>
        </w:rPr>
        <w:t>Term Loan Agreement</w:t>
      </w:r>
      <w:r>
        <w:rPr>
          <w:rFonts w:ascii="Arial" w:cs="Arial" w:eastAsia="Arial" w:hAnsi="Arial"/>
          <w:sz w:val="17"/>
          <w:szCs w:val="17"/>
          <w:color w:val="auto"/>
        </w:rPr>
        <w:t>”) setting forth the terms of a senior secured term loan facility in an aggregate principal amount of $75 million (the “</w:t>
      </w:r>
      <w:r>
        <w:rPr>
          <w:rFonts w:ascii="Arial" w:cs="Arial" w:eastAsia="Arial" w:hAnsi="Arial"/>
          <w:sz w:val="17"/>
          <w:szCs w:val="17"/>
          <w:b w:val="1"/>
          <w:bCs w:val="1"/>
          <w:color w:val="auto"/>
        </w:rPr>
        <w:t>Term Loan</w:t>
      </w:r>
      <w:r>
        <w:rPr>
          <w:rFonts w:ascii="Arial" w:cs="Arial" w:eastAsia="Arial" w:hAnsi="Arial"/>
          <w:sz w:val="17"/>
          <w:szCs w:val="17"/>
          <w:color w:val="auto"/>
        </w:rPr>
        <w:t>”). The Chardan Lender backstopped its commitment under the Debt Commitment Letter by entering into a backstop commitment letter, dated as of May 20, 2022 (the “</w:t>
      </w:r>
      <w:r>
        <w:rPr>
          <w:rFonts w:ascii="Arial" w:cs="Arial" w:eastAsia="Arial" w:hAnsi="Arial"/>
          <w:sz w:val="17"/>
          <w:szCs w:val="17"/>
          <w:b w:val="1"/>
          <w:bCs w:val="1"/>
          <w:color w:val="auto"/>
        </w:rPr>
        <w:t>Backstop Commitment Letter</w:t>
      </w:r>
      <w:r>
        <w:rPr>
          <w:rFonts w:ascii="Arial" w:cs="Arial" w:eastAsia="Arial" w:hAnsi="Arial"/>
          <w:sz w:val="17"/>
          <w:szCs w:val="17"/>
          <w:color w:val="auto"/>
        </w:rPr>
        <w:t>”), with a certain third-party financing source (the “</w:t>
      </w:r>
      <w:r>
        <w:rPr>
          <w:rFonts w:ascii="Arial" w:cs="Arial" w:eastAsia="Arial" w:hAnsi="Arial"/>
          <w:sz w:val="17"/>
          <w:szCs w:val="17"/>
          <w:b w:val="1"/>
          <w:bCs w:val="1"/>
          <w:color w:val="auto"/>
        </w:rPr>
        <w:t>Backstop Lender</w:t>
      </w:r>
      <w:r>
        <w:rPr>
          <w:rFonts w:ascii="Arial" w:cs="Arial" w:eastAsia="Arial" w:hAnsi="Arial"/>
          <w:sz w:val="17"/>
          <w:szCs w:val="17"/>
          <w:color w:val="auto"/>
        </w:rPr>
        <w:t>” and collectively with EIP, the “</w:t>
      </w:r>
      <w:r>
        <w:rPr>
          <w:rFonts w:ascii="Arial" w:cs="Arial" w:eastAsia="Arial" w:hAnsi="Arial"/>
          <w:sz w:val="17"/>
          <w:szCs w:val="17"/>
          <w:b w:val="1"/>
          <w:bCs w:val="1"/>
          <w:color w:val="auto"/>
        </w:rPr>
        <w:t>Term Loan Lenders</w:t>
      </w:r>
      <w:r>
        <w:rPr>
          <w:rFonts w:ascii="Arial" w:cs="Arial" w:eastAsia="Arial" w:hAnsi="Arial"/>
          <w:sz w:val="17"/>
          <w:szCs w:val="17"/>
          <w:color w:val="auto"/>
        </w:rPr>
        <w:t>”), pursuant to which the Backstop Lender committed to purchase from the Chardan Lender the aggregate amount of the Term Loan held by the Chardan Lender (the “</w:t>
      </w:r>
      <w:r>
        <w:rPr>
          <w:rFonts w:ascii="Arial" w:cs="Arial" w:eastAsia="Arial" w:hAnsi="Arial"/>
          <w:sz w:val="17"/>
          <w:szCs w:val="17"/>
          <w:b w:val="1"/>
          <w:bCs w:val="1"/>
          <w:color w:val="auto"/>
        </w:rPr>
        <w:t>Backstopped Loans</w:t>
      </w:r>
      <w:r>
        <w:rPr>
          <w:rFonts w:ascii="Arial" w:cs="Arial" w:eastAsia="Arial" w:hAnsi="Arial"/>
          <w:sz w:val="17"/>
          <w:szCs w:val="17"/>
          <w:color w:val="auto"/>
        </w:rPr>
        <w:t>”) immediately following the issuance of the Term Loan on the Closing Date. Pursuant to an assignment agreement, the Backstopped Loans were assigned by CCM 5 to the Backstop Lender on the Closing Date.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Arial" w:cs="Arial" w:eastAsia="Arial" w:hAnsi="Arial"/>
          <w:sz w:val="17"/>
          <w:szCs w:val="17"/>
          <w:b w:val="1"/>
          <w:bCs w:val="1"/>
          <w:color w:val="auto"/>
        </w:rPr>
        <w:t>Maturity Date</w:t>
      </w:r>
      <w:r>
        <w:rPr>
          <w:rFonts w:ascii="Arial" w:cs="Arial" w:eastAsia="Arial" w:hAnsi="Arial"/>
          <w:sz w:val="17"/>
          <w:szCs w:val="17"/>
          <w:color w:val="auto"/>
        </w:rPr>
        <w:t>”). The Term Loan accrues interest (i) until April 1, 2023, at a per annum rate equal to the adjusted Secured Overnight Financing Rate (“</w:t>
      </w:r>
      <w:r>
        <w:rPr>
          <w:rFonts w:ascii="Arial" w:cs="Arial" w:eastAsia="Arial" w:hAnsi="Arial"/>
          <w:sz w:val="17"/>
          <w:szCs w:val="17"/>
          <w:b w:val="1"/>
          <w:bCs w:val="1"/>
          <w:color w:val="auto"/>
        </w:rPr>
        <w:t>SOFR</w:t>
      </w:r>
      <w:r>
        <w:rPr>
          <w:rFonts w:ascii="Arial" w:cs="Arial" w:eastAsia="Arial" w:hAnsi="Arial"/>
          <w:sz w:val="17"/>
          <w:szCs w:val="17"/>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elect to prepay all or any portion of the amounts owed prior to the Maturity Date; provided that we provide notice to Alter Domus (US) LLC, as administrative agent for the lenders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Arial" w:cs="Arial" w:eastAsia="Arial" w:hAnsi="Arial"/>
          <w:sz w:val="17"/>
          <w:szCs w:val="17"/>
          <w:b w:val="1"/>
          <w:bCs w:val="1"/>
          <w:color w:val="auto"/>
        </w:rPr>
        <w:t>Pledge Agreement</w:t>
      </w:r>
      <w:r>
        <w:rPr>
          <w:rFonts w:ascii="Arial" w:cs="Arial" w:eastAsia="Arial" w:hAnsi="Arial"/>
          <w:sz w:val="17"/>
          <w:szCs w:val="17"/>
          <w:color w:val="auto"/>
        </w:rPr>
        <w:t>”) pursuant to which we pledged to the Administrative Agent our equity interests in Legacy Dragonfly as further collateral security for the obligations under the Term Loan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82" w:lineRule="auto"/>
        <w:rPr>
          <w:sz w:val="20"/>
          <w:szCs w:val="20"/>
          <w:color w:val="auto"/>
        </w:rPr>
      </w:pPr>
      <w:r>
        <w:rPr>
          <w:rFonts w:ascii="Arial" w:cs="Arial" w:eastAsia="Arial" w:hAnsi="Arial"/>
          <w:sz w:val="16"/>
          <w:szCs w:val="16"/>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95" w:lineRule="auto"/>
        <w:tabs>
          <w:tab w:leader="none" w:pos="25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Arial" w:cs="Arial" w:eastAsia="Arial" w:hAnsi="Arial"/>
          <w:sz w:val="18"/>
          <w:szCs w:val="18"/>
          <w:b w:val="1"/>
          <w:bCs w:val="1"/>
          <w:color w:val="auto"/>
        </w:rPr>
        <w:t>Penny Warrants</w:t>
      </w:r>
      <w:r>
        <w:rPr>
          <w:rFonts w:ascii="Arial" w:cs="Arial" w:eastAsia="Arial" w:hAnsi="Arial"/>
          <w:sz w:val="18"/>
          <w:szCs w:val="18"/>
          <w:color w:val="auto"/>
        </w:rPr>
        <w:t xml:space="preserve">”) and (ii) warrants to the Term Loan Lenders under the Term Loan exercisable to purchase 1,600,000 shares of our common stock at an exercise price of $10.00 per share (the </w:t>
      </w:r>
      <w:r>
        <w:rPr>
          <w:rFonts w:ascii="Arial" w:cs="Arial" w:eastAsia="Arial" w:hAnsi="Arial"/>
          <w:sz w:val="18"/>
          <w:szCs w:val="18"/>
          <w:b w:val="1"/>
          <w:bCs w:val="1"/>
          <w:color w:val="auto"/>
        </w:rPr>
        <w:t>“$10 Warrants</w:t>
      </w:r>
      <w:r>
        <w:rPr>
          <w:rFonts w:ascii="Arial" w:cs="Arial" w:eastAsia="Arial" w:hAnsi="Arial"/>
          <w:sz w:val="18"/>
          <w:szCs w:val="18"/>
          <w:color w:val="auto"/>
        </w:rPr>
        <w:t>” and, together with the Penny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Penny Warrants have an exercise period of 10 years from the date of issuance. As of March 15, 2023, 1,248,294 shares of common stock have been issued upon the exercise of Penny Warrants.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Consistent with the equity facility letter agreement dated May 15, 2022 between Legacy Dragonfly and CCM 5, we entered into a purchase agreement (the “Purchase Agreement”) and a Registration Rights Agreement (the “</w:t>
      </w:r>
      <w:r>
        <w:rPr>
          <w:rFonts w:ascii="Arial" w:cs="Arial" w:eastAsia="Arial" w:hAnsi="Arial"/>
          <w:sz w:val="16"/>
          <w:szCs w:val="16"/>
          <w:b w:val="1"/>
          <w:bCs w:val="1"/>
          <w:color w:val="auto"/>
        </w:rPr>
        <w:t>ChEF RRA</w:t>
      </w:r>
      <w:r>
        <w:rPr>
          <w:rFonts w:ascii="Arial" w:cs="Arial" w:eastAsia="Arial" w:hAnsi="Arial"/>
          <w:sz w:val="16"/>
          <w:szCs w:val="16"/>
          <w:color w:val="auto"/>
        </w:rPr>
        <w:t>”) with CCM LLC in connection with the Closing. Pursuant to and on the terms of the Purchase Agreement, we have the right to sell and direct CCM to purchase an amount of shares of our common stock, up to a maximum aggregate purchase price of $150 million, from time to time, over the term of the equity facility (the “</w:t>
      </w:r>
      <w:r>
        <w:rPr>
          <w:rFonts w:ascii="Arial" w:cs="Arial" w:eastAsia="Arial" w:hAnsi="Arial"/>
          <w:sz w:val="16"/>
          <w:szCs w:val="16"/>
          <w:b w:val="1"/>
          <w:bCs w:val="1"/>
          <w:color w:val="auto"/>
        </w:rPr>
        <w:t>ChEF Equity Facility</w:t>
      </w:r>
      <w:r>
        <w:rPr>
          <w:rFonts w:ascii="Arial" w:cs="Arial" w:eastAsia="Arial" w:hAnsi="Arial"/>
          <w:sz w:val="16"/>
          <w:szCs w:val="16"/>
          <w:color w:val="auto"/>
        </w:rPr>
        <w:t>”). In addition, we appointed LifeSci Capital, LLC as a “qualified independent underwriter” with respect to the transactions contemplated by the Purchase Agreement.</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April 17, 2023, 98,500 shares have been issued pursuant to the Purchase Agreement with CCM LLC for aggregate net proceeds to us of $670,593.</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LLC. To the extent we sell shares of our common stock under the Purchase Agreement, we currently plan to use any proceeds therefrom for working capital and other general corporate purposes.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CCM LLC is an affiliate of the Sponsor. In light of the beneficial ownership limitation set forth above, the Sponsor has agreed that the private placement warrants held by Chardan NexTech 2 Warrant Holdings LLC (“</w:t>
      </w:r>
      <w:r>
        <w:rPr>
          <w:rFonts w:ascii="Arial" w:cs="Arial" w:eastAsia="Arial" w:hAnsi="Arial"/>
          <w:sz w:val="18"/>
          <w:szCs w:val="18"/>
          <w:b w:val="1"/>
          <w:bCs w:val="1"/>
          <w:color w:val="auto"/>
        </w:rPr>
        <w:t>Warrant Holdings</w:t>
      </w:r>
      <w:r>
        <w:rPr>
          <w:rFonts w:ascii="Arial" w:cs="Arial" w:eastAsia="Arial" w:hAnsi="Arial"/>
          <w:sz w:val="18"/>
          <w:szCs w:val="18"/>
          <w:color w:val="auto"/>
        </w:rPr>
        <w:t>”), also an affiliate of the Sponsor, may not be exercised to the extent an affiliate of the Sponsor (including CCM LLC) is deemed to beneficially own, or it would cause such affiliate to be deemed to beneficially own, more than 7.5% of our common stock.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pursuant to the ChEF RRA, we have agreed to provide CCM LLC with certain registration rights with respect to the shares of common stock issued subject to the Purchase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Concurrently with the execution of the Business Combination Agreement, Chardan,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in connection with the consummation of the Business Combination Agreement, we entered into the Amended and Restated Registration Rights Agreement (the “</w:t>
      </w:r>
      <w:r>
        <w:rPr>
          <w:rFonts w:ascii="Arial" w:cs="Arial" w:eastAsia="Arial" w:hAnsi="Arial"/>
          <w:sz w:val="18"/>
          <w:szCs w:val="18"/>
          <w:b w:val="1"/>
          <w:bCs w:val="1"/>
          <w:color w:val="auto"/>
        </w:rPr>
        <w:t>Insider Registration Rights Agreement</w:t>
      </w:r>
      <w:r>
        <w:rPr>
          <w:rFonts w:ascii="Arial" w:cs="Arial" w:eastAsia="Arial" w:hAnsi="Arial"/>
          <w:sz w:val="18"/>
          <w:szCs w:val="18"/>
          <w:color w:val="auto"/>
        </w:rPr>
        <w:t>”) with the Sponsor, Chardan’s officers, directors, initial stockholders, CCM LLC and Warrant Holdings, an affiliate of the Sponsor (collectively, the “</w:t>
      </w:r>
      <w:r>
        <w:rPr>
          <w:rFonts w:ascii="Arial" w:cs="Arial" w:eastAsia="Arial" w:hAnsi="Arial"/>
          <w:sz w:val="18"/>
          <w:szCs w:val="18"/>
          <w:b w:val="1"/>
          <w:bCs w:val="1"/>
          <w:color w:val="auto"/>
        </w:rPr>
        <w:t>Insiders</w:t>
      </w:r>
      <w:r>
        <w:rPr>
          <w:rFonts w:ascii="Arial" w:cs="Arial" w:eastAsia="Arial" w:hAnsi="Arial"/>
          <w:sz w:val="18"/>
          <w:szCs w:val="18"/>
          <w:color w:val="auto"/>
        </w:rPr>
        <w:t>”) and certain Legacy Dragonfly stockholders for the registration of certain securities held by the Insiders.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 2022, we entered into an asset purchase agreement (the “</w:t>
      </w:r>
      <w:r>
        <w:rPr>
          <w:rFonts w:ascii="Arial" w:cs="Arial" w:eastAsia="Arial" w:hAnsi="Arial"/>
          <w:sz w:val="18"/>
          <w:szCs w:val="18"/>
          <w:b w:val="1"/>
          <w:bCs w:val="1"/>
          <w:color w:val="auto"/>
        </w:rPr>
        <w:t>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w:t>
      </w:r>
      <w:r>
        <w:rPr>
          <w:rFonts w:ascii="Arial" w:cs="Arial" w:eastAsia="Arial" w:hAnsi="Arial"/>
          <w:sz w:val="18"/>
          <w:szCs w:val="18"/>
          <w:color w:val="auto"/>
        </w:rPr>
        <w:t>”), pursuant to which we acquired machinery, equipment and a lease for a podcast studio from Bourns Production as set forth in the APA for a</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of approximately $197,000, which was the approximated fair market value. Tyler Bourns, our Chief Marketing Officer, is the owner and president of Bourns Productions.</w:t>
      </w:r>
    </w:p>
    <w:p>
      <w:pPr>
        <w:spacing w:after="0" w:line="180"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April 4, 2022, we entered into an asset purchase agreement (“</w:t>
      </w:r>
      <w:r>
        <w:rPr>
          <w:rFonts w:ascii="Arial" w:cs="Arial" w:eastAsia="Arial" w:hAnsi="Arial"/>
          <w:sz w:val="16"/>
          <w:szCs w:val="16"/>
          <w:b w:val="1"/>
          <w:bCs w:val="1"/>
          <w:color w:val="auto"/>
        </w:rPr>
        <w:t>APA</w:t>
      </w:r>
      <w:r>
        <w:rPr>
          <w:rFonts w:ascii="Arial" w:cs="Arial" w:eastAsia="Arial" w:hAnsi="Arial"/>
          <w:sz w:val="16"/>
          <w:szCs w:val="16"/>
          <w:color w:val="auto"/>
        </w:rPr>
        <w:t>”) with Thomason Jones Company, LLC, a Washington limited liability company (“</w:t>
      </w:r>
      <w:r>
        <w:rPr>
          <w:rFonts w:ascii="Arial" w:cs="Arial" w:eastAsia="Arial" w:hAnsi="Arial"/>
          <w:sz w:val="16"/>
          <w:szCs w:val="16"/>
          <w:b w:val="1"/>
          <w:bCs w:val="1"/>
          <w:color w:val="auto"/>
        </w:rPr>
        <w:t>TJC</w:t>
      </w:r>
      <w:r>
        <w:rPr>
          <w:rFonts w:ascii="Arial" w:cs="Arial" w:eastAsia="Arial" w:hAnsi="Arial"/>
          <w:sz w:val="16"/>
          <w:szCs w:val="16"/>
          <w:color w:val="auto"/>
        </w:rPr>
        <w:t>”), pursuant to which we acquired intellectual property rights and inventory for a purchase price of approximately $444,000 which was the approximated fair market value. William Thomason and Richard Jones, our engineer and sales representative, are the managing members of TJC.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spacing w:after="0" w:line="289" w:lineRule="auto"/>
        <w:rPr>
          <w:sz w:val="20"/>
          <w:szCs w:val="20"/>
          <w:color w:val="auto"/>
        </w:rPr>
      </w:pPr>
      <w:r>
        <w:rPr>
          <w:rFonts w:ascii="Arial" w:cs="Arial" w:eastAsia="Arial" w:hAnsi="Arial"/>
          <w:sz w:val="16"/>
          <w:szCs w:val="16"/>
          <w:color w:val="auto"/>
        </w:rPr>
        <w:t>On November 4, 2022, we announced that Sean Nichols, our former Chief Operating Officer, would be leaving the Company to pursue other interests. His last day of employment was November 7, 2022 (the “</w:t>
      </w:r>
      <w:r>
        <w:rPr>
          <w:rFonts w:ascii="Arial" w:cs="Arial" w:eastAsia="Arial" w:hAnsi="Arial"/>
          <w:sz w:val="16"/>
          <w:szCs w:val="16"/>
          <w:b w:val="1"/>
          <w:bCs w:val="1"/>
          <w:color w:val="auto"/>
        </w:rPr>
        <w:t>Separation Date</w:t>
      </w:r>
      <w:r>
        <w:rPr>
          <w:rFonts w:ascii="Arial" w:cs="Arial" w:eastAsia="Arial" w:hAnsi="Arial"/>
          <w:sz w:val="16"/>
          <w:szCs w:val="16"/>
          <w:color w:val="auto"/>
        </w:rPr>
        <w:t>”). On October 25, 2022, we entered into a separation and release agreement with Mr. Nichols that became effective and fully irrevocable on November 2, 2022, which was subsequently amended on November 14, 2022 (as amended, the “</w:t>
      </w:r>
      <w:r>
        <w:rPr>
          <w:rFonts w:ascii="Arial" w:cs="Arial" w:eastAsia="Arial" w:hAnsi="Arial"/>
          <w:sz w:val="16"/>
          <w:szCs w:val="16"/>
          <w:b w:val="1"/>
          <w:bCs w:val="1"/>
          <w:color w:val="auto"/>
        </w:rPr>
        <w:t>Separation Agreement</w:t>
      </w:r>
      <w:r>
        <w:rPr>
          <w:rFonts w:ascii="Arial" w:cs="Arial" w:eastAsia="Arial" w:hAnsi="Arial"/>
          <w:sz w:val="16"/>
          <w:szCs w:val="16"/>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February 24, 2023, we entered into the First Amended and Restated Employment Agreement (the “</w:t>
      </w:r>
      <w:r>
        <w:rPr>
          <w:rFonts w:ascii="Arial" w:cs="Arial" w:eastAsia="Arial" w:hAnsi="Arial"/>
          <w:sz w:val="17"/>
          <w:szCs w:val="17"/>
          <w:b w:val="1"/>
          <w:bCs w:val="1"/>
          <w:color w:val="auto"/>
        </w:rPr>
        <w:t>Restated Agreement</w:t>
      </w:r>
      <w:r>
        <w:rPr>
          <w:rFonts w:ascii="Arial" w:cs="Arial" w:eastAsia="Arial" w:hAnsi="Arial"/>
          <w:sz w:val="17"/>
          <w:szCs w:val="17"/>
          <w:color w:val="auto"/>
        </w:rPr>
        <w:t>”) with John Marchetti, our Chief Financial Officer. The Restated Agreement amended and restated the employment agreement, dated October 11, 2022, by and between us and Mr. Marchetti (the “</w:t>
      </w:r>
      <w:r>
        <w:rPr>
          <w:rFonts w:ascii="Arial" w:cs="Arial" w:eastAsia="Arial" w:hAnsi="Arial"/>
          <w:sz w:val="17"/>
          <w:szCs w:val="17"/>
          <w:b w:val="1"/>
          <w:bCs w:val="1"/>
          <w:color w:val="auto"/>
        </w:rPr>
        <w:t>Original Agreement</w:t>
      </w:r>
      <w:r>
        <w:rPr>
          <w:rFonts w:ascii="Arial" w:cs="Arial" w:eastAsia="Arial" w:hAnsi="Arial"/>
          <w:sz w:val="17"/>
          <w:szCs w:val="17"/>
          <w:color w:val="auto"/>
        </w:rPr>
        <w:t>”). The Restated Agreement provides that Mr. Marchetti will receive a minimum annual bonus of $175,000 for the fiscal year ending December 31, 2023. All other terms of the Restated Agreement remain the same as the Original Agreement.</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5, 2023, we issued an unsecured convertible promissory note in the principal amount of $1.0 million (the “</w:t>
      </w:r>
      <w:r>
        <w:rPr>
          <w:rFonts w:ascii="Arial" w:cs="Arial" w:eastAsia="Arial" w:hAnsi="Arial"/>
          <w:sz w:val="18"/>
          <w:szCs w:val="18"/>
          <w:b w:val="1"/>
          <w:bCs w:val="1"/>
          <w:color w:val="auto"/>
        </w:rPr>
        <w:t>Principal Amount</w:t>
      </w:r>
      <w:r>
        <w:rPr>
          <w:rFonts w:ascii="Arial" w:cs="Arial" w:eastAsia="Arial" w:hAnsi="Arial"/>
          <w:sz w:val="18"/>
          <w:szCs w:val="18"/>
          <w:color w:val="auto"/>
        </w:rPr>
        <w:t>”) to Brian Nelson, one of our directors, in a private placement in exchange for cash in an equal amount. The Note became due and payable in full on April 1, 2023. We were also obligated to pay $100,000 (the “</w:t>
      </w:r>
      <w:r>
        <w:rPr>
          <w:rFonts w:ascii="Arial" w:cs="Arial" w:eastAsia="Arial" w:hAnsi="Arial"/>
          <w:sz w:val="18"/>
          <w:szCs w:val="18"/>
          <w:b w:val="1"/>
          <w:bCs w:val="1"/>
          <w:color w:val="auto"/>
        </w:rPr>
        <w:t>Loan Fee</w:t>
      </w:r>
      <w:r>
        <w:rPr>
          <w:rFonts w:ascii="Arial" w:cs="Arial" w:eastAsia="Arial" w:hAnsi="Arial"/>
          <w:sz w:val="18"/>
          <w:szCs w:val="18"/>
          <w:color w:val="auto"/>
        </w:rPr>
        <w:t>”) to Mr. Nelson on April 4, 2023. We paid the Principal Amount and the Loan Fee in full on April 1, 2023 and April 4, 2023, respectively.</w:t>
      </w:r>
    </w:p>
    <w:p>
      <w:pPr>
        <w:spacing w:after="0" w:line="18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2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March 31, 2023 (the “</w:t>
      </w:r>
      <w:r>
        <w:rPr>
          <w:rFonts w:ascii="Arial" w:cs="Arial" w:eastAsia="Arial" w:hAnsi="Arial"/>
          <w:sz w:val="16"/>
          <w:szCs w:val="16"/>
          <w:b w:val="1"/>
          <w:bCs w:val="1"/>
          <w:color w:val="auto"/>
        </w:rPr>
        <w:t>Effective Date</w:t>
      </w:r>
      <w:r>
        <w:rPr>
          <w:rFonts w:ascii="Arial" w:cs="Arial" w:eastAsia="Arial" w:hAnsi="Arial"/>
          <w:sz w:val="16"/>
          <w:szCs w:val="16"/>
          <w:color w:val="auto"/>
        </w:rPr>
        <w:t>”), we changed our state of incorporation from the State of Delaware to the State of Nevada (the “</w:t>
      </w:r>
      <w:r>
        <w:rPr>
          <w:rFonts w:ascii="Arial" w:cs="Arial" w:eastAsia="Arial" w:hAnsi="Arial"/>
          <w:sz w:val="16"/>
          <w:szCs w:val="16"/>
          <w:b w:val="1"/>
          <w:bCs w:val="1"/>
          <w:color w:val="auto"/>
        </w:rPr>
        <w:t>Reincorporation</w:t>
      </w:r>
      <w:r>
        <w:rPr>
          <w:rFonts w:ascii="Arial" w:cs="Arial" w:eastAsia="Arial" w:hAnsi="Arial"/>
          <w:sz w:val="16"/>
          <w:szCs w:val="16"/>
          <w:color w:val="auto"/>
        </w:rPr>
        <w:t>”) pursuant to a plan of conversion dated March 30, 2023 (the “</w:t>
      </w:r>
      <w:r>
        <w:rPr>
          <w:rFonts w:ascii="Arial" w:cs="Arial" w:eastAsia="Arial" w:hAnsi="Arial"/>
          <w:sz w:val="16"/>
          <w:szCs w:val="16"/>
          <w:b w:val="1"/>
          <w:bCs w:val="1"/>
          <w:color w:val="auto"/>
        </w:rPr>
        <w:t>Plan of Conversion</w:t>
      </w:r>
      <w:r>
        <w:rPr>
          <w:rFonts w:ascii="Arial" w:cs="Arial" w:eastAsia="Arial" w:hAnsi="Arial"/>
          <w:sz w:val="16"/>
          <w:szCs w:val="16"/>
          <w:color w:val="auto"/>
        </w:rPr>
        <w:t>”). The Reincorporation was accomplished by filing:</w:t>
      </w:r>
    </w:p>
    <w:p>
      <w:pPr>
        <w:spacing w:after="0" w:line="1" w:lineRule="exact"/>
        <w:rPr>
          <w:sz w:val="20"/>
          <w:szCs w:val="20"/>
          <w:color w:val="auto"/>
        </w:rPr>
      </w:pPr>
    </w:p>
    <w:p>
      <w:pPr>
        <w:jc w:val="both"/>
        <w:ind w:firstLine="8"/>
        <w:spacing w:after="0" w:line="277" w:lineRule="auto"/>
        <w:tabs>
          <w:tab w:leader="none" w:pos="2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certificate of conversion with the Secretary of State of the State of Delaware; (ii) articles of conversion with the Secretary of State of the State of Nevada; and (iii) articles of incorporation (the “</w:t>
      </w:r>
      <w:r>
        <w:rPr>
          <w:rFonts w:ascii="Arial" w:cs="Arial" w:eastAsia="Arial" w:hAnsi="Arial"/>
          <w:sz w:val="17"/>
          <w:szCs w:val="17"/>
          <w:b w:val="1"/>
          <w:bCs w:val="1"/>
          <w:color w:val="auto"/>
        </w:rPr>
        <w:t>Articles of Incorporation</w:t>
      </w:r>
      <w:r>
        <w:rPr>
          <w:rFonts w:ascii="Arial" w:cs="Arial" w:eastAsia="Arial" w:hAnsi="Arial"/>
          <w:sz w:val="17"/>
          <w:szCs w:val="17"/>
          <w:color w:val="auto"/>
        </w:rPr>
        <w:t>”) with the Secretary of State of the State of Nevada. In connection with the Reincorporation, our board of directors adopted new bylaws in the form attached to the Plan of Conversion (the “</w:t>
      </w:r>
      <w:r>
        <w:rPr>
          <w:rFonts w:ascii="Arial" w:cs="Arial" w:eastAsia="Arial" w:hAnsi="Arial"/>
          <w:sz w:val="17"/>
          <w:szCs w:val="17"/>
          <w:b w:val="1"/>
          <w:bCs w:val="1"/>
          <w:color w:val="auto"/>
        </w:rPr>
        <w:t>Bylaws</w:t>
      </w:r>
      <w:r>
        <w:rPr>
          <w:rFonts w:ascii="Arial" w:cs="Arial" w:eastAsia="Arial" w:hAnsi="Arial"/>
          <w:sz w:val="17"/>
          <w:szCs w:val="17"/>
          <w:color w:val="auto"/>
        </w:rPr>
        <w: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Reincorporation was previously submitted to a vote of, and approved by, the Company’s stockholders at a special meeting of stockholders held on February 28, 2023 (the “</w:t>
      </w:r>
      <w:r>
        <w:rPr>
          <w:rFonts w:ascii="Arial" w:cs="Arial" w:eastAsia="Arial" w:hAnsi="Arial"/>
          <w:sz w:val="16"/>
          <w:szCs w:val="16"/>
          <w:b w:val="1"/>
          <w:bCs w:val="1"/>
          <w:color w:val="auto"/>
        </w:rPr>
        <w:t>Special Meeting</w:t>
      </w:r>
      <w:r>
        <w:rPr>
          <w:rFonts w:ascii="Arial" w:cs="Arial" w:eastAsia="Arial" w:hAnsi="Arial"/>
          <w:sz w:val="16"/>
          <w:szCs w:val="16"/>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Existing Lithium-Ion Battery Operations</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and future growth depends on the needs and success of our customers.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ind w:left="660" w:hanging="328"/>
        <w:spacing w:after="0" w:line="32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Solid-State Technology Development</w:t>
      </w:r>
    </w:p>
    <w:p>
      <w:pPr>
        <w:spacing w:after="0" w:line="225"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our solid-state batteries fail to perform as expected, our ability to further develop, market and sell our solid-state batteries could be harmed.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25" w:lineRule="exact"/>
        <w:rPr>
          <w:sz w:val="20"/>
          <w:szCs w:val="20"/>
          <w:color w:val="auto"/>
        </w:rPr>
      </w:pPr>
    </w:p>
    <w:p>
      <w:pPr>
        <w:ind w:left="660" w:hanging="328"/>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heavily upon our intellectual property portfolio. If we are unable to protect our intellectual property rights, our business and competitive position would be harmed.</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need to defend ourselves against intellectual property infringement claims, which may be time-consuming and could cause us to incur substantial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uncertainty in global economic conditions, including the Russia-Ukraine conflict, could reduce consumer spending and disrupt our supply chain which could negatively affect our results of operations.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28"/>
        <w:spacing w:after="0" w:line="26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maintain high levels of customer service, or adequately address competitive challenges.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Risks Related to Our Financial Position and Capital Requirements</w:t>
      </w:r>
    </w:p>
    <w:p>
      <w:pPr>
        <w:spacing w:after="0" w:line="225" w:lineRule="exact"/>
        <w:rPr>
          <w:sz w:val="20"/>
          <w:szCs w:val="20"/>
          <w:color w:val="auto"/>
        </w:rPr>
      </w:pPr>
    </w:p>
    <w:p>
      <w:pPr>
        <w:ind w:left="660" w:right="2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Arial" w:cs="Arial" w:eastAsia="Arial" w:hAnsi="Arial"/>
          <w:sz w:val="18"/>
          <w:szCs w:val="18"/>
          <w:color w:val="auto"/>
        </w:rPr>
      </w:pPr>
    </w:p>
    <w:p>
      <w:pPr>
        <w:ind w:left="660" w:right="20" w:hanging="328"/>
        <w:spacing w:after="0" w:line="290"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issuances of debt securities and equity securities may adversely affect us and may be dilutive to existing stockholders.</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issue additional shares of our common stock or other equity securities without your approval, which would dilute your ownership interests and may depress the market price of your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Existing Lithium-Ion Battery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future growth depends on the needs and success of our OEM’s and similar customers.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demand for our products, including sales to OEM</w:t>
      </w:r>
      <w:r>
        <w:rPr>
          <w:rFonts w:ascii="Arial" w:cs="Arial" w:eastAsia="Arial" w:hAnsi="Arial"/>
          <w:sz w:val="17"/>
          <w:szCs w:val="17"/>
          <w:b w:val="1"/>
          <w:bCs w:val="1"/>
          <w:color w:val="auto"/>
        </w:rPr>
        <w:t>s</w:t>
      </w:r>
      <w:r>
        <w:rPr>
          <w:rFonts w:ascii="Arial" w:cs="Arial" w:eastAsia="Arial" w:hAnsi="Arial"/>
          <w:sz w:val="17"/>
          <w:szCs w:val="17"/>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7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target customers successfully and convert these customers into meaningful orders in the future.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301" w:lineRule="auto"/>
        <w:rPr>
          <w:sz w:val="20"/>
          <w:szCs w:val="20"/>
          <w:color w:val="auto"/>
        </w:rPr>
      </w:pPr>
      <w:r>
        <w:rPr>
          <w:rFonts w:ascii="Arial" w:cs="Arial" w:eastAsia="Arial" w:hAnsi="Arial"/>
          <w:sz w:val="16"/>
          <w:szCs w:val="16"/>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7"/>
          <w:szCs w:val="17"/>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failure or unwillingness of third-party suppliers to comply with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breach of supply agreements by the third-party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suppliers at times that are costly or inconvenient for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 this insurance may not be sufficient to cover all of our potential losses and may not continue to be available to us on acceptable terms, if at all.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Lithium-ion battery cells have been observed to catch fire or release smoke and flame, which may have a negative impact on our reputation and business.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96" w:lineRule="auto"/>
        <w:rPr>
          <w:sz w:val="20"/>
          <w:szCs w:val="20"/>
          <w:color w:val="auto"/>
        </w:rPr>
      </w:pPr>
      <w:r>
        <w:rPr>
          <w:rFonts w:ascii="Arial" w:cs="Arial" w:eastAsia="Arial" w:hAnsi="Arial"/>
          <w:sz w:val="16"/>
          <w:szCs w:val="16"/>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Solid-State Technology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solid-state batteries fail to perform as expected, our ability to further develop, market and sell our solid-state batteries could be harmed.</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Supply Chain and Third-Party 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Arial" w:cs="Arial" w:eastAsia="Arial" w:hAnsi="Arial"/>
          <w:sz w:val="17"/>
          <w:szCs w:val="17"/>
          <w:b w:val="1"/>
          <w:bCs w:val="1"/>
          <w:color w:val="auto"/>
        </w:rPr>
        <w:t>FTO</w:t>
      </w:r>
      <w:r>
        <w:rPr>
          <w:rFonts w:ascii="Arial" w:cs="Arial" w:eastAsia="Arial" w:hAnsi="Arial"/>
          <w:sz w:val="17"/>
          <w:szCs w:val="17"/>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79"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cease using, making, having made, selling, having sold, developing, having developed or importing products that incorporate the infringed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rights, which license may not be available on reasonable terms or at all; 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257" w:lineRule="auto"/>
        <w:rPr>
          <w:sz w:val="20"/>
          <w:szCs w:val="20"/>
          <w:color w:val="auto"/>
        </w:rPr>
      </w:pPr>
      <w:r>
        <w:rPr>
          <w:rFonts w:ascii="Arial" w:cs="Arial" w:eastAsia="Arial" w:hAnsi="Arial"/>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jc w:val="both"/>
        <w:spacing w:after="0" w:line="291"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our business through acquisitions in the future, and any future acquisition may not be accretive and may negatively affect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Arial" w:cs="Arial" w:eastAsia="Arial" w:hAnsi="Arial"/>
          <w:sz w:val="17"/>
          <w:szCs w:val="17"/>
          <w:b w:val="1"/>
          <w:bCs w:val="1"/>
          <w:color w:val="auto"/>
        </w:rPr>
        <w:t>FCPA</w:t>
      </w:r>
      <w:r>
        <w:rPr>
          <w:rFonts w:ascii="Arial" w:cs="Arial" w:eastAsia="Arial" w:hAnsi="Arial"/>
          <w:sz w:val="17"/>
          <w:szCs w:val="17"/>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311"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cause us to incur additional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legislatures, government agencies and listing exchanges have mandated or proposed, and others may in the future further mandate, certain environmental, social and governance (“</w:t>
      </w:r>
      <w:r>
        <w:rPr>
          <w:rFonts w:ascii="Arial" w:cs="Arial" w:eastAsia="Arial" w:hAnsi="Arial"/>
          <w:sz w:val="17"/>
          <w:szCs w:val="17"/>
          <w:b w:val="1"/>
          <w:bCs w:val="1"/>
          <w:color w:val="auto"/>
        </w:rPr>
        <w:t>ESG</w:t>
      </w:r>
      <w:r>
        <w:rPr>
          <w:rFonts w:ascii="Arial" w:cs="Arial" w:eastAsia="Arial" w:hAnsi="Arial"/>
          <w:sz w:val="17"/>
          <w:szCs w:val="17"/>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we had cash totaling $17.8 million. Our net loss for the year ended December 31, 2022 was $39.6 million and our net income for the year ended December 31, 2021 was $4.3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difficult for us to pay other obligations;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our cost of borrowing from other sources;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restricting us from making acquisitions or causing us to make divestitures or similar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year ended December 31, 2022, we incurred losses and had a negative cash flow from operations. As of December 31, 2022, we had approximately $17.8 million in cash and cash equivalents and working capital of $32.9 million. Our ability to achieve profitability and positive cash flow depends on our ability to increase revenue, contain our expenses and maintain compliance with the financial covenants in our outstanding indebtedness agreements.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ectPr>
          <w:pgSz w:w="11900" w:h="16838" w:orient="portrait"/>
          <w:cols w:equalWidth="0" w:num="1">
            <w:col w:w="11240"/>
          </w:cols>
          <w:pgMar w:left="320" w:top="665" w:right="339" w:bottom="28" w:gutter="0" w:footer="0" w:header="0"/>
        </w:sectPr>
      </w:pPr>
    </w:p>
    <w:bookmarkStart w:id="38" w:name="page39"/>
    <w:bookmarkEnd w:id="38"/>
    <w:p>
      <w:pPr>
        <w:ind w:right="20"/>
        <w:spacing w:after="0" w:line="308"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agreements governing our indebtedness restrict us from engaging in specified types of transactions. These restrictive covenants restrict our ability to, among other things:</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or incur encumbrances or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consolidations, amalgamations, mergers, acquisitions, liquidations, dissolutions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transfer or otherwise dispose of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and distributions on, or purchase, redeem, defease, or otherwise acquire or retire for value, our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Arial" w:cs="Arial" w:eastAsia="Arial" w:hAnsi="Arial"/>
          <w:sz w:val="16"/>
          <w:szCs w:val="16"/>
          <w:b w:val="1"/>
          <w:bCs w:val="1"/>
          <w:color w:val="auto"/>
        </w:rPr>
        <w:t>U.S. GAAP</w:t>
      </w:r>
      <w:r>
        <w:rPr>
          <w:rFonts w:ascii="Arial" w:cs="Arial" w:eastAsia="Arial" w:hAnsi="Arial"/>
          <w:sz w:val="16"/>
          <w:szCs w:val="16"/>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elsewhere in this Annual Report,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65"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outstanding securities may cause the market price of our securities to drop significantly, even if our business is doing well.</w:t>
      </w:r>
    </w:p>
    <w:p>
      <w:pPr>
        <w:spacing w:after="0" w:line="24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filed registration statements registering the resale of up to 55,298,545 shares that may be sold and/or issued into the public markets by certain securityholders. The shares being registered for resale into the public markets represent a substantial majority of our outstanding common stock as of December 31, 2022.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Chardan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have registered 21,512,027 shares of common stock to be issued and sold to CCM LLC in connection with the ChEF Equity Facility. The 21,512,027 shares that may be resold and/or issued into the public markets pursuant to the ChEF Equity Facility represent approximately 50% of the shares of our common stock outstanding as of December 31, 2022.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(including the Russia-Ukraine conflict).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An active trading market for our securities may not be available on a consistent basis to provide stockholders with adequate liquidity.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of outstanding warrants to acquire our common stock will increase the number of shares eligible for future resale in the public market and result in dilution to our stockholders. As of March 15, 2023, there are currently (i) 9,487,500 shares of common stock issuable upon the exercise of outstanding public warrants at an exercise price of $11.50 per share (the “Public Warrants”); (ii) 4,627,858 shares of common stock issuable upon the exercise of outstanding private warrants at an exercise price of $11.50 per share (the “Private Warrants”); and (iii) 2,593,056 shares of common stock issuable upon exercise of outstanding Penny Warrants at an exercise price of $0.01 per share. The $10 Warrants have been exercised in full and are no longer outstanding.</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convert these customers into meaningful orders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reliance on two suppliers for LFP cells and a single supplier for the manufacture of our battery management system;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batteries and its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challenges in our attempts to develop and produce solid state battery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demand for any products, which may vary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Arial" w:cs="Arial" w:eastAsia="Arial" w:hAnsi="Arial"/>
          <w:sz w:val="17"/>
          <w:szCs w:val="17"/>
          <w:b w:val="1"/>
          <w:bCs w:val="1"/>
          <w:color w:val="auto"/>
        </w:rPr>
        <w:t>NRS</w:t>
      </w:r>
      <w:r>
        <w:rPr>
          <w:rFonts w:ascii="Arial" w:cs="Arial" w:eastAsia="Arial" w:hAnsi="Arial"/>
          <w:sz w:val="17"/>
          <w:szCs w:val="17"/>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5" w:lineRule="exact"/>
        <w:rPr>
          <w:sz w:val="20"/>
          <w:szCs w:val="20"/>
          <w:color w:val="auto"/>
        </w:rPr>
      </w:pPr>
    </w:p>
    <w:p>
      <w:pPr>
        <w:ind w:left="660" w:right="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stockholders;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Articles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Bylaws without obtaining stockholder approval;</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24" w:lineRule="exact"/>
        <w:rPr>
          <w:sz w:val="20"/>
          <w:szCs w:val="20"/>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being required to have an independent registered public accounting firm audit our internal control over financial reporting under Section 404 of the Sarbanes-Oxley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7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our IPO.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Arial" w:cs="Arial" w:eastAsia="Arial" w:hAnsi="Arial"/>
          <w:sz w:val="17"/>
          <w:szCs w:val="17"/>
          <w:i w:val="1"/>
          <w:iCs w:val="1"/>
          <w:color w:val="auto"/>
        </w:rPr>
        <w:t>We have identified material weaknesses in 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over financial reporting. These material weaknesses could continue to adversely affect our ability to report our results of operations and financial condition accurately and in a timely manner</w:t>
      </w:r>
      <w:r>
        <w:rPr>
          <w:rFonts w:ascii="Arial" w:cs="Arial" w:eastAsia="Arial" w:hAnsi="Arial"/>
          <w:sz w:val="17"/>
          <w:szCs w:val="17"/>
          <w:color w:val="auto"/>
        </w:rPr>
        <w:t>.” We are continuing to develop and refine our disclosure controls and other procedures that are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headquarters is located at 1190 Trademark Drive #108, Reno, Nevada 89521 in a 99,000 square foot manufacturing facility. The lease for this building was entered into on March 1, 2021 and expires on April 30, 2026. The current rent is $58,009 payable monthly.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8, 2022, we entered into a 124-month lease for an additional 390,240 square foot warehouse that is under construction in Reno, Nevada. The rent under the lease will be $230,000 payable monthly upon substantial completion of construction as provided for in the lease.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warehouse facility at 12815 Old Virginia Road in Reno, Nevada. This is a 59,500 square foot facility that we use to store and stage materials in preparation for production work. The lease for this space was entered into on December 1, 2021, and expires December 31, 2026; the current monthly rent is $40,222.</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Research &amp; Development lab is a 9,600 square foot facility located in Sparks, Nevada. The lease for these premises was entered into on July 27, 2020 and expires on July 31, 2025. The current monthly rent is $4,736.</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podcast studio is a 1,772 square foot facility located in Sparks, Nevada. The lease for this space was assumed by us pursuant to the Asset Purchase Agreement by and between the Company and Bourns Production on January 1, 2022, and expires September 30, 2023. The current monthly rent is $1,333 We do not own any real property.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ectPr>
          <w:pgSz w:w="11900" w:h="16838" w:orient="portrait"/>
          <w:cols w:equalWidth="0" w:num="1">
            <w:col w:w="11240"/>
          </w:cols>
          <w:pgMar w:left="320" w:top="665" w:right="339" w:bottom="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is currently listed on the Nasdaq Global Market under the symbol “DFLI” and our Public Warrants are currently listed on the Nasdaq Capital Market under the symbol “DFLIW”. As of March 21, 2023, the closing price of our common stock and warrants was $4.71 and $0.2465, respectively. As of March 21, 2023, there were 105 holders of record of our common stock and 37 holders of record of our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common stock. We do not intend to pay cash dividends to our stockholders in the foreseeable future. Investors should not purchase our common stock with the expectation of receiving cash dividends.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7, 2022, we granted each of our non-employee directors (i.e. Jonathan Bellows, Perry Boyle, Karina Edmonds, Luisa Ingargiola, Brian Nelson, and Rick Parod) an award of 30,000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under the Dragonfly Energy Holdings Corp. 2022 Equity Incentive Plan. The RSUs are eligible to vest on the first anniversary of the grant date, subject to each director’s continued service on our board through the vesting date.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certificates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spacing w:after="0" w:line="279" w:lineRule="auto"/>
        <w:rPr>
          <w:sz w:val="20"/>
          <w:szCs w:val="20"/>
          <w:color w:val="auto"/>
        </w:rPr>
      </w:pPr>
      <w:r>
        <w:rPr>
          <w:rFonts w:ascii="Arial" w:cs="Arial" w:eastAsia="Arial" w:hAnsi="Arial"/>
          <w:sz w:val="17"/>
          <w:szCs w:val="17"/>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2020, we have sold over 226,000 batteries. For the years ended December 31, 2022 and 2021, we sold 96,034 and 74,652 batteries, respectively, and had $86.3 million and $78.0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to our conventional LFP batteries, we have been developing proprietary LFP solid-state cell technology and manufacturing processes. Our solid-state technology design allows for a much safer, more efficient cell that we believe will be a key differentiator in the energy storage market.</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Chardan. Thereafter, Merger Sub ceased to exist and Chardan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Chardan was treated as the acquired company for financial statement reporting purposes.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color w:val="auto"/>
        </w:rPr>
        <w:t>As of December 31, 2022, we had cash totaling $17.8 million. Our net loss for the year ended December 31, 2022 was $39.6 million and our net income for the year ended December 31, 2021 was $4.3 million. 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non-binding Memorandum of Understanding with a lithium mining company located in Nevada for the supply of lithium, which we expect will enable us to further manage our cost of goods.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is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Other income (expense) consists primarily of interest expense, the change in fair value of the warrant liability and amortization of debt issuance costs.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Years Ended December 31, 2022 and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years ended December 31, 2022 and 2021. This data should be read together with our financial statements and related notes included elsewhere in this Annual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881"/>
              <w:spacing w:after="0"/>
              <w:rPr>
                <w:sz w:val="20"/>
                <w:szCs w:val="20"/>
                <w:color w:val="auto"/>
              </w:rPr>
            </w:pPr>
            <w:r>
              <w:rPr>
                <w:rFonts w:ascii="Arial" w:cs="Arial" w:eastAsia="Arial" w:hAnsi="Arial"/>
                <w:sz w:val="18"/>
                <w:szCs w:val="18"/>
                <w:b w:val="1"/>
                <w:bCs w:val="1"/>
                <w:color w:val="auto"/>
              </w:rPr>
              <w:t>Years ended December 31,</w:t>
            </w:r>
          </w:p>
        </w:tc>
        <w:tc>
          <w:tcPr>
            <w:tcW w:w="1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Net Sales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right"/>
              <w:ind w:right="27"/>
              <w:spacing w:after="0"/>
              <w:rPr>
                <w:sz w:val="20"/>
                <w:szCs w:val="20"/>
                <w:color w:val="auto"/>
              </w:rPr>
            </w:pPr>
            <w:r>
              <w:rPr>
                <w:rFonts w:ascii="Arial" w:cs="Arial" w:eastAsia="Arial" w:hAnsi="Arial"/>
                <w:sz w:val="18"/>
                <w:szCs w:val="18"/>
                <w:b w:val="1"/>
                <w:bCs w:val="1"/>
                <w:color w:val="auto"/>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2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86,251</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78,000</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62,247</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72.2</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48,375</w:t>
            </w: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16"/>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24,004</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2,764</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2,689</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61"/>
              <w:spacing w:after="0"/>
              <w:rPr>
                <w:sz w:val="20"/>
                <w:szCs w:val="20"/>
                <w:color w:val="auto"/>
              </w:rPr>
            </w:pPr>
            <w:r>
              <w:rPr>
                <w:rFonts w:ascii="Arial" w:cs="Arial" w:eastAsia="Arial" w:hAnsi="Arial"/>
                <w:sz w:val="18"/>
                <w:szCs w:val="18"/>
                <w:color w:val="auto"/>
                <w:w w:val="98"/>
              </w:rPr>
              <w:t>41,566</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48.2</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10,621</w:t>
            </w: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8"/>
              </w:rPr>
              <w:t>13,671</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15.9</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9,848</w:t>
            </w:r>
          </w:p>
        </w:tc>
        <w:tc>
          <w:tcPr>
            <w:tcW w:w="1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58,001</w:t>
            </w:r>
          </w:p>
        </w:tc>
        <w:tc>
          <w:tcPr>
            <w:tcW w:w="340" w:type="dxa"/>
            <w:vAlign w:val="bottom"/>
          </w:tcPr>
          <w:p>
            <w:pPr>
              <w:spacing w:after="0"/>
              <w:rPr>
                <w:sz w:val="19"/>
                <w:szCs w:val="19"/>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67.2</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23,158</w:t>
            </w: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3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(33,997)</w:t>
            </w:r>
          </w:p>
        </w:tc>
        <w:tc>
          <w:tcPr>
            <w:tcW w:w="3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(39.4)</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320" w:type="dxa"/>
            <w:vAlign w:val="bottom"/>
            <w:vMerge w:val="continue"/>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(6,945)</w:t>
            </w: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(8.1)</w:t>
            </w:r>
          </w:p>
        </w:tc>
        <w:tc>
          <w:tcPr>
            <w:tcW w:w="44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Arial" w:cs="Arial" w:eastAsia="Arial" w:hAnsi="Arial"/>
                <w:sz w:val="18"/>
                <w:szCs w:val="18"/>
                <w:color w:val="auto"/>
              </w:rPr>
              <w:t>(519)</w:t>
            </w:r>
          </w:p>
        </w:tc>
        <w:tc>
          <w:tcPr>
            <w:tcW w:w="1560" w:type="dxa"/>
            <w:vAlign w:val="bottom"/>
            <w:gridSpan w:val="2"/>
          </w:tcPr>
          <w:p>
            <w:pPr>
              <w:jc w:val="right"/>
              <w:ind w:right="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5,446</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(4,824)</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(5.6)</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3"/>
        </w:trPr>
        <w:tc>
          <w:tcPr>
            <w:tcW w:w="3940" w:type="dxa"/>
            <w:vAlign w:val="bottom"/>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w w:val="80"/>
              </w:rPr>
              <w:t>(40,280)</w:t>
            </w:r>
          </w:p>
        </w:tc>
        <w:tc>
          <w:tcPr>
            <w:tcW w:w="34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5,949</w:t>
            </w:r>
          </w:p>
        </w:tc>
        <w:tc>
          <w:tcPr>
            <w:tcW w:w="3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(709)</w:t>
            </w: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1,611</w:t>
            </w: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(39,571</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3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740" w:type="dxa"/>
            <w:vAlign w:val="bottom"/>
            <w:tcBorders>
              <w:bottom w:val="single" w:sz="8" w:color="auto"/>
            </w:tcBorders>
            <w:gridSpan w:val="5"/>
          </w:tcPr>
          <w:p>
            <w:pPr>
              <w:jc w:val="center"/>
              <w:ind w:left="430"/>
              <w:spacing w:after="0"/>
              <w:rPr>
                <w:sz w:val="20"/>
                <w:szCs w:val="20"/>
                <w:color w:val="auto"/>
              </w:rPr>
            </w:pPr>
            <w:r>
              <w:rPr>
                <w:rFonts w:ascii="Arial" w:cs="Arial" w:eastAsia="Arial" w:hAnsi="Arial"/>
                <w:sz w:val="18"/>
                <w:szCs w:val="18"/>
                <w:b w:val="1"/>
                <w:bCs w:val="1"/>
                <w:color w:val="auto"/>
                <w:w w:val="88"/>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Retailer</w:t>
            </w:r>
          </w:p>
        </w:tc>
        <w:tc>
          <w:tcPr>
            <w:tcW w:w="3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43,344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59,042</w:t>
            </w:r>
          </w:p>
        </w:tc>
      </w:tr>
      <w:tr>
        <w:trPr>
          <w:trHeight w:val="237"/>
        </w:trPr>
        <w:tc>
          <w:tcPr>
            <w:tcW w:w="4480" w:type="dxa"/>
            <w:vAlign w:val="bottom"/>
          </w:tcPr>
          <w:p>
            <w:pPr>
              <w:ind w:left="180"/>
              <w:spacing w:after="0"/>
              <w:rPr>
                <w:sz w:val="20"/>
                <w:szCs w:val="20"/>
                <w:color w:val="auto"/>
              </w:rPr>
            </w:pPr>
            <w:r>
              <w:rPr>
                <w:rFonts w:ascii="Arial" w:cs="Arial" w:eastAsia="Arial" w:hAnsi="Arial"/>
                <w:sz w:val="18"/>
                <w:szCs w:val="18"/>
                <w:color w:val="auto"/>
              </w:rPr>
              <w:t>Distributor</w:t>
            </w:r>
          </w:p>
        </w:tc>
        <w:tc>
          <w:tcPr>
            <w:tcW w:w="3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9,102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10,733</w:t>
            </w:r>
          </w:p>
        </w:tc>
      </w:tr>
      <w:tr>
        <w:trPr>
          <w:trHeight w:val="216"/>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34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52,446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3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33,805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8,225</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3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3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86,251</w:t>
            </w:r>
          </w:p>
        </w:tc>
        <w:tc>
          <w:tcPr>
            <w:tcW w:w="11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78,000</w:t>
            </w:r>
          </w:p>
        </w:tc>
      </w:tr>
      <w:tr>
        <w:trPr>
          <w:trHeight w:val="27"/>
        </w:trPr>
        <w:tc>
          <w:tcPr>
            <w:tcW w:w="448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accounting policies are those most critical to the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 Warrants” in our accompanying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uses the Black-Scholes option-pricing model to determine the fair value of option grants. In estimating fair value, management is required to make certain assumptions and estimates such as the expected life of units, volatility of the Company’s future share price, risk-free rates, future dividend yields and estimated forfeitures at the initial grant date. Restricted stock unit awards are valued based on the closing trading value of the Company’s common stock on the date of grant. Changes in assumptions used to estimate fair value could result in materially different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adjusted EBITDA, reconciled to net (loss) income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8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8"/>
                <w:szCs w:val="18"/>
                <w:b w:val="1"/>
                <w:bCs w:val="1"/>
                <w:color w:val="auto"/>
              </w:rPr>
              <w:t>Years ended December 31,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80" w:type="dxa"/>
            <w:vAlign w:val="bottom"/>
            <w:gridSpan w:val="3"/>
          </w:tcPr>
          <w:p>
            <w:pPr>
              <w:jc w:val="right"/>
              <w:ind w:right="661"/>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00" w:type="dxa"/>
            <w:vAlign w:val="bottom"/>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5"/>
              </w:rPr>
              <w:t>(39,571)</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6,945</w:t>
            </w:r>
          </w:p>
        </w:tc>
        <w:tc>
          <w:tcPr>
            <w:tcW w:w="1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(709)</w:t>
            </w:r>
          </w:p>
        </w:tc>
        <w:tc>
          <w:tcPr>
            <w:tcW w:w="1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0"/>
                <w:szCs w:val="20"/>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891</w:t>
            </w:r>
          </w:p>
        </w:tc>
        <w:tc>
          <w:tcPr>
            <w:tcW w:w="11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(32,444)</w:t>
            </w:r>
          </w:p>
        </w:tc>
        <w:tc>
          <w:tcPr>
            <w:tcW w:w="3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7,085</w:t>
            </w:r>
          </w:p>
        </w:tc>
      </w:tr>
      <w:tr>
        <w:trPr>
          <w:trHeight w:val="216"/>
        </w:trPr>
        <w:tc>
          <w:tcPr>
            <w:tcW w:w="744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2,467</w:t>
            </w: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56"/>
        </w:trPr>
        <w:tc>
          <w:tcPr>
            <w:tcW w:w="7440" w:type="dxa"/>
            <w:vAlign w:val="bottom"/>
          </w:tcPr>
          <w:p>
            <w:pPr>
              <w:ind w:left="180"/>
              <w:spacing w:after="0" w:line="256"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100" w:type="dxa"/>
            <w:vAlign w:val="bottom"/>
          </w:tcPr>
          <w:p>
            <w:pPr>
              <w:spacing w:after="0"/>
              <w:rPr>
                <w:sz w:val="22"/>
                <w:szCs w:val="22"/>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469</w:t>
            </w: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56</w:t>
            </w:r>
          </w:p>
        </w:tc>
        <w:tc>
          <w:tcPr>
            <w:tcW w:w="1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(4)</w:t>
            </w:r>
          </w:p>
        </w:tc>
        <w:tc>
          <w:tcPr>
            <w:tcW w:w="1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1,197</w:t>
            </w: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83"/>
        </w:trPr>
        <w:tc>
          <w:tcPr>
            <w:tcW w:w="7440" w:type="dxa"/>
            <w:vAlign w:val="bottom"/>
          </w:tcPr>
          <w:p>
            <w:pPr>
              <w:ind w:left="180"/>
              <w:spacing w:after="0" w:line="284" w:lineRule="exact"/>
              <w:rPr>
                <w:sz w:val="20"/>
                <w:szCs w:val="20"/>
                <w:color w:val="auto"/>
              </w:rPr>
            </w:pPr>
            <w:r>
              <w:rPr>
                <w:rFonts w:ascii="Arial" w:cs="Arial" w:eastAsia="Arial" w:hAnsi="Arial"/>
                <w:sz w:val="18"/>
                <w:szCs w:val="18"/>
                <w:color w:val="auto"/>
              </w:rPr>
              <w:t>Business Combination Expenses</w:t>
            </w:r>
            <w:r>
              <w:rPr>
                <w:rFonts w:ascii="Arial" w:cs="Arial" w:eastAsia="Arial" w:hAnsi="Arial"/>
                <w:sz w:val="29"/>
                <w:szCs w:val="29"/>
                <w:color w:val="auto"/>
                <w:vertAlign w:val="superscript"/>
              </w:rPr>
              <w:t>(5)</w:t>
            </w:r>
          </w:p>
        </w:tc>
        <w:tc>
          <w:tcPr>
            <w:tcW w:w="1100" w:type="dxa"/>
            <w:vAlign w:val="bottom"/>
          </w:tcPr>
          <w:p>
            <w:pPr>
              <w:spacing w:after="0"/>
              <w:rPr>
                <w:sz w:val="24"/>
                <w:szCs w:val="24"/>
                <w:color w:val="auto"/>
              </w:rPr>
            </w:pPr>
          </w:p>
        </w:tc>
        <w:tc>
          <w:tcPr>
            <w:tcW w:w="920" w:type="dxa"/>
            <w:vAlign w:val="bottom"/>
            <w:gridSpan w:val="2"/>
          </w:tcPr>
          <w:p>
            <w:pPr>
              <w:jc w:val="right"/>
              <w:ind w:right="241"/>
              <w:spacing w:after="0"/>
              <w:rPr>
                <w:sz w:val="20"/>
                <w:szCs w:val="20"/>
                <w:color w:val="auto"/>
              </w:rPr>
            </w:pPr>
            <w:r>
              <w:rPr>
                <w:rFonts w:ascii="Arial" w:cs="Arial" w:eastAsia="Arial" w:hAnsi="Arial"/>
                <w:sz w:val="18"/>
                <w:szCs w:val="18"/>
                <w:color w:val="auto"/>
              </w:rPr>
              <w:t>21,337</w:t>
            </w:r>
          </w:p>
        </w:tc>
        <w:tc>
          <w:tcPr>
            <w:tcW w:w="1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57"/>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Debt extinguishment </w:t>
            </w:r>
            <w:r>
              <w:rPr>
                <w:rFonts w:ascii="Arial" w:cs="Arial" w:eastAsia="Arial" w:hAnsi="Arial"/>
                <w:sz w:val="29"/>
                <w:szCs w:val="29"/>
                <w:color w:val="auto"/>
                <w:vertAlign w:val="superscript"/>
              </w:rPr>
              <w:t>(6)</w:t>
            </w:r>
          </w:p>
        </w:tc>
        <w:tc>
          <w:tcPr>
            <w:tcW w:w="1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4,824</w:t>
            </w:r>
          </w:p>
        </w:tc>
        <w:tc>
          <w:tcPr>
            <w:tcW w:w="11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(7)</w:t>
            </w:r>
          </w:p>
        </w:tc>
        <w:tc>
          <w:tcPr>
            <w:tcW w:w="1100" w:type="dxa"/>
            <w:vAlign w:val="bottom"/>
          </w:tcPr>
          <w:p>
            <w:pPr>
              <w:spacing w:after="0"/>
              <w:rPr>
                <w:sz w:val="24"/>
                <w:szCs w:val="24"/>
                <w:color w:val="auto"/>
              </w:rPr>
            </w:pPr>
          </w:p>
        </w:tc>
        <w:tc>
          <w:tcPr>
            <w:tcW w:w="920" w:type="dxa"/>
            <w:vAlign w:val="bottom"/>
            <w:gridSpan w:val="2"/>
          </w:tcPr>
          <w:p>
            <w:pPr>
              <w:jc w:val="right"/>
              <w:ind w:right="181"/>
              <w:spacing w:after="0"/>
              <w:rPr>
                <w:sz w:val="20"/>
                <w:szCs w:val="20"/>
                <w:color w:val="auto"/>
              </w:rPr>
            </w:pPr>
            <w:r>
              <w:rPr>
                <w:rFonts w:ascii="Arial" w:cs="Arial" w:eastAsia="Arial" w:hAnsi="Arial"/>
                <w:sz w:val="18"/>
                <w:szCs w:val="18"/>
                <w:color w:val="auto"/>
              </w:rPr>
              <w:t>(5,446)</w:t>
            </w:r>
          </w:p>
        </w:tc>
        <w:tc>
          <w:tcPr>
            <w:tcW w:w="1160" w:type="dxa"/>
            <w:vAlign w:val="bottom"/>
          </w:tcPr>
          <w:p>
            <w:pPr>
              <w:spacing w:after="0"/>
              <w:rPr>
                <w:sz w:val="24"/>
                <w:szCs w:val="2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bottom w:val="single" w:sz="8" w:color="auto"/>
            </w:tcBorders>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Enterprise Resource Planning (ERP) system in anticipation of the Business Combination and becoming a public company.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Business Combination Expenses is comprised of fees and expenses, including legal, accounting, and others associated with the Business Combination.</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the date the warrants were issued through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2022, we had cash totaling $17.8 million.</w:t>
      </w:r>
    </w:p>
    <w:p>
      <w:pPr>
        <w:spacing w:after="0" w:line="1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growth of our business and in anticipation of future needs and to protect against supply-chain and logistics related shortages, during the fourth quarter of 2022, we continued to increase our inventory purchasing activities. As a result, our inventory balance at December 31, 2022 increased by $22.8 million to $49.9 million, compared to $27.1 million at December 31, 2021.</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Term Loan proceeds were used to: (i) support the Business Combination, (ii) prepay the fixed rate senior notes at closing of the Business Combination,</w:t>
      </w:r>
    </w:p>
    <w:p>
      <w:pPr>
        <w:spacing w:after="0" w:line="46" w:lineRule="exact"/>
        <w:rPr>
          <w:sz w:val="20"/>
          <w:szCs w:val="20"/>
          <w:color w:val="auto"/>
        </w:rPr>
      </w:pPr>
    </w:p>
    <w:p>
      <w:pPr>
        <w:jc w:val="both"/>
        <w:ind w:firstLine="8"/>
        <w:spacing w:after="0" w:line="267" w:lineRule="auto"/>
        <w:tabs>
          <w:tab w:leader="none" w:pos="331"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LLC, which represented approximately 50% of the shares of our common stock outstanding as of December 31, 2022. During the year ended December 31, 2022, we did not sell any shares of our common stock under the ChEF Equity Facility. From January 1, 2023 to April 17, 2023, we issued and sold approximately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also filed a registration statement registering the resale of up to 55,298,545 shares that may be resold and/or issued into the public markets, which represents approximately 128% of the shares of our common stock outstanding as of December 31, 2022. The selling securityholders will determine the timing, pricing and rate at which they sell such shares into the public market. Although the current trading price of our common stock is below $10.00 per share, which was the sales price for units in the Chardan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2022, we incurred losses and had a negative cash flow from operations. As of December 31, 2022, we had approximately $17.8 million in cash and cash equivalents and working capital of $32.9 million.</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Years ended December 31, 2022 and 2021</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7440" w:type="dxa"/>
            <w:vAlign w:val="bottom"/>
          </w:tcPr>
          <w:p>
            <w:pPr>
              <w:spacing w:after="0"/>
              <w:rPr>
                <w:sz w:val="24"/>
                <w:szCs w:val="24"/>
                <w:color w:val="auto"/>
              </w:rPr>
            </w:pPr>
          </w:p>
        </w:tc>
        <w:tc>
          <w:tcPr>
            <w:tcW w:w="30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1080" w:type="dxa"/>
            <w:vAlign w:val="bottom"/>
          </w:tcPr>
          <w:p>
            <w:pPr>
              <w:spacing w:after="0"/>
              <w:rPr>
                <w:sz w:val="18"/>
                <w:szCs w:val="18"/>
                <w:color w:val="auto"/>
              </w:rPr>
            </w:pPr>
          </w:p>
        </w:tc>
        <w:tc>
          <w:tcPr>
            <w:tcW w:w="20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(45,696)</w:t>
            </w:r>
          </w:p>
        </w:tc>
        <w:tc>
          <w:tcPr>
            <w:tcW w:w="120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(13,573)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(6,827)</w:t>
            </w:r>
          </w:p>
        </w:tc>
        <w:tc>
          <w:tcPr>
            <w:tcW w:w="1200" w:type="dxa"/>
            <w:vAlign w:val="bottom"/>
          </w:tcPr>
          <w:p>
            <w:pPr>
              <w:jc w:val="right"/>
              <w:ind w:right="89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(2,909)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41,674</w:t>
            </w:r>
          </w:p>
        </w:tc>
        <w:tc>
          <w:tcPr>
            <w:tcW w:w="1200" w:type="dxa"/>
            <w:vAlign w:val="bottom"/>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December 31, 2022, we had $1.2 million in short-term operating lease liabilities and $3.5 million in long-term operating lease liabilities.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disclosed above, Consistent with the Debt Commitment Letter dated May 15, 2022 by and between CCM 5, and EICF EIP, in connection with the Closing, Chardan,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audited financial statements as of and for the years ended December 31, 2022 and December 31, 2021, together with the report of the independent registered public accounting firm thereon and the notes thereto, are presented beginning at page F-2.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2022, our management, with the participation of our Chief Executive Officer and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our Chief Financial Officer concluded that, for the reasons set forth below, our disclosure controls and procedures were not effective as of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our internal control over financial reporting based on the framework in Internal Control — Integrated Framework issued by the Committee of Sponsoring Organizations of the Treadway Commission (“</w:t>
      </w:r>
      <w:r>
        <w:rPr>
          <w:rFonts w:ascii="Arial" w:cs="Arial" w:eastAsia="Arial" w:hAnsi="Arial"/>
          <w:sz w:val="17"/>
          <w:szCs w:val="17"/>
          <w:b w:val="1"/>
          <w:bCs w:val="1"/>
          <w:color w:val="auto"/>
        </w:rPr>
        <w:t>COSO</w:t>
      </w:r>
      <w:r>
        <w:rPr>
          <w:rFonts w:ascii="Arial" w:cs="Arial" w:eastAsia="Arial" w:hAnsi="Arial"/>
          <w:sz w:val="17"/>
          <w:szCs w:val="17"/>
          <w:color w:val="auto"/>
        </w:rPr>
        <w:t>”) issued in May 2013 and related COSO guidance. Based on our evaluation under this framework, management has concluded that, as of December 31, 2022, our internal control over financial reporting was not effective and could lead to a material misstatement of account balances or disclosures. A material weakness is a control deficiency or combination of deficiencies in internal control, such that there is a reasonable possibility that a material misstatement of the entity’s financial statements will not be prevented or detected and corrected on a timely basis. Our management concluded that we have material weaknesses in the design and maintenance of certain appropriate entity-level controls impacting the control environment, risk assessment procedures, and monitoring activities. These material weaknesses have led to additional material weaknesses in certain control activities.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Control Environment</w:t>
      </w:r>
      <w:r>
        <w:rPr>
          <w:rFonts w:ascii="Arial" w:cs="Arial" w:eastAsia="Arial" w:hAnsi="Arial"/>
          <w:sz w:val="18"/>
          <w:szCs w:val="18"/>
          <w:color w:val="auto"/>
        </w:rPr>
        <w:t>. We concluded that we did not maintain effective controls in the following areas: (i) insufficient number of accounting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Control activities</w:t>
      </w:r>
      <w:r>
        <w:rPr>
          <w:rFonts w:ascii="Arial" w:cs="Arial" w:eastAsia="Arial" w:hAnsi="Arial"/>
          <w:sz w:val="16"/>
          <w:szCs w:val="16"/>
          <w:color w:val="auto"/>
        </w:rPr>
        <w:t>. We concluded that the material weaknesses contributed to the following additional material weaknesses in business processes:</w:t>
      </w:r>
    </w:p>
    <w:p>
      <w:pPr>
        <w:spacing w:after="0" w:line="46" w:lineRule="exact"/>
        <w:rPr>
          <w:sz w:val="20"/>
          <w:szCs w:val="20"/>
          <w:color w:val="auto"/>
        </w:rPr>
      </w:pPr>
    </w:p>
    <w:p>
      <w:pPr>
        <w:jc w:val="both"/>
        <w:ind w:firstLine="8"/>
        <w:spacing w:after="0" w:line="271" w:lineRule="auto"/>
        <w:tabs>
          <w:tab w:leader="none" w:pos="24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 for the Material Weakness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response to the material weaknesses noted above, the Company’s management began to take actions to remediate the identified material weaknesses in internal control over financial reporting. As part of management’s remediation plan, certain efforts were put into place and were underway prior to December 31, 2022. All new and revised controls that management started to implement in the fourth quarter of 2022 as part of the remediation plan require a period of seasoning to allow for a sufficient operating effectiveness testing sample. Management plans to build on and continue such efforts going into the next fiscal year in order to successfully remediate the identified material weaknesses.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remedial actions were taken during the year ended December 31, 2022 to remediate the material weaknesses in internal control over financial reporting:</w:t>
      </w:r>
    </w:p>
    <w:p>
      <w:pPr>
        <w:spacing w:after="0" w:line="170"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the number of personnel with the appropriate level of knowledge related to accounting transactions, accounting matters, and relevant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Engaged a third-party service provider to assist management with the design and implementation of internal controls.</w:t>
      </w:r>
    </w:p>
    <w:p>
      <w:pPr>
        <w:spacing w:after="0" w:line="22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Started an initial risk assessment based on the criteria established by COSO to identify internal controls over financial reporting (“</w:t>
      </w:r>
      <w:r>
        <w:rPr>
          <w:rFonts w:ascii="Arial" w:cs="Arial" w:eastAsia="Arial" w:hAnsi="Arial"/>
          <w:sz w:val="18"/>
          <w:szCs w:val="18"/>
          <w:b w:val="1"/>
          <w:bCs w:val="1"/>
          <w:color w:val="auto"/>
        </w:rPr>
        <w:t>ICFR</w:t>
      </w:r>
      <w:r>
        <w:rPr>
          <w:rFonts w:ascii="Arial" w:cs="Arial" w:eastAsia="Arial" w:hAnsi="Arial"/>
          <w:sz w:val="18"/>
          <w:szCs w:val="18"/>
          <w:color w:val="auto"/>
        </w:rPr>
        <w:t>”) risks and control objectives</w:t>
      </w:r>
    </w:p>
    <w:p>
      <w:pPr>
        <w:spacing w:after="0" w:line="16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 the assistance from the third-party service provider, and under the supervision of the Company’s Audit Committee, Chief Executive Officer and Chief Financial Officer, started the design and implementation of significant process transaction flows and key controls in the Company’s business processes, including revenue, inventory, income taxes, and overall IT environment. As discussed above, all new processes and controls were in the seasoning period as of December 31, 2022.</w:t>
      </w:r>
    </w:p>
    <w:p>
      <w:pPr>
        <w:sectPr>
          <w:pgSz w:w="11900" w:h="16838" w:orient="portrait"/>
          <w:cols w:equalWidth="0" w:num="1">
            <w:col w:w="11240"/>
          </w:cols>
          <w:pgMar w:left="320" w:top="661" w:right="339" w:bottom="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Additionally, management is in the process of implementing the below changes to the Company’s processes to improve its internal control over financial reporting:</w:t>
      </w:r>
    </w:p>
    <w:p>
      <w:pPr>
        <w:spacing w:after="0" w:line="170"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a training program and educating control owners concerning the principles of the Internal Control - Integrated Framework (2013) issued by COSO;</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Adopting a process to identify and assess the Company’s disclosure controls and procedures, including the preparation and review of presentation and disclosure requirement checklists.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a risk assessment process by which management identifies risks of misstatement related to all account balances;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internal controls documentation, including comprehensive accounting policies and procedures over financial processes and related disclosures;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Enhancing policies and procedures to retain adequate documentary evidence for certain management review controls over certain business processes including precision of review and evidence of review procedures performed to demonstrate effective operation of such controls;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Engaging outside resources for complex accounting matters and drafting and retaining position papers for all complex, non-recurring transactions;</w:t>
      </w:r>
    </w:p>
    <w:p>
      <w:pPr>
        <w:spacing w:after="0" w:line="2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Developing monitoring activities and protocols that will allow us to timely assess the design and the operating effectiveness of controls over financial reporting and make necessary changes to the design of controls, if any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Segregating key functions within our financial and information technology processes supporting our internal controls over financial reporting;</w:t>
      </w:r>
    </w:p>
    <w:p>
      <w:pPr>
        <w:spacing w:after="0" w:line="23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Reassessing and formalizing the design of certain accounting and information technology policies relating to security and change management controls, including user access reviews, including assessing the need for implementing a more robust information technology system;</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Continuing to enhance and formalize our accounting, business operations, and information technology policies, procedures, and controls to achieve complete, accurate, and timely financial accounting, reporting and disclosures.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Despite the existence of the material weakness, we believe the financial information presented herein is materially correct and in accordance with generally accepted accounting principles in the United States.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material weaknesses and remediation plan described above, there were no changes in our internal controls over financial reporting that occurred during the quarter ended December 31, 2022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called for by this item will be set forth in our Proxy Statement for the 2023 Annual Meeting of Stockholders, or Proxy Statement, to be filed with the SEC within 120 days of the fiscal year ended December 31, 2022,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called for by this item will be set forth in our Proxy Statement and is incorporated herein by reference.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25"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spacing w:after="0" w:line="12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the required information is either not required, not applicable or because the information required is included in the consolidated financial statements or notes thereto.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i w:val="1"/>
                <w:iCs w:val="1"/>
                <w:color w:val="auto"/>
              </w:rPr>
              <w:t>3.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3"/>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2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w w:val="99"/>
              </w:rPr>
              <w:t>Incorporated By Reference</w:t>
            </w:r>
          </w:p>
        </w:tc>
      </w:tr>
      <w:tr>
        <w:trPr>
          <w:trHeight w:val="198"/>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rPr>
              <w:t>Filing</w:t>
            </w:r>
          </w:p>
        </w:tc>
      </w:tr>
      <w:tr>
        <w:trPr>
          <w:trHeight w:val="241"/>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5"/>
              </w:rPr>
              <w:t>Exhibit 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80" w:type="dxa"/>
            <w:vAlign w:val="bottom"/>
            <w:gridSpan w:val="20"/>
          </w:tcPr>
          <w:p>
            <w:pPr>
              <w:ind w:left="60"/>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Pr>
          <w:p>
            <w:pPr>
              <w:ind w:left="120"/>
              <w:spacing w:after="0"/>
              <w:rPr>
                <w:sz w:val="20"/>
                <w:szCs w:val="20"/>
                <w:color w:val="auto"/>
              </w:rPr>
            </w:pPr>
            <w:r>
              <w:rPr>
                <w:rFonts w:ascii="Arial" w:cs="Arial" w:eastAsia="Arial" w:hAnsi="Arial"/>
                <w:sz w:val="18"/>
                <w:szCs w:val="18"/>
                <w:b w:val="1"/>
                <w:bCs w:val="1"/>
                <w:color w:val="auto"/>
              </w:rPr>
              <w:t>Form</w:t>
            </w: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480" w:type="dxa"/>
            <w:vAlign w:val="bottom"/>
            <w:tcBorders>
              <w:top w:val="single" w:sz="8" w:color="auto"/>
              <w:bottom w:val="single" w:sz="8" w:color="0000EE"/>
            </w:tcBorders>
            <w:gridSpan w:val="22"/>
          </w:tcPr>
          <w:p>
            <w:pPr>
              <w:spacing w:after="0" w:line="17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Agreement and Plan of Merger, dated as of May 15, 2022, by and among Dragonfly Energy Holdings</w:t>
              </w:r>
            </w:hyperlink>
          </w:p>
        </w:tc>
        <w:tc>
          <w:tcPr>
            <w:tcW w:w="60" w:type="dxa"/>
            <w:vAlign w:val="bottom"/>
            <w:tcBorders>
              <w:top w:val="single" w:sz="8" w:color="auto"/>
            </w:tcBorders>
            <w:gridSpan w:val="3"/>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S-4</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980" w:type="dxa"/>
            <w:vAlign w:val="bottom"/>
            <w:tcBorders>
              <w:top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Corp. (f/k/a Chardan NexTech Acquisition 2 Corp.), Bronco Merger Sub, Inc. and Dragonfly Energy</w:t>
              </w:r>
            </w:hyperlink>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Corp. (included as Annex A to the proxy statement/prospectus).</w:t>
              </w:r>
            </w:hyperlink>
          </w:p>
        </w:tc>
        <w:tc>
          <w:tcPr>
            <w:tcW w:w="3020" w:type="dxa"/>
            <w:vAlign w:val="bottom"/>
            <w:gridSpan w:val="1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r:id="rId85">
              <w:r>
                <w:rPr>
                  <w:rFonts w:ascii="Arial" w:cs="Arial" w:eastAsia="Arial" w:hAnsi="Arial"/>
                  <w:sz w:val="18"/>
                  <w:szCs w:val="18"/>
                  <w:color w:val="0000EE"/>
                  <w:w w:val="95"/>
                </w:rPr>
                <w:t>Amendment to Agreement and Plan of Merger, dated as of July 12, 2022, by and among Dragonfly</w:t>
              </w:r>
            </w:hyperlink>
          </w:p>
        </w:tc>
        <w:tc>
          <w:tcPr>
            <w:tcW w:w="12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88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2.1(a)</w:t>
            </w: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r:id="rId85">
              <w:r>
                <w:rPr>
                  <w:rFonts w:ascii="Arial" w:cs="Arial" w:eastAsia="Arial" w:hAnsi="Arial"/>
                  <w:sz w:val="18"/>
                  <w:szCs w:val="18"/>
                  <w:color w:val="0000EE"/>
                  <w:w w:val="96"/>
                </w:rPr>
                <w:t>Energy Holdings Corp. (f/k/a Chardan NexTech Acquisition 2 Corp.), Bronco Merger Sub, Inc. and</w:t>
              </w:r>
            </w:hyperlink>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Dragonfly Energy Corp.</w:t>
              </w:r>
            </w:hyperlink>
          </w:p>
        </w:tc>
        <w:tc>
          <w:tcPr>
            <w:tcW w:w="5860" w:type="dxa"/>
            <w:vAlign w:val="bottom"/>
            <w:gridSpan w:val="2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Plan of Conversion.</w:t>
              </w:r>
            </w:hyperlink>
          </w:p>
        </w:tc>
        <w:tc>
          <w:tcPr>
            <w:tcW w:w="6180" w:type="dxa"/>
            <w:vAlign w:val="bottom"/>
            <w:gridSpan w:val="25"/>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Articles of Incorporation of Dragonfly Energy Holdings Corp.</w:t>
              </w:r>
            </w:hyperlink>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88">
              <w:r>
                <w:rPr>
                  <w:rFonts w:ascii="Arial" w:cs="Arial" w:eastAsia="Arial" w:hAnsi="Arial"/>
                  <w:sz w:val="18"/>
                  <w:szCs w:val="18"/>
                  <w:color w:val="0000EE"/>
                  <w:w w:val="93"/>
                </w:rPr>
                <w:t>Bylaws of Dragonfly Energy Holdings Corp.</w:t>
              </w:r>
            </w:hyperlink>
          </w:p>
        </w:tc>
        <w:tc>
          <w:tcPr>
            <w:tcW w:w="1240" w:type="dxa"/>
            <w:vAlign w:val="bottom"/>
            <w:tcBorders>
              <w:top w:val="single" w:sz="8" w:color="0000EE"/>
            </w:tcBorders>
            <w:gridSpan w:val="7"/>
          </w:tcPr>
          <w:p>
            <w:pPr>
              <w:spacing w:after="0"/>
              <w:rPr>
                <w:sz w:val="17"/>
                <w:szCs w:val="17"/>
                <w:color w:val="auto"/>
              </w:rPr>
            </w:pPr>
          </w:p>
        </w:tc>
        <w:tc>
          <w:tcPr>
            <w:tcW w:w="3140" w:type="dxa"/>
            <w:vAlign w:val="bottom"/>
            <w:gridSpan w:val="13"/>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Specimen Common Stock Certificate of Dragonfly Energy Holdings Corp.</w:t>
              </w:r>
            </w:hyperlink>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90">
              <w:r>
                <w:rPr>
                  <w:rFonts w:ascii="Arial" w:cs="Arial" w:eastAsia="Arial" w:hAnsi="Arial"/>
                  <w:sz w:val="18"/>
                  <w:szCs w:val="18"/>
                  <w:color w:val="0000EE"/>
                  <w:w w:val="92"/>
                </w:rPr>
                <w:t xml:space="preserve">Form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 Warrant of Dragonfly Energy Holdings Corp.</w:t>
              </w:r>
            </w:hyperlink>
          </w:p>
        </w:tc>
        <w:tc>
          <w:tcPr>
            <w:tcW w:w="1160" w:type="dxa"/>
            <w:vAlign w:val="bottom"/>
            <w:tcBorders>
              <w:top w:val="single" w:sz="8" w:color="0000EE"/>
            </w:tcBorders>
            <w:gridSpan w:val="9"/>
          </w:tcPr>
          <w:p>
            <w:pPr>
              <w:spacing w:after="0"/>
              <w:rPr>
                <w:sz w:val="17"/>
                <w:szCs w:val="17"/>
                <w:color w:val="auto"/>
              </w:rPr>
            </w:pPr>
          </w:p>
        </w:tc>
        <w:tc>
          <w:tcPr>
            <w:tcW w:w="2240" w:type="dxa"/>
            <w:vAlign w:val="bottom"/>
            <w:gridSpan w:val="6"/>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4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91">
              <w:r>
                <w:rPr>
                  <w:rFonts w:ascii="Arial" w:cs="Arial" w:eastAsia="Arial" w:hAnsi="Arial"/>
                  <w:sz w:val="18"/>
                  <w:szCs w:val="18"/>
                  <w:color w:val="0000EE"/>
                  <w:w w:val="92"/>
                </w:rPr>
                <w:t>Form of Penny Warrant of Dragonfly Energy Holdings Corp.</w:t>
              </w:r>
            </w:hyperlink>
          </w:p>
        </w:tc>
        <w:tc>
          <w:tcPr>
            <w:tcW w:w="3220" w:type="dxa"/>
            <w:vAlign w:val="bottom"/>
            <w:gridSpan w:val="14"/>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r:id="rId92">
              <w:r>
                <w:rPr>
                  <w:rFonts w:ascii="Arial" w:cs="Arial" w:eastAsia="Arial" w:hAnsi="Arial"/>
                  <w:sz w:val="18"/>
                  <w:szCs w:val="18"/>
                  <w:color w:val="0000EE"/>
                  <w:w w:val="96"/>
                </w:rPr>
                <w:t>Warrant Agreement, dated as of October 19, 2022, between Dragonfly Energy Holdings Corp. and</w:t>
              </w:r>
            </w:hyperlink>
          </w:p>
        </w:tc>
        <w:tc>
          <w:tcPr>
            <w:tcW w:w="80" w:type="dxa"/>
            <w:vAlign w:val="bottom"/>
            <w:gridSpan w:val="2"/>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S-1</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4.4</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10/21/2022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American Stock Transfer &amp; Trust Company,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484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Specimen Warrant Certificate of Dragonfly Energy Holdings Corp.</w:t>
            </w:r>
          </w:p>
        </w:tc>
        <w:tc>
          <w:tcPr>
            <w:tcW w:w="278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7"/>
                <w:szCs w:val="17"/>
                <w:color w:val="auto"/>
              </w:rPr>
            </w:pPr>
          </w:p>
        </w:tc>
        <w:tc>
          <w:tcPr>
            <w:tcW w:w="404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Promissory Note of the Company, dated March 5, 2023.</w:t>
              </w:r>
            </w:hyperlink>
          </w:p>
        </w:tc>
        <w:tc>
          <w:tcPr>
            <w:tcW w:w="3580" w:type="dxa"/>
            <w:vAlign w:val="bottom"/>
            <w:gridSpan w:val="16"/>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03/09/2023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1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Description of Securities.</w:t>
            </w:r>
          </w:p>
        </w:tc>
        <w:tc>
          <w:tcPr>
            <w:tcW w:w="578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Sponsor Support Agreement, dated as of May 15, 2022, by and among Chardan NexTech Investments 2</w:t>
              </w:r>
            </w:hyperlink>
          </w:p>
        </w:tc>
        <w:tc>
          <w:tcPr>
            <w:tcW w:w="80" w:type="dxa"/>
            <w:vAlign w:val="bottom"/>
            <w:gridSpan w:val="2"/>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94">
              <w:r>
                <w:rPr>
                  <w:rFonts w:ascii="Arial" w:cs="Arial" w:eastAsia="Arial" w:hAnsi="Arial"/>
                  <w:sz w:val="18"/>
                  <w:szCs w:val="18"/>
                  <w:color w:val="0000EE"/>
                  <w:w w:val="94"/>
                </w:rPr>
                <w:t>LLC, Dragonfly Energy Corp. and Chardan NexTech Investments 2 LLC (included as Annex E to the</w:t>
              </w:r>
            </w:hyperlink>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Commitment Letter, dated as of May 15, 2022, by and among Dragonfly Energy Holdings Corp. (f/k/a</w:t>
              </w:r>
            </w:hyperlink>
          </w:p>
        </w:tc>
        <w:tc>
          <w:tcPr>
            <w:tcW w:w="80" w:type="dxa"/>
            <w:vAlign w:val="bottom"/>
            <w:gridSpan w:val="2"/>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Chardan NexTech Acquisition 2 Corp.), Dragonfly Energy Corp., CCM Investments 5 LLC and EICF</w:t>
              </w:r>
            </w:hyperlink>
          </w:p>
        </w:tc>
        <w:tc>
          <w:tcPr>
            <w:tcW w:w="1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Agent LLC (included as Annex J to the proxy statement/prospectus).</w:t>
              </w:r>
            </w:hyperlink>
          </w:p>
        </w:tc>
        <w:tc>
          <w:tcPr>
            <w:tcW w:w="266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Equity Facility Letter Agreement, dated as of May 15, 2022, by and among Dragonfly Energy Corp.,</w:t>
              </w:r>
            </w:hyperlink>
          </w:p>
        </w:tc>
        <w:tc>
          <w:tcPr>
            <w:tcW w:w="80" w:type="dxa"/>
            <w:vAlign w:val="bottom"/>
            <w:gridSpan w:val="2"/>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2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Dragonfly Energy Holdings Corp. (f/k/a Chardan NexTech Acquisition 2 Corp.) and CCM Investments</w:t>
              </w:r>
            </w:hyperlink>
          </w:p>
        </w:tc>
        <w:tc>
          <w:tcPr>
            <w:tcW w:w="1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5 LLC (included as Annex K to the 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r:id="rId97">
              <w:r>
                <w:rPr>
                  <w:rFonts w:ascii="Arial" w:cs="Arial" w:eastAsia="Arial" w:hAnsi="Arial"/>
                  <w:sz w:val="18"/>
                  <w:szCs w:val="18"/>
                  <w:color w:val="0000EE"/>
                  <w:w w:val="94"/>
                </w:rPr>
                <w:t>Subscription Agreement, dated as of May 15, 2022, between Dragonfly Energy Holdings Corp. (f/k/a</w:t>
              </w:r>
            </w:hyperlink>
          </w:p>
        </w:tc>
        <w:tc>
          <w:tcPr>
            <w:tcW w:w="100" w:type="dxa"/>
            <w:vAlign w:val="bottom"/>
            <w:gridSpan w:val="3"/>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Chardan NexTech Acquisition 2 Corp.) and Chardan NexTech Investments 2 LLC (included as Annex F</w:t>
              </w:r>
            </w:hyperlink>
          </w:p>
        </w:tc>
        <w:tc>
          <w:tcPr>
            <w:tcW w:w="8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to the proxy statement/prospectus).</w:t>
              </w:r>
            </w:hyperlink>
          </w:p>
        </w:tc>
        <w:tc>
          <w:tcPr>
            <w:tcW w:w="508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452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Dragonfly Energy Holdings Corp. 2022 Equity Incentive Plan.</w:t>
              </w:r>
            </w:hyperlink>
          </w:p>
        </w:tc>
        <w:tc>
          <w:tcPr>
            <w:tcW w:w="3100" w:type="dxa"/>
            <w:vAlign w:val="bottom"/>
            <w:gridSpan w:val="12"/>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480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Dragonfly Energy Holdings Corp. Employee Stock Purchase Plan.</w:t>
              </w:r>
            </w:hyperlink>
          </w:p>
        </w:tc>
        <w:tc>
          <w:tcPr>
            <w:tcW w:w="2820" w:type="dxa"/>
            <w:vAlign w:val="bottom"/>
            <w:gridSpan w:val="9"/>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8-K</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7"/>
                <w:szCs w:val="17"/>
                <w:color w:val="auto"/>
              </w:rPr>
            </w:pPr>
          </w:p>
        </w:tc>
        <w:tc>
          <w:tcPr>
            <w:tcW w:w="33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Form of Director Indemnification Agreement.</w:t>
              </w:r>
            </w:hyperlink>
          </w:p>
        </w:tc>
        <w:tc>
          <w:tcPr>
            <w:tcW w:w="4300" w:type="dxa"/>
            <w:vAlign w:val="bottom"/>
            <w:gridSpan w:val="19"/>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S-4/A</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10.10</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09/14/2022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750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r:id="rId101">
              <w:r>
                <w:rPr>
                  <w:rFonts w:ascii="Arial" w:cs="Arial" w:eastAsia="Arial" w:hAnsi="Arial"/>
                  <w:sz w:val="18"/>
                  <w:szCs w:val="18"/>
                  <w:color w:val="0000EE"/>
                  <w:w w:val="93"/>
                </w:rPr>
                <w:t>Multi-tenant Industrial Triple Net Lease, dated as of March 1, 2021, between Dragonfly Energy Corp.</w:t>
              </w:r>
            </w:hyperlink>
          </w:p>
        </w:tc>
        <w:tc>
          <w:tcPr>
            <w:tcW w:w="12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and Icon Reno Property Owner Pool 3 Nevada,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20" w:type="dxa"/>
            <w:vAlign w:val="bottom"/>
            <w:gridSpan w:val="10"/>
            <w:shd w:val="clear" w:color="auto" w:fill="0000EE"/>
          </w:tcPr>
          <w:p>
            <w:pPr>
              <w:spacing w:after="0" w:line="20" w:lineRule="exact"/>
              <w:rPr>
                <w:sz w:val="1"/>
                <w:szCs w:val="1"/>
                <w:color w:val="auto"/>
              </w:rPr>
            </w:pPr>
          </w:p>
        </w:tc>
        <w:tc>
          <w:tcPr>
            <w:tcW w:w="2560" w:type="dxa"/>
            <w:vAlign w:val="bottom"/>
            <w:gridSpan w:val="1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7620" w:type="dxa"/>
            <w:vAlign w:val="bottom"/>
            <w:gridSpan w:val="27"/>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Lease, dated as of February 8, 2022, between Dragonfly Energy Corp. and Prologis, L.P.</w:t>
              </w:r>
            </w:hyperlink>
          </w:p>
        </w:tc>
        <w:tc>
          <w:tcPr>
            <w:tcW w:w="660" w:type="dxa"/>
            <w:vAlign w:val="bottom"/>
          </w:tcPr>
          <w:p>
            <w:pPr>
              <w:spacing w:after="0" w:line="196" w:lineRule="exact"/>
              <w:rPr>
                <w:sz w:val="20"/>
                <w:szCs w:val="20"/>
                <w:color w:val="auto"/>
              </w:rPr>
            </w:pPr>
            <w:r>
              <w:rPr>
                <w:rFonts w:ascii="Arial" w:cs="Arial" w:eastAsia="Arial" w:hAnsi="Arial"/>
                <w:sz w:val="18"/>
                <w:szCs w:val="18"/>
                <w:color w:val="auto"/>
              </w:rPr>
              <w:t>S-4</w:t>
            </w:r>
          </w:p>
        </w:tc>
        <w:tc>
          <w:tcPr>
            <w:tcW w:w="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7"/>
                <w:szCs w:val="17"/>
                <w:color w:val="auto"/>
              </w:rPr>
            </w:pPr>
          </w:p>
        </w:tc>
        <w:tc>
          <w:tcPr>
            <w:tcW w:w="9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88"/>
              </w:rPr>
              <w:t>07/22/2022</w:t>
            </w:r>
          </w:p>
        </w:tc>
      </w:tr>
      <w:tr>
        <w:trPr>
          <w:trHeight w:val="45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4640" w:type="dxa"/>
            <w:vAlign w:val="bottom"/>
            <w:tcBorders>
              <w:top w:val="single" w:sz="8" w:color="0000EE"/>
              <w:bottom w:val="single" w:sz="8" w:color="auto"/>
            </w:tcBorders>
            <w:gridSpan w:val="16"/>
          </w:tcPr>
          <w:p>
            <w:pPr>
              <w:jc w:val="right"/>
              <w:ind w:right="40"/>
              <w:spacing w:after="0"/>
              <w:rPr>
                <w:sz w:val="20"/>
                <w:szCs w:val="20"/>
                <w:color w:val="auto"/>
              </w:rPr>
            </w:pPr>
            <w:r>
              <w:rPr>
                <w:rFonts w:ascii="Arial" w:cs="Arial" w:eastAsia="Arial" w:hAnsi="Arial"/>
                <w:sz w:val="18"/>
                <w:szCs w:val="18"/>
                <w:color w:val="auto"/>
              </w:rPr>
              <w:t>58</w:t>
            </w:r>
          </w:p>
        </w:tc>
        <w:tc>
          <w:tcPr>
            <w:tcW w:w="1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10.10#</w:t>
            </w:r>
          </w:p>
        </w:tc>
        <w:tc>
          <w:tcPr>
            <w:tcW w:w="7500" w:type="dxa"/>
            <w:vAlign w:val="bottom"/>
            <w:tcBorders>
              <w:bottom w:val="single" w:sz="8" w:color="0000EE"/>
            </w:tcBorders>
            <w:gridSpan w:val="27"/>
          </w:tcPr>
          <w:p>
            <w:pPr>
              <w:spacing w:after="0"/>
              <w:rPr>
                <w:rFonts w:ascii="Arial" w:cs="Arial" w:eastAsia="Arial" w:hAnsi="Arial"/>
                <w:sz w:val="18"/>
                <w:szCs w:val="18"/>
                <w:color w:val="0000EE"/>
                <w:w w:val="95"/>
              </w:rPr>
            </w:pPr>
            <w:hyperlink r:id="rId103">
              <w:r>
                <w:rPr>
                  <w:rFonts w:ascii="Arial" w:cs="Arial" w:eastAsia="Arial" w:hAnsi="Arial"/>
                  <w:sz w:val="18"/>
                  <w:szCs w:val="18"/>
                  <w:color w:val="0000EE"/>
                  <w:w w:val="95"/>
                </w:rPr>
                <w:t>Purchase Agreement, dated as of October 7, 2022, between Dragonfly Energy Holdings Corp. and</w:t>
              </w:r>
            </w:hyperlink>
          </w:p>
        </w:tc>
      </w:tr>
      <w:tr>
        <w:trPr>
          <w:trHeight w:val="196"/>
        </w:trPr>
        <w:tc>
          <w:tcPr>
            <w:tcW w:w="1100" w:type="dxa"/>
            <w:vAlign w:val="bottom"/>
          </w:tcPr>
          <w:p>
            <w:pPr>
              <w:spacing w:after="0"/>
              <w:rPr>
                <w:sz w:val="17"/>
                <w:szCs w:val="17"/>
                <w:color w:val="auto"/>
              </w:rPr>
            </w:pPr>
          </w:p>
        </w:tc>
        <w:tc>
          <w:tcPr>
            <w:tcW w:w="22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Chardan Capital Markets LLC.</w:t>
              </w:r>
            </w:hyperlink>
          </w:p>
        </w:tc>
        <w:tc>
          <w:tcPr>
            <w:tcW w:w="526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r:id="rId104">
              <w:r>
                <w:rPr>
                  <w:rFonts w:ascii="Arial" w:cs="Arial" w:eastAsia="Arial" w:hAnsi="Arial"/>
                  <w:sz w:val="18"/>
                  <w:szCs w:val="18"/>
                  <w:color w:val="0000EE"/>
                  <w:w w:val="96"/>
                </w:rPr>
                <w:t>Registration Rights Agreement, dated as of October 7, 2022, between Dragonfly Energy Holdings</w:t>
              </w:r>
            </w:hyperlink>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Corp. and Chardan Capital Markets LLC.</w:t>
              </w:r>
            </w:hyperlink>
          </w:p>
        </w:tc>
        <w:tc>
          <w:tcPr>
            <w:tcW w:w="450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Term Loan Agreement, dated as of October 7, 2022, by and among the Dragonfly Energy Holdings</w:t>
              </w:r>
            </w:hyperlink>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5">
              <w:r>
                <w:rPr>
                  <w:rFonts w:ascii="Arial" w:cs="Arial" w:eastAsia="Arial" w:hAnsi="Arial"/>
                  <w:sz w:val="18"/>
                  <w:szCs w:val="18"/>
                  <w:color w:val="0000EE"/>
                  <w:w w:val="92"/>
                </w:rPr>
                <w:t>Corp., Dragonfly Energy Corp., the lenders from time to time party thereto and Alter Domus (US) LLC.</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Pledge Agreement, dated as of October 7, 2022, by and among Dragonfly Energy Holdings Corp. and</w:t>
              </w:r>
            </w:hyperlink>
          </w:p>
        </w:tc>
      </w:tr>
      <w:tr>
        <w:trPr>
          <w:trHeight w:val="196"/>
        </w:trPr>
        <w:tc>
          <w:tcPr>
            <w:tcW w:w="1100" w:type="dxa"/>
            <w:vAlign w:val="bottom"/>
          </w:tcPr>
          <w:p>
            <w:pPr>
              <w:spacing w:after="0"/>
              <w:rPr>
                <w:sz w:val="17"/>
                <w:szCs w:val="17"/>
                <w:color w:val="auto"/>
              </w:rPr>
            </w:pP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r:id="rId106">
              <w:r>
                <w:rPr>
                  <w:rFonts w:ascii="Arial" w:cs="Arial" w:eastAsia="Arial" w:hAnsi="Arial"/>
                  <w:sz w:val="18"/>
                  <w:szCs w:val="18"/>
                  <w:color w:val="0000EE"/>
                  <w:w w:val="95"/>
                </w:rPr>
                <w:t>Alter Domus (US) LLC.</w:t>
              </w:r>
            </w:hyperlink>
          </w:p>
        </w:tc>
        <w:tc>
          <w:tcPr>
            <w:tcW w:w="5720" w:type="dxa"/>
            <w:vAlign w:val="bottom"/>
            <w:gridSpan w:val="2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07">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11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07">
              <w:r>
                <w:rPr>
                  <w:rFonts w:ascii="Arial" w:cs="Arial" w:eastAsia="Arial" w:hAnsi="Arial"/>
                  <w:sz w:val="18"/>
                  <w:szCs w:val="18"/>
                  <w:color w:val="0000EE"/>
                  <w:w w:val="86"/>
                </w:rPr>
                <w:t>Denis Phares.</w:t>
              </w:r>
            </w:hyperlink>
          </w:p>
        </w:tc>
        <w:tc>
          <w:tcPr>
            <w:tcW w:w="6500" w:type="dxa"/>
            <w:vAlign w:val="bottom"/>
            <w:gridSpan w:val="2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Corp. and Denis Phares.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Employment Agreement, dated as of January 1, 2022, by and between Dragonfly Energy Corp. and</w:t>
              </w:r>
            </w:hyperlink>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Sean Nichols.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Amendment to Employment Agreement, dated as of May 15, 2022, by and between Dragonfly Energy</w:t>
              </w:r>
            </w:hyperlink>
          </w:p>
        </w:tc>
      </w:tr>
      <w:tr>
        <w:trPr>
          <w:trHeight w:val="196"/>
        </w:trPr>
        <w:tc>
          <w:tcPr>
            <w:tcW w:w="110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Corp. and Sean Nichols.</w:t>
              </w:r>
            </w:hyperlink>
          </w:p>
        </w:tc>
        <w:tc>
          <w:tcPr>
            <w:tcW w:w="5740" w:type="dxa"/>
            <w:vAlign w:val="bottom"/>
            <w:gridSpan w:val="21"/>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11">
              <w:r>
                <w:rPr>
                  <w:rFonts w:ascii="Arial" w:cs="Arial" w:eastAsia="Arial" w:hAnsi="Arial"/>
                  <w:sz w:val="18"/>
                  <w:szCs w:val="18"/>
                  <w:color w:val="0000EE"/>
                  <w:w w:val="94"/>
                </w:rPr>
                <w:t>Employment Agreement, dated as of August 17, 2021, by and between Dragonfly Energy Corp. and</w:t>
              </w:r>
            </w:hyperlink>
          </w:p>
        </w:tc>
      </w:tr>
      <w:tr>
        <w:trPr>
          <w:trHeight w:val="196"/>
        </w:trPr>
        <w:tc>
          <w:tcPr>
            <w:tcW w:w="1100" w:type="dxa"/>
            <w:vAlign w:val="bottom"/>
          </w:tcPr>
          <w:p>
            <w:pPr>
              <w:spacing w:after="0"/>
              <w:rPr>
                <w:sz w:val="17"/>
                <w:szCs w:val="17"/>
                <w:color w:val="auto"/>
              </w:rPr>
            </w:pPr>
          </w:p>
        </w:tc>
        <w:tc>
          <w:tcPr>
            <w:tcW w:w="11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John Marchetti.</w:t>
              </w:r>
            </w:hyperlink>
          </w:p>
        </w:tc>
        <w:tc>
          <w:tcPr>
            <w:tcW w:w="6360" w:type="dxa"/>
            <w:vAlign w:val="bottom"/>
            <w:gridSpan w:val="2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2">
              <w:r>
                <w:rPr>
                  <w:rFonts w:ascii="Arial" w:cs="Arial" w:eastAsia="Arial" w:hAnsi="Arial"/>
                  <w:sz w:val="18"/>
                  <w:szCs w:val="18"/>
                  <w:color w:val="0000EE"/>
                  <w:w w:val="91"/>
                </w:rPr>
                <w:t>Dragonfly Energy Corp. 2019 Stock Incentive Plan.</w:t>
              </w:r>
            </w:hyperlink>
          </w:p>
        </w:tc>
        <w:tc>
          <w:tcPr>
            <w:tcW w:w="376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3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Dragonfly Energy Corp. 2021 Stock Incentive Plan.</w:t>
              </w:r>
            </w:hyperlink>
          </w:p>
        </w:tc>
        <w:tc>
          <w:tcPr>
            <w:tcW w:w="3760" w:type="dxa"/>
            <w:vAlign w:val="bottom"/>
            <w:gridSpan w:val="6"/>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114">
              <w:r>
                <w:rPr>
                  <w:rFonts w:ascii="Arial" w:cs="Arial" w:eastAsia="Arial" w:hAnsi="Arial"/>
                  <w:sz w:val="18"/>
                  <w:szCs w:val="18"/>
                  <w:color w:val="0000EE"/>
                  <w:w w:val="93"/>
                </w:rPr>
                <w:t>Amended and Restated Registration Rights Agreement, dated as of October 7, 2022, by and among</w:t>
              </w:r>
            </w:hyperlink>
          </w:p>
        </w:tc>
      </w:tr>
      <w:tr>
        <w:trPr>
          <w:trHeight w:val="196"/>
        </w:trPr>
        <w:tc>
          <w:tcPr>
            <w:tcW w:w="1100" w:type="dxa"/>
            <w:vAlign w:val="bottom"/>
          </w:tcPr>
          <w:p>
            <w:pPr>
              <w:spacing w:after="0"/>
              <w:rPr>
                <w:sz w:val="17"/>
                <w:szCs w:val="17"/>
                <w:color w:val="auto"/>
              </w:rPr>
            </w:pPr>
          </w:p>
        </w:tc>
        <w:tc>
          <w:tcPr>
            <w:tcW w:w="51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Dragonfly Energy Holdings Corp. and each of the stockholders thereto.</w:t>
              </w:r>
            </w:hyperlink>
          </w:p>
        </w:tc>
        <w:tc>
          <w:tcPr>
            <w:tcW w:w="236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7500" w:type="dxa"/>
            <w:vAlign w:val="bottom"/>
            <w:gridSpan w:val="2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Director Compensation Policy.</w:t>
              </w:r>
            </w:hyperlink>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Corp. and Denis Phares.</w:t>
              </w:r>
            </w:hyperlink>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Corp. and John Marchetti.</w:t>
              </w:r>
            </w:hyperlink>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First Amended and Restated Employment Agreement, dated February 24, 2023, by and between</w:t>
              </w:r>
            </w:hyperlink>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Dragonfly Energy Holdings Corp. and John Marchetti.</w:t>
              </w:r>
            </w:hyperlink>
          </w:p>
        </w:tc>
        <w:tc>
          <w:tcPr>
            <w:tcW w:w="356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5"/>
              </w:rPr>
              <w:t>Separation Agreement by and between Dragonfly Energy Holdings Corp. and Sean Nichols, dated</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October 25, 2022.</w:t>
            </w: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0"/>
              </w:rPr>
              <w:t>First Amendment to Separation Agreement by and between Dragonfly Energy Holdings Corp. and Sean</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Nichols, dated November 14, 2022.</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3"/>
              </w:rPr>
              <w:t>Asset Purchase Agreement, dated April 22, 2022, by and among Dragonfly Energy Corp., Thomason</w:t>
            </w:r>
          </w:p>
        </w:tc>
      </w:tr>
      <w:tr>
        <w:trPr>
          <w:trHeight w:val="196"/>
        </w:trPr>
        <w:tc>
          <w:tcPr>
            <w:tcW w:w="1100" w:type="dxa"/>
            <w:vAlign w:val="bottom"/>
          </w:tcPr>
          <w:p>
            <w:pPr>
              <w:spacing w:after="0"/>
              <w:rPr>
                <w:sz w:val="17"/>
                <w:szCs w:val="17"/>
                <w:color w:val="auto"/>
              </w:rPr>
            </w:pPr>
          </w:p>
        </w:tc>
        <w:tc>
          <w:tcPr>
            <w:tcW w:w="44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0"/>
              </w:rPr>
              <w:t>Jones Company, LLC, William Thomason and Richard Jones.</w:t>
            </w:r>
          </w:p>
        </w:tc>
        <w:tc>
          <w:tcPr>
            <w:tcW w:w="3040" w:type="dxa"/>
            <w:vAlign w:val="bottom"/>
            <w:gridSpan w:val="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7"/>
              </w:rPr>
              <w:t>Manufacturing Supply Agreement, dated November 19, 2021, by and between Dragonfly Energy</w:t>
            </w:r>
          </w:p>
        </w:tc>
      </w:tr>
      <w:tr>
        <w:trPr>
          <w:trHeight w:val="196"/>
        </w:trPr>
        <w:tc>
          <w:tcPr>
            <w:tcW w:w="1100" w:type="dxa"/>
            <w:vAlign w:val="bottom"/>
          </w:tcPr>
          <w:p>
            <w:pPr>
              <w:spacing w:after="0"/>
              <w:rPr>
                <w:sz w:val="17"/>
                <w:szCs w:val="17"/>
                <w:color w:val="auto"/>
              </w:rPr>
            </w:pPr>
          </w:p>
        </w:tc>
        <w:tc>
          <w:tcPr>
            <w:tcW w:w="32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0"/>
              </w:rPr>
              <w:t>Holdings Corp. and Keystone RV Company.</w:t>
            </w:r>
          </w:p>
        </w:tc>
        <w:tc>
          <w:tcPr>
            <w:tcW w:w="430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1"/>
              </w:rPr>
              <w:t>Asset Purchase Agreement, dated January 1, 2022, by and between Dragonfly Energy Holdings Corp.</w:t>
            </w:r>
          </w:p>
        </w:tc>
      </w:tr>
      <w:tr>
        <w:trPr>
          <w:trHeight w:val="196"/>
        </w:trPr>
        <w:tc>
          <w:tcPr>
            <w:tcW w:w="110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9"/>
              </w:rPr>
              <w:t>and Bourns Productions, Inc.</w:t>
            </w:r>
          </w:p>
        </w:tc>
        <w:tc>
          <w:tcPr>
            <w:tcW w:w="5400" w:type="dxa"/>
            <w:vAlign w:val="bottom"/>
            <w:gridSpan w:val="1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4"/>
              </w:rPr>
              <w:t>Assignment and Assumption Agreement, dated January 1, 2022, by and between Dragonfly Energy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Corp. and Bourns Productions, Inc.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4"/>
              </w:rPr>
              <w:t>Assignment and Assumption of Lease Agreement, dated January 1, 2022, by and among Dragonfly</w:t>
            </w:r>
          </w:p>
        </w:tc>
      </w:tr>
      <w:tr>
        <w:trPr>
          <w:trHeight w:val="196"/>
        </w:trPr>
        <w:tc>
          <w:tcPr>
            <w:tcW w:w="1100" w:type="dxa"/>
            <w:vAlign w:val="bottom"/>
          </w:tcPr>
          <w:p>
            <w:pPr>
              <w:spacing w:after="0"/>
              <w:rPr>
                <w:sz w:val="17"/>
                <w:szCs w:val="17"/>
                <w:color w:val="auto"/>
              </w:rPr>
            </w:pPr>
          </w:p>
        </w:tc>
        <w:tc>
          <w:tcPr>
            <w:tcW w:w="500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0"/>
              </w:rPr>
              <w:t>Energy Corp., Bourns Productions, Inc. and Los Angeles &amp; Steel Co.</w:t>
            </w:r>
          </w:p>
        </w:tc>
        <w:tc>
          <w:tcPr>
            <w:tcW w:w="2500" w:type="dxa"/>
            <w:vAlign w:val="bottom"/>
            <w:gridSpan w:val="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1"/>
              </w:rPr>
              <w:t>Research and Development Lab Lease, dated April 25, 2019, by and between Dragonfly Energy Corp.</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and BRE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6"/>
              </w:rPr>
              <w:t>Amendment No. 1 to Research and Lab Lease, dated March 12, 2020, by and between Dragonfly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Energy Corp. and DRE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1"/>
              </w:rPr>
              <w:t>Amendment No. 2 to Research and Lab Lease, dated July 27, 2020, by and between Dragonfly Energy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Corp. and DRE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5"/>
              </w:rPr>
              <w:t>Amendment No. 3 to Research and Lab Lease, dated August 26, 2020, by and between Dragonfly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Energy Corp. and DRE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tcBorders>
              <w:left w:val="single" w:sz="8" w:color="0000EE"/>
            </w:tcBorders>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2"/>
              </w:rPr>
              <w:t>Amendment No. 4 to Research and Lab Lease, dated December 16, 2020, by and between Dragonfly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Energy Corp. and BRS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4"/>
              </w:rPr>
              <w:t>Amendment No. 5 to Research and Lab Lease, dated January 28, 2022, by and between Dragonfly</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Energy Corp. and BRS RS Greg Park Owner LLC.</w:t>
            </w: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08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10.39</w:t>
            </w: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Limited Waiver, dated as of March 29, 2023, to the Term Loan, Guarantee and Security Agreement,</w:t>
              </w:r>
            </w:hyperlink>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dated as of October 7, 2022, by and among Dragonfly Energy Holdings Corp., Dragonfly Energy Corp.,</w:t>
              </w:r>
            </w:hyperlink>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the lenders from time to time party thereto and Alter Domus (US) LLC.</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51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List of Subsidiaries.</w:t>
              </w:r>
            </w:hyperlink>
          </w:p>
        </w:tc>
        <w:tc>
          <w:tcPr>
            <w:tcW w:w="23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0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Consent of BDO USA, LLP.</w:t>
            </w:r>
          </w:p>
        </w:tc>
        <w:tc>
          <w:tcPr>
            <w:tcW w:w="5440" w:type="dxa"/>
            <w:vAlign w:val="bottom"/>
            <w:gridSpan w:val="1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9"/>
              </w:rPr>
              <w:t>Certification of Principal Executive Officer Required Under Rule 13a-14(a) and 15d-14(a) of the</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Securities Exchange Act of 1934, as amended.</w:t>
            </w:r>
          </w:p>
        </w:tc>
      </w:tr>
      <w:tr>
        <w:trPr>
          <w:trHeight w:val="20"/>
        </w:trPr>
        <w:tc>
          <w:tcPr>
            <w:tcW w:w="1100" w:type="dxa"/>
            <w:vAlign w:val="bottom"/>
          </w:tcPr>
          <w:p>
            <w:pPr>
              <w:spacing w:after="0" w:line="20" w:lineRule="exact"/>
              <w:rPr>
                <w:sz w:val="1"/>
                <w:szCs w:val="1"/>
                <w:color w:val="auto"/>
              </w:rPr>
            </w:pPr>
          </w:p>
        </w:tc>
        <w:tc>
          <w:tcPr>
            <w:tcW w:w="3140" w:type="dxa"/>
            <w:vAlign w:val="bottom"/>
            <w:gridSpan w:val="1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9"/>
              </w:rPr>
              <w:t>Certification of Principal Financial Officer Required Under Rule 13a-14(a) and 15d-14(a) of the</w:t>
            </w:r>
          </w:p>
        </w:tc>
      </w:tr>
      <w:tr>
        <w:trPr>
          <w:trHeight w:val="196"/>
        </w:trPr>
        <w:tc>
          <w:tcPr>
            <w:tcW w:w="1100" w:type="dxa"/>
            <w:vAlign w:val="bottom"/>
          </w:tcPr>
          <w:p>
            <w:pPr>
              <w:spacing w:after="0"/>
              <w:rPr>
                <w:sz w:val="17"/>
                <w:szCs w:val="17"/>
                <w:color w:val="auto"/>
              </w:rPr>
            </w:pPr>
          </w:p>
        </w:tc>
        <w:tc>
          <w:tcPr>
            <w:tcW w:w="7500" w:type="dxa"/>
            <w:vAlign w:val="bottom"/>
            <w:gridSpan w:val="27"/>
          </w:tcPr>
          <w:p>
            <w:pPr>
              <w:spacing w:after="0" w:line="196" w:lineRule="exact"/>
              <w:rPr>
                <w:sz w:val="20"/>
                <w:szCs w:val="20"/>
                <w:color w:val="auto"/>
              </w:rPr>
            </w:pPr>
            <w:r>
              <w:rPr>
                <w:rFonts w:ascii="Arial" w:cs="Arial" w:eastAsia="Arial" w:hAnsi="Arial"/>
                <w:sz w:val="18"/>
                <w:szCs w:val="18"/>
                <w:color w:val="0000EE"/>
              </w:rPr>
              <w:t>Securities Exchange Act of 1934, as amended.</w:t>
            </w:r>
          </w:p>
        </w:tc>
      </w:tr>
      <w:tr>
        <w:trPr>
          <w:trHeight w:val="20"/>
        </w:trPr>
        <w:tc>
          <w:tcPr>
            <w:tcW w:w="1100" w:type="dxa"/>
            <w:vAlign w:val="bottom"/>
          </w:tcPr>
          <w:p>
            <w:pPr>
              <w:spacing w:after="0" w:line="20" w:lineRule="exact"/>
              <w:rPr>
                <w:sz w:val="1"/>
                <w:szCs w:val="1"/>
                <w:color w:val="auto"/>
              </w:rPr>
            </w:pPr>
          </w:p>
        </w:tc>
        <w:tc>
          <w:tcPr>
            <w:tcW w:w="3140" w:type="dxa"/>
            <w:vAlign w:val="bottom"/>
            <w:gridSpan w:val="1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75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92"/>
              </w:rPr>
              <w:t>Certification of Chief Executive Officer Required Under Rule 13a-14(b) of the Securities Exchange Act</w:t>
            </w:r>
          </w:p>
        </w:tc>
      </w:tr>
      <w:tr>
        <w:trPr>
          <w:trHeight w:val="196"/>
        </w:trPr>
        <w:tc>
          <w:tcPr>
            <w:tcW w:w="1100" w:type="dxa"/>
            <w:vAlign w:val="bottom"/>
          </w:tcPr>
          <w:p>
            <w:pPr>
              <w:spacing w:after="0"/>
              <w:rPr>
                <w:sz w:val="17"/>
                <w:szCs w:val="17"/>
                <w:color w:val="auto"/>
              </w:rPr>
            </w:pPr>
          </w:p>
        </w:tc>
        <w:tc>
          <w:tcPr>
            <w:tcW w:w="31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8"/>
              </w:rPr>
              <w:t>of 1934, as amended, and 18 U.S.C. §1350.</w:t>
            </w:r>
          </w:p>
        </w:tc>
        <w:tc>
          <w:tcPr>
            <w:tcW w:w="4360" w:type="dxa"/>
            <w:vAlign w:val="bottom"/>
            <w:gridSpan w:val="10"/>
          </w:tcPr>
          <w:p>
            <w:pPr>
              <w:spacing w:after="0"/>
              <w:rPr>
                <w:sz w:val="17"/>
                <w:szCs w:val="17"/>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500" w:type="dxa"/>
            <w:vAlign w:val="bottom"/>
            <w:gridSpan w:val="2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7500" w:type="dxa"/>
            <w:vAlign w:val="bottom"/>
            <w:gridSpan w:val="2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10.10</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10.11</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10.12</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10.13</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10.14</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10.15</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10.16</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10.17</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10.18</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10.19</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10.20</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10.21</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10/11/2022</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ind w:left="240"/>
              <w:spacing w:after="0"/>
              <w:rPr>
                <w:sz w:val="20"/>
                <w:szCs w:val="20"/>
                <w:color w:val="auto"/>
              </w:rPr>
            </w:pPr>
            <w:r>
              <w:rPr>
                <w:rFonts w:ascii="Arial" w:cs="Arial" w:eastAsia="Arial" w:hAnsi="Arial"/>
                <w:sz w:val="18"/>
                <w:szCs w:val="18"/>
                <w:color w:val="auto"/>
              </w:rPr>
              <w:t>10.22</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11/4/2022</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ind w:left="240"/>
              <w:spacing w:after="0"/>
              <w:rPr>
                <w:sz w:val="20"/>
                <w:szCs w:val="20"/>
                <w:color w:val="auto"/>
              </w:rPr>
            </w:pPr>
            <w:r>
              <w:rPr>
                <w:rFonts w:ascii="Arial" w:cs="Arial" w:eastAsia="Arial" w:hAnsi="Arial"/>
                <w:sz w:val="18"/>
                <w:szCs w:val="18"/>
                <w:color w:val="auto"/>
              </w:rPr>
              <w:t>10.23</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11/4/2022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S-1</w:t>
            </w:r>
          </w:p>
        </w:tc>
        <w:tc>
          <w:tcPr>
            <w:tcW w:w="820" w:type="dxa"/>
            <w:vAlign w:val="bottom"/>
          </w:tcPr>
          <w:p>
            <w:pPr>
              <w:ind w:left="240"/>
              <w:spacing w:after="0"/>
              <w:rPr>
                <w:sz w:val="20"/>
                <w:szCs w:val="20"/>
                <w:color w:val="auto"/>
              </w:rPr>
            </w:pPr>
            <w:r>
              <w:rPr>
                <w:rFonts w:ascii="Arial" w:cs="Arial" w:eastAsia="Arial" w:hAnsi="Arial"/>
                <w:sz w:val="18"/>
                <w:szCs w:val="18"/>
                <w:color w:val="auto"/>
              </w:rPr>
              <w:t>10.24</w:t>
            </w:r>
          </w:p>
        </w:tc>
        <w:tc>
          <w:tcPr>
            <w:tcW w:w="1000" w:type="dxa"/>
            <w:vAlign w:val="bottom"/>
          </w:tcPr>
          <w:p>
            <w:pPr>
              <w:ind w:left="180"/>
              <w:spacing w:after="0"/>
              <w:rPr>
                <w:sz w:val="20"/>
                <w:szCs w:val="20"/>
                <w:color w:val="auto"/>
              </w:rPr>
            </w:pPr>
            <w:r>
              <w:rPr>
                <w:rFonts w:ascii="Arial" w:cs="Arial" w:eastAsia="Arial" w:hAnsi="Arial"/>
                <w:sz w:val="18"/>
                <w:szCs w:val="18"/>
                <w:color w:val="auto"/>
                <w:w w:val="99"/>
              </w:rPr>
              <w:t>11/4/2022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8-K</w:t>
            </w:r>
          </w:p>
        </w:tc>
        <w:tc>
          <w:tcPr>
            <w:tcW w:w="820" w:type="dxa"/>
            <w:vAlign w:val="bottom"/>
          </w:tcPr>
          <w:p>
            <w:pPr>
              <w:ind w:left="240"/>
              <w:spacing w:after="0"/>
              <w:rPr>
                <w:sz w:val="20"/>
                <w:szCs w:val="20"/>
                <w:color w:val="auto"/>
              </w:rPr>
            </w:pPr>
            <w:r>
              <w:rPr>
                <w:rFonts w:ascii="Arial" w:cs="Arial" w:eastAsia="Arial" w:hAnsi="Arial"/>
                <w:sz w:val="18"/>
                <w:szCs w:val="18"/>
                <w:color w:val="auto"/>
              </w:rPr>
              <w:t>10.1</w:t>
            </w:r>
          </w:p>
        </w:tc>
        <w:tc>
          <w:tcPr>
            <w:tcW w:w="1000" w:type="dxa"/>
            <w:vAlign w:val="bottom"/>
          </w:tcPr>
          <w:p>
            <w:pPr>
              <w:ind w:left="180"/>
              <w:spacing w:after="0"/>
              <w:rPr>
                <w:sz w:val="20"/>
                <w:szCs w:val="20"/>
                <w:color w:val="auto"/>
              </w:rPr>
            </w:pPr>
            <w:r>
              <w:rPr>
                <w:rFonts w:ascii="Arial" w:cs="Arial" w:eastAsia="Arial" w:hAnsi="Arial"/>
                <w:sz w:val="18"/>
                <w:szCs w:val="18"/>
                <w:color w:val="auto"/>
                <w:w w:val="88"/>
              </w:rPr>
              <w:t>03/02/2023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760" w:val="left"/>
          <w:tab w:leader="none" w:pos="1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03/29/2023</w:t>
      </w:r>
    </w:p>
    <w:p>
      <w:pPr>
        <w:spacing w:after="0" w:line="200" w:lineRule="exact"/>
        <w:rPr>
          <w:sz w:val="20"/>
          <w:szCs w:val="20"/>
          <w:color w:val="auto"/>
        </w:rPr>
      </w:pPr>
    </w:p>
    <w:p>
      <w:pPr>
        <w:spacing w:after="0" w:line="241" w:lineRule="exact"/>
        <w:rPr>
          <w:sz w:val="20"/>
          <w:szCs w:val="20"/>
          <w:color w:val="auto"/>
        </w:rPr>
      </w:pPr>
    </w:p>
    <w:p>
      <w:pPr>
        <w:spacing w:after="0"/>
        <w:tabs>
          <w:tab w:leader="none" w:pos="760" w:val="left"/>
          <w:tab w:leader="none" w:pos="152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10/11/2022</w:t>
      </w:r>
    </w:p>
    <w:p>
      <w:pPr>
        <w:sectPr>
          <w:pgSz w:w="11900" w:h="16838" w:orient="portrait"/>
          <w:cols w:equalWidth="0" w:num="2">
            <w:col w:w="8600" w:space="120"/>
            <w:col w:w="2360"/>
          </w:cols>
          <w:pgMar w:left="320" w:top="675" w:right="499" w:bottom="0" w:gutter="0" w:footer="0" w:header="0"/>
        </w:sectPr>
      </w:pPr>
    </w:p>
    <w:bookmarkStart w:id="66" w:name="page67"/>
    <w:bookmarkEnd w:id="66"/>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9" w:lineRule="exact"/>
        <w:rPr>
          <w:sz w:val="20"/>
          <w:szCs w:val="20"/>
          <w:color w:val="auto"/>
        </w:rPr>
      </w:pPr>
    </w:p>
    <w:p>
      <w:pPr>
        <w:ind w:left="340" w:hanging="332"/>
        <w:spacing w:after="0" w:line="250"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8"/>
          <w:szCs w:val="18"/>
          <w:color w:val="auto"/>
        </w:rPr>
        <w:t>Pursuant to the requirements of the Securities Act of 1933, the registrant has duly caused this Annual Report to be signed on its behalf by the undersigned, thereunto duly authorized, in Reno, Nevada, on the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April, 2023.</w:t>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 President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Annual Report has been signed by the following persons in the capacities and on the dates indicated:</w:t>
      </w:r>
    </w:p>
    <w:p>
      <w:pPr>
        <w:sectPr>
          <w:pgSz w:w="11900" w:h="16838" w:orient="portrait"/>
          <w:cols w:equalWidth="0" w:num="1">
            <w:col w:w="11240"/>
          </w:cols>
          <w:pgMar w:left="320" w:top="661" w:right="339" w:bottom="1440" w:gutter="0" w:footer="0" w:header="0"/>
        </w:sectPr>
      </w:pPr>
    </w:p>
    <w:p>
      <w:pPr>
        <w:spacing w:after="0" w:line="166" w:lineRule="exact"/>
        <w:rPr>
          <w:sz w:val="20"/>
          <w:szCs w:val="20"/>
          <w:color w:val="auto"/>
        </w:rPr>
      </w:pPr>
    </w:p>
    <w:p>
      <w:pPr>
        <w:jc w:val="right"/>
        <w:ind w:right="94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85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Denis Phares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Marchetti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Jay Bellows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Jay Bellows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Perry Boyle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Karina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Karina Edmonds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Luisa Ingargiola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Nelson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Rick Parod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8854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Rick Parod</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45"/>
        </w:trPr>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Chief Executive Officer, President and Chairman</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230"/>
        </w:trPr>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240" w:type="dxa"/>
            <w:vAlign w:val="bottom"/>
          </w:tcPr>
          <w:p>
            <w:pPr>
              <w:spacing w:after="0"/>
              <w:rPr>
                <w:sz w:val="20"/>
                <w:szCs w:val="20"/>
                <w:color w:val="auto"/>
              </w:rPr>
            </w:pPr>
          </w:p>
        </w:tc>
      </w:tr>
      <w:tr>
        <w:trPr>
          <w:trHeight w:val="44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230"/>
        </w:trPr>
        <w:tc>
          <w:tcPr>
            <w:tcW w:w="51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2240" w:type="dxa"/>
            <w:vAlign w:val="bottom"/>
          </w:tcPr>
          <w:p>
            <w:pPr>
              <w:spacing w:after="0"/>
              <w:rPr>
                <w:sz w:val="20"/>
                <w:szCs w:val="20"/>
                <w:color w:val="auto"/>
              </w:rPr>
            </w:pPr>
          </w:p>
        </w:tc>
      </w:tr>
      <w:tr>
        <w:trPr>
          <w:trHeight w:val="446"/>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7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7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7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7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75"/>
        </w:trPr>
        <w:tc>
          <w:tcPr>
            <w:tcW w:w="51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April 17, 2023</w:t>
            </w:r>
          </w:p>
        </w:tc>
      </w:tr>
      <w:tr>
        <w:trPr>
          <w:trHeight w:val="662"/>
        </w:trPr>
        <w:tc>
          <w:tcPr>
            <w:tcW w:w="4940" w:type="dxa"/>
            <w:vAlign w:val="bottom"/>
          </w:tcPr>
          <w:p>
            <w:pPr>
              <w:jc w:val="right"/>
              <w:ind w:right="29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120" w:space="720"/>
            <w:col w:w="7400"/>
          </w:cols>
          <w:pgMar w:left="320" w:top="661"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940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Supplemental Data</w:t>
            </w:r>
          </w:p>
        </w:tc>
        <w:tc>
          <w:tcPr>
            <w:tcW w:w="18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72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9"/>
              </w:rPr>
              <w:t>DRAGONFLY ENERGY HOLDINGS CORP.</w:t>
            </w:r>
          </w:p>
        </w:tc>
        <w:tc>
          <w:tcPr>
            <w:tcW w:w="184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724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4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76"/>
        </w:trPr>
        <w:tc>
          <w:tcPr>
            <w:tcW w:w="9400" w:type="dxa"/>
            <w:vAlign w:val="bottom"/>
            <w:gridSpan w:val="7"/>
            <w:shd w:val="clear" w:color="auto" w:fill="CCEC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243)</w:t>
            </w:r>
          </w:p>
        </w:tc>
        <w:tc>
          <w:tcPr>
            <w:tcW w:w="1840" w:type="dxa"/>
            <w:vAlign w:val="bottom"/>
            <w:shd w:val="clear" w:color="auto" w:fill="CCECFF"/>
          </w:tcPr>
          <w:p>
            <w:pPr>
              <w:ind w:left="1400"/>
              <w:spacing w:after="0" w:line="176" w:lineRule="exact"/>
              <w:rPr>
                <w:sz w:val="20"/>
                <w:szCs w:val="20"/>
                <w:color w:val="auto"/>
              </w:rPr>
            </w:pPr>
            <w:r>
              <w:rPr>
                <w:rFonts w:ascii="Arial" w:cs="Arial" w:eastAsia="Arial" w:hAnsi="Arial"/>
                <w:sz w:val="18"/>
                <w:szCs w:val="18"/>
                <w:color w:val="auto"/>
              </w:rPr>
              <w:t>F-2</w:t>
            </w:r>
          </w:p>
        </w:tc>
      </w:tr>
      <w:tr>
        <w:trPr>
          <w:trHeight w:val="20"/>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20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CCECFF"/>
            </w:tcBorders>
            <w:shd w:val="clear" w:color="auto" w:fill="CCECFF"/>
          </w:tcPr>
          <w:p>
            <w:pPr>
              <w:spacing w:after="0" w:line="20" w:lineRule="exact"/>
              <w:rPr>
                <w:sz w:val="1"/>
                <w:szCs w:val="1"/>
                <w:color w:val="auto"/>
              </w:rPr>
            </w:pPr>
          </w:p>
        </w:tc>
        <w:tc>
          <w:tcPr>
            <w:tcW w:w="800" w:type="dxa"/>
            <w:vAlign w:val="bottom"/>
            <w:tcBorders>
              <w:top w:val="single" w:sz="8" w:color="CCECFF"/>
            </w:tcBorders>
            <w:shd w:val="clear" w:color="auto" w:fill="CCECFF"/>
          </w:tcPr>
          <w:p>
            <w:pPr>
              <w:spacing w:after="0" w:line="20" w:lineRule="exact"/>
              <w:rPr>
                <w:sz w:val="1"/>
                <w:szCs w:val="1"/>
                <w:color w:val="auto"/>
              </w:rPr>
            </w:pPr>
          </w:p>
        </w:tc>
        <w:tc>
          <w:tcPr>
            <w:tcW w:w="940" w:type="dxa"/>
            <w:vAlign w:val="bottom"/>
            <w:tcBorders>
              <w:top w:val="single" w:sz="8" w:color="CCECFF"/>
            </w:tcBorders>
            <w:shd w:val="clear" w:color="auto" w:fill="CCECFF"/>
          </w:tcPr>
          <w:p>
            <w:pPr>
              <w:spacing w:after="0" w:line="20" w:lineRule="exact"/>
              <w:rPr>
                <w:sz w:val="1"/>
                <w:szCs w:val="1"/>
                <w:color w:val="auto"/>
              </w:rPr>
            </w:pPr>
          </w:p>
        </w:tc>
        <w:tc>
          <w:tcPr>
            <w:tcW w:w="1600" w:type="dxa"/>
            <w:vAlign w:val="bottom"/>
            <w:tcBorders>
              <w:top w:val="single" w:sz="8" w:color="CCECFF"/>
            </w:tcBorders>
            <w:shd w:val="clear" w:color="auto" w:fill="CCECFF"/>
          </w:tcPr>
          <w:p>
            <w:pPr>
              <w:spacing w:after="0" w:line="20" w:lineRule="exact"/>
              <w:rPr>
                <w:sz w:val="1"/>
                <w:szCs w:val="1"/>
                <w:color w:val="auto"/>
              </w:rPr>
            </w:pPr>
          </w:p>
        </w:tc>
        <w:tc>
          <w:tcPr>
            <w:tcW w:w="1400" w:type="dxa"/>
            <w:vAlign w:val="bottom"/>
            <w:tcBorders>
              <w:top w:val="single" w:sz="8" w:color="CCECFF"/>
            </w:tcBorders>
            <w:shd w:val="clear" w:color="auto" w:fill="CCECFF"/>
          </w:tcPr>
          <w:p>
            <w:pPr>
              <w:spacing w:after="0" w:line="20" w:lineRule="exact"/>
              <w:rPr>
                <w:sz w:val="1"/>
                <w:szCs w:val="1"/>
                <w:color w:val="auto"/>
              </w:rPr>
            </w:pPr>
          </w:p>
        </w:tc>
        <w:tc>
          <w:tcPr>
            <w:tcW w:w="184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940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1840" w:type="dxa"/>
            <w:vAlign w:val="bottom"/>
          </w:tcPr>
          <w:p>
            <w:pPr>
              <w:ind w:left="1400"/>
              <w:spacing w:after="0" w:line="176" w:lineRule="exact"/>
              <w:rPr>
                <w:sz w:val="20"/>
                <w:szCs w:val="20"/>
                <w:color w:val="auto"/>
              </w:rPr>
            </w:pPr>
            <w:r>
              <w:rPr>
                <w:rFonts w:ascii="Arial" w:cs="Arial" w:eastAsia="Arial" w:hAnsi="Arial"/>
                <w:sz w:val="18"/>
                <w:szCs w:val="18"/>
                <w:color w:val="auto"/>
              </w:rPr>
              <w:t>F-3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75"/>
        </w:trPr>
        <w:tc>
          <w:tcPr>
            <w:tcW w:w="9400" w:type="dxa"/>
            <w:vAlign w:val="bottom"/>
            <w:gridSpan w:val="7"/>
            <w:shd w:val="clear" w:color="auto" w:fill="CCECFF"/>
          </w:tcPr>
          <w:p>
            <w:pPr>
              <w:spacing w:after="0" w:line="17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1840" w:type="dxa"/>
            <w:vAlign w:val="bottom"/>
            <w:shd w:val="clear" w:color="auto" w:fill="CCECFF"/>
          </w:tcPr>
          <w:p>
            <w:pPr>
              <w:ind w:left="1400"/>
              <w:spacing w:after="0" w:line="176" w:lineRule="exact"/>
              <w:rPr>
                <w:sz w:val="20"/>
                <w:szCs w:val="20"/>
                <w:color w:val="auto"/>
              </w:rPr>
            </w:pPr>
            <w:r>
              <w:rPr>
                <w:rFonts w:ascii="Arial" w:cs="Arial" w:eastAsia="Arial" w:hAnsi="Arial"/>
                <w:sz w:val="18"/>
                <w:szCs w:val="18"/>
                <w:color w:val="auto"/>
              </w:rPr>
              <w:t>F-4</w:t>
            </w:r>
          </w:p>
        </w:tc>
      </w:tr>
      <w:tr>
        <w:trPr>
          <w:trHeight w:val="21"/>
        </w:trPr>
        <w:tc>
          <w:tcPr>
            <w:tcW w:w="2160" w:type="dxa"/>
            <w:vAlign w:val="bottom"/>
            <w:tcBorders>
              <w:top w:val="single" w:sz="8" w:color="0000EE"/>
            </w:tcBorders>
            <w:shd w:val="clear" w:color="auto" w:fill="CCECFF"/>
          </w:tcPr>
          <w:p>
            <w:pPr>
              <w:spacing w:after="0" w:line="20" w:lineRule="exact"/>
              <w:rPr>
                <w:sz w:val="1"/>
                <w:szCs w:val="1"/>
                <w:color w:val="auto"/>
              </w:rPr>
            </w:pPr>
          </w:p>
        </w:tc>
        <w:tc>
          <w:tcPr>
            <w:tcW w:w="2060" w:type="dxa"/>
            <w:vAlign w:val="bottom"/>
            <w:tcBorders>
              <w:top w:val="single" w:sz="8" w:color="0000EE"/>
            </w:tcBorders>
            <w:shd w:val="clear" w:color="auto" w:fill="CCECFF"/>
          </w:tcPr>
          <w:p>
            <w:pPr>
              <w:spacing w:after="0" w:line="20" w:lineRule="exact"/>
              <w:rPr>
                <w:sz w:val="1"/>
                <w:szCs w:val="1"/>
                <w:color w:val="auto"/>
              </w:rPr>
            </w:pPr>
          </w:p>
        </w:tc>
        <w:tc>
          <w:tcPr>
            <w:tcW w:w="440" w:type="dxa"/>
            <w:vAlign w:val="bottom"/>
            <w:tcBorders>
              <w:top w:val="single" w:sz="8" w:color="0000EE"/>
            </w:tcBorders>
            <w:shd w:val="clear" w:color="auto" w:fill="CCECFF"/>
          </w:tcPr>
          <w:p>
            <w:pPr>
              <w:spacing w:after="0" w:line="20" w:lineRule="exact"/>
              <w:rPr>
                <w:sz w:val="1"/>
                <w:szCs w:val="1"/>
                <w:color w:val="auto"/>
              </w:rPr>
            </w:pPr>
          </w:p>
        </w:tc>
        <w:tc>
          <w:tcPr>
            <w:tcW w:w="800" w:type="dxa"/>
            <w:vAlign w:val="bottom"/>
            <w:tcBorders>
              <w:top w:val="single" w:sz="8" w:color="0000EE"/>
            </w:tcBorders>
            <w:shd w:val="clear" w:color="auto" w:fill="CCECFF"/>
          </w:tcPr>
          <w:p>
            <w:pPr>
              <w:spacing w:after="0" w:line="20" w:lineRule="exact"/>
              <w:rPr>
                <w:sz w:val="1"/>
                <w:szCs w:val="1"/>
                <w:color w:val="auto"/>
              </w:rPr>
            </w:pPr>
          </w:p>
        </w:tc>
        <w:tc>
          <w:tcPr>
            <w:tcW w:w="940" w:type="dxa"/>
            <w:vAlign w:val="bottom"/>
            <w:tcBorders>
              <w:top w:val="single" w:sz="8" w:color="0000EE"/>
            </w:tcBorders>
            <w:shd w:val="clear" w:color="auto" w:fill="CCECFF"/>
          </w:tcPr>
          <w:p>
            <w:pPr>
              <w:spacing w:after="0" w:line="20" w:lineRule="exact"/>
              <w:rPr>
                <w:sz w:val="1"/>
                <w:szCs w:val="1"/>
                <w:color w:val="auto"/>
              </w:rPr>
            </w:pPr>
          </w:p>
        </w:tc>
        <w:tc>
          <w:tcPr>
            <w:tcW w:w="1600" w:type="dxa"/>
            <w:vAlign w:val="bottom"/>
            <w:tcBorders>
              <w:top w:val="single" w:sz="8" w:color="CCECFF"/>
            </w:tcBorders>
            <w:shd w:val="clear" w:color="auto" w:fill="CCECFF"/>
          </w:tcPr>
          <w:p>
            <w:pPr>
              <w:spacing w:after="0" w:line="20" w:lineRule="exact"/>
              <w:rPr>
                <w:sz w:val="1"/>
                <w:szCs w:val="1"/>
                <w:color w:val="auto"/>
              </w:rPr>
            </w:pPr>
          </w:p>
        </w:tc>
        <w:tc>
          <w:tcPr>
            <w:tcW w:w="1400" w:type="dxa"/>
            <w:vAlign w:val="bottom"/>
            <w:tcBorders>
              <w:top w:val="single" w:sz="8" w:color="CCECFF"/>
            </w:tcBorders>
            <w:shd w:val="clear" w:color="auto" w:fill="CCECFF"/>
          </w:tcPr>
          <w:p>
            <w:pPr>
              <w:spacing w:after="0" w:line="20" w:lineRule="exact"/>
              <w:rPr>
                <w:sz w:val="1"/>
                <w:szCs w:val="1"/>
                <w:color w:val="auto"/>
              </w:rPr>
            </w:pPr>
          </w:p>
        </w:tc>
        <w:tc>
          <w:tcPr>
            <w:tcW w:w="1840" w:type="dxa"/>
            <w:vAlign w:val="bottom"/>
            <w:tcBorders>
              <w:top w:val="single" w:sz="8" w:color="CCECFF"/>
            </w:tcBorders>
            <w:shd w:val="clear" w:color="auto" w:fill="CCECFF"/>
          </w:tcPr>
          <w:p>
            <w:pPr>
              <w:spacing w:after="0" w:line="20" w:lineRule="exact"/>
              <w:rPr>
                <w:sz w:val="1"/>
                <w:szCs w:val="1"/>
                <w:color w:val="auto"/>
              </w:rPr>
            </w:pPr>
          </w:p>
        </w:tc>
      </w:tr>
      <w:tr>
        <w:trPr>
          <w:trHeight w:val="175"/>
        </w:trPr>
        <w:tc>
          <w:tcPr>
            <w:tcW w:w="9400" w:type="dxa"/>
            <w:vAlign w:val="bottom"/>
            <w:gridSpan w:val="7"/>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for the years ended December 31, 2022 and 2021</w:t>
            </w:r>
          </w:p>
        </w:tc>
        <w:tc>
          <w:tcPr>
            <w:tcW w:w="1840" w:type="dxa"/>
            <w:vAlign w:val="bottom"/>
          </w:tcPr>
          <w:p>
            <w:pPr>
              <w:ind w:left="1400"/>
              <w:spacing w:after="0" w:line="176" w:lineRule="exact"/>
              <w:rPr>
                <w:sz w:val="20"/>
                <w:szCs w:val="20"/>
                <w:color w:val="auto"/>
              </w:rPr>
            </w:pPr>
            <w:r>
              <w:rPr>
                <w:rFonts w:ascii="Arial" w:cs="Arial" w:eastAsia="Arial" w:hAnsi="Arial"/>
                <w:sz w:val="18"/>
                <w:szCs w:val="18"/>
                <w:color w:val="auto"/>
              </w:rPr>
              <w:t>F-5</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400" w:type="dxa"/>
            <w:vAlign w:val="bottom"/>
            <w:gridSpan w:val="7"/>
            <w:shd w:val="clear" w:color="auto" w:fill="CCEC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1840" w:type="dxa"/>
            <w:vAlign w:val="bottom"/>
            <w:shd w:val="clear" w:color="auto" w:fill="CCECFF"/>
          </w:tcPr>
          <w:p>
            <w:pPr>
              <w:ind w:left="1400"/>
              <w:spacing w:after="0" w:line="176" w:lineRule="exact"/>
              <w:rPr>
                <w:sz w:val="20"/>
                <w:szCs w:val="20"/>
                <w:color w:val="auto"/>
              </w:rPr>
            </w:pPr>
            <w:r>
              <w:rPr>
                <w:rFonts w:ascii="Arial" w:cs="Arial" w:eastAsia="Arial" w:hAnsi="Arial"/>
                <w:sz w:val="18"/>
                <w:szCs w:val="18"/>
                <w:color w:val="auto"/>
              </w:rPr>
              <w:t>F-6</w:t>
            </w:r>
          </w:p>
        </w:tc>
      </w:tr>
      <w:tr>
        <w:trPr>
          <w:trHeight w:val="176"/>
        </w:trPr>
        <w:tc>
          <w:tcPr>
            <w:tcW w:w="546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3940" w:type="dxa"/>
            <w:vAlign w:val="bottom"/>
            <w:tcBorders>
              <w:top w:val="single" w:sz="8" w:color="CCECFF"/>
            </w:tcBorders>
            <w:gridSpan w:val="3"/>
          </w:tcPr>
          <w:p>
            <w:pPr>
              <w:spacing w:after="0"/>
              <w:rPr>
                <w:sz w:val="15"/>
                <w:szCs w:val="15"/>
                <w:color w:val="auto"/>
              </w:rPr>
            </w:pPr>
          </w:p>
        </w:tc>
        <w:tc>
          <w:tcPr>
            <w:tcW w:w="1840" w:type="dxa"/>
            <w:vAlign w:val="bottom"/>
            <w:tcBorders>
              <w:top w:val="single" w:sz="8" w:color="CCECFF"/>
            </w:tcBorders>
          </w:tcPr>
          <w:p>
            <w:pPr>
              <w:ind w:left="1400"/>
              <w:spacing w:after="0" w:line="176" w:lineRule="exact"/>
              <w:rPr>
                <w:sz w:val="20"/>
                <w:szCs w:val="20"/>
                <w:color w:val="auto"/>
              </w:rPr>
            </w:pPr>
            <w:r>
              <w:rPr>
                <w:rFonts w:ascii="Arial" w:cs="Arial" w:eastAsia="Arial" w:hAnsi="Arial"/>
                <w:sz w:val="18"/>
                <w:szCs w:val="18"/>
                <w:color w:val="auto"/>
              </w:rPr>
              <w:t>F-7</w:t>
            </w:r>
          </w:p>
        </w:tc>
      </w:tr>
      <w:tr>
        <w:trPr>
          <w:trHeight w:val="459"/>
        </w:trPr>
        <w:tc>
          <w:tcPr>
            <w:tcW w:w="2160" w:type="dxa"/>
            <w:vAlign w:val="bottom"/>
            <w:tcBorders>
              <w:top w:val="single" w:sz="8" w:color="0000EE"/>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3"/>
          </w:tcPr>
          <w:p>
            <w:pPr>
              <w:jc w:val="center"/>
              <w:ind w:right="3620"/>
              <w:spacing w:after="0"/>
              <w:rPr>
                <w:sz w:val="20"/>
                <w:szCs w:val="20"/>
                <w:color w:val="auto"/>
              </w:rPr>
            </w:pPr>
            <w:r>
              <w:rPr>
                <w:rFonts w:ascii="Arial" w:cs="Arial" w:eastAsia="Arial" w:hAnsi="Arial"/>
                <w:sz w:val="18"/>
                <w:szCs w:val="18"/>
                <w:color w:val="auto"/>
                <w:w w:val="88"/>
              </w:rPr>
              <w:t>F-1</w:t>
            </w:r>
          </w:p>
        </w:tc>
        <w:tc>
          <w:tcPr>
            <w:tcW w:w="1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17,781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25,586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1,624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73,489</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66,081</w:t>
            </w:r>
          </w:p>
        </w:tc>
        <w:tc>
          <w:tcPr>
            <w:tcW w:w="100" w:type="dxa"/>
            <w:vAlign w:val="bottom"/>
            <w:tcBorders>
              <w:top w:val="single" w:sz="8" w:color="CCEEFF"/>
              <w:bottom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10,214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1,709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Vehicle</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12,393</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5,318</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10,760</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4,461</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r>
      <w:tr>
        <w:trPr>
          <w:trHeight w:val="257"/>
        </w:trPr>
        <w:tc>
          <w:tcPr>
            <w:tcW w:w="74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top w:val="single" w:sz="8" w:color="CCEEFF"/>
              <w:bottom w:val="single" w:sz="8" w:color="CCEEFF"/>
            </w:tcBorders>
          </w:tcPr>
          <w:p>
            <w:pPr>
              <w:spacing w:after="0"/>
              <w:rPr>
                <w:sz w:val="22"/>
                <w:szCs w:val="22"/>
                <w:color w:val="auto"/>
              </w:rPr>
            </w:pPr>
          </w:p>
        </w:tc>
      </w:tr>
      <w:tr>
        <w:trPr>
          <w:trHeight w:val="224"/>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13,475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current portion,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1,188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payable-noncurrent,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32,831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 long-term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170,000,000 shares, $0.0001 par value, authorized, 43,272,728 and 36,496,998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2022 and 2021,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2022 and 2021,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38,461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 earnings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(27,133)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bottom w:val="single" w:sz="8" w:color="CCEEFF"/>
            </w:tcBorders>
          </w:tcPr>
          <w:p>
            <w:pPr>
              <w:spacing w:after="0"/>
              <w:rPr>
                <w:sz w:val="18"/>
                <w:szCs w:val="18"/>
                <w:color w:val="auto"/>
              </w:rPr>
            </w:pPr>
          </w:p>
        </w:tc>
      </w:tr>
      <w:tr>
        <w:trPr>
          <w:trHeight w:val="230"/>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b w:val="1"/>
                <w:bCs w:val="1"/>
                <w:color w:val="auto"/>
              </w:rPr>
              <w:t>Cost of Goods Sold</w:t>
            </w: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62,247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48,375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24,004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41,566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13,671</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Income From Operations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(6,945)</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(4,824)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(40,280</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Earnings Per Share – Basic</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(Loss) Earnings Per Share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 Basic</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38,565,307</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35,579,137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38,565,307</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37,742,337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480" w:type="dxa"/>
            <w:vAlign w:val="bottom"/>
            <w:gridSpan w:val="3"/>
          </w:tcPr>
          <w:p>
            <w:pPr>
              <w:ind w:left="520"/>
              <w:spacing w:after="0"/>
              <w:rPr>
                <w:sz w:val="20"/>
                <w:szCs w:val="20"/>
                <w:color w:val="auto"/>
              </w:rPr>
            </w:pPr>
            <w:r>
              <w:rPr>
                <w:rFonts w:ascii="Arial" w:cs="Arial" w:eastAsia="Arial" w:hAnsi="Arial"/>
                <w:sz w:val="18"/>
                <w:szCs w:val="18"/>
                <w:b w:val="1"/>
                <w:bCs w:val="1"/>
                <w:color w:val="auto"/>
                <w:w w:val="88"/>
              </w:rPr>
              <w:t>Redeemable</w:t>
            </w: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rPr>
              <w:t>Additional</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860" w:type="dxa"/>
            <w:vAlign w:val="bottom"/>
          </w:tcPr>
          <w:p>
            <w:pPr>
              <w:spacing w:after="0"/>
              <w:rPr>
                <w:sz w:val="20"/>
                <w:szCs w:val="20"/>
                <w:color w:val="auto"/>
              </w:rPr>
            </w:pPr>
          </w:p>
        </w:tc>
        <w:tc>
          <w:tcPr>
            <w:tcW w:w="2080" w:type="dxa"/>
            <w:vAlign w:val="bottom"/>
            <w:tcBorders>
              <w:right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20"/>
                <w:szCs w:val="20"/>
                <w:color w:val="auto"/>
              </w:rPr>
            </w:pPr>
          </w:p>
        </w:tc>
        <w:tc>
          <w:tcPr>
            <w:tcW w:w="1660" w:type="dxa"/>
            <w:vAlign w:val="bottom"/>
            <w:gridSpan w:val="4"/>
          </w:tcPr>
          <w:p>
            <w:pPr>
              <w:ind w:left="340"/>
              <w:spacing w:after="0"/>
              <w:rPr>
                <w:sz w:val="20"/>
                <w:szCs w:val="20"/>
                <w:color w:val="auto"/>
              </w:rPr>
            </w:pPr>
            <w:r>
              <w:rPr>
                <w:rFonts w:ascii="Arial" w:cs="Arial" w:eastAsia="Arial" w:hAnsi="Arial"/>
                <w:sz w:val="18"/>
                <w:szCs w:val="18"/>
                <w:b w:val="1"/>
                <w:bCs w:val="1"/>
                <w:color w:val="auto"/>
                <w:w w:val="98"/>
              </w:rPr>
              <w:t>Common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Paid-In</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Capital</w:t>
            </w:r>
          </w:p>
        </w:tc>
        <w:tc>
          <w:tcPr>
            <w:tcW w:w="100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w w:val="95"/>
              </w:rPr>
              <w:t>(Deficit)</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20,040,470</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(2,000)</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15,469,477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3"/>
        </w:trPr>
        <w:tc>
          <w:tcPr>
            <w:tcW w:w="3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35,509,947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2,451</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8,100</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10,555</w:t>
            </w:r>
          </w:p>
        </w:tc>
        <w:tc>
          <w:tcPr>
            <w:tcW w:w="100" w:type="dxa"/>
            <w:vAlign w:val="bottom"/>
            <w:tcBorders>
              <w:top w:val="single" w:sz="8" w:color="CCEEFF"/>
            </w:tcBorders>
          </w:tcPr>
          <w:p>
            <w:pPr>
              <w:spacing w:after="0"/>
              <w:rPr>
                <w:sz w:val="17"/>
                <w:szCs w:val="17"/>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987,051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36,496,998</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12,438</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Balance -January 1, 2022, after giving effect to</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recapitalization</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36,496,998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12,438</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16"/>
        </w:trPr>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(39,571)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(39,571)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 purchase agreement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1,498,301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581,351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Reverse capitalization, net of transaction costs</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(See Note 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4,238,936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r>
      <w:tr>
        <w:trPr>
          <w:trHeight w:val="236"/>
        </w:trPr>
        <w:tc>
          <w:tcPr>
            <w:tcW w:w="38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r>
      <w:tr>
        <w:trPr>
          <w:trHeight w:val="23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43,272,728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(27,133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Net (Loss) Income</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(39,571)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2,467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extinguishment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4,824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1,822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(paid-in-kind)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Assumption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1,990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(769)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(22,719)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(1,467)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5,459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1,196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(1,156)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4,428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6"/>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(45,696</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(6,862)</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Repayment from note payable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(45,000)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revolving note agreement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note agreement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41,674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Restricted Cash</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Beginning cash and restricted cash</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28,630</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restricted cash</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773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2,252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Items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 of options exercised</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Recognition of right of use asset obtained in exchange for operating lease liability</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Cashless exercise of liability classified warrants</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16,669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Dragonfly Energy Holdings Corp. (“</w:t>
      </w:r>
      <w:r>
        <w:rPr>
          <w:rFonts w:ascii="Arial" w:cs="Arial" w:eastAsia="Arial" w:hAnsi="Arial"/>
          <w:sz w:val="18"/>
          <w:szCs w:val="18"/>
          <w:b w:val="1"/>
          <w:bCs w:val="1"/>
          <w:color w:val="auto"/>
        </w:rPr>
        <w:t>New Dragonfly</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October 7, 2022, a merger transaction between Chardan NexTech Acquisition 2 Corporation (“</w:t>
      </w:r>
      <w:r>
        <w:rPr>
          <w:rFonts w:ascii="Arial" w:cs="Arial" w:eastAsia="Arial" w:hAnsi="Arial"/>
          <w:sz w:val="16"/>
          <w:szCs w:val="16"/>
          <w:b w:val="1"/>
          <w:bCs w:val="1"/>
          <w:color w:val="auto"/>
        </w:rPr>
        <w:t>CNTQ</w:t>
      </w:r>
      <w:r>
        <w:rPr>
          <w:rFonts w:ascii="Arial" w:cs="Arial" w:eastAsia="Arial" w:hAnsi="Arial"/>
          <w:sz w:val="16"/>
          <w:szCs w:val="16"/>
          <w:color w:val="auto"/>
        </w:rPr>
        <w:t>”), Dragonfly Energy Corp. (“</w:t>
      </w:r>
      <w:r>
        <w:rPr>
          <w:rFonts w:ascii="Arial" w:cs="Arial" w:eastAsia="Arial" w:hAnsi="Arial"/>
          <w:sz w:val="16"/>
          <w:szCs w:val="16"/>
          <w:b w:val="1"/>
          <w:bCs w:val="1"/>
          <w:color w:val="auto"/>
        </w:rPr>
        <w:t>Legacy</w:t>
      </w:r>
      <w:r>
        <w:rPr>
          <w:rFonts w:ascii="Arial" w:cs="Arial" w:eastAsia="Arial" w:hAnsi="Arial"/>
          <w:sz w:val="16"/>
          <w:szCs w:val="16"/>
          <w:color w:val="auto"/>
        </w:rPr>
        <w:t xml:space="preserve"> </w:t>
      </w:r>
      <w:r>
        <w:rPr>
          <w:rFonts w:ascii="Arial" w:cs="Arial" w:eastAsia="Arial" w:hAnsi="Arial"/>
          <w:sz w:val="16"/>
          <w:szCs w:val="16"/>
          <w:b w:val="1"/>
          <w:bCs w:val="1"/>
          <w:color w:val="auto"/>
        </w:rPr>
        <w:t>Dragonfly</w:t>
      </w:r>
      <w:r>
        <w:rPr>
          <w:rFonts w:ascii="Arial" w:cs="Arial" w:eastAsia="Arial" w:hAnsi="Arial"/>
          <w:sz w:val="16"/>
          <w:szCs w:val="16"/>
          <w:color w:val="auto"/>
        </w:rPr>
        <w:t>”), and Bronco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was completed pursuant to which Merger Sub was merged with and into Legacy Dragonfly,</w:t>
      </w:r>
      <w:r>
        <w:rPr>
          <w:rFonts w:ascii="Arial" w:cs="Arial" w:eastAsia="Arial" w:hAnsi="Arial"/>
          <w:sz w:val="16"/>
          <w:szCs w:val="16"/>
          <w:b w:val="1"/>
          <w:bCs w:val="1"/>
          <w:color w:val="auto"/>
        </w:rPr>
        <w:t xml:space="preserve"> </w:t>
      </w:r>
      <w:r>
        <w:rPr>
          <w:rFonts w:ascii="Arial" w:cs="Arial" w:eastAsia="Arial" w:hAnsi="Arial"/>
          <w:sz w:val="16"/>
          <w:szCs w:val="16"/>
          <w:color w:val="auto"/>
        </w:rPr>
        <w:t>with Legacy Dragonfly surviving the merger. As a result of the merger, Legacy Dragonfly became a wholly owned subsidiary of New Dragonfly.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Arial" w:cs="Arial" w:eastAsia="Arial" w:hAnsi="Arial"/>
          <w:sz w:val="17"/>
          <w:szCs w:val="17"/>
          <w:i w:val="1"/>
          <w:iCs w:val="1"/>
          <w:color w:val="auto"/>
        </w:rPr>
        <w:t>Note 3 – Reverse Capitalization</w:t>
      </w:r>
      <w:r>
        <w:rPr>
          <w:rFonts w:ascii="Arial" w:cs="Arial" w:eastAsia="Arial" w:hAnsi="Arial"/>
          <w:sz w:val="17"/>
          <w:szCs w:val="17"/>
          <w:color w:val="auto"/>
        </w:rPr>
        <w:t xml:space="preserve"> for further details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pursuant to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accordance with generally accepted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present the consolidated financial statements of the Company and its wholly owned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w:t>
      </w:r>
      <w:r>
        <w:rPr>
          <w:rFonts w:ascii="Arial" w:cs="Arial" w:eastAsia="Arial" w:hAnsi="Arial"/>
          <w:sz w:val="16"/>
          <w:szCs w:val="16"/>
          <w:b w:val="1"/>
          <w:bCs w:val="1"/>
          <w:color w:val="auto"/>
        </w:rPr>
        <w:t>Term Loan</w:t>
      </w:r>
      <w:r>
        <w:rPr>
          <w:rFonts w:ascii="Arial" w:cs="Arial" w:eastAsia="Arial" w:hAnsi="Arial"/>
          <w:sz w:val="16"/>
          <w:szCs w:val="16"/>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w:t>
      </w:r>
      <w:r>
        <w:rPr>
          <w:rFonts w:ascii="Arial" w:cs="Arial" w:eastAsia="Arial" w:hAnsi="Arial"/>
          <w:sz w:val="17"/>
          <w:szCs w:val="17"/>
          <w:b w:val="1"/>
          <w:bCs w:val="1"/>
          <w:color w:val="auto"/>
        </w:rPr>
        <w:t>ASU 2020-06</w:t>
      </w:r>
      <w:r>
        <w:rPr>
          <w:rFonts w:ascii="Arial" w:cs="Arial" w:eastAsia="Arial" w:hAnsi="Arial"/>
          <w:sz w:val="17"/>
          <w:szCs w:val="17"/>
          <w:color w:val="auto"/>
        </w:rPr>
        <w:t>”) to simplify accounting for certain financial instruments. ASU 2020-06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Restricted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1900" w:h="16838" w:orient="portrait"/>
          <w:cols w:equalWidth="0" w:num="1">
            <w:col w:w="11240"/>
          </w:cols>
          <w:pgMar w:left="320" w:top="661"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740"/>
        <w:spacing w:after="0"/>
        <w:rPr>
          <w:sz w:val="20"/>
          <w:szCs w:val="20"/>
          <w:color w:val="auto"/>
        </w:rPr>
      </w:pPr>
      <w:r>
        <w:rPr>
          <w:rFonts w:ascii="Arial" w:cs="Arial" w:eastAsia="Arial" w:hAnsi="Arial"/>
          <w:sz w:val="16"/>
          <w:szCs w:val="16"/>
          <w:color w:val="auto"/>
        </w:rPr>
        <w:t>Remaining Term of Lease</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Arial" w:cs="Arial" w:eastAsia="Arial" w:hAnsi="Arial"/>
          <w:sz w:val="18"/>
          <w:szCs w:val="18"/>
          <w:b w:val="1"/>
          <w:bCs w:val="1"/>
          <w:color w:val="auto"/>
        </w:rPr>
        <w:t>ASC 480</w:t>
      </w:r>
      <w:r>
        <w:rPr>
          <w:rFonts w:ascii="Arial" w:cs="Arial" w:eastAsia="Arial" w:hAnsi="Arial"/>
          <w:sz w:val="18"/>
          <w:szCs w:val="18"/>
          <w:color w:val="auto"/>
        </w:rPr>
        <w:t>”), and ASC 815, Derivatives and Hedging (“</w:t>
      </w:r>
      <w:r>
        <w:rPr>
          <w:rFonts w:ascii="Arial" w:cs="Arial" w:eastAsia="Arial" w:hAnsi="Arial"/>
          <w:sz w:val="18"/>
          <w:szCs w:val="18"/>
          <w:b w:val="1"/>
          <w:bCs w:val="1"/>
          <w:color w:val="auto"/>
        </w:rPr>
        <w:t>ASC 815</w:t>
      </w:r>
      <w:r>
        <w:rPr>
          <w:rFonts w:ascii="Arial" w:cs="Arial" w:eastAsia="Arial" w:hAnsi="Arial"/>
          <w:sz w:val="18"/>
          <w:szCs w:val="18"/>
          <w:color w:val="auto"/>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Arial" w:cs="Arial" w:eastAsia="Arial" w:hAnsi="Arial"/>
                <w:sz w:val="18"/>
                <w:szCs w:val="18"/>
                <w:i w:val="1"/>
                <w:iCs w:val="1"/>
                <w:color w:val="auto"/>
              </w:rPr>
              <w:t>Disaggregation of Revenue: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Sales</w:t>
            </w: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Distributor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9,102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80" w:type="dxa"/>
            <w:vAlign w:val="bottom"/>
          </w:tcPr>
          <w:p>
            <w:pPr>
              <w:spacing w:after="0"/>
              <w:rPr>
                <w:sz w:val="18"/>
                <w:szCs w:val="18"/>
                <w:color w:val="auto"/>
              </w:rPr>
            </w:pPr>
          </w:p>
        </w:tc>
      </w:tr>
      <w:tr>
        <w:trPr>
          <w:trHeight w:val="25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Original equipment manufacture</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33,805</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8,225</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one customer accounted for approximately 22% of the Company’s sales for year ended December 31, 2022. There were no significant revenue concentrations for the year ended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61% of accounts payables as of December 31, 2022. There were no significant payable concentrations as of December 31,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Financing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Earnings per Common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Arial" w:cs="Arial" w:eastAsia="Arial" w:hAnsi="Arial"/>
          <w:sz w:val="16"/>
          <w:szCs w:val="16"/>
          <w:i w:val="1"/>
          <w:iCs w:val="1"/>
          <w:color w:val="auto"/>
        </w:rPr>
        <w:t xml:space="preserve">Note 3 - Reverse Capitalization </w:t>
      </w:r>
      <w:r>
        <w:rPr>
          <w:rFonts w:ascii="Arial" w:cs="Arial" w:eastAsia="Arial" w:hAnsi="Arial"/>
          <w:sz w:val="16"/>
          <w:szCs w:val="16"/>
          <w:color w:val="auto"/>
        </w:rPr>
        <w:t>for details and discussion of the retrospective adjustment of net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REVERSE CAPITALIZATION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Arial" w:cs="Arial" w:eastAsia="Arial" w:hAnsi="Arial"/>
          <w:sz w:val="18"/>
          <w:szCs w:val="18"/>
          <w:b w:val="1"/>
          <w:bCs w:val="1"/>
          <w:color w:val="auto"/>
        </w:rPr>
        <w:t>PIPE Financing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8"/>
                <w:szCs w:val="18"/>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CNTQ trust and PIPE Investors</w:t>
            </w:r>
          </w:p>
        </w:tc>
        <w:tc>
          <w:tcPr>
            <w:tcW w:w="3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CNTQ</w:t>
            </w:r>
          </w:p>
        </w:tc>
        <w:tc>
          <w:tcPr>
            <w:tcW w:w="3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liabilities assumed in merger transaction</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assumed in merger</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CNTQ note payable settlement at close</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CNTQ transaction costs paid at close</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deficit assumed in recapitalization</w:t>
            </w:r>
          </w:p>
        </w:tc>
        <w:tc>
          <w:tcPr>
            <w:tcW w:w="37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10"/>
              <w:spacing w:after="0"/>
              <w:rPr>
                <w:sz w:val="20"/>
                <w:szCs w:val="20"/>
                <w:color w:val="auto"/>
              </w:rPr>
            </w:pPr>
            <w:r>
              <w:rPr>
                <w:rFonts w:ascii="Arial" w:cs="Arial" w:eastAsia="Arial" w:hAnsi="Arial"/>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973"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Number of Shares</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merger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Less: Redemption of CNTQ shares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(2,016,912)</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CNTQ Public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CNTQ Sponsor Shares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Merger and PIPE financing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756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 xml:space="preserve">Legacy Dragonfly shares </w:t>
            </w:r>
            <w:r>
              <w:rPr>
                <w:rFonts w:ascii="Arial" w:cs="Arial" w:eastAsia="Arial" w:hAnsi="Arial"/>
                <w:sz w:val="29"/>
                <w:szCs w:val="29"/>
                <w:color w:val="auto"/>
                <w:vertAlign w:val="superscript"/>
              </w:rPr>
              <w:t>(1)(2)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29"/>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immediately after the merger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78" w:lineRule="exact"/>
        <w:rPr>
          <w:sz w:val="20"/>
          <w:szCs w:val="20"/>
          <w:color w:val="auto"/>
        </w:rPr>
      </w:pPr>
    </w:p>
    <w:p>
      <w:pPr>
        <w:ind w:left="280" w:right="20" w:hanging="209"/>
        <w:spacing w:after="0" w:line="277" w:lineRule="auto"/>
        <w:rPr>
          <w:sz w:val="20"/>
          <w:szCs w:val="20"/>
          <w:color w:val="auto"/>
        </w:rPr>
      </w:pPr>
      <w:r>
        <w:rPr>
          <w:rFonts w:ascii="Arial" w:cs="Arial" w:eastAsia="Arial" w:hAnsi="Arial"/>
          <w:sz w:val="18"/>
          <w:szCs w:val="18"/>
          <w:i w:val="1"/>
          <w:iCs w:val="1"/>
          <w:color w:val="auto"/>
        </w:rPr>
        <w:t>(2)</w:t>
      </w:r>
      <w:r>
        <w:rPr>
          <w:rFonts w:ascii="Arial" w:cs="Arial" w:eastAsia="Arial" w:hAnsi="Arial"/>
          <w:sz w:val="18"/>
          <w:szCs w:val="18"/>
          <w:color w:val="auto"/>
        </w:rPr>
        <w:t>-</w:t>
      </w:r>
      <w:r>
        <w:rPr>
          <w:rFonts w:ascii="Arial" w:cs="Arial" w:eastAsia="Arial" w:hAnsi="Arial"/>
          <w:sz w:val="18"/>
          <w:szCs w:val="18"/>
          <w:i w:val="1"/>
          <w:iCs w:val="1"/>
          <w:color w:val="auto"/>
        </w:rPr>
        <w:t>The preferred shares of Legacy Dragonfly were exchanged on a 1 to 1 ratio to common stock and the shares were then exchanged for shares of Dragonfly Energy Holdings Corp. at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reverse capitalization transaction, the Company issued public warrants, private placement warrants and Term Loan warrants. Refer to Note 12 for a further description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Arial" w:cs="Arial" w:eastAsia="Arial" w:hAnsi="Arial"/>
          <w:sz w:val="16"/>
          <w:szCs w:val="16"/>
          <w:b w:val="1"/>
          <w:bCs w:val="1"/>
          <w:color w:val="auto"/>
        </w:rPr>
        <w:t>Earnout Shares</w:t>
      </w:r>
      <w:r>
        <w:rPr>
          <w:rFonts w:ascii="Arial" w:cs="Arial" w:eastAsia="Arial" w:hAnsi="Arial"/>
          <w:sz w:val="16"/>
          <w:szCs w:val="16"/>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ASC 820, Fair Value Measurements and Disclosures (“</w:t>
      </w:r>
      <w:r>
        <w:rPr>
          <w:rFonts w:ascii="Arial" w:cs="Arial" w:eastAsia="Arial" w:hAnsi="Arial"/>
          <w:sz w:val="18"/>
          <w:szCs w:val="18"/>
          <w:b w:val="1"/>
          <w:bCs w:val="1"/>
          <w:color w:val="auto"/>
        </w:rPr>
        <w:t>ASC 820</w:t>
      </w:r>
      <w:r>
        <w:rPr>
          <w:rFonts w:ascii="Arial" w:cs="Arial" w:eastAsia="Arial" w:hAnsi="Arial"/>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3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color w:val="auto"/>
                <w:w w:val="91"/>
              </w:rPr>
              <w:t>As of December 31, 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7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Liabilities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36"/>
        </w:trPr>
        <w:tc>
          <w:tcPr>
            <w:tcW w:w="3720" w:type="dxa"/>
            <w:vAlign w:val="bottom"/>
            <w:gridSpan w:val="2"/>
          </w:tcPr>
          <w:p>
            <w:pPr>
              <w:spacing w:after="0"/>
              <w:rPr>
                <w:sz w:val="20"/>
                <w:szCs w:val="20"/>
                <w:color w:val="auto"/>
              </w:rPr>
            </w:pPr>
            <w:r>
              <w:rPr>
                <w:rFonts w:ascii="Arial" w:cs="Arial" w:eastAsia="Arial" w:hAnsi="Arial"/>
                <w:sz w:val="18"/>
                <w:szCs w:val="18"/>
                <w:color w:val="auto"/>
              </w:rPr>
              <w:t>Warrant liability-Term Loan</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80" w:type="dxa"/>
            <w:vAlign w:val="bottom"/>
          </w:tcPr>
          <w:p>
            <w:pPr>
              <w:spacing w:after="0"/>
              <w:rPr>
                <w:sz w:val="20"/>
                <w:szCs w:val="20"/>
                <w:color w:val="auto"/>
              </w:rPr>
            </w:pPr>
          </w:p>
        </w:tc>
      </w:tr>
      <w:tr>
        <w:trPr>
          <w:trHeight w:val="236"/>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3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920"/>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that were measured at fair value as of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December 31, 2022 and 2021 because of the relatively short maturity of these instruments.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5 — INVENTORY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Inventory consists of the following:</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7,260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ectPr>
          <w:pgSz w:w="11900" w:h="16838" w:orient="portrait"/>
          <w:cols w:equalWidth="0" w:num="1">
            <w:col w:w="11240"/>
          </w:cols>
          <w:pgMar w:left="320" w:top="66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left="-6"/>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left="-6"/>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1287" w:hanging="1287"/>
        <w:spacing w:after="0"/>
        <w:tabs>
          <w:tab w:leader="none" w:pos="1287" w:val="left"/>
        </w:tabs>
        <w:numPr>
          <w:ilvl w:val="0"/>
          <w:numId w:val="47"/>
        </w:numPr>
        <w:rPr>
          <w:rFonts w:ascii="Arial" w:cs="Arial" w:eastAsia="Arial" w:hAnsi="Arial"/>
          <w:sz w:val="16"/>
          <w:szCs w:val="16"/>
          <w:color w:val="auto"/>
        </w:rPr>
      </w:pPr>
      <w:r>
        <w:rPr>
          <w:rFonts w:ascii="Arial" w:cs="Arial" w:eastAsia="Arial" w:hAnsi="Arial"/>
          <w:sz w:val="16"/>
          <w:szCs w:val="16"/>
          <w:color w:val="auto"/>
        </w:rPr>
        <w:t>4,513</w:t>
      </w:r>
    </w:p>
    <w:p>
      <w:pPr>
        <w:spacing w:after="0" w:line="59"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1,188</w:t>
      </w:r>
    </w:p>
    <w:p>
      <w:pPr>
        <w:spacing w:after="0" w:line="46"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3,541</w:t>
      </w:r>
    </w:p>
    <w:p>
      <w:pPr>
        <w:spacing w:after="0" w:line="72" w:lineRule="exact"/>
        <w:rPr>
          <w:sz w:val="20"/>
          <w:szCs w:val="20"/>
          <w:color w:val="auto"/>
        </w:rPr>
      </w:pPr>
    </w:p>
    <w:p>
      <w:pPr>
        <w:ind w:left="1287" w:hanging="1287"/>
        <w:spacing w:after="0"/>
        <w:tabs>
          <w:tab w:leader="none" w:pos="1287" w:val="left"/>
        </w:tabs>
        <w:numPr>
          <w:ilvl w:val="0"/>
          <w:numId w:val="48"/>
        </w:numPr>
        <w:rPr>
          <w:rFonts w:ascii="Arial" w:cs="Arial" w:eastAsia="Arial" w:hAnsi="Arial"/>
          <w:sz w:val="16"/>
          <w:szCs w:val="16"/>
          <w:color w:val="auto"/>
        </w:rPr>
      </w:pPr>
      <w:r>
        <w:rPr>
          <w:rFonts w:ascii="Arial" w:cs="Arial" w:eastAsia="Arial" w:hAnsi="Arial"/>
          <w:sz w:val="16"/>
          <w:szCs w:val="16"/>
          <w:color w:val="auto"/>
        </w:rPr>
        <w:t>4,729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801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1262" w:hanging="1262"/>
        <w:spacing w:after="0"/>
        <w:tabs>
          <w:tab w:leader="none" w:pos="12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5,709</w:t>
      </w:r>
    </w:p>
    <w:p>
      <w:pPr>
        <w:spacing w:after="0" w:line="59" w:lineRule="exact"/>
        <w:rPr>
          <w:rFonts w:ascii="Arial" w:cs="Arial" w:eastAsia="Arial" w:hAnsi="Arial"/>
          <w:sz w:val="16"/>
          <w:szCs w:val="16"/>
          <w:color w:val="auto"/>
        </w:rPr>
      </w:pPr>
    </w:p>
    <w:p>
      <w:pPr>
        <w:ind w:left="1262"/>
        <w:spacing w:after="0"/>
        <w:rPr>
          <w:rFonts w:ascii="Arial" w:cs="Arial" w:eastAsia="Arial" w:hAnsi="Arial"/>
          <w:sz w:val="16"/>
          <w:szCs w:val="16"/>
          <w:color w:val="auto"/>
        </w:rPr>
      </w:pPr>
      <w:r>
        <w:rPr>
          <w:rFonts w:ascii="Arial" w:cs="Arial" w:eastAsia="Arial" w:hAnsi="Arial"/>
          <w:sz w:val="16"/>
          <w:szCs w:val="16"/>
          <w:color w:val="auto"/>
        </w:rPr>
        <w:t>1,082</w:t>
      </w:r>
    </w:p>
    <w:p>
      <w:pPr>
        <w:spacing w:after="0" w:line="46" w:lineRule="exact"/>
        <w:rPr>
          <w:rFonts w:ascii="Arial" w:cs="Arial" w:eastAsia="Arial" w:hAnsi="Arial"/>
          <w:sz w:val="16"/>
          <w:szCs w:val="16"/>
          <w:color w:val="auto"/>
        </w:rPr>
      </w:pPr>
    </w:p>
    <w:p>
      <w:pPr>
        <w:ind w:left="1262"/>
        <w:spacing w:after="0"/>
        <w:rPr>
          <w:rFonts w:ascii="Arial" w:cs="Arial" w:eastAsia="Arial" w:hAnsi="Arial"/>
          <w:sz w:val="16"/>
          <w:szCs w:val="16"/>
          <w:color w:val="auto"/>
        </w:rPr>
      </w:pPr>
      <w:r>
        <w:rPr>
          <w:rFonts w:ascii="Arial" w:cs="Arial" w:eastAsia="Arial" w:hAnsi="Arial"/>
          <w:sz w:val="16"/>
          <w:szCs w:val="16"/>
          <w:color w:val="auto"/>
        </w:rPr>
        <w:t>4,694</w:t>
      </w:r>
    </w:p>
    <w:p>
      <w:pPr>
        <w:spacing w:after="0" w:line="72" w:lineRule="exact"/>
        <w:rPr>
          <w:sz w:val="20"/>
          <w:szCs w:val="20"/>
          <w:color w:val="auto"/>
        </w:rPr>
      </w:pPr>
    </w:p>
    <w:p>
      <w:pPr>
        <w:ind w:left="1262" w:hanging="1262"/>
        <w:spacing w:after="0"/>
        <w:tabs>
          <w:tab w:leader="none" w:pos="1262" w:val="left"/>
        </w:tabs>
        <w:numPr>
          <w:ilvl w:val="0"/>
          <w:numId w:val="50"/>
        </w:numPr>
        <w:rPr>
          <w:rFonts w:ascii="Arial" w:cs="Arial" w:eastAsia="Arial" w:hAnsi="Arial"/>
          <w:sz w:val="16"/>
          <w:szCs w:val="16"/>
          <w:color w:val="auto"/>
        </w:rPr>
      </w:pPr>
      <w:r>
        <w:rPr>
          <w:rFonts w:ascii="Arial" w:cs="Arial" w:eastAsia="Arial" w:hAnsi="Arial"/>
          <w:sz w:val="16"/>
          <w:szCs w:val="16"/>
          <w:color w:val="auto"/>
        </w:rPr>
        <w:t>5,776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629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 years</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ectPr>
          <w:pgSz w:w="11900" w:h="16838" w:orient="portrait"/>
          <w:cols w:equalWidth="0" w:num="3">
            <w:col w:w="6713" w:space="720"/>
            <w:col w:w="1707" w:space="318"/>
            <w:col w:w="1782"/>
          </w:cols>
          <w:pgMar w:left="320" w:top="661" w:right="3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future minimum lease payments under these operating leases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3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3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2026</w:t>
            </w:r>
          </w:p>
        </w:tc>
        <w:tc>
          <w:tcPr>
            <w:tcW w:w="3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3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tcBorders>
              <w:bottom w:val="single" w:sz="8" w:color="CCEEFF"/>
            </w:tcBorders>
            <w:vMerge w:val="continue"/>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operating lease liabilities</w:t>
            </w:r>
          </w:p>
        </w:tc>
        <w:tc>
          <w:tcPr>
            <w:tcW w:w="3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256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3300" w:type="dxa"/>
            <w:vAlign w:val="bottom"/>
            <w:gridSpan w:val="3"/>
          </w:tcPr>
          <w:p>
            <w:pPr>
              <w:ind w:left="18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37"/>
        </w:trPr>
        <w:tc>
          <w:tcPr>
            <w:tcW w:w="2560" w:type="dxa"/>
            <w:vAlign w:val="bottom"/>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29"/>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further discussion regarding contingent consideration arising from the April 2022 Asset Purchase agreement with Thomason Jones Company,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regarding the earnout related to the reverse capitalization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 Trust Indenture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24, 2021, the Company entered into agreements to issue $45,000 in fixed rate senior notes (the “</w:t>
      </w:r>
      <w:r>
        <w:rPr>
          <w:rFonts w:ascii="Arial" w:cs="Arial" w:eastAsia="Arial" w:hAnsi="Arial"/>
          <w:sz w:val="18"/>
          <w:szCs w:val="18"/>
          <w:b w:val="1"/>
          <w:bCs w:val="1"/>
          <w:color w:val="auto"/>
        </w:rPr>
        <w:t>Series 2021-6 Notes</w:t>
      </w:r>
      <w:r>
        <w:rPr>
          <w:rFonts w:ascii="Arial" w:cs="Arial" w:eastAsia="Arial" w:hAnsi="Arial"/>
          <w:sz w:val="18"/>
          <w:szCs w:val="18"/>
          <w:color w:val="auto"/>
        </w:rPr>
        <w:t>”) pursuant to a Trust Indenture held by UMB Bank, as trustee and disbursing agent, and NewLight Capital, LLC as servicer (the “</w:t>
      </w:r>
      <w:r>
        <w:rPr>
          <w:rFonts w:ascii="Arial" w:cs="Arial" w:eastAsia="Arial" w:hAnsi="Arial"/>
          <w:sz w:val="18"/>
          <w:szCs w:val="18"/>
          <w:b w:val="1"/>
          <w:bCs w:val="1"/>
          <w:color w:val="auto"/>
        </w:rPr>
        <w:t>Servicer</w:t>
      </w:r>
      <w:r>
        <w:rPr>
          <w:rFonts w:ascii="Arial" w:cs="Arial" w:eastAsia="Arial" w:hAnsi="Arial"/>
          <w:sz w:val="18"/>
          <w:szCs w:val="18"/>
          <w:color w:val="auto"/>
        </w:rPr>
        <w:t>”). The trust and debt documents also required the entry into a Lender Collateral Residual Value Insurance Policy (the “</w:t>
      </w:r>
      <w:r>
        <w:rPr>
          <w:rFonts w:ascii="Arial" w:cs="Arial" w:eastAsia="Arial" w:hAnsi="Arial"/>
          <w:sz w:val="18"/>
          <w:szCs w:val="18"/>
          <w:b w:val="1"/>
          <w:bCs w:val="1"/>
          <w:color w:val="auto"/>
        </w:rPr>
        <w:t>Insurance Policy</w:t>
      </w:r>
      <w:r>
        <w:rPr>
          <w:rFonts w:ascii="Arial" w:cs="Arial" w:eastAsia="Arial" w:hAnsi="Arial"/>
          <w:sz w:val="18"/>
          <w:szCs w:val="18"/>
          <w:color w:val="auto"/>
        </w:rPr>
        <w:t>”), with UMB Bank as named insured for $45,000, and engagement of a placement agent, Tribe Capital Markets, LLC.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Upon closing date of the financing the Company received a wire for $35,474, which is comprised of the gross proceeds of $45,000 less $3,188 in deposits to certain reserve accounts (see subsection labeled </w:t>
      </w:r>
      <w:r>
        <w:rPr>
          <w:rFonts w:ascii="Arial" w:cs="Arial" w:eastAsia="Arial" w:hAnsi="Arial"/>
          <w:sz w:val="18"/>
          <w:szCs w:val="18"/>
          <w:i w:val="1"/>
          <w:iCs w:val="1"/>
          <w:color w:val="auto"/>
        </w:rPr>
        <w:t>Reserve Accounts</w:t>
      </w:r>
      <w:r>
        <w:rPr>
          <w:rFonts w:ascii="Arial" w:cs="Arial" w:eastAsia="Arial" w:hAnsi="Arial"/>
          <w:sz w:val="18"/>
          <w:szCs w:val="18"/>
          <w:color w:val="auto"/>
        </w:rPr>
        <w:t xml:space="preserve"> below), and $6,338 in expenses withdrawn from the gross proceeds, which included $4,725 in prepaid policy premiums and related costs underlying the Insurance Policy (see subsection labelled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below), a prepaid loan monitoring fee of $60 and $1,553 in debt issuance costs.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Arial" w:cs="Arial" w:eastAsia="Arial" w:hAnsi="Arial"/>
          <w:sz w:val="18"/>
          <w:szCs w:val="18"/>
          <w:i w:val="1"/>
          <w:iCs w:val="1"/>
          <w:color w:val="auto"/>
        </w:rPr>
        <w:t xml:space="preserve">Collateral </w:t>
      </w:r>
      <w:r>
        <w:rPr>
          <w:rFonts w:ascii="Arial" w:cs="Arial" w:eastAsia="Arial" w:hAnsi="Arial"/>
          <w:sz w:val="18"/>
          <w:szCs w:val="18"/>
          <w:color w:val="auto"/>
        </w:rPr>
        <w:t>below) as such funds must be reimbursed by the Company to the insurer.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Arial" w:cs="Arial" w:eastAsia="Arial" w:hAnsi="Arial"/>
          <w:sz w:val="16"/>
          <w:szCs w:val="16"/>
          <w:i w:val="1"/>
          <w:iCs w:val="1"/>
          <w:color w:val="auto"/>
        </w:rPr>
        <w:t>Term Loan Agreement</w:t>
      </w:r>
      <w:r>
        <w:rPr>
          <w:rFonts w:ascii="Arial" w:cs="Arial" w:eastAsia="Arial" w:hAnsi="Arial"/>
          <w:sz w:val="16"/>
          <w:szCs w:val="16"/>
          <w:color w:val="auto"/>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DRAGONFLY ENERGY HOLDINGS CORP.</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rPr>
              <w:t>NOTES TO CONSOLIDATED FINANCIAL STATEMENTS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5"/>
              </w:rPr>
              <w:t>DECEMBER 31, 2022 AND 2021</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Reserve Accounts</w:t>
            </w:r>
          </w:p>
        </w:tc>
        <w:tc>
          <w:tcPr>
            <w:tcW w:w="7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into the reserve accounts consisted of the following items:</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Reserve Fund</w:t>
            </w:r>
          </w:p>
        </w:tc>
        <w:tc>
          <w:tcPr>
            <w:tcW w:w="13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Capitalized Interest Fund</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30"/>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merger, the Company settled the Trust Indenture and the balance in the Payment Reserve Fund was offset against the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Collateral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Monitoring Fees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prepayment on that date of $33 was expensed and included in debt extinguishment.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 – Trust Indenture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2022, in connection with the merger, CNTQ, Legacy Dragonfly and CCM Investments 5 LLC (“</w:t>
      </w:r>
      <w:r>
        <w:rPr>
          <w:rFonts w:ascii="Arial" w:cs="Arial" w:eastAsia="Arial" w:hAnsi="Arial"/>
          <w:sz w:val="16"/>
          <w:szCs w:val="16"/>
          <w:b w:val="1"/>
          <w:bCs w:val="1"/>
          <w:color w:val="auto"/>
        </w:rPr>
        <w:t>CCM 5</w:t>
      </w:r>
      <w:r>
        <w:rPr>
          <w:rFonts w:ascii="Arial" w:cs="Arial" w:eastAsia="Arial" w:hAnsi="Arial"/>
          <w:sz w:val="16"/>
          <w:szCs w:val="16"/>
          <w:color w:val="auto"/>
        </w:rPr>
        <w:t>”, and in connection with the Term Loan, the “Chardan Lender”), and EICF Agent LLC (“</w:t>
      </w:r>
      <w:r>
        <w:rPr>
          <w:rFonts w:ascii="Arial" w:cs="Arial" w:eastAsia="Arial" w:hAnsi="Arial"/>
          <w:sz w:val="16"/>
          <w:szCs w:val="16"/>
          <w:b w:val="1"/>
          <w:bCs w:val="1"/>
          <w:color w:val="auto"/>
        </w:rPr>
        <w:t>EIP</w:t>
      </w:r>
      <w:r>
        <w:rPr>
          <w:rFonts w:ascii="Arial" w:cs="Arial" w:eastAsia="Arial" w:hAnsi="Arial"/>
          <w:sz w:val="16"/>
          <w:szCs w:val="16"/>
          <w:color w:val="auto"/>
        </w:rPr>
        <w:t>” and, collectively with the Chardan Lender, the “</w:t>
      </w:r>
      <w:r>
        <w:rPr>
          <w:rFonts w:ascii="Arial" w:cs="Arial" w:eastAsia="Arial" w:hAnsi="Arial"/>
          <w:sz w:val="16"/>
          <w:szCs w:val="16"/>
          <w:b w:val="1"/>
          <w:bCs w:val="1"/>
          <w:color w:val="auto"/>
        </w:rPr>
        <w:t>Initial Term Loan Lenders</w:t>
      </w:r>
      <w:r>
        <w:rPr>
          <w:rFonts w:ascii="Arial" w:cs="Arial" w:eastAsia="Arial" w:hAnsi="Arial"/>
          <w:sz w:val="16"/>
          <w:szCs w:val="16"/>
          <w:color w:val="auto"/>
        </w:rPr>
        <w:t>”) entered into the Term Loan, Guarantee and Security Agreement (the “</w:t>
      </w:r>
      <w:r>
        <w:rPr>
          <w:rFonts w:ascii="Arial" w:cs="Arial" w:eastAsia="Arial" w:hAnsi="Arial"/>
          <w:sz w:val="16"/>
          <w:szCs w:val="16"/>
          <w:b w:val="1"/>
          <w:bCs w:val="1"/>
          <w:color w:val="auto"/>
        </w:rPr>
        <w:t>Term Loan Agreement</w:t>
      </w:r>
      <w:r>
        <w:rPr>
          <w:rFonts w:ascii="Arial" w:cs="Arial" w:eastAsia="Arial" w:hAnsi="Arial"/>
          <w:sz w:val="16"/>
          <w:szCs w:val="16"/>
          <w:color w:val="auto"/>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with a certain third-party financing source (the “</w:t>
      </w:r>
      <w:r>
        <w:rPr>
          <w:rFonts w:ascii="Arial" w:cs="Arial" w:eastAsia="Arial" w:hAnsi="Arial"/>
          <w:sz w:val="16"/>
          <w:szCs w:val="16"/>
          <w:b w:val="1"/>
          <w:bCs w:val="1"/>
          <w:color w:val="auto"/>
        </w:rPr>
        <w:t>Backstop</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with EIP, the “</w:t>
      </w:r>
      <w:r>
        <w:rPr>
          <w:rFonts w:ascii="Arial" w:cs="Arial" w:eastAsia="Arial" w:hAnsi="Arial"/>
          <w:sz w:val="16"/>
          <w:szCs w:val="16"/>
          <w:b w:val="1"/>
          <w:bCs w:val="1"/>
          <w:color w:val="auto"/>
        </w:rPr>
        <w:t>Term Loan Lenders</w:t>
      </w:r>
      <w:r>
        <w:rPr>
          <w:rFonts w:ascii="Arial" w:cs="Arial" w:eastAsia="Arial" w:hAnsi="Arial"/>
          <w:sz w:val="16"/>
          <w:szCs w:val="16"/>
          <w:color w:val="auto"/>
        </w:rPr>
        <w:t>”), pursuant to which the Backstop Lender committed to purchase from the Chardan Lender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amount of the Term Loan held by the Chardan Lender (the “</w:t>
      </w:r>
      <w:r>
        <w:rPr>
          <w:rFonts w:ascii="Arial" w:cs="Arial" w:eastAsia="Arial" w:hAnsi="Arial"/>
          <w:sz w:val="16"/>
          <w:szCs w:val="16"/>
          <w:b w:val="1"/>
          <w:bCs w:val="1"/>
          <w:color w:val="auto"/>
        </w:rPr>
        <w:t>Backstopped Loans</w:t>
      </w:r>
      <w:r>
        <w:rPr>
          <w:rFonts w:ascii="Arial" w:cs="Arial" w:eastAsia="Arial" w:hAnsi="Arial"/>
          <w:sz w:val="16"/>
          <w:szCs w:val="16"/>
          <w:color w:val="auto"/>
        </w:rPr>
        <w:t>”) immediately following the issuance of the Term Loan on the Closing Date. Pursuant to an assignment agreement, the Backstopped Loans were assigned by CCM 5 to the Backstop Lender on the Closing Date.</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Term Loan accrues interest (i) until April 1, 2023, at a per annum rate equal to the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plus</w:t>
      </w:r>
      <w:r>
        <w:rPr>
          <w:rFonts w:ascii="Arial" w:cs="Arial" w:eastAsia="Arial" w:hAnsi="Arial"/>
          <w:sz w:val="16"/>
          <w:szCs w:val="16"/>
          <w:b w:val="1"/>
          <w:bCs w:val="1"/>
          <w:color w:val="auto"/>
        </w:rPr>
        <w:t xml:space="preserve"> </w:t>
      </w:r>
      <w:r>
        <w:rPr>
          <w:rFonts w:ascii="Arial" w:cs="Arial" w:eastAsia="Arial" w:hAnsi="Arial"/>
          <w:sz w:val="16"/>
          <w:szCs w:val="16"/>
          <w:color w:val="auto"/>
        </w:rPr>
        <w:t>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00" w:type="dxa"/>
            <w:vAlign w:val="bottom"/>
            <w:gridSpan w:val="2"/>
          </w:tcPr>
          <w:p>
            <w:pPr>
              <w:ind w:left="1460"/>
              <w:spacing w:after="0"/>
              <w:rPr>
                <w:sz w:val="20"/>
                <w:szCs w:val="20"/>
                <w:color w:val="auto"/>
              </w:rPr>
            </w:pPr>
            <w:r>
              <w:rPr>
                <w:rFonts w:ascii="Arial" w:cs="Arial" w:eastAsia="Arial" w:hAnsi="Arial"/>
                <w:sz w:val="18"/>
                <w:szCs w:val="18"/>
                <w:b w:val="1"/>
                <w:bCs w:val="1"/>
                <w:color w:val="auto"/>
              </w:rPr>
              <w:t>Test Period Ending</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9"/>
              </w:rPr>
              <w:t>Leverage Ratio</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2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 to 1.00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2023 – September 30, 2023</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2024 – September 30, 2024</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2025 and thereafter</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9"/>
              </w:rPr>
              <w:t>DRAGONFLY ENERGY HOLDINGS CORP.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rPr>
              <w:t>NOTES TO CONSOLIDATED FINANCIAL STATEMENTS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5"/>
              </w:rPr>
              <w:t>DECEMBER 31, 2022 AND 2021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Long-Term Debt Maturities</w:t>
            </w: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color w:val="auto"/>
              </w:rPr>
              <w:t>At December 31, 2022, the future debt maturities are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220" w:type="dxa"/>
            <w:vAlign w:val="bottom"/>
          </w:tcPr>
          <w:p>
            <w:pPr>
              <w:spacing w:after="0"/>
              <w:rPr>
                <w:sz w:val="24"/>
                <w:szCs w:val="24"/>
                <w:color w:val="auto"/>
              </w:rPr>
            </w:pPr>
          </w:p>
        </w:tc>
        <w:tc>
          <w:tcPr>
            <w:tcW w:w="202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6"/>
              </w:rPr>
              <w:t>Future Debt Maturities</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2024</w:t>
            </w: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938</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3,750</w:t>
            </w:r>
          </w:p>
        </w:tc>
      </w:tr>
      <w:tr>
        <w:trPr>
          <w:trHeight w:val="237"/>
        </w:trPr>
        <w:tc>
          <w:tcPr>
            <w:tcW w:w="2160" w:type="dxa"/>
            <w:vAlign w:val="bottom"/>
          </w:tcPr>
          <w:p>
            <w:pPr>
              <w:spacing w:after="0"/>
              <w:rPr>
                <w:sz w:val="20"/>
                <w:szCs w:val="20"/>
                <w:color w:val="auto"/>
              </w:rPr>
            </w:pPr>
            <w:r>
              <w:rPr>
                <w:rFonts w:ascii="Arial" w:cs="Arial" w:eastAsia="Arial" w:hAnsi="Arial"/>
                <w:sz w:val="18"/>
                <w:szCs w:val="18"/>
                <w:color w:val="auto"/>
              </w:rPr>
              <w:t>2026</w:t>
            </w: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91,809</w:t>
            </w:r>
          </w:p>
        </w:tc>
      </w:tr>
      <w:tr>
        <w:trPr>
          <w:trHeight w:val="216"/>
        </w:trPr>
        <w:tc>
          <w:tcPr>
            <w:tcW w:w="9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9000" w:type="dxa"/>
            <w:vAlign w:val="bottom"/>
            <w:gridSpan w:val="2"/>
          </w:tcPr>
          <w:p>
            <w:pPr>
              <w:spacing w:after="0"/>
              <w:rPr>
                <w:sz w:val="20"/>
                <w:szCs w:val="20"/>
                <w:color w:val="auto"/>
              </w:rPr>
            </w:pPr>
            <w:r>
              <w:rPr>
                <w:rFonts w:ascii="Arial" w:cs="Arial" w:eastAsia="Arial" w:hAnsi="Arial"/>
                <w:sz w:val="18"/>
                <w:szCs w:val="18"/>
                <w:color w:val="auto"/>
              </w:rPr>
              <w:t>Less: Estimated interest paid-in-kind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(20,305)</w:t>
            </w:r>
          </w:p>
        </w:tc>
      </w:tr>
      <w:tr>
        <w:trPr>
          <w:trHeight w:val="236"/>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Unamortized debt issuance costs, non-current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carrying amount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current portion of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REVOLVING NOTE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NOTE 9 - INCOME TAXES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The income tax expense consists of the following items: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Deferred</w:t>
            </w:r>
          </w:p>
        </w:tc>
        <w:tc>
          <w:tcPr>
            <w:tcW w:w="860" w:type="dxa"/>
            <w:vAlign w:val="bottom"/>
          </w:tcPr>
          <w:p>
            <w:pPr>
              <w:spacing w:after="0"/>
              <w:rPr>
                <w:sz w:val="20"/>
                <w:szCs w:val="20"/>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86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Components of deferred tax assets (liabilities) are as follows:</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Lease liability</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1,071</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Operating Loss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3,727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Inventory (Sec. 263A)</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59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Deferred tax asset</w:t>
            </w:r>
          </w:p>
        </w:tc>
        <w:tc>
          <w:tcPr>
            <w:tcW w:w="86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6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1,036</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1,036</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7,324</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(453)</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1"/>
              </w:rPr>
              <w:t>(7,324)</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860" w:type="dxa"/>
            <w:vAlign w:val="bottom"/>
            <w:tcBorders>
              <w:top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 between the effective tax rate on income from continuing operations and the statutory rate for the years ended December 31, 2022 and 2021, are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41"/>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Tax</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6"/>
              </w:rPr>
              <w:t>Percentage</w:t>
            </w:r>
          </w:p>
        </w:tc>
        <w:tc>
          <w:tcPr>
            <w:tcW w:w="60" w:type="dxa"/>
            <w:vAlign w:val="bottom"/>
          </w:tcPr>
          <w:p>
            <w:pPr>
              <w:spacing w:after="0"/>
              <w:rPr>
                <w:sz w:val="20"/>
                <w:szCs w:val="20"/>
                <w:color w:val="auto"/>
              </w:rPr>
            </w:pP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income (loss) before taxes</w:t>
            </w:r>
          </w:p>
        </w:tc>
        <w:tc>
          <w:tcPr>
            <w:tcW w:w="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340" w:type="dxa"/>
            <w:vAlign w:val="bottom"/>
            <w:tcBorders>
              <w:top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2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Permanent differences (transaction costs)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2,185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(warrants)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(1,144)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Permanent differences (other -other than tax)</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458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true-up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(288)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940" w:type="dxa"/>
            <w:vAlign w:val="bottom"/>
          </w:tcPr>
          <w:p>
            <w:pPr>
              <w:jc w:val="right"/>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128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7,324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top w:val="single" w:sz="8" w:color="CCEEFF"/>
              <w:bottom w:val="single" w:sz="8" w:color="CCEEFF"/>
              <w:right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27.08%</w:t>
            </w:r>
          </w:p>
        </w:tc>
        <w:tc>
          <w:tcPr>
            <w:tcW w:w="60" w:type="dxa"/>
            <w:vAlign w:val="bottom"/>
          </w:tcPr>
          <w:p>
            <w:pPr>
              <w:spacing w:after="0"/>
              <w:rPr>
                <w:sz w:val="18"/>
                <w:szCs w:val="18"/>
                <w:color w:val="auto"/>
              </w:rPr>
            </w:pPr>
          </w:p>
        </w:tc>
      </w:tr>
      <w:tr>
        <w:trPr>
          <w:trHeight w:val="27"/>
        </w:trPr>
        <w:tc>
          <w:tcPr>
            <w:tcW w:w="3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returns of the Company are open for three years form the date of filing. At the report date, the statute of limitations for federal and state tax returns are open for the Company for 2019, 2020 and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w:t>
      </w:r>
    </w:p>
    <w:p>
      <w:pPr>
        <w:sectPr>
          <w:pgSz w:w="11900" w:h="16838" w:orient="portrait"/>
          <w:cols w:equalWidth="0" w:num="1">
            <w:col w:w="11240"/>
          </w:cols>
          <w:pgMar w:left="320" w:top="661" w:right="339" w:bottom="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Company also had research and development credits of $200 as of December 31, 2022 to offset future federal income taxes, which are set to expire in 2042.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The roll-forward of the Company’s gross uncertain tax positions is as follows: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Gross Uncertain Tax</w:t>
            </w:r>
          </w:p>
        </w:tc>
      </w:tr>
      <w:tr>
        <w:trPr>
          <w:trHeight w:val="237"/>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Position</w:t>
            </w: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prior year tax positions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spacing w:after="0"/>
              <w:rPr>
                <w:sz w:val="17"/>
                <w:szCs w:val="17"/>
                <w:color w:val="auto"/>
              </w:rPr>
            </w:pPr>
          </w:p>
        </w:tc>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Bourns Productions, Inc.</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On January 1, 2022, the Company entered into an asset purchase agreement (the “</w:t>
      </w:r>
      <w:r>
        <w:rPr>
          <w:rFonts w:ascii="Arial" w:cs="Arial" w:eastAsia="Arial" w:hAnsi="Arial"/>
          <w:sz w:val="18"/>
          <w:szCs w:val="18"/>
          <w:b w:val="1"/>
          <w:bCs w:val="1"/>
          <w:color w:val="auto"/>
        </w:rPr>
        <w:t>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Productions</w:t>
      </w:r>
      <w:r>
        <w:rPr>
          <w:rFonts w:ascii="Arial" w:cs="Arial" w:eastAsia="Arial" w:hAnsi="Arial"/>
          <w:sz w:val="18"/>
          <w:szCs w:val="18"/>
          <w:color w:val="auto"/>
        </w:rPr>
        <w:t>”), pursuant to which the Company acquired machinery, equipment and a lease for a podcast studio from Bourns Production Productions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APA for a purchase price of $197 which approximated fair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Thomason Jones Company, LLC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2022, the Company entered into an Asset Purchase Agreement with William Thomason, Richard Jones, and Thomason Jones Company, LLC (“</w:t>
      </w:r>
      <w:r>
        <w:rPr>
          <w:rFonts w:ascii="Arial" w:cs="Arial" w:eastAsia="Arial" w:hAnsi="Arial"/>
          <w:sz w:val="17"/>
          <w:szCs w:val="17"/>
          <w:b w:val="1"/>
          <w:bCs w:val="1"/>
          <w:color w:val="auto"/>
        </w:rPr>
        <w:t>Thomason Jones</w:t>
      </w:r>
      <w:r>
        <w:rPr>
          <w:rFonts w:ascii="Arial" w:cs="Arial" w:eastAsia="Arial" w:hAnsi="Arial"/>
          <w:sz w:val="17"/>
          <w:szCs w:val="17"/>
          <w:color w:val="auto"/>
        </w:rPr>
        <w:t>”), whereby the Company acquired inventory and intellectual property assets for $444 cash plus contingent payments of $1,000 each to William Thomason and Richard Jones (the “</w:t>
      </w:r>
      <w:r>
        <w:rPr>
          <w:rFonts w:ascii="Arial" w:cs="Arial" w:eastAsia="Arial" w:hAnsi="Arial"/>
          <w:sz w:val="17"/>
          <w:szCs w:val="17"/>
          <w:b w:val="1"/>
          <w:bCs w:val="1"/>
          <w:color w:val="auto"/>
        </w:rPr>
        <w:t>Earn Out</w:t>
      </w:r>
      <w:r>
        <w:rPr>
          <w:rFonts w:ascii="Arial" w:cs="Arial" w:eastAsia="Arial" w:hAnsi="Arial"/>
          <w:sz w:val="17"/>
          <w:szCs w:val="17"/>
          <w:color w:val="auto"/>
        </w:rPr>
        <w:t>”). The Company determined the contingent consideration to be recognized as contingent compensation to Mr. Thomason and Mr. Jones. The entire purchase price of $444 was allocated to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Compensation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w:t>
      </w:r>
      <w:r>
        <w:rPr>
          <w:rFonts w:ascii="Arial" w:cs="Arial" w:eastAsia="Arial" w:hAnsi="Arial"/>
          <w:sz w:val="18"/>
          <w:szCs w:val="18"/>
          <w:b w:val="1"/>
          <w:bCs w:val="1"/>
          <w:color w:val="auto"/>
        </w:rPr>
        <w:t>COO</w:t>
      </w:r>
      <w:r>
        <w:rPr>
          <w:rFonts w:ascii="Arial" w:cs="Arial" w:eastAsia="Arial" w:hAnsi="Arial"/>
          <w:sz w:val="18"/>
          <w:szCs w:val="18"/>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551"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discussed in Note 3, the Company assumed the outstanding public and private placement warrants of CNTQ.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for further description of the warrants issued in connection with the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Inception</w:t>
            </w:r>
          </w:p>
        </w:tc>
        <w:tc>
          <w:tcPr>
            <w:tcW w:w="1120" w:type="dxa"/>
            <w:vAlign w:val="bottom"/>
          </w:tcPr>
          <w:p>
            <w:pPr>
              <w:jc w:val="center"/>
              <w:spacing w:after="0"/>
              <w:rPr>
                <w:sz w:val="20"/>
                <w:szCs w:val="20"/>
                <w:color w:val="auto"/>
              </w:rPr>
            </w:pPr>
            <w:r>
              <w:rPr>
                <w:rFonts w:ascii="Arial" w:cs="Arial" w:eastAsia="Arial" w:hAnsi="Arial"/>
                <w:sz w:val="18"/>
                <w:szCs w:val="18"/>
                <w:color w:val="auto"/>
              </w:rPr>
              <w:t>Initial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Date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Recognition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Expiration</w:t>
            </w:r>
          </w:p>
        </w:tc>
      </w:t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 Class</w:t>
            </w:r>
          </w:p>
        </w:tc>
        <w:tc>
          <w:tcPr>
            <w:tcW w:w="1620" w:type="dxa"/>
            <w:vAlign w:val="bottom"/>
            <w:gridSpan w:val="2"/>
          </w:tcPr>
          <w:p>
            <w:pPr>
              <w:ind w:left="4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Date</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Private Placement Warrants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8/11/2026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shares (the “</w:t>
      </w:r>
      <w:r>
        <w:rPr>
          <w:rFonts w:ascii="Arial" w:cs="Arial" w:eastAsia="Arial" w:hAnsi="Arial"/>
          <w:sz w:val="17"/>
          <w:szCs w:val="17"/>
          <w:b w:val="1"/>
          <w:bCs w:val="1"/>
          <w:color w:val="auto"/>
        </w:rPr>
        <w:t>Penny Warrants</w:t>
      </w:r>
      <w:r>
        <w:rPr>
          <w:rFonts w:ascii="Arial" w:cs="Arial" w:eastAsia="Arial" w:hAnsi="Arial"/>
          <w:sz w:val="17"/>
          <w:szCs w:val="17"/>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As of</w:t>
            </w:r>
          </w:p>
        </w:tc>
        <w:tc>
          <w:tcPr>
            <w:tcW w:w="272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color w:val="auto"/>
              </w:rPr>
              <w:t>Initial Measurement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December 31, 2022</w:t>
            </w:r>
          </w:p>
        </w:tc>
        <w:tc>
          <w:tcPr>
            <w:tcW w:w="27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9.77</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w:t>
            </w:r>
          </w:p>
        </w:tc>
        <w:tc>
          <w:tcPr>
            <w:tcW w:w="272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F-26</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$10 Warrants: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Initial</w:t>
            </w:r>
          </w:p>
        </w:tc>
      </w:tr>
      <w:tr>
        <w:trPr>
          <w:trHeight w:val="237"/>
        </w:trPr>
        <w:tc>
          <w:tcPr>
            <w:tcW w:w="3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Measurement</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 price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Term</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Risk-free rate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presents a roll-forward of the Company’s warrants from January 1, 2022 to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ectPr>
          <w:pgSz w:w="11900" w:h="16838" w:orient="portrait"/>
          <w:cols w:equalWidth="0" w:num="1">
            <w:col w:w="11240"/>
          </w:cols>
          <w:pgMar w:left="320" w:top="661" w:right="339" w:bottom="1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5700395"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0395"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039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14605</wp:posOffset>
            </wp:positionV>
            <wp:extent cx="9601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31750</wp:posOffset>
            </wp:positionV>
            <wp:extent cx="9601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14605</wp:posOffset>
            </wp:positionV>
            <wp:extent cx="9601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31750</wp:posOffset>
            </wp:positionV>
            <wp:extent cx="9601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4,193,056</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(1,600,000)</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22225</wp:posOffset>
            </wp:positionV>
            <wp:extent cx="9601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39370</wp:posOffset>
            </wp:positionV>
            <wp:extent cx="9601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7520" w:space="720"/>
            <w:col w:w="3000"/>
          </w:cols>
          <w:pgMar w:left="320" w:top="661" w:right="339" w:bottom="1159"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661" w:right="339" w:bottom="1159"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498919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498919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Warrant Liability</w:t>
      </w:r>
    </w:p>
    <w:p>
      <w:pPr>
        <w:spacing w:after="0" w:line="3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52,956</w:t>
      </w:r>
    </w:p>
    <w:p>
      <w:pPr>
        <w:spacing w:after="0" w:line="21"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(16,669)</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(5,446)</w:t>
      </w:r>
    </w:p>
    <w:p>
      <w:pPr>
        <w:spacing w:after="0" w:line="49" w:lineRule="exact"/>
        <w:rPr>
          <w:sz w:val="20"/>
          <w:szCs w:val="20"/>
          <w:color w:val="auto"/>
        </w:rPr>
      </w:pPr>
    </w:p>
    <w:p>
      <w:pPr>
        <w:ind w:left="1020" w:hanging="1013"/>
        <w:spacing w:after="0"/>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30,841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951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661" w:right="339" w:bottom="1159" w:gutter="0" w:footer="0" w:header="0"/>
          <w:type w:val="continuous"/>
        </w:sectPr>
      </w:pPr>
    </w:p>
    <w:p>
      <w:pPr>
        <w:spacing w:after="0" w:line="77"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59"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reserved shares of common stock for issuance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43,272,728</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36,496,998</w:t>
            </w:r>
          </w:p>
        </w:tc>
        <w:tc>
          <w:tcPr>
            <w:tcW w:w="80" w:type="dxa"/>
            <w:vAlign w:val="bottom"/>
          </w:tcPr>
          <w:p>
            <w:pPr>
              <w:spacing w:after="0"/>
              <w:rPr>
                <w:sz w:val="18"/>
                <w:szCs w:val="18"/>
                <w:color w:val="auto"/>
              </w:rPr>
            </w:pPr>
          </w:p>
        </w:tc>
      </w:tr>
      <w:tr>
        <w:trPr>
          <w:trHeight w:val="24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Earnout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303"/>
        </w:trPr>
        <w:tc>
          <w:tcPr>
            <w:tcW w:w="5940" w:type="dxa"/>
            <w:vAlign w:val="bottom"/>
            <w:tcBorders>
              <w:bottom w:val="single" w:sz="8" w:color="CCEEFF"/>
            </w:tcBorders>
            <w:shd w:val="clear" w:color="auto" w:fill="CCEEFF"/>
          </w:tcPr>
          <w:p>
            <w:pPr>
              <w:spacing w:after="0" w:line="283" w:lineRule="exact"/>
              <w:rPr>
                <w:sz w:val="20"/>
                <w:szCs w:val="20"/>
                <w:color w:val="auto"/>
              </w:rPr>
            </w:pPr>
            <w:r>
              <w:rPr>
                <w:rFonts w:ascii="Arial" w:cs="Arial" w:eastAsia="Arial" w:hAnsi="Arial"/>
                <w:sz w:val="18"/>
                <w:szCs w:val="18"/>
                <w:color w:val="auto"/>
              </w:rPr>
              <w:t xml:space="preserve">Shares available for future issuance </w:t>
            </w:r>
            <w:r>
              <w:rPr>
                <w:rFonts w:ascii="Arial" w:cs="Arial" w:eastAsia="Arial" w:hAnsi="Arial"/>
                <w:sz w:val="29"/>
                <w:szCs w:val="29"/>
                <w:color w:val="auto"/>
                <w:vertAlign w:val="superscript"/>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4,924,914</w:t>
            </w: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108,549,014</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40,200,160</w:t>
            </w:r>
          </w:p>
        </w:tc>
        <w:tc>
          <w:tcPr>
            <w:tcW w:w="8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120" w:firstLine="68"/>
        <w:spacing w:after="0" w:line="498" w:lineRule="auto"/>
        <w:tabs>
          <w:tab w:leader="none" w:pos="351" w:val="left"/>
        </w:tabs>
        <w:numPr>
          <w:ilvl w:val="0"/>
          <w:numId w:val="52"/>
        </w:numPr>
        <w:rPr>
          <w:rFonts w:ascii="Arial" w:cs="Arial" w:eastAsia="Arial" w:hAnsi="Arial"/>
          <w:sz w:val="18"/>
          <w:szCs w:val="18"/>
          <w:i w:val="1"/>
          <w:iCs w:val="1"/>
          <w:color w:val="auto"/>
        </w:rPr>
      </w:pPr>
      <w:r>
        <w:rPr>
          <w:rFonts w:ascii="Arial" w:cs="Arial" w:eastAsia="Arial" w:hAnsi="Arial"/>
          <w:sz w:val="18"/>
          <w:szCs w:val="18"/>
          <w:i w:val="1"/>
          <w:iCs w:val="1"/>
          <w:color w:val="auto"/>
        </w:rPr>
        <w:t>Refer to Stock Incentive Plan amendment at Note 14 ChEF Equity Facility</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and CCM LLC entered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 a Registration Rights Agreement (the “</w:t>
      </w:r>
      <w:r>
        <w:rPr>
          <w:rFonts w:ascii="Arial" w:cs="Arial" w:eastAsia="Arial" w:hAnsi="Arial"/>
          <w:sz w:val="17"/>
          <w:szCs w:val="17"/>
          <w:b w:val="1"/>
          <w:bCs w:val="1"/>
          <w:color w:val="auto"/>
        </w:rPr>
        <w:t>ChEF RRA</w:t>
      </w:r>
      <w:r>
        <w:rPr>
          <w:rFonts w:ascii="Arial" w:cs="Arial" w:eastAsia="Arial" w:hAnsi="Arial"/>
          <w:sz w:val="17"/>
          <w:szCs w:val="17"/>
          <w:color w:val="auto"/>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Arial" w:cs="Arial" w:eastAsia="Arial" w:hAnsi="Arial"/>
          <w:sz w:val="17"/>
          <w:szCs w:val="17"/>
          <w:b w:val="1"/>
          <w:bCs w:val="1"/>
          <w:color w:val="auto"/>
        </w:rPr>
        <w:t>ChEF Equity Facility</w:t>
      </w:r>
      <w:r>
        <w:rPr>
          <w:rFonts w:ascii="Arial" w:cs="Arial" w:eastAsia="Arial" w:hAnsi="Arial"/>
          <w:sz w:val="17"/>
          <w:szCs w:val="17"/>
          <w:color w:val="auto"/>
        </w:rPr>
        <w: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12, 2019, the Board of Directors approved the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Shares issued under this Plan may be drawn from authorized and unissued shares, or shares reacquired by the Company.</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of 2021, the Board of Directors approved the 2021 Stock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and, together with the 2019 Plan, the “</w:t>
      </w:r>
      <w:r>
        <w:rPr>
          <w:rFonts w:ascii="Arial" w:cs="Arial" w:eastAsia="Arial" w:hAnsi="Arial"/>
          <w:sz w:val="16"/>
          <w:szCs w:val="16"/>
          <w:b w:val="1"/>
          <w:bCs w:val="1"/>
          <w:color w:val="auto"/>
        </w:rPr>
        <w:t>Prior Plans</w:t>
      </w:r>
      <w:r>
        <w:rPr>
          <w:rFonts w:ascii="Arial" w:cs="Arial" w:eastAsia="Arial" w:hAnsi="Arial"/>
          <w:sz w:val="16"/>
          <w:szCs w:val="16"/>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merger, shareholders and board members approved the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Company maintains an Employee Stock Purchase Plan (“</w:t>
      </w:r>
      <w:r>
        <w:rPr>
          <w:rFonts w:ascii="Arial" w:cs="Arial" w:eastAsia="Arial" w:hAnsi="Arial"/>
          <w:sz w:val="19"/>
          <w:szCs w:val="19"/>
          <w:b w:val="1"/>
          <w:bCs w:val="1"/>
          <w:color w:val="auto"/>
        </w:rPr>
        <w:t>ESPP</w:t>
      </w:r>
      <w:r>
        <w:rPr>
          <w:rFonts w:ascii="Arial" w:cs="Arial" w:eastAsia="Arial" w:hAnsi="Arial"/>
          <w:sz w:val="19"/>
          <w:szCs w:val="19"/>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Weighted-</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80"/>
              <w:spacing w:after="0" w:line="179"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line="179" w:lineRule="exact"/>
              <w:rPr>
                <w:sz w:val="20"/>
                <w:szCs w:val="20"/>
                <w:color w:val="auto"/>
              </w:rPr>
            </w:pPr>
            <w:r>
              <w:rPr>
                <w:rFonts w:ascii="Arial" w:cs="Arial" w:eastAsia="Arial" w:hAnsi="Arial"/>
                <w:sz w:val="18"/>
                <w:szCs w:val="18"/>
                <w:color w:val="auto"/>
                <w:w w:val="90"/>
              </w:rPr>
              <w:t>Average Grant</w:t>
            </w:r>
          </w:p>
        </w:tc>
        <w:tc>
          <w:tcPr>
            <w:tcW w:w="1380" w:type="dxa"/>
            <w:vAlign w:val="bottom"/>
            <w:gridSpan w:val="2"/>
          </w:tcPr>
          <w:p>
            <w:pPr>
              <w:jc w:val="center"/>
              <w:ind w:right="160"/>
              <w:spacing w:after="0" w:line="179" w:lineRule="exact"/>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9" w:lineRule="exact"/>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3"/>
                <w:szCs w:val="23"/>
                <w:color w:val="auto"/>
              </w:rPr>
            </w:pPr>
          </w:p>
        </w:tc>
        <w:tc>
          <w:tcPr>
            <w:tcW w:w="1600" w:type="dxa"/>
            <w:vAlign w:val="bottom"/>
            <w:gridSpan w:val="2"/>
          </w:tcPr>
          <w:p>
            <w:pPr>
              <w:jc w:val="right"/>
              <w:ind w:right="600"/>
              <w:spacing w:after="0" w:line="267"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(1)</w:t>
            </w:r>
          </w:p>
        </w:tc>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spacing w:after="0"/>
              <w:rPr>
                <w:sz w:val="23"/>
                <w:szCs w:val="23"/>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Date Fair Value</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(in years)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Intrinsic value</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3,029,791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0.72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2,069,309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2.03</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(421,094)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1.82</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(987,051)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0.53</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1.38</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3,690,955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572,428</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(39,074)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(581,351)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0.89</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1.21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1,646,304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3,642,958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92"/>
        <w:spacing w:after="0" w:line="308" w:lineRule="auto"/>
        <w:tabs>
          <w:tab w:leader="none" w:pos="360" w:val="left"/>
        </w:tabs>
        <w:numPr>
          <w:ilvl w:val="0"/>
          <w:numId w:val="53"/>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4,924,914 shares of unissued authorized and available for future awards under the plans.</w:t>
      </w:r>
    </w:p>
    <w:p>
      <w:pPr>
        <w:sectPr>
          <w:pgSz w:w="11900" w:h="16838" w:orient="portrait"/>
          <w:cols w:equalWidth="0" w:num="1">
            <w:col w:w="11240"/>
          </w:cols>
          <w:pgMar w:left="320" w:top="661" w:right="339" w:bottom="0" w:gutter="0" w:footer="0" w:header="0"/>
        </w:sectPr>
      </w:pPr>
    </w:p>
    <w:bookmarkStart w:id="98" w:name="page99"/>
    <w:bookmarkEnd w:id="98"/>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2.71%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grants of restricted stock units prior to October 7, 2022. The following table presents the restricted stock units activity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Weighted-Average</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Number of Shares</w:t>
            </w:r>
          </w:p>
        </w:tc>
        <w:tc>
          <w:tcPr>
            <w:tcW w:w="12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Fair Market Value</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Granted and unvested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180,000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Vested as of December 31, 2022</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NOTE 15 - REDEEMABLE PREFERRED STOCK RIGHTS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rights and preferences of the Legacy Dragonfly Redeemable Convertible Preferred Stock prior to the conversion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holders of record of the shares of Series A Preferred Stock, exclusively and as a separate class, shall be entitled to elect one director of the Company (the “</w:t>
      </w:r>
      <w:r>
        <w:rPr>
          <w:rFonts w:ascii="Arial" w:cs="Arial" w:eastAsia="Arial" w:hAnsi="Arial"/>
          <w:sz w:val="16"/>
          <w:szCs w:val="16"/>
          <w:b w:val="1"/>
          <w:bCs w:val="1"/>
          <w:color w:val="auto"/>
        </w:rPr>
        <w:t>Series A Director</w:t>
      </w:r>
      <w:r>
        <w:rPr>
          <w:rFonts w:ascii="Arial" w:cs="Arial" w:eastAsia="Arial" w:hAnsi="Arial"/>
          <w:sz w:val="16"/>
          <w:szCs w:val="16"/>
          <w:color w:val="auto"/>
        </w:rPr>
        <w:t>”). The Series A Director shall be given two votes on any action requiring the vote or approval of the Board of Directors.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record of the shares of common stock, exclusively and as a separate class, shall be entitled to elect two directors of the Company, the “</w:t>
      </w:r>
      <w:r>
        <w:rPr>
          <w:rFonts w:ascii="Arial" w:cs="Arial" w:eastAsia="Arial" w:hAnsi="Arial"/>
          <w:sz w:val="18"/>
          <w:szCs w:val="18"/>
          <w:b w:val="1"/>
          <w:bCs w:val="1"/>
          <w:color w:val="auto"/>
        </w:rPr>
        <w:t>Common Stock Director A</w:t>
      </w:r>
      <w:r>
        <w:rPr>
          <w:rFonts w:ascii="Arial" w:cs="Arial" w:eastAsia="Arial" w:hAnsi="Arial"/>
          <w:sz w:val="18"/>
          <w:szCs w:val="18"/>
          <w:color w:val="auto"/>
        </w:rPr>
        <w:t>” and the “</w:t>
      </w:r>
      <w:r>
        <w:rPr>
          <w:rFonts w:ascii="Arial" w:cs="Arial" w:eastAsia="Arial" w:hAnsi="Arial"/>
          <w:sz w:val="18"/>
          <w:szCs w:val="18"/>
          <w:b w:val="1"/>
          <w:bCs w:val="1"/>
          <w:color w:val="auto"/>
        </w:rPr>
        <w:t>Common Stock Director B</w:t>
      </w:r>
      <w:r>
        <w:rPr>
          <w:rFonts w:ascii="Arial" w:cs="Arial" w:eastAsia="Arial" w:hAnsi="Arial"/>
          <w:sz w:val="18"/>
          <w:szCs w:val="18"/>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43"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or Winding Up; Certain Mergers, Consolidations and Assets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the holders of shares of Series A Preferred Stock then outstanding (the “</w:t>
      </w:r>
      <w:r>
        <w:rPr>
          <w:rFonts w:ascii="Arial" w:cs="Arial" w:eastAsia="Arial" w:hAnsi="Arial"/>
          <w:sz w:val="17"/>
          <w:szCs w:val="17"/>
          <w:b w:val="1"/>
          <w:bCs w:val="1"/>
          <w:color w:val="auto"/>
        </w:rPr>
        <w:t>Series A shareholders</w:t>
      </w:r>
      <w:r>
        <w:rPr>
          <w:rFonts w:ascii="Arial" w:cs="Arial" w:eastAsia="Arial" w:hAnsi="Arial"/>
          <w:sz w:val="17"/>
          <w:szCs w:val="17"/>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information needed to compute basic and diluted (loss) earnings per share for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December 31,</w:t>
            </w:r>
          </w:p>
        </w:tc>
        <w:tc>
          <w:tcPr>
            <w:tcW w:w="194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(39,571)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4,338</w:t>
            </w: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83"/>
        </w:trPr>
        <w:tc>
          <w:tcPr>
            <w:tcW w:w="3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Earnings per share, basic</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194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4,338</w:t>
            </w: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38,565,307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35,579,137</w:t>
            </w:r>
          </w:p>
        </w:tc>
        <w:tc>
          <w:tcPr>
            <w:tcW w:w="194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related to stock options</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38,565,307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37,742,337</w:t>
            </w: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diluted</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19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19"/>
        </w:trPr>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F-31</w:t>
            </w: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041"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income per share net (loss) income per share because their effect was anti-dilutive:</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180,000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3,642,958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20,531,372</w:t>
            </w:r>
          </w:p>
        </w:tc>
        <w:tc>
          <w:tcPr>
            <w:tcW w:w="26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2023, the Company changed its state of incorporation from the State of Delaware to the State of Nevada (the “</w:t>
      </w:r>
      <w:r>
        <w:rPr>
          <w:rFonts w:ascii="Arial" w:cs="Arial" w:eastAsia="Arial" w:hAnsi="Arial"/>
          <w:sz w:val="18"/>
          <w:szCs w:val="18"/>
          <w:b w:val="1"/>
          <w:bCs w:val="1"/>
          <w:color w:val="auto"/>
        </w:rPr>
        <w:t>Reincorporation</w:t>
      </w:r>
      <w:r>
        <w:rPr>
          <w:rFonts w:ascii="Arial" w:cs="Arial" w:eastAsia="Arial" w:hAnsi="Arial"/>
          <w:sz w:val="18"/>
          <w:szCs w:val="18"/>
          <w:color w:val="auto"/>
        </w:rPr>
        <w:t>”) pursuant to a plan of conversion dated March 30, 2023 (the “</w:t>
      </w:r>
      <w:r>
        <w:rPr>
          <w:rFonts w:ascii="Arial" w:cs="Arial" w:eastAsia="Arial" w:hAnsi="Arial"/>
          <w:sz w:val="18"/>
          <w:szCs w:val="18"/>
          <w:b w:val="1"/>
          <w:bCs w:val="1"/>
          <w:color w:val="auto"/>
        </w:rPr>
        <w:t>Plan of Conversion</w:t>
      </w:r>
      <w:r>
        <w:rPr>
          <w:rFonts w:ascii="Arial" w:cs="Arial" w:eastAsia="Arial" w:hAnsi="Arial"/>
          <w:sz w:val="18"/>
          <w:szCs w:val="18"/>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Purchase Agreement described in Note 13 the Company issued 98,500 shares pursuant to the Purchase Agreement with CCM LLC for aggregate net proceeds to the Company of $671 through April 17,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ind w:left="10400"/>
        <w:spacing w:after="0"/>
        <w:rPr>
          <w:sz w:val="20"/>
          <w:szCs w:val="20"/>
          <w:color w:val="auto"/>
        </w:rPr>
      </w:pPr>
      <w:r>
        <w:rPr>
          <w:rFonts w:ascii="Arial" w:cs="Arial" w:eastAsia="Arial" w:hAnsi="Arial"/>
          <w:sz w:val="16"/>
          <w:szCs w:val="16"/>
          <w:b w:val="1"/>
          <w:bCs w:val="1"/>
          <w:color w:val="auto"/>
        </w:rPr>
        <w:t>Exhibit 4.5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SPECIMEN WARRANT CERTIFICATE</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 WARRANTS</w:t>
      </w:r>
    </w:p>
    <w:p>
      <w:pPr>
        <w:spacing w:after="0" w:line="430" w:lineRule="exact"/>
        <w:rPr>
          <w:sz w:val="20"/>
          <w:szCs w:val="20"/>
          <w:color w:val="auto"/>
        </w:rPr>
      </w:pPr>
    </w:p>
    <w:p>
      <w:pPr>
        <w:sectPr>
          <w:pgSz w:w="11900" w:h="16838" w:orient="portrait"/>
          <w:cols w:equalWidth="0" w:num="2">
            <w:col w:w="9040" w:space="720"/>
            <w:col w:w="1480"/>
          </w:cols>
          <w:pgMar w:left="320" w:top="337" w:right="339" w:bottom="1440" w:gutter="0" w:footer="0" w:header="0"/>
          <w:type w:val="continuous"/>
        </w:sectPr>
      </w:pPr>
    </w:p>
    <w:p>
      <w:pPr>
        <w:spacing w:after="0" w:line="34" w:lineRule="exact"/>
        <w:rPr>
          <w:sz w:val="20"/>
          <w:szCs w:val="20"/>
          <w:color w:val="auto"/>
        </w:rPr>
      </w:pPr>
    </w:p>
    <w:p>
      <w:pPr>
        <w:jc w:val="center"/>
        <w:ind w:left="2640" w:right="2620"/>
        <w:spacing w:after="0" w:line="263"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BUSINESS COMBINATION)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CUSIP 26145B 114</w:t>
      </w:r>
    </w:p>
    <w:p>
      <w:pPr>
        <w:sectPr>
          <w:pgSz w:w="11900" w:h="16838" w:orient="portrait"/>
          <w:cols w:equalWidth="0" w:num="1">
            <w:col w:w="11240"/>
          </w:cols>
          <w:pgMar w:left="320" w:top="337" w:right="3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THIS WARRANT CERTIFIES THAT</w:t>
      </w:r>
      <w:r>
        <w:rPr>
          <w:rFonts w:ascii="Arial" w:cs="Arial" w:eastAsia="Arial" w:hAnsi="Arial"/>
          <w:sz w:val="16"/>
          <w:szCs w:val="16"/>
          <w:color w:val="auto"/>
        </w:rPr>
        <w:t>, for value received ________, or registered agents, is the registered holder of a Warrant or Warrants (the</w:t>
      </w:r>
    </w:p>
    <w:p>
      <w:pPr>
        <w:spacing w:after="0" w:line="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expiring on a date which is five (5) years from the completion of the Company’s initial business combination, to purchase one fully paid and non-assessable share (the “</w:t>
      </w:r>
      <w:r>
        <w:rPr>
          <w:rFonts w:ascii="Arial" w:cs="Arial" w:eastAsia="Arial" w:hAnsi="Arial"/>
          <w:sz w:val="18"/>
          <w:szCs w:val="18"/>
          <w:b w:val="1"/>
          <w:bCs w:val="1"/>
          <w:color w:val="auto"/>
        </w:rPr>
        <w:t>Warrant Shares</w:t>
      </w:r>
      <w:r>
        <w:rPr>
          <w:rFonts w:ascii="Arial" w:cs="Arial" w:eastAsia="Arial" w:hAnsi="Arial"/>
          <w:sz w:val="18"/>
          <w:szCs w:val="18"/>
          <w:color w:val="auto"/>
        </w:rPr>
        <w:t>”),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of Chardan NexTech Acquisition 2 Corp.,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for each Warrant evidenced by this Warrant Certificate. This Warrant Certificate is subject to and shall be interpreted under the terms and conditions of the Warrant Agreement (as defined below).</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Warrant entitles the holder thereof to purchase from the Company, from time to time, in whole or in part, commencing 30 days after the completion of the Company’s initial business combination, such number of Warrant Shares at the price of $11.50 per share (the “</w:t>
      </w:r>
      <w:r>
        <w:rPr>
          <w:rFonts w:ascii="Arial" w:cs="Arial" w:eastAsia="Arial" w:hAnsi="Arial"/>
          <w:sz w:val="17"/>
          <w:szCs w:val="17"/>
          <w:b w:val="1"/>
          <w:bCs w:val="1"/>
          <w:color w:val="auto"/>
        </w:rPr>
        <w:t>Warrant Price</w:t>
      </w:r>
      <w:r>
        <w:rPr>
          <w:rFonts w:ascii="Arial" w:cs="Arial" w:eastAsia="Arial" w:hAnsi="Arial"/>
          <w:sz w:val="17"/>
          <w:szCs w:val="17"/>
          <w:color w:val="auto"/>
        </w:rPr>
        <w:t>”), upon surrender of this Warrant Certificate and payment of the Warrant Price at the office or agency of American Stock Transfer &amp; Trust Company, LLC (the “</w:t>
      </w:r>
      <w:r>
        <w:rPr>
          <w:rFonts w:ascii="Arial" w:cs="Arial" w:eastAsia="Arial" w:hAnsi="Arial"/>
          <w:sz w:val="17"/>
          <w:szCs w:val="17"/>
          <w:b w:val="1"/>
          <w:bCs w:val="1"/>
          <w:color w:val="auto"/>
        </w:rPr>
        <w:t>Warrant Agent</w:t>
      </w:r>
      <w:r>
        <w:rPr>
          <w:rFonts w:ascii="Arial" w:cs="Arial" w:eastAsia="Arial" w:hAnsi="Arial"/>
          <w:sz w:val="17"/>
          <w:szCs w:val="17"/>
          <w:color w:val="auto"/>
        </w:rPr>
        <w:t>”), such payment to be made subject to the conditions set forth herein and in the Warrant Agreement, dated October 19, 2022, between the Company and the Warrant Agent (the “</w:t>
      </w:r>
      <w:r>
        <w:rPr>
          <w:rFonts w:ascii="Arial" w:cs="Arial" w:eastAsia="Arial" w:hAnsi="Arial"/>
          <w:sz w:val="17"/>
          <w:szCs w:val="17"/>
          <w:b w:val="1"/>
          <w:bCs w:val="1"/>
          <w:color w:val="auto"/>
        </w:rPr>
        <w:t>Warrant Agreement</w:t>
      </w:r>
      <w:r>
        <w:rPr>
          <w:rFonts w:ascii="Arial" w:cs="Arial" w:eastAsia="Arial" w:hAnsi="Arial"/>
          <w:sz w:val="17"/>
          <w:szCs w:val="17"/>
          <w:color w:val="auto"/>
        </w:rPr>
        <w: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fraction of a Warrant Share will be issued upon any exercise of a Warrant. If, upon exercise of a Warrant, a holder would be entitled to receive a fractional interest in a Warrant Share, the Company will, upon exercise, issue or cause to be issued only the largest whole number of Warrant Shares issuable on such exercise (and such fraction of a Warrant Share will be disregarded).</w:t>
      </w:r>
    </w:p>
    <w:p>
      <w:pPr>
        <w:spacing w:after="0" w:line="184"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3" w:name="page104"/>
    <w:bookmarkEnd w:id="103"/>
    <w:p>
      <w:pPr>
        <w:jc w:val="both"/>
        <w:ind w:firstLine="648"/>
        <w:spacing w:after="0" w:line="259" w:lineRule="auto"/>
        <w:rPr>
          <w:sz w:val="20"/>
          <w:szCs w:val="20"/>
          <w:color w:val="auto"/>
        </w:rPr>
      </w:pPr>
      <w:r>
        <w:rPr>
          <w:rFonts w:ascii="Arial" w:cs="Arial" w:eastAsia="Arial" w:hAnsi="Arial"/>
          <w:sz w:val="18"/>
          <w:szCs w:val="18"/>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$16.00 per share for any ten (10)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in connection with an initial business Combination, the Company (a) issues additional shares of Common Stock or equity-linked securities for capital raising purposes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the sponsor (as defined in the Company’s Registration Statement on Form S-1, No. 333-254010, as amended (the “Registration Statement”), initial stockholders (as defined in the Registration Statement) or their affiliates, without taking into account any founder shares (as defined in the Registration Statement) held by them prior to such issuance)) (the “Newly Issued Price”) (b) the aggregate gross proceeds from such issuances represent more than 60% of the total equity proceeds, and interest thereon, available for the funding of the initial business combination on the date of the consummation of such initial business combination (net of redemptions), and (c) the Market Price (as defined below) is below $9.20 per share, the Warrant Price shall be adjusted (to the nearest cent) to be equal to 115% of the higher of (i) the Market Price and (ii) the Newly Issued Price, and the Redemption Trigger Price (as defined in Section 6.1 of the Warrant Agreement) shall be adjusted (to the nearest cent) to be equal to 160% of the higher of (i) the Market Price and the Newly Issued Price. The “Market Price” shall mean the volume weighted average reported last sale price of the shares of Common Stock for the 10 trading days ending on the trading day prior to the date of the completion of the initial business combination.</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AMERICAN STOCK TRANSFER &amp; TRUST COMPANY,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[REVERSE OF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165" w:lineRule="exact"/>
        <w:rPr>
          <w:sz w:val="20"/>
          <w:szCs w:val="20"/>
          <w:color w:val="auto"/>
        </w:rPr>
      </w:pPr>
    </w:p>
    <w:p>
      <w:pPr>
        <w:ind w:left="1960" w:hanging="656"/>
        <w:spacing w:after="0"/>
        <w:tabs>
          <w:tab w:leader="none" w:pos="196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a “Cash Exercise” with respect to Warrant Shares; and/or</w:t>
      </w:r>
    </w:p>
    <w:p>
      <w:pPr>
        <w:spacing w:after="0" w:line="225" w:lineRule="exact"/>
        <w:rPr>
          <w:rFonts w:ascii="MS PGothic" w:cs="MS PGothic" w:eastAsia="MS PGothic" w:hAnsi="MS PGothic"/>
          <w:sz w:val="18"/>
          <w:szCs w:val="18"/>
          <w:color w:val="auto"/>
        </w:rPr>
      </w:pPr>
    </w:p>
    <w:p>
      <w:pPr>
        <w:jc w:val="both"/>
        <w:ind w:left="1960" w:hanging="656"/>
        <w:spacing w:after="0" w:line="259" w:lineRule="auto"/>
        <w:tabs>
          <w:tab w:leader="none" w:pos="1960" w:val="left"/>
        </w:tabs>
        <w:numPr>
          <w:ilvl w:val="0"/>
          <w:numId w:val="54"/>
        </w:numPr>
        <w:rPr>
          <w:rFonts w:ascii="MS PGothic" w:cs="MS PGothic" w:eastAsia="MS PGothic" w:hAnsi="MS PGothic"/>
          <w:sz w:val="18"/>
          <w:szCs w:val="18"/>
          <w:color w:val="auto"/>
        </w:rPr>
      </w:pPr>
      <w:r>
        <w:rPr>
          <w:rFonts w:ascii="Arial" w:cs="Arial" w:eastAsia="Arial" w:hAnsi="Arial"/>
          <w:sz w:val="18"/>
          <w:szCs w:val="18"/>
          <w:color w:val="auto"/>
        </w:rPr>
        <w:t>a “Cashless Exercise” with respect to Warrant Shares because on the date of this exercise, there is no effective registration statement registering the Warrant Shares, or the prospectus contained therein is not available for the resale of the Warrant Shares, in which event the Company shall deliver to the registered holder(s) shares of Common Stock pursuant to Section 3.3.2 of the Warrant Agreement.</w:t>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(PLEASE PRINT OR TYPE NAME(S) AND 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ASSIGNMENT</w:t>
      </w:r>
    </w:p>
    <w:p>
      <w:pPr>
        <w:spacing w:after="0" w:line="22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Be Executed by the Registered Holder in Order to Assign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5700395" cy="17145"/>
                    </a:xfrm>
                    <a:prstGeom prst="rect">
                      <a:avLst/>
                    </a:prstGeom>
                    <a:noFill/>
                  </pic:spPr>
                </pic:pic>
              </a:graphicData>
            </a:graphic>
          </wp:anchor>
        </w:drawing>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(PLEASE PRINT OR TYPE NAME(S) AND ADDRESS)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Warrants represented by this Warrant Certificate, and hereby irrevocably constitute and appoint Attorney to transfer this Warrant Certificate on the books of the Company, with full power of substitution in the premises.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3566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The following description summarizes the most important terms of our capital stock. It is subject to and qualified in its entirety by reference to our articles of incorporation (“</w:t>
      </w:r>
      <w:r>
        <w:rPr>
          <w:rFonts w:ascii="Arial" w:cs="Arial" w:eastAsia="Arial" w:hAnsi="Arial"/>
          <w:sz w:val="16"/>
          <w:szCs w:val="16"/>
          <w:b w:val="1"/>
          <w:bCs w:val="1"/>
          <w:i w:val="1"/>
          <w:iCs w:val="1"/>
          <w:color w:val="auto"/>
        </w:rPr>
        <w:t>Charter</w:t>
      </w:r>
      <w:r>
        <w:rPr>
          <w:rFonts w:ascii="Arial" w:cs="Arial" w:eastAsia="Arial" w:hAnsi="Arial"/>
          <w:sz w:val="16"/>
          <w:szCs w:val="16"/>
          <w:i w:val="1"/>
          <w:iCs w:val="1"/>
          <w:color w:val="auto"/>
        </w:rPr>
        <w:t>”) and bylaws (“</w:t>
      </w:r>
      <w:r>
        <w:rPr>
          <w:rFonts w:ascii="Arial" w:cs="Arial" w:eastAsia="Arial" w:hAnsi="Arial"/>
          <w:sz w:val="16"/>
          <w:szCs w:val="16"/>
          <w:b w:val="1"/>
          <w:bCs w:val="1"/>
          <w:i w:val="1"/>
          <w:iCs w:val="1"/>
          <w:color w:val="auto"/>
        </w:rPr>
        <w:t>Bylaws</w:t>
      </w:r>
      <w:r>
        <w:rPr>
          <w:rFonts w:ascii="Arial" w:cs="Arial" w:eastAsia="Arial" w:hAnsi="Arial"/>
          <w:sz w:val="16"/>
          <w:szCs w:val="16"/>
          <w:i w:val="1"/>
          <w:iCs w:val="1"/>
          <w:color w:val="auto"/>
        </w:rPr>
        <w:t>”), which are included as exhibits to our annual report, of which this Exhibit 4.7 is a part. We encourage you to read our Charter, our Bylaws and the applicable provisions of the Nevada Revised Statutes (the “</w:t>
      </w:r>
      <w:r>
        <w:rPr>
          <w:rFonts w:ascii="Arial" w:cs="Arial" w:eastAsia="Arial" w:hAnsi="Arial"/>
          <w:sz w:val="16"/>
          <w:szCs w:val="16"/>
          <w:b w:val="1"/>
          <w:bCs w:val="1"/>
          <w:i w:val="1"/>
          <w:iCs w:val="1"/>
          <w:color w:val="auto"/>
        </w:rPr>
        <w:t>NRS</w:t>
      </w:r>
      <w:r>
        <w:rPr>
          <w:rFonts w:ascii="Arial" w:cs="Arial" w:eastAsia="Arial" w:hAnsi="Arial"/>
          <w:sz w:val="16"/>
          <w:szCs w:val="16"/>
          <w:i w:val="1"/>
          <w:iCs w:val="1"/>
          <w:color w:val="auto"/>
        </w:rPr>
        <w:t>”), for additional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175,000,000 shares of capital stock authorized under our Charter, which consists of 170,000,000 shares of common stock with a par value of $0.0001 per share and 5,000,000 shares of preferred stock with par value $0.0001 per share.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21, 2023 there were 45,794,923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summary of certain terms and provisions of our Public Warrants is not complete and is subject to, and qualified in its entirety by the provisions of the respective Warrant Agreement and form of Public Warrant which are filed as exhibits to this annual report of which this Exhibit 4.7 is a part. We encourage you to review the terms and provisions set forth in the Warrant Agreement and form of Public Warrant. The Public Warrants are administered by American Stock Transfer &amp; Trust Company, LLC, as the warrant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21, 2023, there were 9,487,500 shares of common stock issuable upon the exercise of the outstanding 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Exercisability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Price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Fundamental Transaction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call the Public Warrants for redemption in accordance with the terms summarized below:</w:t>
      </w:r>
    </w:p>
    <w:p>
      <w:pPr>
        <w:spacing w:after="0" w:line="225" w:lineRule="exact"/>
        <w:rPr>
          <w:sz w:val="20"/>
          <w:szCs w:val="20"/>
          <w:color w:val="auto"/>
        </w:rPr>
      </w:pPr>
    </w:p>
    <w:p>
      <w:pPr>
        <w:ind w:left="1620" w:hanging="64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1620" w:hanging="640"/>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“30-day redemption period”) to each warrant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9" w:name="page110"/>
    <w:bookmarkEnd w:id="109"/>
    <w:p>
      <w:pPr>
        <w:ind w:left="1620" w:hanging="640"/>
        <w:spacing w:after="0" w:line="277"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70"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Transferability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as a Stockholders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Public Warrants and Warrant Agreement are governed by New York law.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Combinations with Interested Stockholders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jc w:val="both"/>
        <w:ind w:firstLine="648"/>
        <w:spacing w:after="0" w:line="286" w:lineRule="auto"/>
        <w:rPr>
          <w:sz w:val="20"/>
          <w:szCs w:val="20"/>
          <w:color w:val="auto"/>
        </w:rPr>
      </w:pPr>
      <w:r>
        <w:rPr>
          <w:rFonts w:ascii="Arial" w:cs="Arial" w:eastAsia="Arial" w:hAnsi="Arial"/>
          <w:sz w:val="16"/>
          <w:szCs w:val="16"/>
          <w:color w:val="auto"/>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Companies are entitled to opt out of the business combination provisions of the NRS. In our Charter, we have not opted out of the business combination provisions of NRS 78.411 to 78.444, inclusive.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Controlling Interests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Nevada law also protects the corporation and its stockholders from persons acquiring a “controlling interest” in a corporation. The provisions can be found in NRS 78.378 to 78.3793, inclusive. Delaware law does not have similar provisions.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1" w:name="page112"/>
    <w:bookmarkEnd w:id="111"/>
    <w:p>
      <w:pPr>
        <w:jc w:val="both"/>
        <w:ind w:firstLine="648"/>
        <w:spacing w:after="0" w:line="296" w:lineRule="auto"/>
        <w:rPr>
          <w:sz w:val="20"/>
          <w:szCs w:val="20"/>
          <w:color w:val="auto"/>
        </w:rPr>
      </w:pPr>
      <w:r>
        <w:rPr>
          <w:rFonts w:ascii="Arial" w:cs="Arial" w:eastAsia="Arial" w:hAnsi="Arial"/>
          <w:sz w:val="16"/>
          <w:szCs w:val="16"/>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Charter and 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Charter and Bylaws provide for:</w:t>
      </w:r>
    </w:p>
    <w:p>
      <w:pPr>
        <w:spacing w:after="0" w:line="225"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classifying our board of directors into three classes;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thereby requiring all stockholder actions to be taken at a meeting of our stockholders;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establishing Nevada as the exclusive jurisdiction for certain stockholder litigation against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78.138 of the NRS provides that, unless the corporation’s Charter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Unless otherwise restricted by the Charter,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Charter,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ind w:firstLine="648"/>
        <w:spacing w:after="0" w:line="275" w:lineRule="auto"/>
        <w:rPr>
          <w:sz w:val="20"/>
          <w:szCs w:val="20"/>
          <w:color w:val="auto"/>
        </w:rPr>
      </w:pPr>
      <w:r>
        <w:rPr>
          <w:rFonts w:ascii="Arial" w:cs="Arial" w:eastAsia="Arial" w:hAnsi="Arial"/>
          <w:sz w:val="17"/>
          <w:szCs w:val="17"/>
          <w:color w:val="auto"/>
        </w:rPr>
        <w:t>Our Charter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 Provisions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for our shares of common stock and warrant agent for all of our warrants is American Stock Transfer &amp; Trust Company, LLC.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“DFLI” and our Public Warrants are currently listed on the Nasdaq Capital Market under the symbol “DFLIW”.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Separation and Release of Claims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Separation and Release of Claims Agreement (“Agreement”) is entered into by and between Dragonfly Energy Holdings Corp., a Delaware corporation and its subsidiaries (the “Employer”), on behalf of itself, and its present and former employees, officers, directors, owners, shareholders, and agents, individually and in their official capacities (collectively referred to as the “Employer Group”), and Sean Nichols (the “Employee”), residing at 1945 Marsh Avenue, Reno, Nevada (the Employer and the Employee are collectively referred to as the “Parties”) as of October 25, 2022 (the “Execution Date”).</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Employee’s last day of employment with the Employer is November 7, 2022 (the “Separation Date”). After the Separation Date, the Employee will not represent himself as being an employee, officer, attorney, agent, or representative of the Employer Group for any purpose. Except as otherwise set forth in this Agreement, the Separation Date is the employment termination date for the Employee for all purposes, meaning the Employee is not entitled to any further compensation, monies, or other benefits from the Employer Group, including coverage under any benefit plans or programs sponsored by the Employer Group, as of the Separation Date, except as mutually agreed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Employee agrees to not seek future employment with the Employer.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consideration of these premises and mutual agreements herein contained, and intending to be legally bound hereby, the Parties agree as follows:</w:t>
      </w:r>
    </w:p>
    <w:p>
      <w:pPr>
        <w:spacing w:after="0" w:line="237" w:lineRule="exact"/>
        <w:rPr>
          <w:sz w:val="20"/>
          <w:szCs w:val="20"/>
          <w:color w:val="auto"/>
        </w:rPr>
      </w:pPr>
    </w:p>
    <w:p>
      <w:pPr>
        <w:jc w:val="both"/>
        <w:ind w:firstLine="656"/>
        <w:spacing w:after="0" w:line="311" w:lineRule="auto"/>
        <w:tabs>
          <w:tab w:leader="none" w:pos="8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Consideration. As consideration for the Employee’s execution of, non-revocation of, and compliance with this Agreement, including the Employee’s waiver and release of claims in Section 4 and other post-termination obligations, and the Employee’s execution and non-revocation of the Resignation, attached hereto as Exhibit A, the Employer Group agrees to provide the following benefits to which the Employee is not otherwise entitled:</w:t>
      </w:r>
    </w:p>
    <w:p>
      <w:pPr>
        <w:spacing w:after="0" w:line="148" w:lineRule="exact"/>
        <w:rPr>
          <w:rFonts w:ascii="Arial" w:cs="Arial" w:eastAsia="Arial" w:hAnsi="Arial"/>
          <w:sz w:val="16"/>
          <w:szCs w:val="16"/>
          <w:color w:val="auto"/>
        </w:rPr>
      </w:pPr>
    </w:p>
    <w:p>
      <w:pPr>
        <w:ind w:firstLine="1304"/>
        <w:spacing w:after="0" w:line="277" w:lineRule="auto"/>
        <w:tabs>
          <w:tab w:leader="none" w:pos="145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 lump sum payment of One Hundred Thousand Dollars ($100,000), less all relevant taxes and other withholdings, which shall be paid on December 7, 2022.</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1489"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Payments equivalent to One Million Dollars ($1,000,000.00) divided into twenty-four (24) monthly payments starting on the first of the month following the Effective Date (defined below). These payments will not deduct taxes or any other withholdings. Notwithstanding the foregoing, no payment shall be made or begin before the Effective Date of this Agreement.</w:t>
      </w:r>
    </w:p>
    <w:p>
      <w:pPr>
        <w:spacing w:after="0" w:line="183" w:lineRule="exact"/>
        <w:rPr>
          <w:rFonts w:ascii="Arial" w:cs="Arial" w:eastAsia="Arial" w:hAnsi="Arial"/>
          <w:sz w:val="18"/>
          <w:szCs w:val="18"/>
          <w:color w:val="auto"/>
        </w:rPr>
      </w:pPr>
    </w:p>
    <w:p>
      <w:pPr>
        <w:jc w:val="both"/>
        <w:ind w:firstLine="1304"/>
        <w:spacing w:after="0" w:line="296" w:lineRule="auto"/>
        <w:tabs>
          <w:tab w:leader="none" w:pos="1506" w:val="left"/>
        </w:tabs>
        <w:numPr>
          <w:ilvl w:val="1"/>
          <w:numId w:val="58"/>
        </w:numPr>
        <w:rPr>
          <w:rFonts w:ascii="Arial" w:cs="Arial" w:eastAsia="Arial" w:hAnsi="Arial"/>
          <w:sz w:val="16"/>
          <w:szCs w:val="16"/>
          <w:color w:val="auto"/>
        </w:rPr>
      </w:pPr>
      <w:r>
        <w:rPr>
          <w:rFonts w:ascii="Arial" w:cs="Arial" w:eastAsia="Arial" w:hAnsi="Arial"/>
          <w:sz w:val="16"/>
          <w:szCs w:val="16"/>
          <w:color w:val="auto"/>
        </w:rPr>
        <w:t>Notwithstanding the terms of the 2022 Dragonfly Energy Holdings Corp. Stock Incentive Plan and all successor plans or any applicable award agreements, all outstanding equity-based compensation awards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Employee will have 12 months from the Termination Date to exercise outstanding options. This section shall be approved by Employer’s Board of Directors on or before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ind w:firstLine="1296"/>
        <w:spacing w:after="0" w:line="273" w:lineRule="auto"/>
        <w:rPr>
          <w:sz w:val="20"/>
          <w:szCs w:val="20"/>
          <w:color w:val="auto"/>
        </w:rPr>
      </w:pPr>
      <w:r>
        <w:rPr>
          <w:rFonts w:ascii="Arial" w:cs="Arial" w:eastAsia="Arial" w:hAnsi="Arial"/>
          <w:sz w:val="17"/>
          <w:szCs w:val="17"/>
          <w:color w:val="auto"/>
        </w:rPr>
        <w:t>d. If the Employee timely and properly elects COBRA continuation coverage under the Dragonfly Energy Holdings Corp. Employee Benefits Plan (Plan), the Employee may be permitted to continue participation in the Plan under COBRA by continuing to pay premiums to the Employer at the contribution level in effect for active employees until the earliest of: (i) the expiration of eighteen months following the Separation Date; (ii} the date the Employee becomes covered under another employer’s health plan; or (iii) the expiration of the maximum COBRA continuation coverage period for which the Employee is eligible under federal law. At the end of this period, the Employee shall be eligible to continue coverage, pursuant to COBRA, and shall be responsible for the entire COBRA premium for the remainder of the applicable COBRA continuation period.</w:t>
      </w:r>
    </w:p>
    <w:p>
      <w:pPr>
        <w:spacing w:after="0" w:line="17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 Employee agrees to direct all requests for references to Denis Phares. In response to a request for a reference, Denis Phares shall provide only Employee’s dates of employment and job title and, if requested and authorized by the Employee in writing, the Employee’s last salary or rate of pay.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A positive letter of reference from Denis Phares, Ph.D, Chairman and CEO, in the form attached as Exhibit B.</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 understands, acknowledges, and agrees that these benefits exceed what the Employee is otherwise entitled to receive on separation from employment, and that these benefits are being given as consideration in exchange for executing this Agreement, including the general release contained in it. The Employee further acknowledges that the Employee is not entitled to any additional payment or consideration not specifically referenced in this Agreement. Nothing in this Agreement shall be deemed or construed as an express or implied policy or practice of the Employer Group to provide these or other benefits to any individuals other than the Employee.</w:t>
      </w:r>
    </w:p>
    <w:p>
      <w:pPr>
        <w:spacing w:after="0" w:line="188" w:lineRule="exact"/>
        <w:rPr>
          <w:sz w:val="20"/>
          <w:szCs w:val="20"/>
          <w:color w:val="auto"/>
        </w:rPr>
      </w:pPr>
    </w:p>
    <w:p>
      <w:pPr>
        <w:ind w:right="20" w:firstLine="656"/>
        <w:spacing w:after="0" w:line="277" w:lineRule="auto"/>
        <w:tabs>
          <w:tab w:leader="none" w:pos="83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Resignation from Company. On the Separation Date, Employee shall execute a written Resignation in the form of Exhibit “A” attached hereto resigning as an employee of the Company.</w:t>
      </w:r>
    </w:p>
    <w:p>
      <w:pPr>
        <w:spacing w:after="0" w:line="170" w:lineRule="exact"/>
        <w:rPr>
          <w:rFonts w:ascii="Arial" w:cs="Arial" w:eastAsia="Arial" w:hAnsi="Arial"/>
          <w:sz w:val="18"/>
          <w:szCs w:val="18"/>
          <w:color w:val="auto"/>
        </w:rPr>
      </w:pPr>
    </w:p>
    <w:p>
      <w:pPr>
        <w:jc w:val="both"/>
        <w:ind w:firstLine="656"/>
        <w:spacing w:after="0" w:line="275" w:lineRule="auto"/>
        <w:tabs>
          <w:tab w:leader="none" w:pos="832"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Cooperation. The parties agree that certain matters in which the Employee has been involved during the Employee’s employment may need the Employee’s cooperation with the Employer in the future. Accordingly, for a period of six (6) months after the Separation Date, to the extent reasonably requested by the Employer, the Employee shall cooperate with the Employer regarding matters arising out of or related to the Employee’s service to the Employer, provided that the Employer shall make reasonable efforts to minimize disruption of the Employee’s other activities. The Employer shall reimburse the Employee for reasonable expenses incurred in connection with this cooperation.</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Post-Termination Obligations and Restrictive Covenants.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Acknowledgment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Employee understands and acknowledges that by virtue of the Employee’s employment with the Employer Group, the Employee had access to and knowledge of Confidential Information, was in a position of trust and confidence with the Employer Group, and benefitted from the Employer Group’s goodwill. The Employee understands and acknowledges that the Employer Group invested significant time and expense in developing the Confidential Information and goodwill.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17"/>
          <w:szCs w:val="17"/>
          <w:color w:val="auto"/>
        </w:rPr>
        <w:t>The Employee further understands and acknowledges that the restrictive covenants below are necessary to protect the Employer Group’s legitimate business interests in its Confidential Information and goodwill. The Employee further understands and acknowledges that the Employer Group’s ability to reserve these for the exclusive knowledge and use of the Employer Group is of great competitive importance and commercial value to the Employer Group and that the Employer Group would be irreparably harmed if the Employee violates the restrictive covenants below.</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Confidential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Employee understands and acknowledges that during the course of employment with the Employer, the Employee has had access to and learned about confidential, secret, and proprietary documents, materials, and other information, in tangible and intangible form, of and relating to the Employer and its businesses and existing and prospective customers, suppliers, investors, and other associated third parties {“Confidential Information”). The Employee further understands and acknowledges that this Confidential Information and the Employer’s ability to reserve it for the exclusive knowledge and use of the Employer is of great competitive importance and commercial value to the Employer, and that improper use or disclosure of the Confidential Information by the Employee may cause the Employer to incur financial costs, loss of business advantage, liability under confidentiality agreements with third parties, civil damages, and criminal penalties.</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purposes of this Agreement, Confidential Information includes, but is not limited to, all information not generally known to the public, in spoken, printed, electronic, or any other form or medium, relating directly or indirectly to: business processes, practices, methods, policies, plans, publications, documents, research, operations, services, strategies, techniques, agreements, contracts, terms of agreements, transactions, potential transactions, negotiations, pending negotiations, know-how, trade secrets, computer programs, computer software, applications, operating systems, software design, web design, work-in-process, databases, device configurations, embedded data, compilations, metadata, algorithms, technologies, manuals, records, articles, systems, material, sources of material, supplier information, vendor information, financial information, results, accounting information, accounting records, legal information, marketing information, advertising information, pricing information, credit information, design information, payroll information, staffing information, personnel information, employee lists, supplier lists, vendor lists, developments, reports, internal controls, security procedures, graphics, drawings, sketches, market studies, sales information, revenue, costs, formulae, notes, communications, product plans, designs, styles, models, ideas, audiovisual programs, inventions, unpublished patent applications, original works of authorship, discoveries, experimental processes, experimental results, specifications, customer information, customer lists, client information, client lists, manufacturing information, factory lists, distributor lists, and buyer lists, of the Employer or its businesses or any existing or prospective customer, supplier, investor, or other associated third party, or of any other person or entity that has entrusted information to the Employer in confidence.</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Employee understands that the above list is not exhaustive, and that Confidential Information also includes other information that is marked or otherwise identified or treated as confidential or proprietary, or that would otherwise appear to a reasonable person to be confidential or proprietary in the context and circumstances in which the information is known or used.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7" w:name="page118"/>
    <w:bookmarkEnd w:id="117"/>
    <w:p>
      <w:pPr>
        <w:jc w:val="both"/>
        <w:spacing w:after="0" w:line="279" w:lineRule="auto"/>
        <w:rPr>
          <w:sz w:val="20"/>
          <w:szCs w:val="20"/>
          <w:color w:val="auto"/>
        </w:rPr>
      </w:pPr>
      <w:r>
        <w:rPr>
          <w:rFonts w:ascii="Arial" w:cs="Arial" w:eastAsia="Arial" w:hAnsi="Arial"/>
          <w:sz w:val="17"/>
          <w:szCs w:val="17"/>
          <w:color w:val="auto"/>
        </w:rPr>
        <w:t>The Employee understands and agrees that Confidential Information developed by the Employee in the course of the Employee’s employment by the Employer is subject to the terms and conditions of this Agreement as if the Employer furnished the same Confidential Information to the Employee in the first instance. Confidential Information shall not include information that is generally available to and known by the public at the time of disclosure to the Employee, provided that the disclosure is through no direct or indirect fault of the Employee or person(s) acting on the Employee’s behalf.</w:t>
      </w:r>
    </w:p>
    <w:p>
      <w:pPr>
        <w:spacing w:after="0" w:line="17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c. Confidentiality of Agreement. The Employee agrees and covenants that the Employee shall not disclose any of the negotiations of, terms of, or amount paid under this Agreement to any individual or entity; provided, however, that the Employee will not be prohibited from making disclosures to the Employee’s spouse or domestic partner, attorney, tax advisors, or as may be required by law.</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agrees the fact of Employee’s separation from the Company, this Agreement, the Separation Date, the Execution Date, and Effective Date are strictly confidential until the Announcement Date. The Announcement Date is the date the Company publishes its Q3 Earnings Report, currently anticipated to be November 7, 2022.</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Section does not in any way restrict or impede the Employee from disclosing the underlying facts or circumstances giving rise to the Employee’s claim of sexual harassment or abuse or sex discrimination or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Employee shall promptly provide written notice of any such order to Chief Legal Officer at Dragonfly Energy Holdings Corp.., legal@dragonflyenergy.com 1190 Trademark Drive #108, Reno, Nevada 89521.</w:t>
      </w:r>
    </w:p>
    <w:p>
      <w:pPr>
        <w:spacing w:after="0" w:line="16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Disclosure and Use Restrictions.</w:t>
      </w:r>
    </w:p>
    <w:p>
      <w:pPr>
        <w:spacing w:after="0" w:line="225" w:lineRule="exact"/>
        <w:rPr>
          <w:sz w:val="20"/>
          <w:szCs w:val="20"/>
          <w:color w:val="auto"/>
        </w:rPr>
      </w:pPr>
    </w:p>
    <w:p>
      <w:pPr>
        <w:ind w:left="2780" w:hanging="180"/>
        <w:spacing w:after="0"/>
        <w:tabs>
          <w:tab w:leader="none" w:pos="2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Employee Covenants. The Employee agrees and covenants:</w:t>
      </w:r>
    </w:p>
    <w:p>
      <w:pPr>
        <w:spacing w:after="0" w:line="225" w:lineRule="exact"/>
        <w:rPr>
          <w:rFonts w:ascii="Arial" w:cs="Arial" w:eastAsia="Arial" w:hAnsi="Arial"/>
          <w:sz w:val="18"/>
          <w:szCs w:val="18"/>
          <w:color w:val="auto"/>
        </w:rPr>
      </w:pPr>
    </w:p>
    <w:p>
      <w:pPr>
        <w:ind w:left="4060" w:hanging="164"/>
        <w:spacing w:after="0"/>
        <w:tabs>
          <w:tab w:leader="none" w:pos="40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treat all Confidential Information as strictly confidential;</w:t>
      </w:r>
    </w:p>
    <w:p>
      <w:pPr>
        <w:spacing w:after="0" w:line="225" w:lineRule="exact"/>
        <w:rPr>
          <w:rFonts w:ascii="Arial" w:cs="Arial" w:eastAsia="Arial" w:hAnsi="Arial"/>
          <w:sz w:val="18"/>
          <w:szCs w:val="18"/>
          <w:color w:val="auto"/>
        </w:rPr>
      </w:pPr>
    </w:p>
    <w:p>
      <w:pPr>
        <w:jc w:val="both"/>
        <w:ind w:firstLine="3896"/>
        <w:spacing w:after="0" w:line="255" w:lineRule="auto"/>
        <w:tabs>
          <w:tab w:leader="none" w:pos="4119"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not to directly or indirectly disclose, publish, communicate, or make available Confidential Information, or allow it to be disclosed, published, communicated, or made available, in whole or part, to any entity or person whatsoever (including other employees of the Employer) not having a need to know and authority to know and use the Confidential Information in connection with the business of the Employer and, in any event, not to anyone outside of the direct employ of the Employer except as required in the performance of any of the Employee’s remaining authorized employment duties to the Employer and only after execution of a confidentiality agreement by the third party with whom Confidential Information will be shared;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8" w:name="page119"/>
    <w:bookmarkEnd w:id="118"/>
    <w:p>
      <w:pPr>
        <w:jc w:val="both"/>
        <w:ind w:firstLine="3888"/>
        <w:spacing w:after="0" w:line="254" w:lineRule="auto"/>
        <w:rPr>
          <w:sz w:val="20"/>
          <w:szCs w:val="20"/>
          <w:color w:val="auto"/>
        </w:rPr>
      </w:pPr>
      <w:r>
        <w:rPr>
          <w:rFonts w:ascii="Arial" w:cs="Arial" w:eastAsia="Arial" w:hAnsi="Arial"/>
          <w:sz w:val="18"/>
          <w:szCs w:val="18"/>
          <w:color w:val="auto"/>
        </w:rPr>
        <w:t>c. not to access or use any Confidential Information, and not to copy any documents, records, files, media, or other resources containing any Confidential Information, or remove any such documents, records, files, media, or other resources from the premises or control of the Employer, except as allowed by applicable law, or as required in the performance of any of the Employee’s remaining authorized employment duties to the Employer. The Employee understands and acknowledges that the Employee’s obligations under this Agreement regarding any particular Confidential Information begin immediately and shall continue during and after the Employee’s employment by the Employer until the Confidential Information has become public knowledge other than as a result of the Employee’s breach of this Agreement or a breach by those acting in concert with the Employee or on the Employee’s behalf.</w:t>
      </w:r>
    </w:p>
    <w:p>
      <w:pPr>
        <w:spacing w:after="0" w:line="195" w:lineRule="exact"/>
        <w:rPr>
          <w:sz w:val="20"/>
          <w:szCs w:val="20"/>
          <w:color w:val="auto"/>
        </w:rPr>
      </w:pPr>
    </w:p>
    <w:p>
      <w:pPr>
        <w:jc w:val="both"/>
        <w:ind w:firstLine="2600"/>
        <w:spacing w:after="0" w:line="253" w:lineRule="auto"/>
        <w:tabs>
          <w:tab w:leader="none" w:pos="2831" w:val="left"/>
        </w:tabs>
        <w:numPr>
          <w:ilvl w:val="1"/>
          <w:numId w:val="61"/>
        </w:numPr>
        <w:rPr>
          <w:rFonts w:ascii="Arial" w:cs="Arial" w:eastAsia="Arial" w:hAnsi="Arial"/>
          <w:sz w:val="18"/>
          <w:szCs w:val="18"/>
          <w:color w:val="auto"/>
        </w:rPr>
      </w:pPr>
      <w:r>
        <w:rPr>
          <w:rFonts w:ascii="Arial" w:cs="Arial" w:eastAsia="Arial" w:hAnsi="Arial"/>
          <w:sz w:val="18"/>
          <w:szCs w:val="18"/>
          <w:color w:val="auto"/>
        </w:rPr>
        <w:t>Permitted Disclosures. Nothing in this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The Employee shall promptly provide written notice of any such order to an authorized officer of the Employer. Nothing in this Agreement prohibits or restricts the Employee (or Employee’s attorney) from initiating communications directly with, responding to an inquiry from, or providing testimony before the Securities and Exchange Commission (SEC), the Financial Industry Regulatory Authority (FINRA), any other self-regulatory organization, or any other federal or state regulatory authority regarding this Agreement or its underlying facts or circumstances [or a possible securities law violation. Nothing in this Agreement in any way prohibits or is intended to restrict or impede the Employee from exercising protected rights under Section 7 of the National Labor Relations Act (NLRA).</w:t>
      </w:r>
    </w:p>
    <w:p>
      <w:pPr>
        <w:spacing w:after="0" w:line="196" w:lineRule="exact"/>
        <w:rPr>
          <w:rFonts w:ascii="Arial" w:cs="Arial" w:eastAsia="Arial" w:hAnsi="Arial"/>
          <w:sz w:val="18"/>
          <w:szCs w:val="18"/>
          <w:color w:val="auto"/>
        </w:rPr>
      </w:pPr>
    </w:p>
    <w:p>
      <w:pPr>
        <w:ind w:left="2820" w:hanging="220"/>
        <w:spacing w:after="0"/>
        <w:tabs>
          <w:tab w:leader="none" w:pos="2820" w:val="left"/>
        </w:tabs>
        <w:numPr>
          <w:ilvl w:val="1"/>
          <w:numId w:val="61"/>
        </w:numPr>
        <w:rPr>
          <w:rFonts w:ascii="Arial" w:cs="Arial" w:eastAsia="Arial" w:hAnsi="Arial"/>
          <w:sz w:val="17"/>
          <w:szCs w:val="17"/>
          <w:color w:val="auto"/>
        </w:rPr>
      </w:pPr>
      <w:r>
        <w:rPr>
          <w:rFonts w:ascii="Arial" w:cs="Arial" w:eastAsia="Arial" w:hAnsi="Arial"/>
          <w:sz w:val="17"/>
          <w:szCs w:val="17"/>
          <w:color w:val="auto"/>
        </w:rPr>
        <w:t>Notice of Immunity Under the Defend Trade Secrets Act of 2016. Notwithstanding any other provision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jc w:val="both"/>
        <w:ind w:firstLine="3896"/>
        <w:spacing w:after="0" w:line="259" w:lineRule="auto"/>
        <w:tabs>
          <w:tab w:leader="none" w:pos="4070" w:val="left"/>
        </w:tabs>
        <w:numPr>
          <w:ilvl w:val="2"/>
          <w:numId w:val="61"/>
        </w:numPr>
        <w:rPr>
          <w:rFonts w:ascii="Arial" w:cs="Arial" w:eastAsia="Arial" w:hAnsi="Arial"/>
          <w:sz w:val="18"/>
          <w:szCs w:val="18"/>
          <w:color w:val="auto"/>
        </w:rPr>
      </w:pPr>
      <w:r>
        <w:rPr>
          <w:rFonts w:ascii="Arial" w:cs="Arial" w:eastAsia="Arial" w:hAnsi="Arial"/>
          <w:sz w:val="18"/>
          <w:szCs w:val="18"/>
          <w:color w:val="auto"/>
        </w:rPr>
        <w:t>The Employee will not be held criminally or civilly liable under any federal or state trade secret law for any disclosure of a trade secret that is made: (1) in confidence to a federal, state, or local government official, either directly or indirectly, or to an attorney, and solely for the purpose of reporting or investigating a suspected violation of law; or (2) in a complaint or other document that is filed under seal in a lawsuit or other proceeding.</w:t>
      </w:r>
    </w:p>
    <w:p>
      <w:pPr>
        <w:spacing w:after="0" w:line="186" w:lineRule="exact"/>
        <w:rPr>
          <w:rFonts w:ascii="Arial" w:cs="Arial" w:eastAsia="Arial" w:hAnsi="Arial"/>
          <w:sz w:val="18"/>
          <w:szCs w:val="18"/>
          <w:color w:val="auto"/>
        </w:rPr>
      </w:pPr>
    </w:p>
    <w:p>
      <w:pPr>
        <w:jc w:val="both"/>
        <w:ind w:firstLine="3896"/>
        <w:spacing w:after="0" w:line="311" w:lineRule="auto"/>
        <w:tabs>
          <w:tab w:leader="none" w:pos="4078"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the Employee files a lawsuit for retaliation by the Employer for reporting a suspected violation of law, the Employee may disclose the Employer’s trade secrets to the Employee’s attorney and use the trade secret information in the court proceeding if the Employee: (1) files any document containing the trade secret under seal; and (2) does not disclose the trade secret, except pursuant to court order.</w:t>
      </w:r>
    </w:p>
    <w:p>
      <w:pPr>
        <w:spacing w:after="0" w:line="148" w:lineRule="exact"/>
        <w:rPr>
          <w:rFonts w:ascii="Arial" w:cs="Arial" w:eastAsia="Arial" w:hAnsi="Arial"/>
          <w:sz w:val="16"/>
          <w:szCs w:val="16"/>
          <w:color w:val="auto"/>
        </w:rPr>
      </w:pPr>
    </w:p>
    <w:p>
      <w:pPr>
        <w:ind w:left="1480" w:hanging="176"/>
        <w:spacing w:after="0"/>
        <w:tabs>
          <w:tab w:leader="none" w:pos="14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Non-Competition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of the Employer’s legitimate business interest as described in this Agreement and the good and valuable consideration offered to the Employee, for the remainder of the Employee’s employment with the Employer and for twelve (12) months beginning on the Separation Date, the Employee agrees and covenants not to engage in any Competitive Activity within a 100-mile radius of 1190 Trademark Drive #108, Reno, Nevada.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8"/>
          <w:szCs w:val="18"/>
          <w:color w:val="auto"/>
        </w:rPr>
        <w:t>For purposes of this non-compete clause, “Competitive Activity” means to, directly or indirectly, in whole or in part, engage in, provide services to, or otherwise participate in, whether as an employee, employer, owner, operator, manager, advisor, consultant, agent, partner, director, stockholder, officer, volunteer, intern, or any other similar capacity, any entity engaged in a business that is competitive with the business of the Employer, including energy storage technology. Without limiting the foregoing, Competitive Activity also includes activity that may require or inevitably require the Employee’s disclosure of trade secrets, proprietary information, or Confidential Information.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Nothing in this Agreement prohibits the Employee from purchasing or owning less than five percent (5%) of the publicly traded securities of any corporation, provided that the Employee’s ownership represents a passive investment and that the Employee is not a controlling person of, or a member of a group that controls, the 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acknowledges the Board of Directors’ determination to allow Employee to engage in a separate business related to Belly of the Blade, LLC, a Nevada limited liability company, on the basis that it is not a competing business.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Non-Solicitation of Employees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Employee understands and acknowledges that the Employer has expended and continues to expend significant time and expense in recruiting and training its employees and that the loss of employees would cause significant and irreparable harm to the Employer. The Employee agrees and covenants not to directly or indirectly solicit, hire, recruit, attempt to hire or recruit, or induce the termination of employment of any employee of the Employer for the remainder of the Employee’s employment with the Employer and for twelve (12) months beginning on the Separation Date.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Non-Solicitation of Customers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Employee understands and acknowledges that the Employer has expended and continues to expend significant time and expense in developing customer relationships, customer information, and goodwill, and that because of the Employee’s experience with and relationship to the Employer, the Employee has had access to and learned about much or all of the Employer’s customer information (“Customer Information”). Customer Information includes, but is not limited to, names, phone numbers, addresses, email addresses, order history, order preferences, chain of command, pricing information, and other information identifying facts and circumstances specific to the customer and relevant to the Employer’s sales.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Employee understands and acknowledges that loss of any of these customer relationships or goodwill will cause significant and irreparable harm to the Employer.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Employee agrees and covenants for the remainder of the Employee’s employment with the Employer and for the twelve months beginning on the Separation Date, not to directly or indirectly solicit or attempt to solicit, contact (including but not limited to communications using email, regular mail, express mail, telephone, fax, instant message, social media, or any other oral, written, or electronic transmission), attempt to contact, or meet with the Employer’s current, former, or prospective customers for the purpose of offering or accepting goods or services similar to or competitive with those offered by the Employer.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This restriction shall only apply to:</w:t>
      </w:r>
    </w:p>
    <w:p>
      <w:pPr>
        <w:spacing w:after="0" w:line="225" w:lineRule="exact"/>
        <w:rPr>
          <w:sz w:val="20"/>
          <w:szCs w:val="20"/>
          <w:color w:val="auto"/>
        </w:rPr>
      </w:pPr>
    </w:p>
    <w:p>
      <w:pPr>
        <w:ind w:left="540" w:hanging="208"/>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customers or prospective customers the Employee contacted in any way during the twelve (12) months before the Separation Date;</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customers about whom the Employee has trade secret or Confidential Information; or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customers about whom the Employee has information that is not available publicly; or</w:t>
      </w:r>
    </w:p>
    <w:p>
      <w:pPr>
        <w:spacing w:after="0" w:line="225" w:lineRule="exact"/>
        <w:rPr>
          <w:rFonts w:ascii="Arial" w:cs="Arial" w:eastAsia="Arial" w:hAnsi="Arial"/>
          <w:sz w:val="18"/>
          <w:szCs w:val="18"/>
          <w:color w:val="auto"/>
        </w:rPr>
      </w:pPr>
    </w:p>
    <w:p>
      <w:pPr>
        <w:ind w:left="1300" w:right="4140" w:hanging="968"/>
        <w:spacing w:after="0" w:line="500" w:lineRule="auto"/>
        <w:tabs>
          <w:tab w:leader="none" w:pos="633" w:val="left"/>
        </w:tabs>
        <w:numPr>
          <w:ilvl w:val="0"/>
          <w:numId w:val="63"/>
        </w:numPr>
        <w:rPr>
          <w:rFonts w:ascii="Arial" w:cs="Arial" w:eastAsia="Arial" w:hAnsi="Arial"/>
          <w:sz w:val="18"/>
          <w:szCs w:val="18"/>
          <w:color w:val="auto"/>
        </w:rPr>
      </w:pPr>
      <w:r>
        <w:rPr>
          <w:rFonts w:ascii="Arial" w:cs="Arial" w:eastAsia="Arial" w:hAnsi="Arial"/>
          <w:sz w:val="18"/>
          <w:szCs w:val="18"/>
          <w:color w:val="auto"/>
        </w:rPr>
        <w:t>customers who became customers during the Employee’s employment with the Employer g. Non-Disparagement.</w:t>
      </w:r>
    </w:p>
    <w:p>
      <w:pPr>
        <w:spacing w:after="0" w:line="1" w:lineRule="exact"/>
        <w:rPr>
          <w:rFonts w:ascii="Arial" w:cs="Arial" w:eastAsia="Arial" w:hAnsi="Arial"/>
          <w:sz w:val="18"/>
          <w:szCs w:val="18"/>
          <w:color w:val="auto"/>
        </w:rPr>
      </w:pPr>
    </w:p>
    <w:p>
      <w:pPr>
        <w:jc w:val="both"/>
        <w:ind w:firstLine="1952"/>
        <w:spacing w:after="0" w:line="253" w:lineRule="auto"/>
        <w:tabs>
          <w:tab w:leader="none" w:pos="2087" w:val="left"/>
        </w:tabs>
        <w:numPr>
          <w:ilvl w:val="4"/>
          <w:numId w:val="63"/>
        </w:numPr>
        <w:rPr>
          <w:rFonts w:ascii="Arial" w:cs="Arial" w:eastAsia="Arial" w:hAnsi="Arial"/>
          <w:sz w:val="18"/>
          <w:szCs w:val="18"/>
          <w:color w:val="auto"/>
        </w:rPr>
      </w:pPr>
      <w:r>
        <w:rPr>
          <w:rFonts w:ascii="Arial" w:cs="Arial" w:eastAsia="Arial" w:hAnsi="Arial"/>
          <w:sz w:val="18"/>
          <w:szCs w:val="18"/>
          <w:color w:val="auto"/>
        </w:rPr>
        <w:t>The Employee agrees and covenants that the Employee shall not at any time make, publish, or communicate to any person or entity or in any public forum any defamatory, maliciously false, or disparaging remarks, comments, or statements concerning the Employer or its businesses, or any of its employees, officers, or directors and their existing and prospective customers, suppliers, investors, and other associated third parties, now or in the future. This Section does not in any way restrict or impede the Employee from exercising protected rights, including rights under the National Labor Relations Act (NLRA) or the federal securities laws, including the Dodd-Frank Act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 The Employee shall promptly provide written notice of any such order to Chief Legal Officer at Dragonfly Energy Holdings Corp.., legal@dragonflyenergy.com 1190 Trademark Drive #108, Reno, Nevada 89521.</w:t>
      </w:r>
    </w:p>
    <w:p>
      <w:pPr>
        <w:spacing w:after="0" w:line="196" w:lineRule="exact"/>
        <w:rPr>
          <w:rFonts w:ascii="Arial" w:cs="Arial" w:eastAsia="Arial" w:hAnsi="Arial"/>
          <w:sz w:val="18"/>
          <w:szCs w:val="18"/>
          <w:color w:val="auto"/>
        </w:rPr>
      </w:pPr>
    </w:p>
    <w:p>
      <w:pPr>
        <w:jc w:val="both"/>
        <w:ind w:firstLine="1952"/>
        <w:spacing w:after="0" w:line="259" w:lineRule="auto"/>
        <w:tabs>
          <w:tab w:leader="none" w:pos="2138" w:val="left"/>
        </w:tabs>
        <w:numPr>
          <w:ilvl w:val="4"/>
          <w:numId w:val="63"/>
        </w:numPr>
        <w:rPr>
          <w:rFonts w:ascii="Arial" w:cs="Arial" w:eastAsia="Arial" w:hAnsi="Arial"/>
          <w:sz w:val="18"/>
          <w:szCs w:val="18"/>
          <w:color w:val="auto"/>
        </w:rPr>
      </w:pPr>
      <w:r>
        <w:rPr>
          <w:rFonts w:ascii="Arial" w:cs="Arial" w:eastAsia="Arial" w:hAnsi="Arial"/>
          <w:sz w:val="18"/>
          <w:szCs w:val="18"/>
          <w:color w:val="auto"/>
        </w:rPr>
        <w:t>The Employer Group agrees and covenants that the Employer Group shall not at any time make, publish, or communicate to any person or entity or in any public forum any defamatory, maliciously false, or disparaging remarks, comments, or statements concerning the Employee or his businesses, or any of his employees, and his existing and prospective customers, suppliers, investors, and other associated third parties, now or in the future.</w:t>
      </w:r>
    </w:p>
    <w:p>
      <w:pPr>
        <w:spacing w:after="0" w:line="186" w:lineRule="exact"/>
        <w:rPr>
          <w:rFonts w:ascii="Arial" w:cs="Arial" w:eastAsia="Arial" w:hAnsi="Arial"/>
          <w:sz w:val="18"/>
          <w:szCs w:val="18"/>
          <w:color w:val="auto"/>
        </w:rPr>
      </w:pPr>
    </w:p>
    <w:p>
      <w:pPr>
        <w:ind w:left="840" w:hanging="184"/>
        <w:spacing w:after="0"/>
        <w:tabs>
          <w:tab w:leader="none" w:pos="8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Return of Property.</w:t>
      </w:r>
    </w:p>
    <w:p>
      <w:pPr>
        <w:spacing w:after="0" w:line="225" w:lineRule="exact"/>
        <w:rPr>
          <w:rFonts w:ascii="Arial" w:cs="Arial" w:eastAsia="Arial" w:hAnsi="Arial"/>
          <w:sz w:val="18"/>
          <w:szCs w:val="18"/>
          <w:color w:val="auto"/>
        </w:rPr>
      </w:pPr>
    </w:p>
    <w:p>
      <w:pPr>
        <w:jc w:val="both"/>
        <w:ind w:firstLine="1381"/>
        <w:spacing w:after="0" w:line="259" w:lineRule="auto"/>
        <w:tabs>
          <w:tab w:leader="none" w:pos="1559" w:val="left"/>
        </w:tabs>
        <w:numPr>
          <w:ilvl w:val="3"/>
          <w:numId w:val="63"/>
        </w:numPr>
        <w:rPr>
          <w:rFonts w:ascii="Arial" w:cs="Arial" w:eastAsia="Arial" w:hAnsi="Arial"/>
          <w:sz w:val="18"/>
          <w:szCs w:val="18"/>
          <w:color w:val="auto"/>
        </w:rPr>
      </w:pPr>
      <w:r>
        <w:rPr>
          <w:rFonts w:ascii="Arial" w:cs="Arial" w:eastAsia="Arial" w:hAnsi="Arial"/>
          <w:sz w:val="18"/>
          <w:szCs w:val="18"/>
          <w:color w:val="auto"/>
        </w:rPr>
        <w:t>By the Separation Date, the Employee must return all Employer property, including identification cards or badges, access codes or devices, keys, laptops, computers, telephones, mobile phones, hand-held electronic devices, credit cards, electronically stored documents or files, physical files, and any other Employer property in the Employee’s possession. Employee further acknowledges and agrees that Employee no longer has access to and does not claim ownership of any of Employer’s cloud storage or social media accounts.</w:t>
      </w:r>
    </w:p>
    <w:p>
      <w:pPr>
        <w:spacing w:after="0" w:line="186" w:lineRule="exact"/>
        <w:rPr>
          <w:rFonts w:ascii="Arial" w:cs="Arial" w:eastAsia="Arial" w:hAnsi="Arial"/>
          <w:sz w:val="18"/>
          <w:szCs w:val="18"/>
          <w:color w:val="auto"/>
        </w:rPr>
      </w:pPr>
    </w:p>
    <w:p>
      <w:pPr>
        <w:jc w:val="both"/>
        <w:ind w:firstLine="1381"/>
        <w:spacing w:after="0" w:line="263" w:lineRule="auto"/>
        <w:tabs>
          <w:tab w:leader="none" w:pos="1560" w:val="left"/>
        </w:tabs>
        <w:numPr>
          <w:ilvl w:val="3"/>
          <w:numId w:val="63"/>
        </w:numPr>
        <w:rPr>
          <w:rFonts w:ascii="Arial" w:cs="Arial" w:eastAsia="Arial" w:hAnsi="Arial"/>
          <w:sz w:val="18"/>
          <w:szCs w:val="18"/>
          <w:color w:val="auto"/>
        </w:rPr>
      </w:pPr>
      <w:r>
        <w:rPr>
          <w:rFonts w:ascii="Arial" w:cs="Arial" w:eastAsia="Arial" w:hAnsi="Arial"/>
          <w:sz w:val="18"/>
          <w:szCs w:val="18"/>
          <w:color w:val="auto"/>
        </w:rPr>
        <w:t>On the Announcement Date, Employer will arrange for the packing and moving of all Employee’s personal belongings on Employer premises and delivery to Employee’s address herein. Employer will coordinate this effort with Employee, and Employee will cooperate with Employer’s efforts.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1" w:name="page122"/>
    <w:bookmarkEnd w:id="121"/>
    <w:p>
      <w:pPr>
        <w:ind w:left="840" w:hanging="184"/>
        <w:spacing w:after="0"/>
        <w:tabs>
          <w:tab w:leader="none" w:pos="8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Employee Representations. The Employee specifically represents, warrants, and confirms that the Employee:</w:t>
      </w:r>
    </w:p>
    <w:p>
      <w:pPr>
        <w:spacing w:after="0" w:line="225" w:lineRule="exact"/>
        <w:rPr>
          <w:rFonts w:ascii="Arial" w:cs="Arial" w:eastAsia="Arial" w:hAnsi="Arial"/>
          <w:sz w:val="18"/>
          <w:szCs w:val="18"/>
          <w:color w:val="auto"/>
        </w:rPr>
      </w:pPr>
    </w:p>
    <w:p>
      <w:pPr>
        <w:ind w:firstLine="1304"/>
        <w:spacing w:after="0" w:line="277" w:lineRule="auto"/>
        <w:tabs>
          <w:tab w:leader="none" w:pos="1473"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has not filed any claims, complaints, or actions of any kind against the Employer with any federal, state, or local court or government or administrative agency;</w:t>
      </w:r>
    </w:p>
    <w:p>
      <w:pPr>
        <w:spacing w:after="0" w:line="170" w:lineRule="exact"/>
        <w:rPr>
          <w:rFonts w:ascii="Arial" w:cs="Arial" w:eastAsia="Arial" w:hAnsi="Arial"/>
          <w:sz w:val="18"/>
          <w:szCs w:val="18"/>
          <w:color w:val="auto"/>
        </w:rPr>
      </w:pPr>
    </w:p>
    <w:p>
      <w:pPr>
        <w:ind w:right="20" w:firstLine="1304"/>
        <w:spacing w:after="0" w:line="277" w:lineRule="auto"/>
        <w:tabs>
          <w:tab w:leader="none" w:pos="1476"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has not made any claims or allegations to the Employer related to sexual harassment, sex discrimination, or sexual abuse, and that none of the payments set forth in this Agreement are related to sexual harassment, sex discrimination, or sexual abuse;</w:t>
      </w:r>
    </w:p>
    <w:p>
      <w:pPr>
        <w:spacing w:after="0" w:line="170" w:lineRule="exact"/>
        <w:rPr>
          <w:rFonts w:ascii="Arial" w:cs="Arial" w:eastAsia="Arial" w:hAnsi="Arial"/>
          <w:sz w:val="18"/>
          <w:szCs w:val="18"/>
          <w:color w:val="auto"/>
        </w:rPr>
      </w:pPr>
    </w:p>
    <w:p>
      <w:pPr>
        <w:ind w:firstLine="1304"/>
        <w:spacing w:after="0" w:line="277" w:lineRule="auto"/>
        <w:tabs>
          <w:tab w:leader="none" w:pos="1489" w:val="left"/>
        </w:tabs>
        <w:numPr>
          <w:ilvl w:val="1"/>
          <w:numId w:val="64"/>
        </w:numPr>
        <w:rPr>
          <w:rFonts w:ascii="Arial" w:cs="Arial" w:eastAsia="Arial" w:hAnsi="Arial"/>
          <w:sz w:val="18"/>
          <w:szCs w:val="18"/>
          <w:color w:val="auto"/>
        </w:rPr>
      </w:pPr>
      <w:r>
        <w:rPr>
          <w:rFonts w:ascii="Arial" w:cs="Arial" w:eastAsia="Arial" w:hAnsi="Arial"/>
          <w:sz w:val="18"/>
          <w:szCs w:val="18"/>
          <w:color w:val="auto"/>
        </w:rPr>
        <w:t>except for the final payroll check for any partial pay period in which wages are due prior to the commencement of the severance payments, has been properly paid for all hours worked for the Employer and;</w:t>
      </w:r>
    </w:p>
    <w:p>
      <w:pPr>
        <w:spacing w:after="0" w:line="170" w:lineRule="exact"/>
        <w:rPr>
          <w:rFonts w:ascii="Arial" w:cs="Arial" w:eastAsia="Arial" w:hAnsi="Arial"/>
          <w:sz w:val="18"/>
          <w:szCs w:val="18"/>
          <w:color w:val="auto"/>
        </w:rPr>
      </w:pPr>
    </w:p>
    <w:p>
      <w:pPr>
        <w:ind w:firstLine="1304"/>
        <w:spacing w:after="0" w:line="277" w:lineRule="auto"/>
        <w:tabs>
          <w:tab w:leader="none" w:pos="1514"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has received all salary, wages, commissions, bonuses, and other compensation due to the Employee, with the exception of the Employee’s final payroll check for salary through and including the Separation Date; and</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has not engaged in any unlawful conduct relating to the business of the Employer.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any of these statements is not true, the Employee cannot sign this Agreement and must notify the Employer immediately in writing of the statements that are not true. This notice will not automatically disqualify the Employee from receiving the benefits offered in this Agreement, but will require the Employer’s further review and consideration.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Release.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Employee’s General Release and Waiver of Claims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exchange for the consideration provided in this Agreement, the Employee and the Employee’s heirs, executors, representatives, administrators, agents, insurers, and assigns (collectively, the “Releasors”) irrevocably and unconditionally fully and forever waive, release, and discharge the Employer, including each member of the Employer’s parents, subsidiaries, affiliates, predecessors, successors, and assigns, and each of its and their respective officers, directors, employees, shareholders, trustees, and partners, in their corporate and individual capacities (collectively, the “Released Parties”), from any and all claims, demands, actions, causes of actions, judgments, rights, fees, damages, debts, obligations, liabilities, and expenses (inclusive of attorneys’ fees) of any kind whatsoever, whether known or unknown (collectively, “Claims”), that Releasors may have or have ever had against the Released Parties, or any of them, arising out of, or in any way related to the Employee’s hire, benefits, employment, termination, or separation from employment with the Employer by reason of any actual or alleged act, omission, transaction, practice, conduct, occurrence, or other matter from the beginning of time up to and including the date of the Employee’s execution of this Agreement, including, but not limited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2" w:name="page123"/>
    <w:bookmarkEnd w:id="122"/>
    <w:p>
      <w:pPr>
        <w:jc w:val="both"/>
        <w:ind w:firstLine="1944"/>
        <w:spacing w:after="0" w:line="270" w:lineRule="auto"/>
        <w:rPr>
          <w:sz w:val="20"/>
          <w:szCs w:val="20"/>
          <w:color w:val="auto"/>
        </w:rPr>
      </w:pPr>
      <w:r>
        <w:rPr>
          <w:rFonts w:ascii="Arial" w:cs="Arial" w:eastAsia="Arial" w:hAnsi="Arial"/>
          <w:sz w:val="17"/>
          <w:szCs w:val="17"/>
          <w:color w:val="auto"/>
        </w:rPr>
        <w:t>i. any and all claims under Title VII of the Civil Rights Act of 1964 (Title VII), the Americans with Disabilities Act (ADA), the Family and Medical Leave Act (FMLA) (regarding existing but not prospective claims),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Uniform Services Employment and Reemployment Rights Act (USERRA), the Genetic Information Nondiscrimination Act (GINA), the Immigration Reform and Control Act (IRCA), and all applicable state and local laws that may be waived,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spacing w:after="0" w:line="181" w:lineRule="exact"/>
        <w:rPr>
          <w:sz w:val="20"/>
          <w:szCs w:val="20"/>
          <w:color w:val="auto"/>
        </w:rPr>
      </w:pPr>
    </w:p>
    <w:p>
      <w:pPr>
        <w:ind w:firstLine="1952"/>
        <w:spacing w:after="0" w:line="277" w:lineRule="auto"/>
        <w:tabs>
          <w:tab w:leader="none" w:pos="21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and all claims for compensation of any type whatsoever, including but not limited to claims for salary, wages, bonuses, commissions, incentive compensation, vacation, and severance that may be legally waived and released;</w:t>
      </w:r>
    </w:p>
    <w:p>
      <w:pPr>
        <w:spacing w:after="0" w:line="170" w:lineRule="exact"/>
        <w:rPr>
          <w:rFonts w:ascii="Arial" w:cs="Arial" w:eastAsia="Arial" w:hAnsi="Arial"/>
          <w:sz w:val="18"/>
          <w:szCs w:val="18"/>
          <w:color w:val="auto"/>
        </w:rPr>
      </w:pPr>
    </w:p>
    <w:p>
      <w:pPr>
        <w:jc w:val="both"/>
        <w:ind w:firstLine="1952"/>
        <w:spacing w:after="0" w:line="279" w:lineRule="auto"/>
        <w:tabs>
          <w:tab w:leader="none" w:pos="2202"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and all claims arising under tort, contract, and quasi-contract law, including but not limited to claims of breach of an express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and negligent or intentional infliction of emotional distress; and</w:t>
      </w:r>
    </w:p>
    <w:p>
      <w:pPr>
        <w:spacing w:after="0" w:line="171" w:lineRule="exact"/>
        <w:rPr>
          <w:rFonts w:ascii="Arial" w:cs="Arial" w:eastAsia="Arial" w:hAnsi="Arial"/>
          <w:sz w:val="17"/>
          <w:szCs w:val="17"/>
          <w:color w:val="auto"/>
        </w:rPr>
      </w:pPr>
    </w:p>
    <w:p>
      <w:pPr>
        <w:ind w:firstLine="1952"/>
        <w:spacing w:after="0" w:line="277" w:lineRule="auto"/>
        <w:tabs>
          <w:tab w:leader="none" w:pos="220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and all claims for monetary or equitable relief, including but not limited to attorneys’ fees, back pay, front pay, reinstatement, experts’ fees, medical fees or expenses, costs and disbursements, punitive damages, liquidated damages, and penalties.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However, this general release and waiver of claims excludes, and the Employee does not waive, release, or discharge: (Al any right to file an administrative charge or complaint with, or testify, assist, or participate in an investigation, hearing, or proceeding conducted by, the Equal Employment Opportunity Commission or other similar federal or state administrative agencies, although the Employee waives any right to monetary relief related to any filed charge or administrative complaint; (Bl claims that cannot be waived by law, such as claims for unemployment benefit rights and workers’ compensation; (C) indemnification rights the Employee has against the Employer; (Dl any right to file an unfair labor practice charge under the National Labor Relations Act or the Employee’s rights under a collective bargaining agreement without processes; (El protections against retaliation under the Taxpayer First Act (26 U.S.C. § 2623(dll; and (Fl any rights to vested benefits, such as pension or retirement benefits, the rights to which are governed by the terms of the applicable plan documents and award agreements.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Employee applies for unemployment benefits, the Employer shall not actively contest it. However, the Employer will respond truthfully, completely, and timely to any inquiries by the Nevada Labor Commissioner or the Nevada Department of Employment, Training &amp; Rehabilitation concerning the termination of Employee’s employment.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3" w:name="page124"/>
    <w:bookmarkEnd w:id="123"/>
    <w:p>
      <w:pPr>
        <w:ind w:left="1300"/>
        <w:spacing w:after="0"/>
        <w:rPr>
          <w:sz w:val="20"/>
          <w:szCs w:val="20"/>
          <w:color w:val="auto"/>
        </w:rPr>
      </w:pPr>
      <w:r>
        <w:rPr>
          <w:rFonts w:ascii="Arial" w:cs="Arial" w:eastAsia="Arial" w:hAnsi="Arial"/>
          <w:sz w:val="18"/>
          <w:szCs w:val="18"/>
          <w:color w:val="auto"/>
        </w:rPr>
        <w:t>b. Specific Release of ADEA Claims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further consideration of the payments and benefits provided to the Employee in this Agreement, the Releasors hereby irrevocably and unconditionally fully and forever waive, release, and discharge the Released Parties from any and all Claims, whether known or unknown, from the beginning of time through the date of the Employee’s execution of this Agreement, arising under the Age Discrimination in Employment Act (ADEA), as amended, and its implementing regulations. By signing this Agreement, the Employee hereby acknowledges and confirms that:</w:t>
      </w:r>
    </w:p>
    <w:p>
      <w:pPr>
        <w:spacing w:after="0" w:line="17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 the Employee has read this Agreement in its entirety and understands all of its terms;</w:t>
      </w:r>
    </w:p>
    <w:p>
      <w:pPr>
        <w:spacing w:after="0" w:line="225" w:lineRule="exact"/>
        <w:rPr>
          <w:sz w:val="20"/>
          <w:szCs w:val="20"/>
          <w:color w:val="auto"/>
        </w:rPr>
      </w:pPr>
    </w:p>
    <w:p>
      <w:pPr>
        <w:ind w:firstLine="1952"/>
        <w:spacing w:after="0" w:line="277" w:lineRule="auto"/>
        <w:tabs>
          <w:tab w:leader="none" w:pos="2137"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this Agreement, the Employee has been advised in writing to consult with an attorney of the Employee’s choosing and has consulted with such counsel as the Employee believed was necessary before signing this Agreement;</w:t>
      </w:r>
    </w:p>
    <w:p>
      <w:pPr>
        <w:spacing w:after="0" w:line="170" w:lineRule="exact"/>
        <w:rPr>
          <w:rFonts w:ascii="Arial" w:cs="Arial" w:eastAsia="Arial" w:hAnsi="Arial"/>
          <w:sz w:val="18"/>
          <w:szCs w:val="18"/>
          <w:color w:val="auto"/>
        </w:rPr>
      </w:pPr>
    </w:p>
    <w:p>
      <w:pPr>
        <w:ind w:firstLine="1952"/>
        <w:spacing w:after="0" w:line="277" w:lineRule="auto"/>
        <w:tabs>
          <w:tab w:leader="none" w:pos="218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Employee knowingly, freely, and voluntarily agrees to all of the terms and conditions set out in this Agreement including, without limitation, the waiver, release, and covenants contained in it;</w:t>
      </w:r>
    </w:p>
    <w:p>
      <w:pPr>
        <w:spacing w:after="0" w:line="170" w:lineRule="exact"/>
        <w:rPr>
          <w:rFonts w:ascii="Arial" w:cs="Arial" w:eastAsia="Arial" w:hAnsi="Arial"/>
          <w:sz w:val="18"/>
          <w:szCs w:val="18"/>
          <w:color w:val="auto"/>
        </w:rPr>
      </w:pPr>
    </w:p>
    <w:p>
      <w:pPr>
        <w:ind w:firstLine="1952"/>
        <w:spacing w:after="0" w:line="277" w:lineRule="auto"/>
        <w:tabs>
          <w:tab w:leader="none" w:pos="21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Employee is signing this Agreement, including the waiver and release, in exchange for good and valuable consideration in addition to anything of value to which the Employee is otherwise entitled;</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1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Employee was given at least twenty-one (21) days to consider the terms of this Agreement and consult with an attorney of the Employee’s choice, although the Employee may sign it sooner if desired and changes to this Agreement, whether material or immaterial, do not restart the running of the 21-day period;</w:t>
      </w:r>
    </w:p>
    <w:p>
      <w:pPr>
        <w:spacing w:after="0" w:line="183" w:lineRule="exact"/>
        <w:rPr>
          <w:rFonts w:ascii="Arial" w:cs="Arial" w:eastAsia="Arial" w:hAnsi="Arial"/>
          <w:sz w:val="18"/>
          <w:szCs w:val="18"/>
          <w:color w:val="auto"/>
        </w:rPr>
      </w:pPr>
    </w:p>
    <w:p>
      <w:pPr>
        <w:ind w:left="2200" w:hanging="248"/>
        <w:spacing w:after="0"/>
        <w:tabs>
          <w:tab w:leader="none" w:pos="22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Employee understands that the Employee has seven (7) days after signing this Agreement to revoke the release in this</w:t>
      </w:r>
    </w:p>
    <w:p>
      <w:pPr>
        <w:spacing w:after="0" w:line="46" w:lineRule="exact"/>
        <w:rPr>
          <w:sz w:val="20"/>
          <w:szCs w:val="20"/>
          <w:color w:val="auto"/>
        </w:rPr>
      </w:pPr>
    </w:p>
    <w:p>
      <w:pPr>
        <w:spacing w:after="0"/>
        <w:tabs>
          <w:tab w:leader="none" w:pos="6360" w:val="left"/>
        </w:tabs>
        <w:rPr>
          <w:sz w:val="20"/>
          <w:szCs w:val="20"/>
          <w:color w:val="auto"/>
        </w:rPr>
      </w:pPr>
      <w:r>
        <w:rPr>
          <w:rFonts w:ascii="Arial" w:cs="Arial" w:eastAsia="Arial" w:hAnsi="Arial"/>
          <w:sz w:val="18"/>
          <w:szCs w:val="18"/>
          <w:color w:val="auto"/>
        </w:rPr>
        <w:t>paragraph by delivering notice of revocation to Denis Phares, Ph.D at the Employer,</w:t>
      </w:r>
      <w:r>
        <w:rPr>
          <w:sz w:val="20"/>
          <w:szCs w:val="20"/>
          <w:color w:val="auto"/>
        </w:rPr>
        <w:tab/>
      </w:r>
      <w:r>
        <w:rPr>
          <w:rFonts w:ascii="Arial" w:cs="Arial" w:eastAsia="Arial" w:hAnsi="Arial"/>
          <w:sz w:val="16"/>
          <w:szCs w:val="16"/>
          <w:color w:val="auto"/>
        </w:rPr>
        <w:t>by email before the end of this seven-day period; and</w:t>
      </w:r>
    </w:p>
    <w:p>
      <w:pPr>
        <w:spacing w:after="0" w:line="211" w:lineRule="exact"/>
        <w:rPr>
          <w:sz w:val="20"/>
          <w:szCs w:val="20"/>
          <w:color w:val="auto"/>
        </w:rPr>
      </w:pPr>
    </w:p>
    <w:p>
      <w:pPr>
        <w:ind w:firstLine="1952"/>
        <w:spacing w:after="0" w:line="277" w:lineRule="auto"/>
        <w:tabs>
          <w:tab w:leader="none" w:pos="22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 understands that the release contained in this paragraph does not apply to rights and claims that may arise after the Employee signs this Agreement.</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Employer Group Release of Employee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exchange for the Releasors’ waiver and release of claims against the Released Parties, and non¬ revocation of any portion of that release, the Employer Group expressly waives and releases any and all claims against the Employee that may be waived and released by law with the exception of claims arising out of or attributable to: (i) events, acts, or omissions taking place after the Parties’ execution of the Agreement; (ii) the Employee’s breach of any terms and conditions of the Agreement; and (iii) the Employee’s criminal activities or intentional misconduct occurring during the Employee’s employment with the Employer Group.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4" w:name="page125"/>
    <w:bookmarkEnd w:id="124"/>
    <w:p>
      <w:pPr>
        <w:ind w:left="840" w:hanging="184"/>
        <w:spacing w:after="0"/>
        <w:tabs>
          <w:tab w:leader="none" w:pos="8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Knowing and Voluntary Acknowledgment. The Employee specifically agrees and acknowledges that:</w:t>
      </w:r>
    </w:p>
    <w:p>
      <w:pPr>
        <w:spacing w:after="0" w:line="225" w:lineRule="exact"/>
        <w:rPr>
          <w:rFonts w:ascii="Arial" w:cs="Arial" w:eastAsia="Arial" w:hAnsi="Arial"/>
          <w:sz w:val="18"/>
          <w:szCs w:val="18"/>
          <w:color w:val="auto"/>
        </w:rPr>
      </w:pPr>
    </w:p>
    <w:p>
      <w:pPr>
        <w:ind w:left="1480" w:hanging="17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has read this Agreement in its entirety and understands all of its terms;</w:t>
      </w:r>
    </w:p>
    <w:p>
      <w:pPr>
        <w:spacing w:after="0" w:line="225" w:lineRule="exact"/>
        <w:rPr>
          <w:rFonts w:ascii="Arial" w:cs="Arial" w:eastAsia="Arial" w:hAnsi="Arial"/>
          <w:sz w:val="18"/>
          <w:szCs w:val="18"/>
          <w:color w:val="auto"/>
        </w:rPr>
      </w:pPr>
    </w:p>
    <w:p>
      <w:pPr>
        <w:ind w:firstLine="1304"/>
        <w:spacing w:after="0" w:line="277" w:lineRule="auto"/>
        <w:tabs>
          <w:tab w:leader="none" w:pos="1477" w:val="left"/>
        </w:tabs>
        <w:numPr>
          <w:ilvl w:val="1"/>
          <w:numId w:val="69"/>
        </w:numPr>
        <w:rPr>
          <w:rFonts w:ascii="Arial" w:cs="Arial" w:eastAsia="Arial" w:hAnsi="Arial"/>
          <w:sz w:val="18"/>
          <w:szCs w:val="18"/>
          <w:color w:val="auto"/>
        </w:rPr>
      </w:pPr>
      <w:r>
        <w:rPr>
          <w:rFonts w:ascii="Arial" w:cs="Arial" w:eastAsia="Arial" w:hAnsi="Arial"/>
          <w:sz w:val="18"/>
          <w:szCs w:val="18"/>
          <w:color w:val="auto"/>
        </w:rPr>
        <w:t>by this Agreement, the Employee has been advised to consult with an attorney before executing this Agreement and has consulted with such counsel as the Employee believed was necessary before signing this Agreement;</w:t>
      </w:r>
    </w:p>
    <w:p>
      <w:pPr>
        <w:spacing w:after="0" w:line="170" w:lineRule="exact"/>
        <w:rPr>
          <w:rFonts w:ascii="Arial" w:cs="Arial" w:eastAsia="Arial" w:hAnsi="Arial"/>
          <w:sz w:val="18"/>
          <w:szCs w:val="18"/>
          <w:color w:val="auto"/>
        </w:rPr>
      </w:pPr>
    </w:p>
    <w:p>
      <w:pPr>
        <w:ind w:right="20" w:firstLine="1304"/>
        <w:spacing w:after="0" w:line="277" w:lineRule="auto"/>
        <w:tabs>
          <w:tab w:leader="none" w:pos="14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knowingly, freely, and voluntarily assents to all of this Agreement’s terms and conditions including, without limitation, the waiver, release, and covenants contained in it;</w:t>
      </w:r>
    </w:p>
    <w:p>
      <w:pPr>
        <w:spacing w:after="0" w:line="170" w:lineRule="exact"/>
        <w:rPr>
          <w:rFonts w:ascii="Arial" w:cs="Arial" w:eastAsia="Arial" w:hAnsi="Arial"/>
          <w:sz w:val="18"/>
          <w:szCs w:val="18"/>
          <w:color w:val="auto"/>
        </w:rPr>
      </w:pPr>
    </w:p>
    <w:p>
      <w:pPr>
        <w:ind w:firstLine="1304"/>
        <w:spacing w:after="0" w:line="277" w:lineRule="auto"/>
        <w:tabs>
          <w:tab w:leader="none" w:pos="1478"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is signing this Agreement, including the waiver and release, in exchange for good and valuable consideration in addition to anything of value to which the Employee is otherwise entitled;</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is not waiving or releasing rights or claims that may arise after the Employee signs this Agreement; and</w:t>
      </w:r>
    </w:p>
    <w:p>
      <w:pPr>
        <w:spacing w:after="0" w:line="225" w:lineRule="exact"/>
        <w:rPr>
          <w:rFonts w:ascii="Arial" w:cs="Arial" w:eastAsia="Arial" w:hAnsi="Arial"/>
          <w:sz w:val="18"/>
          <w:szCs w:val="18"/>
          <w:color w:val="auto"/>
        </w:rPr>
      </w:pPr>
    </w:p>
    <w:p>
      <w:pPr>
        <w:ind w:firstLine="1304"/>
        <w:spacing w:after="0" w:line="277" w:lineRule="auto"/>
        <w:tabs>
          <w:tab w:leader="none" w:pos="148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understands that the waiver and release in this Agreement is being requested in connection with the Employee’s separation of employment from the Employer.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Employee further acknowledges that the Employee is waiving and releasing claims under the Age Discrimination in Employment Act (ADEA), as amended, and has had twenty-one (21) days to consider the terms of this Agreement and consult with an attorney of the Employee’s choice, although the Employee may sign it sooner if desired and changes to this Agreement, whether material or immaterial, do not restart the 21-day period. Further, the Employee acknowledges that the Employee shall have an additional seven (7) days from signing this Agreement to revoke consent to Employee’s release of</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claims under the ADEA by delivering notice of revocation to Denis Phares, Ph.D at the Employer, by email before the end of the seven-day period. In the event of a revocation by the Employee, Employer shall have the option of treating this Agreement as null and void in its entirety.</w:t>
      </w:r>
    </w:p>
    <w:p>
      <w:pPr>
        <w:spacing w:after="0" w:line="161" w:lineRule="exact"/>
        <w:rPr>
          <w:sz w:val="20"/>
          <w:szCs w:val="20"/>
          <w:color w:val="auto"/>
        </w:rPr>
      </w:pPr>
    </w:p>
    <w:p>
      <w:pPr>
        <w:ind w:firstLine="656"/>
        <w:spacing w:after="0" w:line="277" w:lineRule="auto"/>
        <w:tabs>
          <w:tab w:leader="none" w:pos="828"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Date. This Agreement shall not become effective until the eighth (8th) day after the Employee signs, without revoking, this Agreement (“Effective Date”). No payments due to the Employee under this Agreement shall be made or begin before the Effective Date.</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Clawback Provisions.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5" w:name="page126"/>
    <w:bookmarkEnd w:id="125"/>
    <w:p>
      <w:pPr>
        <w:jc w:val="both"/>
        <w:ind w:firstLine="656"/>
        <w:spacing w:after="0" w:line="257" w:lineRule="auto"/>
        <w:tabs>
          <w:tab w:leader="none" w:pos="9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Remedies. In the event of a breach or threatened breach by the Employee of any provision of this Agreement, Employee hereby consents and agrees that money damages would not afford an adequate remedy and that Employer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Any equitable relief shall be in addition to, not instead of, legal remedies, monetary damages, or other available relief.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Employee fails to comply with any of the terms of this Agreement or post-employment obligations contained in it, the Employer may, in addition to any other available remedies, reclaim any amounts paid to the Employee under the provisions of this Agreement and terminate any benefits or payments that are later due under this Agreement, without waiving the releases provided in 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Parties mutually agree that this Agreement can be specifically enforced in court and can be cited as evidence in legal proceedings alleging breach of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Successors and Assigns.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Assignment by the Employer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Employer may freely assign this Agreement at any time. This Agreement shall inure to the benefit of the Employer and its successors and assigns.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 No Assignment by the Employee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Employee may not assign this Agreement in whole or in part. Any purported assignment by the Employee shall be null and void from the initial date of the purported assignment.</w:t>
      </w:r>
    </w:p>
    <w:p>
      <w:pPr>
        <w:spacing w:after="0" w:line="170" w:lineRule="exact"/>
        <w:rPr>
          <w:sz w:val="20"/>
          <w:szCs w:val="20"/>
          <w:color w:val="auto"/>
        </w:rPr>
      </w:pPr>
    </w:p>
    <w:p>
      <w:pPr>
        <w:jc w:val="both"/>
        <w:ind w:firstLine="656"/>
        <w:spacing w:after="0" w:line="273" w:lineRule="auto"/>
        <w:tabs>
          <w:tab w:leader="none" w:pos="9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Governing Law, Jurisdiction, and Venue. This Agreement and all matters arising out of or relating to this Agreement and the Employee’s employment or termination of employment with Dragonfly Energy Holdings Corp., whether sounding in contract, tort, or statute, for all purposes shall be governed by and construed in accordance with the laws of Nevada (including its statutes of limitations) without regard to any conflicts of laws principles that would require the laws of any other jurisdiction to apply. Any action or proceeding by either of the Parties to enforce this Agreement shall be brought only in any state or federal court located in the state of Nevada, county of Washoe. The Parties hereby irrevocably submit to the exclusive jurisdiction of these courts and waive the defense of inconvenient forum to the maintenance of any action or proceeding in such venue.</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Entire Agreement. Unless specifically provided herein, this Agreement contains all of the understandings and representations between Employer and Employee relating to the subject matter hereof and supersedes all prior and contemporaneous understandings, discussions, agreements, representations, and warranties, both written and oral, regarding such subject matter.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inconsistency between this Agreement and any other agreement between the Employee and the Employer, the statements in this Agreement shall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6" w:name="page127"/>
    <w:bookmarkEnd w:id="126"/>
    <w:p>
      <w:pPr>
        <w:jc w:val="both"/>
        <w:ind w:firstLine="656"/>
        <w:spacing w:after="0" w:line="296" w:lineRule="auto"/>
        <w:tabs>
          <w:tab w:leader="none" w:pos="923" w:val="left"/>
        </w:tabs>
        <w:numPr>
          <w:ilvl w:val="0"/>
          <w:numId w:val="73"/>
        </w:numPr>
        <w:rPr>
          <w:rFonts w:ascii="Arial" w:cs="Arial" w:eastAsia="Arial" w:hAnsi="Arial"/>
          <w:sz w:val="16"/>
          <w:szCs w:val="16"/>
          <w:color w:val="auto"/>
        </w:rPr>
      </w:pPr>
      <w:r>
        <w:rPr>
          <w:rFonts w:ascii="Arial" w:cs="Arial" w:eastAsia="Arial" w:hAnsi="Arial"/>
          <w:sz w:val="16"/>
          <w:szCs w:val="16"/>
          <w:color w:val="auto"/>
        </w:rPr>
        <w:t>Modification and Waiver. No provision of this Agreement may be amended or modified unless the amendment or modification is agreed to in writing and signed by the Employee and by the Chief Executive Officer of the Employer. No waiver by either Party of any breach by the other party of any condition or provision of this Agreement to be performed by the other Party shall be deemed a waiver of any similar or dissimilar provision or condition at the same or any prior or subsequent time, nor shall the failure of or delay by either Party in exercising any right, power, or privilege under this Agreement operate as a waiver thereof to preclude any other or further exercise thereof or the exercise of any other such right, power, or privilege.</w:t>
      </w:r>
    </w:p>
    <w:p>
      <w:pPr>
        <w:spacing w:after="0" w:line="161" w:lineRule="exact"/>
        <w:rPr>
          <w:rFonts w:ascii="Arial" w:cs="Arial" w:eastAsia="Arial" w:hAnsi="Arial"/>
          <w:sz w:val="16"/>
          <w:szCs w:val="16"/>
          <w:color w:val="auto"/>
        </w:rPr>
      </w:pPr>
    </w:p>
    <w:p>
      <w:pPr>
        <w:jc w:val="both"/>
        <w:ind w:firstLine="656"/>
        <w:spacing w:after="0" w:line="263" w:lineRule="auto"/>
        <w:tabs>
          <w:tab w:leader="none" w:pos="933"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Severability. If any provision of this Agreement is found by a court of competent jurisdiction to be invalid, illegal, or unenforceable in any respect, or enforceable only if modified, such finding shall not affect the validity of the remainder of this Agreement, which shall remain in full force and effect and continue to be binding on the Parties.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Parties further agree that any such court is expressly authorized to modify any such invalid, illegal, or unenforceable provision of this Agreement instead of severing the provision from this Agreement in its entirety, whether by rewriting, deleting, or adding to the offending provision, or by making such other modifications as it deems necessary to carry out the intent and agreement of the Parties as embodied in this Agreement to the maximum extent permitted by law. Any such modification shall become a part of and treated as though originally set forth in this Agreement. If such provision or provisions are not modified, this Agreement shall be construed as if such invalid, illegal, or unenforceable provisions had not been set forth in it. The Parties expressly agree that this Agreement as so modified by the court shall be binding on and enforceable against each of them.</w:t>
      </w:r>
    </w:p>
    <w:p>
      <w:pPr>
        <w:spacing w:after="0" w:line="178" w:lineRule="exact"/>
        <w:rPr>
          <w:sz w:val="20"/>
          <w:szCs w:val="20"/>
          <w:color w:val="auto"/>
        </w:rPr>
      </w:pPr>
    </w:p>
    <w:p>
      <w:pPr>
        <w:jc w:val="both"/>
        <w:ind w:firstLine="656"/>
        <w:spacing w:after="0" w:line="263" w:lineRule="auto"/>
        <w:tabs>
          <w:tab w:leader="none" w:pos="927"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Interpretation. Captions and headings of the sections and paragraphs of this Agreement are intended solely for convenience and no provision of this Agreement is to be construed by reference to the caption or heading of any section or paragraph. Moreover, this Agreement shall not be construed against either Party as the author or drafter of the Agreement.</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Counterparts. The Parties may execute this Agreement in counterparts, each of which shall be deemed an original, and all of which taken together shall constitute one and the same instrument. Delivery of an executed counterpart’s signature page of this Agreement by email in portable document format (.pdf), or by any other electronic means intended to preserve the original graphic and pictorial appearance of a document has the same effect as delivery of an executed original of this Agreement.</w:t>
      </w:r>
    </w:p>
    <w:p>
      <w:pPr>
        <w:spacing w:after="0" w:line="186" w:lineRule="exact"/>
        <w:rPr>
          <w:rFonts w:ascii="Arial" w:cs="Arial" w:eastAsia="Arial" w:hAnsi="Arial"/>
          <w:sz w:val="18"/>
          <w:szCs w:val="18"/>
          <w:color w:val="auto"/>
        </w:rPr>
      </w:pPr>
    </w:p>
    <w:p>
      <w:pPr>
        <w:ind w:right="20" w:firstLine="656"/>
        <w:spacing w:after="0" w:line="277" w:lineRule="auto"/>
        <w:tabs>
          <w:tab w:leader="none" w:pos="9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 Admission of Liability. Nothing in this Agreement shall be construed as an admission by the Employee or the Employer of any wrongdoing, liability, or noncompliance with any federal, state, city, or local rule, ordinance, statute, common law, or other legal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7" w:name="page128"/>
    <w:bookmarkEnd w:id="127"/>
    <w:p>
      <w:pPr>
        <w:jc w:val="both"/>
        <w:ind w:firstLine="656"/>
        <w:spacing w:after="0" w:line="263" w:lineRule="auto"/>
        <w:tabs>
          <w:tab w:leader="none" w:pos="9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Notices. All notices under this Agreement must be given in writing by regular mail or email at the addresses indicated in this Agreement or any other address designated in writing by either Party. When providing written notice to Employer, a copy must be provided to Employer’s Chief Executive Officer and Chief Legal Officer at the addresses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Notice to Employer: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Chief Legal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to the Employee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Sean Nichols</w:t>
      </w:r>
    </w:p>
    <w:p>
      <w:pPr>
        <w:spacing w:after="0" w:line="211" w:lineRule="exact"/>
        <w:rPr>
          <w:sz w:val="20"/>
          <w:szCs w:val="20"/>
          <w:color w:val="auto"/>
        </w:rPr>
      </w:pPr>
    </w:p>
    <w:p>
      <w:pPr>
        <w:jc w:val="both"/>
        <w:ind w:firstLine="656"/>
        <w:spacing w:after="0" w:line="311" w:lineRule="auto"/>
        <w:tabs>
          <w:tab w:leader="none" w:pos="91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Attorneys’ Fees and Costs. If the Employee breaches any terms of this Agreement or the post-termination obligations referenced in it, to the extent authorized by Nevada law, the Employee will be responsible for payment of all reasonable attorneys’ fees and costs that Employer incurred in the course of enforcing the terms of this Agreement, including demonstrating the existence of a breach and any other contract enforcement efforts.</w:t>
      </w:r>
    </w:p>
    <w:p>
      <w:pPr>
        <w:spacing w:after="0" w:line="148" w:lineRule="exact"/>
        <w:rPr>
          <w:rFonts w:ascii="Arial" w:cs="Arial" w:eastAsia="Arial" w:hAnsi="Arial"/>
          <w:sz w:val="16"/>
          <w:szCs w:val="16"/>
          <w:color w:val="auto"/>
        </w:rPr>
      </w:pPr>
    </w:p>
    <w:p>
      <w:pPr>
        <w:jc w:val="both"/>
        <w:ind w:firstLine="656"/>
        <w:spacing w:after="0" w:line="288" w:lineRule="auto"/>
        <w:tabs>
          <w:tab w:leader="none" w:pos="926"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Section 409A.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Employer makes no representations that the payments and benefits provided under this Agreement comply with Section 409A and in no event shall Employer be liable for all or any portion of any taxes, penalties, interest, or other expenses that may be incurred by Employee on account of non-compliance with Section 409A.</w:t>
      </w:r>
    </w:p>
    <w:p>
      <w:pPr>
        <w:spacing w:after="0" w:line="168" w:lineRule="exact"/>
        <w:rPr>
          <w:rFonts w:ascii="Arial" w:cs="Arial" w:eastAsia="Arial" w:hAnsi="Arial"/>
          <w:sz w:val="16"/>
          <w:szCs w:val="16"/>
          <w:color w:val="auto"/>
        </w:rPr>
      </w:pPr>
    </w:p>
    <w:p>
      <w:pPr>
        <w:jc w:val="both"/>
        <w:ind w:firstLine="656"/>
        <w:spacing w:after="0" w:line="259" w:lineRule="auto"/>
        <w:tabs>
          <w:tab w:leader="none" w:pos="9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Notice of Post-Termination Obligations. When the Employee’s employment with the Employer terminates, the Employee agrees to notify any subsequent employer of the restrictive covenants referenced in this Agreement. In addition, the Employee authorizes the Employer to provide a copy of the restrictive covenants referenced in this Agreement to third parties, including but not limited to, the Employee’s subsequent, anticipated, or possible future employer.</w:t>
      </w:r>
    </w:p>
    <w:p>
      <w:pPr>
        <w:spacing w:after="0" w:line="186" w:lineRule="exact"/>
        <w:rPr>
          <w:rFonts w:ascii="Arial" w:cs="Arial" w:eastAsia="Arial" w:hAnsi="Arial"/>
          <w:sz w:val="18"/>
          <w:szCs w:val="18"/>
          <w:color w:val="auto"/>
        </w:rPr>
      </w:pPr>
    </w:p>
    <w:p>
      <w:pPr>
        <w:jc w:val="both"/>
        <w:ind w:firstLine="656"/>
        <w:spacing w:after="0" w:line="275" w:lineRule="auto"/>
        <w:tabs>
          <w:tab w:leader="none" w:pos="931" w:val="left"/>
        </w:tabs>
        <w:numPr>
          <w:ilvl w:val="0"/>
          <w:numId w:val="76"/>
        </w:numPr>
        <w:rPr>
          <w:rFonts w:ascii="Arial" w:cs="Arial" w:eastAsia="Arial" w:hAnsi="Arial"/>
          <w:sz w:val="17"/>
          <w:szCs w:val="17"/>
          <w:color w:val="auto"/>
        </w:rPr>
      </w:pPr>
      <w:r>
        <w:rPr>
          <w:rFonts w:ascii="Arial" w:cs="Arial" w:eastAsia="Arial" w:hAnsi="Arial"/>
          <w:sz w:val="17"/>
          <w:szCs w:val="17"/>
          <w:color w:val="auto"/>
        </w:rPr>
        <w:t>Acknowledgment of Full Understanding. THE EMPLOYEE ACKNOWLEDGES AND AGREES THAT THE EMPLOYEE HAS FULLY READ, UNDERSTANDS, AND VOLUNTARILY ENTERS INTO THIS AGREEMENT. THE EMPLOYEE ACKNOWLEDGES AND AGREES THAT THE EMPLOYEE HAS HAD AN OPPORTUNITY TO ASK QUESTIONS AND CONSULT WITH AN ATTORNEY OF THE EMPLOYEE’S CHOICE BEFORE SIGNING THIS AGREEMENT. THE EMPLOYEE FURTHER ACKNOWLEDGES THAT THE EMPLOYEE’S SIGNATURE BELOW IS AN AGREEMENT TO RELEASE EMPLOYER FROM ANY AND ALL CLAIMS THAT CAN BE RELEASED AS A MATTER OF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t>IN WITNESS WHEREOF, the Parties have executed this Agreement as of the Execution Date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Denis Phares</w:t>
            </w:r>
          </w:p>
        </w:tc>
      </w:tr>
      <w:tr>
        <w:trPr>
          <w:trHeight w:val="202"/>
        </w:trPr>
        <w:tc>
          <w:tcPr>
            <w:tcW w:w="9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201" w:lineRule="exact"/>
              <w:rPr>
                <w:sz w:val="20"/>
                <w:szCs w:val="20"/>
                <w:color w:val="auto"/>
              </w:rPr>
            </w:pPr>
            <w:r>
              <w:rPr>
                <w:rFonts w:ascii="Arial" w:cs="Arial" w:eastAsia="Arial" w:hAnsi="Arial"/>
                <w:sz w:val="18"/>
                <w:szCs w:val="18"/>
                <w:color w:val="auto"/>
              </w:rPr>
              <w:t>Denis Phares, Ph.D</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Chairman &amp; CEO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23495</wp:posOffset>
            </wp:positionV>
            <wp:extent cx="308610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3086100" cy="17145"/>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10.27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SEPERATION AND RELEASE OF CLAIMS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First Amendment to the Separation and Release of Claims Agreement, dated as of October 25, 2022 (the “Amendment”), is entered into by and between Dragonfly Energy Holdings Corp., a Delaware corporation, having its principal place of business at 1190 Trademark Drive #108, Reno, Nevada 89521 (“Employer”), and Sean Nichols, (“Employee”, and together with Employer, the “Parties”, and each, a “Party”).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Parties have entered into a Separation and Release of Claims Agreement, dated October 25, 2022 (the “Existing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the Parties hereto desire to amend the Existing Agreement on the terms and subject to the conditions set forth herein; and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 15 of the Existing Agreement, the amendment contemplated by the Parties must be contained in a written agreement signed by the Employee and the Chief Executive Officer of the Employer.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are hereby acknowledged, the Parties agree as follows:</w:t>
      </w:r>
    </w:p>
    <w:p>
      <w:pPr>
        <w:spacing w:after="0" w:line="170" w:lineRule="exact"/>
        <w:rPr>
          <w:sz w:val="20"/>
          <w:szCs w:val="20"/>
          <w:color w:val="auto"/>
        </w:rPr>
      </w:pPr>
    </w:p>
    <w:p>
      <w:pPr>
        <w:ind w:left="840" w:hanging="184"/>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2"/>
          <w:szCs w:val="12"/>
          <w:color w:val="auto"/>
        </w:rPr>
        <w:t>efinitions</w:t>
      </w:r>
      <w:r>
        <w:rPr>
          <w:rFonts w:ascii="Arial" w:cs="Arial" w:eastAsia="Arial" w:hAnsi="Arial"/>
          <w:sz w:val="18"/>
          <w:szCs w:val="18"/>
          <w:color w:val="auto"/>
        </w:rPr>
        <w:t>. C</w:t>
      </w:r>
      <w:r>
        <w:rPr>
          <w:rFonts w:ascii="Arial" w:cs="Arial" w:eastAsia="Arial" w:hAnsi="Arial"/>
          <w:sz w:val="12"/>
          <w:szCs w:val="12"/>
          <w:color w:val="auto"/>
        </w:rPr>
        <w:t>apitalized terms used and not defined in this</w:t>
      </w:r>
      <w:r>
        <w:rPr>
          <w:rFonts w:ascii="Arial" w:cs="Arial" w:eastAsia="Arial" w:hAnsi="Arial"/>
          <w:sz w:val="18"/>
          <w:szCs w:val="18"/>
          <w:color w:val="auto"/>
        </w:rPr>
        <w:t xml:space="preserve"> A</w:t>
      </w:r>
      <w:r>
        <w:rPr>
          <w:rFonts w:ascii="Arial" w:cs="Arial" w:eastAsia="Arial" w:hAnsi="Arial"/>
          <w:sz w:val="12"/>
          <w:szCs w:val="12"/>
          <w:color w:val="auto"/>
        </w:rPr>
        <w:t>mendment have the respective meanings assigned to them in the</w:t>
      </w:r>
      <w:r>
        <w:rPr>
          <w:rFonts w:ascii="Arial" w:cs="Arial" w:eastAsia="Arial" w:hAnsi="Arial"/>
          <w:sz w:val="18"/>
          <w:szCs w:val="18"/>
          <w:color w:val="auto"/>
        </w:rPr>
        <w:t xml:space="preserve"> E</w:t>
      </w:r>
      <w:r>
        <w:rPr>
          <w:rFonts w:ascii="Arial" w:cs="Arial" w:eastAsia="Arial" w:hAnsi="Arial"/>
          <w:sz w:val="12"/>
          <w:szCs w:val="12"/>
          <w:color w:val="auto"/>
        </w:rPr>
        <w:t>xisting</w:t>
      </w:r>
      <w:r>
        <w:rPr>
          <w:rFonts w:ascii="Arial" w:cs="Arial" w:eastAsia="Arial" w:hAnsi="Arial"/>
          <w:sz w:val="18"/>
          <w:szCs w:val="18"/>
          <w:color w:val="auto"/>
        </w:rPr>
        <w:t xml:space="preserve"> A</w:t>
      </w:r>
      <w:r>
        <w:rPr>
          <w:rFonts w:ascii="Arial" w:cs="Arial" w:eastAsia="Arial" w:hAnsi="Arial"/>
          <w:sz w:val="12"/>
          <w:szCs w:val="12"/>
          <w:color w:val="auto"/>
        </w:rPr>
        <w:t>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20" w:hanging="164"/>
        <w:spacing w:after="0"/>
        <w:tabs>
          <w:tab w:leader="none" w:pos="8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Amendments to the Existing Agreement. As of the Effective Date (defined below), the Existing Agreement is hereby amended or modified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20" w:firstLine="644"/>
        <w:spacing w:after="0" w:line="277" w:lineRule="auto"/>
        <w:tabs>
          <w:tab w:leader="none" w:pos="1559"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Section l(b) of the Existing Agreement is hereby amended by removing the following text: “These payments will not deduct taxes or other withholdings.”</w:t>
      </w:r>
    </w:p>
    <w:p>
      <w:pPr>
        <w:spacing w:after="0" w:line="170" w:lineRule="exact"/>
        <w:rPr>
          <w:rFonts w:ascii="Arial" w:cs="Arial" w:eastAsia="Arial" w:hAnsi="Arial"/>
          <w:sz w:val="18"/>
          <w:szCs w:val="18"/>
          <w:color w:val="auto"/>
        </w:rPr>
      </w:pPr>
    </w:p>
    <w:p>
      <w:pPr>
        <w:ind w:firstLine="656"/>
        <w:spacing w:after="0" w:line="277" w:lineRule="auto"/>
        <w:tabs>
          <w:tab w:leader="none" w:pos="838"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this Amendment, Employee hereby acknowledges and agrees that taxes and withholdings will be deducted from the payments made pursuant to Section l(b) of the Existing Agreement.</w:t>
      </w:r>
    </w:p>
    <w:p>
      <w:pPr>
        <w:spacing w:after="0" w:line="170" w:lineRule="exact"/>
        <w:rPr>
          <w:rFonts w:ascii="Arial" w:cs="Arial" w:eastAsia="Arial" w:hAnsi="Arial"/>
          <w:sz w:val="18"/>
          <w:szCs w:val="18"/>
          <w:color w:val="auto"/>
        </w:rPr>
      </w:pPr>
    </w:p>
    <w:p>
      <w:pPr>
        <w:jc w:val="both"/>
        <w:ind w:firstLine="656"/>
        <w:spacing w:after="0" w:line="254" w:lineRule="auto"/>
        <w:tabs>
          <w:tab w:leader="none" w:pos="828"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Date of Effectiveness; Limited Effect. This Amendment will be deemed effective as of 4. November 7, 2022 (the “Effective Date”). Except as expressly provided in this Amendment, all of the terms and provisions of the Existing Agreement are and will remain in full force and effect and are hereby ratified and confirmed by the Parties. Without limiting the generality of the foregoing, the amendments contained herein will not be construed as an amendment to or waiver of any other provision of the Existing Agreement or as a waiver of or consent to any further or future action on the part of either Party that would require the waiver or consent of the other Party. On and after the Effective Date, each reference in the Existing Agreement to “this Agreement,” “the Agreement,” “hereunder,” “hereof,” “herein,” or words of like import will mean and be a reference to the Existing Agreement as amended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0" w:name="page131"/>
    <w:bookmarkEnd w:id="130"/>
    <w:p>
      <w:pPr>
        <w:ind w:left="840" w:hanging="184"/>
        <w:spacing w:after="0"/>
        <w:tabs>
          <w:tab w:leader="none" w:pos="8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Representations and Warranties. Each Party hereby represents and warrants to the other party that:</w:t>
      </w:r>
    </w:p>
    <w:p>
      <w:pPr>
        <w:spacing w:after="0" w:line="225" w:lineRule="exact"/>
        <w:rPr>
          <w:rFonts w:ascii="Arial" w:cs="Arial" w:eastAsia="Arial" w:hAnsi="Arial"/>
          <w:sz w:val="18"/>
          <w:szCs w:val="18"/>
          <w:color w:val="auto"/>
        </w:rPr>
      </w:pPr>
    </w:p>
    <w:p>
      <w:pPr>
        <w:ind w:left="660" w:firstLine="644"/>
        <w:spacing w:after="0" w:line="277" w:lineRule="auto"/>
        <w:tabs>
          <w:tab w:leader="none" w:pos="1553" w:val="left"/>
        </w:tabs>
        <w:numPr>
          <w:ilvl w:val="1"/>
          <w:numId w:val="80"/>
        </w:numPr>
        <w:rPr>
          <w:rFonts w:ascii="Arial" w:cs="Arial" w:eastAsia="Arial" w:hAnsi="Arial"/>
          <w:sz w:val="18"/>
          <w:szCs w:val="18"/>
          <w:color w:val="auto"/>
        </w:rPr>
      </w:pPr>
      <w:r>
        <w:rPr>
          <w:rFonts w:ascii="Arial" w:cs="Arial" w:eastAsia="Arial" w:hAnsi="Arial"/>
          <w:sz w:val="18"/>
          <w:szCs w:val="18"/>
          <w:color w:val="auto"/>
        </w:rPr>
        <w:t>It has the full right, power, and authority to enter into this Amendment and to perform its obligations hereunder and under the Existing Agreement as amended by this Amendment.</w:t>
      </w:r>
    </w:p>
    <w:p>
      <w:pPr>
        <w:spacing w:after="0" w:line="170" w:lineRule="exact"/>
        <w:rPr>
          <w:rFonts w:ascii="Arial" w:cs="Arial" w:eastAsia="Arial" w:hAnsi="Arial"/>
          <w:sz w:val="18"/>
          <w:szCs w:val="18"/>
          <w:color w:val="auto"/>
        </w:rPr>
      </w:pPr>
    </w:p>
    <w:p>
      <w:pPr>
        <w:ind w:left="660" w:firstLine="644"/>
        <w:spacing w:after="0" w:line="308" w:lineRule="auto"/>
        <w:tabs>
          <w:tab w:leader="none" w:pos="1563" w:val="left"/>
        </w:tabs>
        <w:numPr>
          <w:ilvl w:val="1"/>
          <w:numId w:val="80"/>
        </w:numPr>
        <w:rPr>
          <w:rFonts w:ascii="Arial" w:cs="Arial" w:eastAsia="Arial" w:hAnsi="Arial"/>
          <w:sz w:val="17"/>
          <w:szCs w:val="17"/>
          <w:color w:val="auto"/>
        </w:rPr>
      </w:pPr>
      <w:r>
        <w:rPr>
          <w:rFonts w:ascii="Arial" w:cs="Arial" w:eastAsia="Arial" w:hAnsi="Arial"/>
          <w:sz w:val="17"/>
          <w:szCs w:val="17"/>
          <w:color w:val="auto"/>
        </w:rPr>
        <w:t>The execution of this Amendment by the individual whose signature is set forth at the end of this Amendment on behalf of such Party, and the delivery of this Amendment by such Party, have been duly authorized by all necessary action on the part of such Party.</w:t>
      </w:r>
    </w:p>
    <w:p>
      <w:pPr>
        <w:spacing w:after="0" w:line="146" w:lineRule="exact"/>
        <w:rPr>
          <w:rFonts w:ascii="Arial" w:cs="Arial" w:eastAsia="Arial" w:hAnsi="Arial"/>
          <w:sz w:val="17"/>
          <w:szCs w:val="17"/>
          <w:color w:val="auto"/>
        </w:rPr>
      </w:pPr>
    </w:p>
    <w:p>
      <w:pPr>
        <w:ind w:left="660" w:firstLine="644"/>
        <w:spacing w:after="0" w:line="277" w:lineRule="auto"/>
        <w:tabs>
          <w:tab w:leader="none" w:pos="15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This Amendment has been executed and delivered by such Party and constitutes the legal, valid, and binding obligation of such Party, enforceable against such Party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WITNESS WHEREOF, the Parties have executed this Amendment on November </w:t>
      </w:r>
      <w:r>
        <w:rPr>
          <w:rFonts w:ascii="Arial" w:cs="Arial" w:eastAsia="Arial" w:hAnsi="Arial"/>
          <w:sz w:val="18"/>
          <w:szCs w:val="18"/>
          <w:u w:val="single" w:color="auto"/>
          <w:color w:val="auto"/>
        </w:rPr>
        <w:t>14</w:t>
      </w:r>
      <w:r>
        <w:rPr>
          <w:rFonts w:ascii="Arial" w:cs="Arial" w:eastAsia="Arial" w:hAnsi="Arial"/>
          <w:sz w:val="18"/>
          <w:szCs w:val="18"/>
          <w:color w:val="auto"/>
        </w:rPr>
        <w:t>,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NICHOLS</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s/ Sean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DRAGONFLY ENERGY HOLDINGS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 Ph.D.</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WILLIAM THOMASON, RICHARD JONES,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 THOMASON JONES COMPANY, LLC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DRAGONFLY ENERGY CORP.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April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340" w:type="dxa"/>
            <w:vAlign w:val="bottom"/>
            <w:gridSpan w:val="3"/>
          </w:tcPr>
          <w:p>
            <w:pPr>
              <w:ind w:left="340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PAGES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PURCHASE AND SALE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1.01</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and Sale of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1.02</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No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1.03</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Purchase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1.04</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Allocation of Purchase Price</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1.05</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Earn Out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1.06</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Withholding Tax</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ARTICLE II</w:t>
            </w:r>
          </w:p>
        </w:tc>
        <w:tc>
          <w:tcPr>
            <w:tcW w:w="9340" w:type="dxa"/>
            <w:vAlign w:val="bottom"/>
            <w:gridSpan w:val="3"/>
          </w:tcPr>
          <w:p>
            <w:pPr>
              <w:ind w:left="40"/>
              <w:spacing w:after="0"/>
              <w:rPr>
                <w:sz w:val="20"/>
                <w:szCs w:val="20"/>
                <w:color w:val="auto"/>
              </w:rPr>
            </w:pPr>
            <w:r>
              <w:rPr>
                <w:rFonts w:ascii="Arial" w:cs="Arial" w:eastAsia="Arial" w:hAnsi="Arial"/>
                <w:sz w:val="18"/>
                <w:szCs w:val="18"/>
                <w:color w:val="auto"/>
              </w:rPr>
              <w:t>CLOSING</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2.01</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Closing</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2.02</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Closing Deliverables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SELLER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3.01</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Organization and Authority of Seller; Enforceability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3.02</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No Conflicts; Consents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3.03</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Title to Purchased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3.04</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Condition of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3.05</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3.06</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Intellectual Property</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3.07</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Compliance With Laws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3.08</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3.09</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3.10</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Full Disclosure</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9340" w:type="dxa"/>
            <w:vAlign w:val="bottom"/>
            <w:gridSpan w:val="3"/>
          </w:tcPr>
          <w:p>
            <w:pPr>
              <w:ind w:left="40"/>
              <w:spacing w:after="0"/>
              <w:rPr>
                <w:sz w:val="20"/>
                <w:szCs w:val="20"/>
                <w:color w:val="auto"/>
              </w:rPr>
            </w:pPr>
            <w:r>
              <w:rPr>
                <w:rFonts w:ascii="Arial" w:cs="Arial" w:eastAsia="Arial" w:hAnsi="Arial"/>
                <w:sz w:val="18"/>
                <w:szCs w:val="18"/>
                <w:color w:val="auto"/>
              </w:rPr>
              <w:t>REPRESENTATIONS AND WARRANTIES OF BUYER</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4.01</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Organization and Authority of Buyer; Enforceability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4.02</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 Conflicts; Consents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4.03</w:t>
            </w:r>
          </w:p>
        </w:tc>
        <w:tc>
          <w:tcPr>
            <w:tcW w:w="9340" w:type="dxa"/>
            <w:vAlign w:val="bottom"/>
            <w:gridSpan w:val="3"/>
          </w:tcPr>
          <w:p>
            <w:pPr>
              <w:ind w:left="360"/>
              <w:spacing w:after="0"/>
              <w:rPr>
                <w:sz w:val="20"/>
                <w:szCs w:val="20"/>
                <w:color w:val="auto"/>
              </w:rPr>
            </w:pPr>
            <w:r>
              <w:rPr>
                <w:rFonts w:ascii="Arial" w:cs="Arial" w:eastAsia="Arial" w:hAnsi="Arial"/>
                <w:sz w:val="18"/>
                <w:szCs w:val="18"/>
                <w:color w:val="auto"/>
              </w:rPr>
              <w:t>Legal Proceedings</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4.04</w:t>
            </w:r>
          </w:p>
        </w:tc>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Brokers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COVENANTS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5.01</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Public Announcements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5.02</w:t>
            </w:r>
          </w:p>
        </w:tc>
        <w:tc>
          <w:tcPr>
            <w:tcW w:w="6680" w:type="dxa"/>
            <w:vAlign w:val="bottom"/>
          </w:tcPr>
          <w:p>
            <w:pPr>
              <w:ind w:left="360"/>
              <w:spacing w:after="0"/>
              <w:rPr>
                <w:sz w:val="20"/>
                <w:szCs w:val="20"/>
                <w:color w:val="auto"/>
              </w:rPr>
            </w:pPr>
            <w:r>
              <w:rPr>
                <w:rFonts w:ascii="Arial" w:cs="Arial" w:eastAsia="Arial" w:hAnsi="Arial"/>
                <w:sz w:val="18"/>
                <w:szCs w:val="18"/>
                <w:color w:val="auto"/>
              </w:rPr>
              <w:t>Transfer Taxes</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5.03</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Further Assurances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INDEMNIFICATION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6.01</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Survival</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6.02</w:t>
            </w:r>
          </w:p>
        </w:tc>
        <w:tc>
          <w:tcPr>
            <w:tcW w:w="6680" w:type="dxa"/>
            <w:vAlign w:val="bottom"/>
          </w:tcPr>
          <w:p>
            <w:pPr>
              <w:ind w:left="360"/>
              <w:spacing w:after="0"/>
              <w:rPr>
                <w:sz w:val="20"/>
                <w:szCs w:val="20"/>
                <w:color w:val="auto"/>
              </w:rPr>
            </w:pPr>
            <w:r>
              <w:rPr>
                <w:rFonts w:ascii="Arial" w:cs="Arial" w:eastAsia="Arial" w:hAnsi="Arial"/>
                <w:sz w:val="18"/>
                <w:szCs w:val="18"/>
                <w:color w:val="auto"/>
              </w:rPr>
              <w:t>Indemnification By Seller</w:t>
            </w:r>
          </w:p>
        </w:tc>
        <w:tc>
          <w:tcPr>
            <w:tcW w:w="33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6.03</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Indemnification By Buyer</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6.04</w:t>
            </w:r>
          </w:p>
        </w:tc>
        <w:tc>
          <w:tcPr>
            <w:tcW w:w="6680" w:type="dxa"/>
            <w:vAlign w:val="bottom"/>
          </w:tcPr>
          <w:p>
            <w:pPr>
              <w:ind w:left="360"/>
              <w:spacing w:after="0"/>
              <w:rPr>
                <w:sz w:val="20"/>
                <w:szCs w:val="20"/>
                <w:color w:val="auto"/>
              </w:rPr>
            </w:pPr>
            <w:r>
              <w:rPr>
                <w:rFonts w:ascii="Arial" w:cs="Arial" w:eastAsia="Arial" w:hAnsi="Arial"/>
                <w:sz w:val="18"/>
                <w:szCs w:val="18"/>
                <w:color w:val="auto"/>
              </w:rPr>
              <w:t>Indemnification Procedures</w:t>
            </w:r>
          </w:p>
        </w:tc>
        <w:tc>
          <w:tcPr>
            <w:tcW w:w="33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6.05</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Treatment of Indemnification Payments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6.06</w:t>
            </w:r>
          </w:p>
        </w:tc>
        <w:tc>
          <w:tcPr>
            <w:tcW w:w="6680" w:type="dxa"/>
            <w:vAlign w:val="bottom"/>
          </w:tcPr>
          <w:p>
            <w:pPr>
              <w:ind w:left="360"/>
              <w:spacing w:after="0"/>
              <w:rPr>
                <w:sz w:val="20"/>
                <w:szCs w:val="20"/>
                <w:color w:val="auto"/>
              </w:rPr>
            </w:pPr>
            <w:r>
              <w:rPr>
                <w:rFonts w:ascii="Arial" w:cs="Arial" w:eastAsia="Arial" w:hAnsi="Arial"/>
                <w:sz w:val="18"/>
                <w:szCs w:val="18"/>
                <w:color w:val="auto"/>
              </w:rPr>
              <w:t>Effect of Investigation</w:t>
            </w:r>
          </w:p>
        </w:tc>
        <w:tc>
          <w:tcPr>
            <w:tcW w:w="33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6.07</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Remedies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6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MISCELLANEOUS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7.01</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7.02</w:t>
            </w:r>
          </w:p>
        </w:tc>
        <w:tc>
          <w:tcPr>
            <w:tcW w:w="6680" w:type="dxa"/>
            <w:vAlign w:val="bottom"/>
          </w:tcPr>
          <w:p>
            <w:pPr>
              <w:ind w:left="360"/>
              <w:spacing w:after="0"/>
              <w:rPr>
                <w:sz w:val="20"/>
                <w:szCs w:val="20"/>
                <w:color w:val="auto"/>
              </w:rPr>
            </w:pPr>
            <w:r>
              <w:rPr>
                <w:rFonts w:ascii="Arial" w:cs="Arial" w:eastAsia="Arial" w:hAnsi="Arial"/>
                <w:sz w:val="18"/>
                <w:szCs w:val="18"/>
                <w:color w:val="auto"/>
              </w:rPr>
              <w:t>Notices</w:t>
            </w:r>
          </w:p>
        </w:tc>
        <w:tc>
          <w:tcPr>
            <w:tcW w:w="33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7.03</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Headings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7.04</w:t>
            </w:r>
          </w:p>
        </w:tc>
        <w:tc>
          <w:tcPr>
            <w:tcW w:w="668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33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7.05</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Entire Agreement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7.06</w:t>
            </w:r>
          </w:p>
        </w:tc>
        <w:tc>
          <w:tcPr>
            <w:tcW w:w="6680" w:type="dxa"/>
            <w:vAlign w:val="bottom"/>
          </w:tcPr>
          <w:p>
            <w:pPr>
              <w:ind w:left="360"/>
              <w:spacing w:after="0"/>
              <w:rPr>
                <w:sz w:val="20"/>
                <w:szCs w:val="20"/>
                <w:color w:val="auto"/>
              </w:rPr>
            </w:pPr>
            <w:r>
              <w:rPr>
                <w:rFonts w:ascii="Arial" w:cs="Arial" w:eastAsia="Arial" w:hAnsi="Arial"/>
                <w:sz w:val="18"/>
                <w:szCs w:val="18"/>
                <w:color w:val="auto"/>
              </w:rPr>
              <w:t>Successors and Assigns</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7.07</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 Third-party Beneficiaries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7.08</w:t>
            </w:r>
          </w:p>
        </w:tc>
        <w:tc>
          <w:tcPr>
            <w:tcW w:w="6680" w:type="dxa"/>
            <w:vAlign w:val="bottom"/>
          </w:tcPr>
          <w:p>
            <w:pPr>
              <w:ind w:left="360"/>
              <w:spacing w:after="0"/>
              <w:rPr>
                <w:sz w:val="20"/>
                <w:szCs w:val="20"/>
                <w:color w:val="auto"/>
              </w:rPr>
            </w:pPr>
            <w:r>
              <w:rPr>
                <w:rFonts w:ascii="Arial" w:cs="Arial" w:eastAsia="Arial" w:hAnsi="Arial"/>
                <w:sz w:val="18"/>
                <w:szCs w:val="18"/>
                <w:color w:val="auto"/>
              </w:rPr>
              <w:t>Amendment and Modification</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7.09</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7.10</w:t>
            </w:r>
          </w:p>
        </w:tc>
        <w:tc>
          <w:tcPr>
            <w:tcW w:w="668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7.11</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Submission to Jurisdiction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7.12</w:t>
            </w:r>
          </w:p>
        </w:tc>
        <w:tc>
          <w:tcPr>
            <w:tcW w:w="6680" w:type="dxa"/>
            <w:vAlign w:val="bottom"/>
          </w:tcPr>
          <w:p>
            <w:pPr>
              <w:ind w:left="360"/>
              <w:spacing w:after="0"/>
              <w:rPr>
                <w:sz w:val="20"/>
                <w:szCs w:val="20"/>
                <w:color w:val="auto"/>
              </w:rPr>
            </w:pPr>
            <w:r>
              <w:rPr>
                <w:rFonts w:ascii="Arial" w:cs="Arial" w:eastAsia="Arial" w:hAnsi="Arial"/>
                <w:sz w:val="18"/>
                <w:szCs w:val="18"/>
                <w:color w:val="auto"/>
              </w:rPr>
              <w:t>Waiver of Jury Trial</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Section 7.13</w:t>
            </w:r>
          </w:p>
        </w:tc>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Specific Performance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ind w:left="340"/>
              <w:spacing w:after="0"/>
              <w:rPr>
                <w:sz w:val="20"/>
                <w:szCs w:val="20"/>
                <w:color w:val="auto"/>
              </w:rPr>
            </w:pPr>
            <w:r>
              <w:rPr>
                <w:rFonts w:ascii="Arial" w:cs="Arial" w:eastAsia="Arial" w:hAnsi="Arial"/>
                <w:sz w:val="18"/>
                <w:szCs w:val="18"/>
                <w:color w:val="auto"/>
                <w:w w:val="89"/>
              </w:rPr>
              <w:t>Section 7.14</w:t>
            </w:r>
          </w:p>
        </w:tc>
        <w:tc>
          <w:tcPr>
            <w:tcW w:w="668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33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Asset Purchase Agreement (this “Agreement”), dated as of April 22, 2022, is entered into between William Thomason (“Thomason”), Richard Jones (“Jones”), and Thomason Jones Company, LLC (“TJC”), a Washington Limited Liability corporation (individually, each a Seller, and collectively “Seller”) and Dragonfly Energy Corp., a Nevada corporation (“Buyer”).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wishes to sell to Buyer, and Buyer wishes to purchase from Seller, the rights of Seller to the Purchased Assets (as defined herein), subject to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AND SALE</w:t>
      </w:r>
    </w:p>
    <w:p>
      <w:pPr>
        <w:spacing w:after="0" w:line="20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1.01 Purchase and Sale of Assets. </w:t>
      </w:r>
      <w:r>
        <w:rPr>
          <w:rFonts w:ascii="Arial" w:cs="Arial" w:eastAsia="Arial" w:hAnsi="Arial"/>
          <w:sz w:val="17"/>
          <w:szCs w:val="17"/>
          <w:color w:val="auto"/>
        </w:rPr>
        <w:t>Subject to the terms and conditions set forth herein, Seller shall sell, assign, transfer, convey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Buyer, and Buyer shall purchase from Seller, all of Seller’s right, title and interest in the assets set forth on Schedule 1.01 of the disclosure schedules (“Disclosure Schedules”) attached hereto (the “Purchased Assets”), free and clear of any mortgage, pledge, lien, charge, security interest and claims or other encumbrance whether known or unknown to Seller as of the date of this Agreement (“Encumbrance”).</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1.02 No Liabilities. </w:t>
      </w:r>
      <w:r>
        <w:rPr>
          <w:rFonts w:ascii="Arial" w:cs="Arial" w:eastAsia="Arial" w:hAnsi="Arial"/>
          <w:sz w:val="18"/>
          <w:szCs w:val="18"/>
          <w:color w:val="auto"/>
        </w:rPr>
        <w:t>Buyer shall not assume any liabilities or obligations of Seller’s business of any kind, whether known or unknown,</w:t>
      </w:r>
      <w:r>
        <w:rPr>
          <w:rFonts w:ascii="Arial" w:cs="Arial" w:eastAsia="Arial" w:hAnsi="Arial"/>
          <w:sz w:val="18"/>
          <w:szCs w:val="18"/>
          <w:b w:val="1"/>
          <w:bCs w:val="1"/>
          <w:color w:val="auto"/>
        </w:rPr>
        <w:t xml:space="preserve"> </w:t>
      </w:r>
      <w:r>
        <w:rPr>
          <w:rFonts w:ascii="Arial" w:cs="Arial" w:eastAsia="Arial" w:hAnsi="Arial"/>
          <w:sz w:val="18"/>
          <w:szCs w:val="18"/>
          <w:color w:val="auto"/>
        </w:rPr>
        <w:t>contingent, matured or otherwise, whether currently existing or hereinafter arising.</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1.03 Purchase Price. </w:t>
      </w:r>
      <w:r>
        <w:rPr>
          <w:rFonts w:ascii="Arial" w:cs="Arial" w:eastAsia="Arial" w:hAnsi="Arial"/>
          <w:sz w:val="16"/>
          <w:szCs w:val="16"/>
          <w:color w:val="auto"/>
        </w:rPr>
        <w:t>The aggregate purchase price for the Purchased Assets, not to exceed seven hundred thousand dollars ($700,000)</w:t>
      </w:r>
      <w:r>
        <w:rPr>
          <w:rFonts w:ascii="Arial" w:cs="Arial" w:eastAsia="Arial" w:hAnsi="Arial"/>
          <w:sz w:val="16"/>
          <w:szCs w:val="16"/>
          <w:b w:val="1"/>
          <w:bCs w:val="1"/>
          <w:color w:val="auto"/>
        </w:rPr>
        <w:t xml:space="preserve"> </w:t>
      </w:r>
      <w:r>
        <w:rPr>
          <w:rFonts w:ascii="Arial" w:cs="Arial" w:eastAsia="Arial" w:hAnsi="Arial"/>
          <w:sz w:val="16"/>
          <w:szCs w:val="16"/>
          <w:color w:val="auto"/>
        </w:rPr>
        <w:t>for Inventory as listed in Schedule 1.01, will be finalized as set forth herein (the “Purchase Price”). The Buyer shall pay the Purchase Price to Seller in exchange for Seller’s delivery of the Purchased Assets with certain events occurring after signature of this Agreement as described herein.</w:t>
      </w:r>
    </w:p>
    <w:p>
      <w:pPr>
        <w:spacing w:after="0" w:line="14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Options shall be issued to each of Thomason and Jones under terms described in Option Agreements entered into with each of them, in accordance with section 7(a) of the 2021 Stock Incentive Plan, attached in </w:t>
      </w:r>
      <w:r>
        <w:rPr>
          <w:rFonts w:ascii="Arial" w:cs="Arial" w:eastAsia="Arial" w:hAnsi="Arial"/>
          <w:sz w:val="18"/>
          <w:szCs w:val="18"/>
          <w:b w:val="1"/>
          <w:bCs w:val="1"/>
          <w:color w:val="auto"/>
        </w:rPr>
        <w:t>Schedule 1.03</w:t>
      </w:r>
      <w:r>
        <w:rPr>
          <w:rFonts w:ascii="Arial" w:cs="Arial" w:eastAsia="Arial" w:hAnsi="Arial"/>
          <w:sz w:val="18"/>
          <w:szCs w:val="18"/>
          <w:color w:val="auto"/>
        </w:rPr>
        <w:t xml:space="preserve"> of the Disclosure Schedules. Issuance of the Options is subject to execution of the Employment Offers by each of Thomason and Jones and shall occur as soon as possible after each of Thomason’s and Jones’ employment start dates. Execution of the Employment Offers is a pre-condition for finalizing this Agreement.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of the cash portion of the Purchase Price is subject to itemization, listing, invoicing and delivery of Schedule 1.01 Inventory items by Seller and then completion by Buyer upon receipt of an audit and final count of such Schedule 1.01 Inventory items, which audit and final count shall be completed in a timely and efficient manner. The cash portion of the Purchase Price shall be in the form of a cashier’s check payable to Thomason Jones Company, LLC no later than August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1.04 Allocation of Purchase Price. </w:t>
      </w:r>
      <w:r>
        <w:rPr>
          <w:rFonts w:ascii="Arial" w:cs="Arial" w:eastAsia="Arial" w:hAnsi="Arial"/>
          <w:sz w:val="17"/>
          <w:szCs w:val="17"/>
          <w:color w:val="auto"/>
        </w:rPr>
        <w:t>Seller and Buyer agree to allocate the Purchase Price among the Purchased Assets for all purposes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tax and financial accounting) in accordance with Schedule 1.04 of the Disclosure Schedules; those amounts due for Completed Products and Components will be determined upon Buyer’s completion of a final count of Schedule 1.01 items delivered by Seller. Buyer and Seller shall file all tax returns (including amended returns and claims for refund) and information reports in a manner consistent with such allocation.</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1.05 Earn Out. </w:t>
      </w:r>
      <w:r>
        <w:rPr>
          <w:rFonts w:ascii="Arial" w:cs="Arial" w:eastAsia="Arial" w:hAnsi="Arial"/>
          <w:sz w:val="18"/>
          <w:szCs w:val="18"/>
          <w:color w:val="auto"/>
        </w:rPr>
        <w:t>If, within twenty-four months of this Agreement Dragonfly Energy Corp. realizes three million dollars ($3,000,000) in</w:t>
      </w:r>
      <w:r>
        <w:rPr>
          <w:rFonts w:ascii="Arial" w:cs="Arial" w:eastAsia="Arial" w:hAnsi="Arial"/>
          <w:sz w:val="18"/>
          <w:szCs w:val="18"/>
          <w:b w:val="1"/>
          <w:bCs w:val="1"/>
          <w:color w:val="auto"/>
        </w:rPr>
        <w:t xml:space="preserve"> </w:t>
      </w:r>
      <w:r>
        <w:rPr>
          <w:rFonts w:ascii="Arial" w:cs="Arial" w:eastAsia="Arial" w:hAnsi="Arial"/>
          <w:sz w:val="18"/>
          <w:szCs w:val="18"/>
          <w:color w:val="auto"/>
        </w:rPr>
        <w:t>gross sales of product either a) sold under the Wakespeed brand and/or b) which incorporates any portion of Purchased IP as listed in Schedule 3.06(b) to this Agreement, then the Company will pay to Thomason and Jones each the amount of one million dollars ($1,000,000) as soon as reasonably practicable. This payment may be made in cash or common stock of Dragonfly Energy Corp, in the sole discretion of the Company. If the payment is made in cash, it shall be made out as checks to each of Thomason and Jones respectively. From and after Closing, the Company shall implement a system, if not already in place, which allows for the accurate tracking of all products to be sold under the Wakespeed brand as well as any product which incorporates Purchased IP referenced in Schedule 3.06(b).</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1.06 Withholding Tax. </w:t>
      </w:r>
      <w:r>
        <w:rPr>
          <w:rFonts w:ascii="Arial" w:cs="Arial" w:eastAsia="Arial" w:hAnsi="Arial"/>
          <w:sz w:val="18"/>
          <w:szCs w:val="18"/>
          <w:color w:val="auto"/>
        </w:rPr>
        <w:t>Buyer shall be entitled to deduct and withhold from the Purchase Price all taxes that Buyer may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deduct and withhold under any applicable tax law. All such withheld amounts shall be treated as delivered to Seller hereunder.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2.01 Closing. </w:t>
      </w:r>
      <w:r>
        <w:rPr>
          <w:rFonts w:ascii="Arial" w:cs="Arial" w:eastAsia="Arial" w:hAnsi="Arial"/>
          <w:sz w:val="18"/>
          <w:szCs w:val="18"/>
          <w:color w:val="auto"/>
        </w:rPr>
        <w:t>The closing of the transactions contemplated by this Agreement (the “Closing”) shall take place as described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with the execution of this Agreement as dated deemed to be the closing date (the “Closing Date”) occurring at the offices of Dragonfly, 1190 Trademark Drive #108, Reno, Nevada 89521. The consummation of the transactions contemplated by this Agreement shall be deemed to occur at 12:01 a.m. on the Closing Date except as otherwise described herein. agreement.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2.02 Closing Deliverables</w:t>
      </w:r>
      <w:r>
        <w:rPr>
          <w:rFonts w:ascii="Arial" w:cs="Arial" w:eastAsia="Arial" w:hAnsi="Arial"/>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Closing, Seller shall deliver to Buyer the following:</w:t>
      </w:r>
    </w:p>
    <w:p>
      <w:pPr>
        <w:spacing w:after="0" w:line="225" w:lineRule="exact"/>
        <w:rPr>
          <w:rFonts w:ascii="Arial" w:cs="Arial" w:eastAsia="Arial" w:hAnsi="Arial"/>
          <w:sz w:val="18"/>
          <w:szCs w:val="18"/>
          <w:color w:val="auto"/>
        </w:rPr>
      </w:pPr>
    </w:p>
    <w:p>
      <w:pPr>
        <w:ind w:left="2180" w:hanging="228"/>
        <w:spacing w:after="0"/>
        <w:tabs>
          <w:tab w:leader="none" w:pos="2180" w:val="left"/>
        </w:tabs>
        <w:numPr>
          <w:ilvl w:val="1"/>
          <w:numId w:val="81"/>
        </w:numPr>
        <w:rPr>
          <w:rFonts w:ascii="Arial" w:cs="Arial" w:eastAsia="Arial" w:hAnsi="Arial"/>
          <w:sz w:val="17"/>
          <w:szCs w:val="17"/>
          <w:color w:val="auto"/>
        </w:rPr>
      </w:pPr>
      <w:r>
        <w:rPr>
          <w:rFonts w:ascii="Arial" w:cs="Arial" w:eastAsia="Arial" w:hAnsi="Arial"/>
          <w:sz w:val="17"/>
          <w:szCs w:val="17"/>
          <w:color w:val="auto"/>
        </w:rPr>
        <w:t>a bill of sale in the form of Exhibit A hereto (the “Bill of Sale”) and duly executed by Seller, transferring the Purchased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Assets to Buyer;</w:t>
      </w:r>
    </w:p>
    <w:p>
      <w:pPr>
        <w:spacing w:after="0" w:line="211" w:lineRule="exact"/>
        <w:rPr>
          <w:sz w:val="20"/>
          <w:szCs w:val="20"/>
          <w:color w:val="auto"/>
        </w:rPr>
      </w:pPr>
    </w:p>
    <w:p>
      <w:pPr>
        <w:ind w:firstLine="1952"/>
        <w:spacing w:after="0" w:line="308" w:lineRule="auto"/>
        <w:tabs>
          <w:tab w:leader="none" w:pos="2223"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assignment and assumption agreement in the form of Exhibit B hereto (the “Assignment and Assumption Agreement”) and duly executed by Seller, effecting the assignment to and assumption by Buyer of the Purchased Assets and the Assumed Liabilities;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6" w:name="page137"/>
    <w:bookmarkEnd w:id="136"/>
    <w:p>
      <w:pPr>
        <w:jc w:val="both"/>
        <w:ind w:firstLine="1952"/>
        <w:spacing w:after="0" w:line="263" w:lineRule="auto"/>
        <w:tabs>
          <w:tab w:leader="none" w:pos="229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assignments in the form of Exhibit C hereto (the “Intellectual Property Assignments”) and duly executed by Seller, transferring all of Seller’s right, title and interest in and to the trademark registrations and applications, patents and patent applications, copyright registrations and applications, and domain name registrations included in the Purchased Assets to Buyer;</w:t>
      </w:r>
    </w:p>
    <w:p>
      <w:pPr>
        <w:spacing w:after="0" w:line="183" w:lineRule="exact"/>
        <w:rPr>
          <w:rFonts w:ascii="Arial" w:cs="Arial" w:eastAsia="Arial" w:hAnsi="Arial"/>
          <w:sz w:val="18"/>
          <w:szCs w:val="18"/>
          <w:color w:val="auto"/>
        </w:rPr>
      </w:pPr>
    </w:p>
    <w:p>
      <w:pPr>
        <w:jc w:val="both"/>
        <w:ind w:firstLine="1952"/>
        <w:spacing w:after="0" w:line="259" w:lineRule="auto"/>
        <w:tabs>
          <w:tab w:leader="none" w:pos="2251"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certificate of the Secretary or Assistant Secretary (or equivalent officer) of Seller certifying as to (A) the resolutions of the board of directors of Seller, duly adopted and in effect, which authorize the execution, delivery and performance of this Agreement and the transactions contemplated hereby, and (B) the names and signatures of the officers of Seller authorized to sign this Agreement and the documents to be delivered hereunder;</w:t>
      </w:r>
    </w:p>
    <w:p>
      <w:pPr>
        <w:spacing w:after="0" w:line="186" w:lineRule="exact"/>
        <w:rPr>
          <w:rFonts w:ascii="Arial" w:cs="Arial" w:eastAsia="Arial" w:hAnsi="Arial"/>
          <w:sz w:val="18"/>
          <w:szCs w:val="18"/>
          <w:color w:val="auto"/>
        </w:rPr>
      </w:pPr>
    </w:p>
    <w:p>
      <w:pPr>
        <w:ind w:firstLine="1952"/>
        <w:spacing w:after="0" w:line="277" w:lineRule="auto"/>
        <w:tabs>
          <w:tab w:leader="none" w:pos="2255"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other customary instruments of transfer, assumption, filings or documents, in form and substance reasonably satisfactory to Buyer, as may be required to give effect to this Agreement; and</w:t>
      </w:r>
    </w:p>
    <w:p>
      <w:pPr>
        <w:spacing w:after="0" w:line="170" w:lineRule="exact"/>
        <w:rPr>
          <w:rFonts w:ascii="Arial" w:cs="Arial" w:eastAsia="Arial" w:hAnsi="Arial"/>
          <w:sz w:val="18"/>
          <w:szCs w:val="18"/>
          <w:color w:val="auto"/>
        </w:rPr>
      </w:pPr>
    </w:p>
    <w:p>
      <w:pPr>
        <w:ind w:left="2260" w:hanging="308"/>
        <w:spacing w:after="0"/>
        <w:tabs>
          <w:tab w:leader="none" w:pos="22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Washington State Department of Revenue Request for Tax Status Form completed by Seller.</w:t>
      </w:r>
    </w:p>
    <w:p>
      <w:pPr>
        <w:spacing w:after="0" w:line="225" w:lineRule="exact"/>
        <w:rPr>
          <w:rFonts w:ascii="Arial" w:cs="Arial" w:eastAsia="Arial" w:hAnsi="Arial"/>
          <w:sz w:val="18"/>
          <w:szCs w:val="18"/>
          <w:color w:val="auto"/>
        </w:rPr>
      </w:pPr>
    </w:p>
    <w:p>
      <w:pPr>
        <w:ind w:left="2300" w:hanging="348"/>
        <w:spacing w:after="0"/>
        <w:tabs>
          <w:tab w:leader="none" w:pos="2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Accepted Offers of Employment from each of Thomason and Jones.</w:t>
      </w:r>
    </w:p>
    <w:p>
      <w:pPr>
        <w:spacing w:after="0" w:line="225" w:lineRule="exact"/>
        <w:rPr>
          <w:rFonts w:ascii="Arial" w:cs="Arial" w:eastAsia="Arial" w:hAnsi="Arial"/>
          <w:sz w:val="18"/>
          <w:szCs w:val="18"/>
          <w:color w:val="auto"/>
        </w:rPr>
      </w:pPr>
    </w:p>
    <w:p>
      <w:pPr>
        <w:ind w:firstLine="1952"/>
        <w:spacing w:after="0" w:line="277" w:lineRule="auto"/>
        <w:tabs>
          <w:tab w:leader="none" w:pos="2394" w:val="left"/>
        </w:tabs>
        <w:numPr>
          <w:ilvl w:val="1"/>
          <w:numId w:val="83"/>
        </w:numPr>
        <w:rPr>
          <w:rFonts w:ascii="Arial" w:cs="Arial" w:eastAsia="Arial" w:hAnsi="Arial"/>
          <w:sz w:val="18"/>
          <w:szCs w:val="18"/>
          <w:color w:val="auto"/>
        </w:rPr>
      </w:pPr>
      <w:r>
        <w:rPr>
          <w:rFonts w:ascii="Arial" w:cs="Arial" w:eastAsia="Arial" w:hAnsi="Arial"/>
          <w:sz w:val="18"/>
          <w:szCs w:val="18"/>
          <w:color w:val="auto"/>
        </w:rPr>
        <w:t>A signed release from American Power Systems, Inc. (“APS”) releasing Thomason Jones Company, Inc. from its Agreement with APS dated July 17, 2019. This signed release shall be deemed executed prior to the signing of this Agreement.</w:t>
      </w:r>
    </w:p>
    <w:p>
      <w:pPr>
        <w:spacing w:after="0" w:line="170" w:lineRule="exact"/>
        <w:rPr>
          <w:rFonts w:ascii="Arial" w:cs="Arial" w:eastAsia="Arial" w:hAnsi="Arial"/>
          <w:sz w:val="18"/>
          <w:szCs w:val="18"/>
          <w:color w:val="auto"/>
        </w:rPr>
      </w:pPr>
    </w:p>
    <w:p>
      <w:pPr>
        <w:ind w:left="1560" w:hanging="256"/>
        <w:spacing w:after="0"/>
        <w:tabs>
          <w:tab w:leader="none" w:pos="15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the Closing, Buyer shall deliver to Seller the following:</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Assignment and Assumption Agreement duly executed by Buyer; and</w:t>
      </w:r>
    </w:p>
    <w:p>
      <w:pPr>
        <w:spacing w:after="0" w:line="225" w:lineRule="exact"/>
        <w:rPr>
          <w:rFonts w:ascii="Arial" w:cs="Arial" w:eastAsia="Arial" w:hAnsi="Arial"/>
          <w:sz w:val="18"/>
          <w:szCs w:val="18"/>
          <w:color w:val="auto"/>
        </w:rPr>
      </w:pPr>
    </w:p>
    <w:p>
      <w:pPr>
        <w:jc w:val="both"/>
        <w:ind w:firstLine="1952"/>
        <w:spacing w:after="0" w:line="259" w:lineRule="auto"/>
        <w:tabs>
          <w:tab w:leader="none" w:pos="221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 certificate of the Secretary or Assistant Secretary (or equivalent officer) of Buyer certifying as to (A) the resolutions of the board of directors of Buyer, duly adopted and in effect, which authorize the execution, delivery and performance of this Agreement and the transactions contemplated hereby, and (B) the names and signatures of the officers of Buyer authorized to sign this Agreement and the documents to be delivered hereunder.</w:t>
      </w:r>
    </w:p>
    <w:p>
      <w:pPr>
        <w:spacing w:after="0" w:line="186" w:lineRule="exact"/>
        <w:rPr>
          <w:rFonts w:ascii="Arial" w:cs="Arial" w:eastAsia="Arial" w:hAnsi="Arial"/>
          <w:sz w:val="18"/>
          <w:szCs w:val="18"/>
          <w:color w:val="auto"/>
        </w:rPr>
      </w:pPr>
    </w:p>
    <w:p>
      <w:pPr>
        <w:ind w:left="2260" w:hanging="308"/>
        <w:spacing w:after="0"/>
        <w:tabs>
          <w:tab w:leader="none" w:pos="22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Offers of Employment signed by Denis Phares on behalf of Dragonfly Energy Corp.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SELLER</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Seller represents and warrants to Buyer that the statements contained in this </w:t>
      </w:r>
      <w:r>
        <w:rPr>
          <w:rFonts w:ascii="Arial" w:cs="Arial" w:eastAsia="Arial" w:hAnsi="Arial"/>
          <w:sz w:val="18"/>
          <w:szCs w:val="18"/>
          <w:b w:val="1"/>
          <w:bCs w:val="1"/>
          <w:color w:val="auto"/>
        </w:rPr>
        <w:t>Article III</w:t>
      </w:r>
      <w:r>
        <w:rPr>
          <w:rFonts w:ascii="Arial" w:cs="Arial" w:eastAsia="Arial" w:hAnsi="Arial"/>
          <w:sz w:val="18"/>
          <w:szCs w:val="18"/>
          <w:color w:val="auto"/>
        </w:rPr>
        <w:t xml:space="preserve"> are true and correct as of the date hereof to the best of Seller’s knowledge. For purposes of this </w:t>
      </w:r>
      <w:r>
        <w:rPr>
          <w:rFonts w:ascii="Arial" w:cs="Arial" w:eastAsia="Arial" w:hAnsi="Arial"/>
          <w:sz w:val="18"/>
          <w:szCs w:val="18"/>
          <w:b w:val="1"/>
          <w:bCs w:val="1"/>
          <w:color w:val="auto"/>
        </w:rPr>
        <w:t>Article III</w:t>
      </w:r>
      <w:r>
        <w:rPr>
          <w:rFonts w:ascii="Arial" w:cs="Arial" w:eastAsia="Arial" w:hAnsi="Arial"/>
          <w:sz w:val="18"/>
          <w:szCs w:val="18"/>
          <w:color w:val="auto"/>
        </w:rPr>
        <w:t>, “Seller’s knowledge,” “knowledge of Seller” and any similar phrases shall mean the actual knowledge of Seller.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3.01 Organization and Authority of Seller; Enforceability. </w:t>
      </w:r>
      <w:r>
        <w:rPr>
          <w:rFonts w:ascii="Arial" w:cs="Arial" w:eastAsia="Arial" w:hAnsi="Arial"/>
          <w:sz w:val="16"/>
          <w:szCs w:val="16"/>
          <w:color w:val="auto"/>
        </w:rPr>
        <w:t>Seller is a limited liability company duly organized, validly existing and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standing under the laws of the State of Washington. Seller has full corporate power and authority to enter into this Agreement and the documents to be delivered hereunder, to carry out its obligations hereunder and to consummate the transactions contemplated hereby. The execution, delivery and performance by Seller of this Agreement and the documents to be delivered hereunder and the consummation of the transactions contemplated hereby have been duly authorized by all requisite corporate action on the part of Seller. This Agreement and the documents to be delivered hereunder have been duly executed and delivered by Seller, and (assuming due authorization, execution and delivery by Buyer) this Agreement and the documents to be delivered hereunder constitute legal, valid and binding obligations of Seller, enforceable against Seller in accordance with their respective terms.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3.02 No Conflicts; Consents. </w:t>
      </w:r>
      <w:r>
        <w:rPr>
          <w:rFonts w:ascii="Arial" w:cs="Arial" w:eastAsia="Arial" w:hAnsi="Arial"/>
          <w:sz w:val="16"/>
          <w:szCs w:val="16"/>
          <w:color w:val="auto"/>
        </w:rPr>
        <w:t>The execution, delivery and performance by Seller of this Agreement and the documents to be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and the consummation of the transactions contemplated hereby, do not and will not: (a) violate or conflict with the articles of organization, by-laws or other organizational documents of Seller; (b) violate or conflict with any judgment, order, decree, statute, law, ordinance, rule or regulation applicable to Seller or the Purchased Assets; (c) conflict with, or result in (with or without notice or lapse of time or both) any violation of, or default under, or give rise to a right of termination, acceleration or modification of any obligation or loss of any benefit under any contract or other instrument to which Seller is a party or to which any of the Purchased Assets are subject; or (d) result in the creation or imposition of any Encumbrance on the Purchased Assets. No consent, approval, waiver or authorization is required to be obtained by Seller from any person or entity (including any governmental authority) in connection with the execution, delivery and performance by Seller of this Agreement and the consummation of the transactions contemplated hereby.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3.03 Title to Purchased Assets. </w:t>
      </w:r>
      <w:r>
        <w:rPr>
          <w:rFonts w:ascii="Arial" w:cs="Arial" w:eastAsia="Arial" w:hAnsi="Arial"/>
          <w:sz w:val="18"/>
          <w:szCs w:val="18"/>
          <w:color w:val="auto"/>
        </w:rPr>
        <w:t>Seller owns and has good title to the Purchased Assets, free and clear of Encumbrances.</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3.04 Condition of Assets. </w:t>
      </w:r>
      <w:r>
        <w:rPr>
          <w:rFonts w:ascii="Arial" w:cs="Arial" w:eastAsia="Arial" w:hAnsi="Arial"/>
          <w:sz w:val="18"/>
          <w:szCs w:val="18"/>
          <w:color w:val="auto"/>
        </w:rPr>
        <w:t>The tangible personal property included in the Purchased Assets is in good condition and is adequate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uses to which it is being put, and none of such tangible personal property is in need of maintenance or repairs except for ordinary, routine maintenance and repairs that are not material in nature or cost.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3.05 Inventory. </w:t>
      </w:r>
      <w:r>
        <w:rPr>
          <w:rFonts w:ascii="Arial" w:cs="Arial" w:eastAsia="Arial" w:hAnsi="Arial"/>
          <w:sz w:val="18"/>
          <w:szCs w:val="18"/>
          <w:color w:val="auto"/>
        </w:rPr>
        <w:t>All inventory, finished goods, raw materials, work in progress, packaging, supplies, parts and other inventories included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Purchased Assets consist of a quality and quantity usable and salable in the ordinary course of business.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3.06 Intellectual Property</w:t>
      </w:r>
      <w:r>
        <w:rPr>
          <w:rFonts w:ascii="Arial" w:cs="Arial" w:eastAsia="Arial" w:hAnsi="Arial"/>
          <w:sz w:val="18"/>
          <w:szCs w:val="18"/>
          <w:color w:val="auto"/>
        </w:rPr>
        <w:t>.</w:t>
      </w:r>
    </w:p>
    <w:p>
      <w:pPr>
        <w:spacing w:after="0" w:line="229" w:lineRule="exact"/>
        <w:rPr>
          <w:sz w:val="20"/>
          <w:szCs w:val="20"/>
          <w:color w:val="auto"/>
        </w:rPr>
      </w:pPr>
    </w:p>
    <w:p>
      <w:pPr>
        <w:jc w:val="both"/>
        <w:ind w:firstLine="1304"/>
        <w:spacing w:after="0" w:line="254" w:lineRule="auto"/>
        <w:tabs>
          <w:tab w:leader="none" w:pos="154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“Intellectual Property” means any and all of the following in any jurisdiction throughout the world: (i) trademarks and service marks, including all applications and registrations and the goodwill connected with the use of and symbolized by the foregoing; (ii) copyrights, both registered and unregistered, including all applications and registrations related to the foregoing; (iii) trade secrets and confidential know-how; (iv) patents and patent applications; (v) websites and internet domain name registrations with the exception of “TJCmicro.com”; and (vi) other intellectual property and related proprietary rights, interests and protections (including all rights to sue and recover and retain damages, costs and attorneys’ fees for past, present and future infringement and any other rights relating to any of the foregoing). For the avoidance of doubt, Intellectual Property includes source code, product designs, and manufacturing know how.</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8" w:name="page139"/>
    <w:bookmarkEnd w:id="138"/>
    <w:p>
      <w:pPr>
        <w:jc w:val="both"/>
        <w:ind w:firstLine="1304"/>
        <w:spacing w:after="0" w:line="272" w:lineRule="auto"/>
        <w:tabs>
          <w:tab w:leader="none" w:pos="1557"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Schedule 306.(b) of the Disclosure Schedules defines and lists all Intellectual Property included in the Purchased Assets (“Purchased IP”). Seller owns or has adequate, valid and enforceable rights to use all the Purchased IP, free and clear of Encumbrances. Seller is not bound by any outstanding judgment, injunction, order or decree restricting the use of the Purchased IP, or restricting the licensing thereof to any person or entity. With respect to the registered Intellectual Property listed on </w:t>
      </w:r>
      <w:r>
        <w:rPr>
          <w:rFonts w:ascii="Arial" w:cs="Arial" w:eastAsia="Arial" w:hAnsi="Arial"/>
          <w:sz w:val="17"/>
          <w:szCs w:val="17"/>
          <w:b w:val="1"/>
          <w:bCs w:val="1"/>
          <w:color w:val="auto"/>
        </w:rPr>
        <w:t>Section 3.06(b)</w:t>
      </w:r>
      <w:r>
        <w:rPr>
          <w:rFonts w:ascii="Arial" w:cs="Arial" w:eastAsia="Arial" w:hAnsi="Arial"/>
          <w:sz w:val="17"/>
          <w:szCs w:val="17"/>
          <w:color w:val="auto"/>
        </w:rPr>
        <w:t xml:space="preserve"> of the Disclosure Schedules, (i) all such Intellectual Property is valid, subsisting and in full force and effect and (ii) Seller has paid all maintenance fees and made all filings required to maintain Seller’s ownership thereof. For all such registered Intellectual Property, </w:t>
      </w:r>
      <w:r>
        <w:rPr>
          <w:rFonts w:ascii="Arial" w:cs="Arial" w:eastAsia="Arial" w:hAnsi="Arial"/>
          <w:sz w:val="17"/>
          <w:szCs w:val="17"/>
          <w:b w:val="1"/>
          <w:bCs w:val="1"/>
          <w:color w:val="auto"/>
        </w:rPr>
        <w:t>Section 3.06(b)</w:t>
      </w:r>
      <w:r>
        <w:rPr>
          <w:rFonts w:ascii="Arial" w:cs="Arial" w:eastAsia="Arial" w:hAnsi="Arial"/>
          <w:sz w:val="17"/>
          <w:szCs w:val="17"/>
          <w:color w:val="auto"/>
        </w:rPr>
        <w:t xml:space="preserve"> of the Disclosure Schedules lists (A) the jurisdiction where the application or registration is located, (B) the application or registration number, and (C) the application or registration date.</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1551"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the best of Seller’s knowledge, Seller’s prior and current use of the Purchased IP has not and does not infringe, violate, dilute or misappropriate the Intellectual Property of any person or entity and other than as disclosed, there are no claims pending or threatened by any person or entity with respect to the ownership, validity, enforceability, effectiveness or use of the Purchased IP. To the best of Seller’s knowledge, no person or entity is infringing, misappropriating, diluting or otherwise violating any of the Purchased IP, and neither Seller nor any affiliate of Seller has made or asserted any claim, demand or notice against any person or entity alleging any such infringement, misappropriation, dilution or other violation.</w:t>
      </w:r>
    </w:p>
    <w:p>
      <w:pPr>
        <w:spacing w:after="0" w:line="15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3.07 Compliance With Laws. </w:t>
      </w:r>
      <w:r>
        <w:rPr>
          <w:rFonts w:ascii="Arial" w:cs="Arial" w:eastAsia="Arial" w:hAnsi="Arial"/>
          <w:sz w:val="18"/>
          <w:szCs w:val="18"/>
          <w:color w:val="auto"/>
        </w:rPr>
        <w:t>To the best of Seller’s knowledge, Seller has complied, and is now complying, with all applicable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local laws and regulations applicable to ownership and use of the Purchased Assets.</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3.08 Legal Proceedings. </w:t>
      </w:r>
      <w:r>
        <w:rPr>
          <w:rFonts w:ascii="Arial" w:cs="Arial" w:eastAsia="Arial" w:hAnsi="Arial"/>
          <w:sz w:val="18"/>
          <w:szCs w:val="18"/>
          <w:color w:val="auto"/>
        </w:rPr>
        <w:t>There is no claim, action, suit, proceeding or governmental investigation (“Action”) of any nature pending or, to</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knowledge, threatened against or by Seller (a) relating to or affecting the Purchased Assets; or (b) that challenges or seeks to prevent, enjoin or otherwise delay the transactions contemplated by this Agreement. No event has occurred, nor to Seller’s knowledge do circumstances exist that may give rise to, or serve as a basis for, any such Action.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3.09 Brokers. </w:t>
      </w:r>
      <w:r>
        <w:rPr>
          <w:rFonts w:ascii="Arial" w:cs="Arial" w:eastAsia="Arial" w:hAnsi="Arial"/>
          <w:sz w:val="18"/>
          <w:szCs w:val="18"/>
          <w:color w:val="auto"/>
        </w:rPr>
        <w:t>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based upon arrangements made by or on behalf of Seller.</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3.10 Full Disclosure. </w:t>
      </w:r>
      <w:r>
        <w:rPr>
          <w:rFonts w:ascii="Arial" w:cs="Arial" w:eastAsia="Arial" w:hAnsi="Arial"/>
          <w:sz w:val="18"/>
          <w:szCs w:val="18"/>
          <w:color w:val="auto"/>
        </w:rPr>
        <w:t>To Seller’s best knowledge, no representation or warranty by Seller in this Agreement and no statement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Disclosure Schedules to 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BUYER</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Buyer represents and warrants to Seller that the statements contained in this </w:t>
      </w:r>
      <w:r>
        <w:rPr>
          <w:rFonts w:ascii="Arial" w:cs="Arial" w:eastAsia="Arial" w:hAnsi="Arial"/>
          <w:sz w:val="18"/>
          <w:szCs w:val="18"/>
          <w:b w:val="1"/>
          <w:bCs w:val="1"/>
          <w:color w:val="auto"/>
        </w:rPr>
        <w:t>Article IV</w:t>
      </w:r>
      <w:r>
        <w:rPr>
          <w:rFonts w:ascii="Arial" w:cs="Arial" w:eastAsia="Arial" w:hAnsi="Arial"/>
          <w:sz w:val="18"/>
          <w:szCs w:val="18"/>
          <w:color w:val="auto"/>
        </w:rPr>
        <w:t xml:space="preserve"> are true and correct as of the date hereof. For purposes of this </w:t>
      </w:r>
      <w:r>
        <w:rPr>
          <w:rFonts w:ascii="Arial" w:cs="Arial" w:eastAsia="Arial" w:hAnsi="Arial"/>
          <w:sz w:val="18"/>
          <w:szCs w:val="18"/>
          <w:b w:val="1"/>
          <w:bCs w:val="1"/>
          <w:color w:val="auto"/>
        </w:rPr>
        <w:t>Article IV</w:t>
      </w:r>
      <w:r>
        <w:rPr>
          <w:rFonts w:ascii="Arial" w:cs="Arial" w:eastAsia="Arial" w:hAnsi="Arial"/>
          <w:sz w:val="18"/>
          <w:szCs w:val="18"/>
          <w:color w:val="auto"/>
        </w:rPr>
        <w:t>, “Buyer’s knowledge,” “knowledge of Buyer” and any similar phrases shall mean the actual or constructive knowledge of any director or officer of Buyer, after due inquiry.</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4.01 Organization and Authority of Buyer; Enforceability. </w:t>
      </w:r>
      <w:r>
        <w:rPr>
          <w:rFonts w:ascii="Arial" w:cs="Arial" w:eastAsia="Arial" w:hAnsi="Arial"/>
          <w:sz w:val="16"/>
          <w:szCs w:val="16"/>
          <w:color w:val="auto"/>
        </w:rPr>
        <w:t>Buyer is a corporation duly organized, validly existing and in good</w:t>
      </w:r>
      <w:r>
        <w:rPr>
          <w:rFonts w:ascii="Arial" w:cs="Arial" w:eastAsia="Arial" w:hAnsi="Arial"/>
          <w:sz w:val="16"/>
          <w:szCs w:val="16"/>
          <w:b w:val="1"/>
          <w:bCs w:val="1"/>
          <w:color w:val="auto"/>
        </w:rPr>
        <w:t xml:space="preserve"> </w:t>
      </w:r>
      <w:r>
        <w:rPr>
          <w:rFonts w:ascii="Arial" w:cs="Arial" w:eastAsia="Arial" w:hAnsi="Arial"/>
          <w:sz w:val="16"/>
          <w:szCs w:val="16"/>
          <w:color w:val="auto"/>
        </w:rPr>
        <w:t>standing under the laws of the State of Nevada. Buyer has full corporate power and authority to enter into this Agreement and the documents to be delivered hereunder, to carry out its obligations hereunder and to consummate the transactions contemplated hereby. The execution, delivery and performance by Buyer of this Agreement and the documents to be delivered hereunder and the consummation of the transactions contemplated hereby have been duly authorized by all requisite corporate action on the part of Buyer. This Agreement and the documents to be delivered hereunder have been duly executed and delivered by Buyer, and (assuming due authorization, execution and delivery by Seller) this Agreement and the documents to be delivered hereunder constitute legal, valid and binding obligations of Buyer enforceable against Buyer in accordance with their respective terms.</w:t>
      </w:r>
    </w:p>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4.02 No Conflicts; Consents. </w:t>
      </w:r>
      <w:r>
        <w:rPr>
          <w:rFonts w:ascii="Arial" w:cs="Arial" w:eastAsia="Arial" w:hAnsi="Arial"/>
          <w:sz w:val="18"/>
          <w:szCs w:val="18"/>
          <w:color w:val="auto"/>
        </w:rPr>
        <w:t>The execution, delivery and performance by Buyer of this Agreement and the documents to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 consummation of the transactions contemplated hereby, do not and will not: (a) violate or conflict with the certificate of incorporation, by-laws or other organizational documents of Buyer; or (b) violate or conflict with any judgment, order, decree, statute, law, ordinance, rule or regulation applicable to Buyer. No consent, approval, waiver or authorization is required to be obtained by Buyer from any person or entity (including any governmental authority) in connection with the execution, delivery and performance by Buyer of this Agreement and the consummation of the transactions contemplated hereby.</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4.03 Legal Proceedings. </w:t>
      </w:r>
      <w:r>
        <w:rPr>
          <w:rFonts w:ascii="Arial" w:cs="Arial" w:eastAsia="Arial" w:hAnsi="Arial"/>
          <w:sz w:val="18"/>
          <w:szCs w:val="18"/>
          <w:color w:val="auto"/>
        </w:rPr>
        <w:t>There is no Action of any nature pending or, to Buyer’s knowledge, threatened against or by Buyer that</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challenges or seeks to prevent, enjoin or otherwise delay the transactions contemplated by this Agreement. No event has occurred nor circumstances exist that may give rise to, or serve as a basis for, any such Action.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4.04 Brokers. </w:t>
      </w:r>
      <w:r>
        <w:rPr>
          <w:rFonts w:ascii="Arial" w:cs="Arial" w:eastAsia="Arial" w:hAnsi="Arial"/>
          <w:sz w:val="18"/>
          <w:szCs w:val="18"/>
          <w:color w:val="auto"/>
        </w:rPr>
        <w:t>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based upon arrangements made by or on behalf of Buyer.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5.01 Public Announcements. </w:t>
      </w:r>
      <w:r>
        <w:rPr>
          <w:rFonts w:ascii="Arial" w:cs="Arial" w:eastAsia="Arial" w:hAnsi="Arial"/>
          <w:sz w:val="18"/>
          <w:szCs w:val="18"/>
          <w:color w:val="auto"/>
        </w:rPr>
        <w:t>Unless otherwise required by applicable law, neither party shall make any public announcements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transactions contemplated hereby without the prior written consent of the other party (which consent shall not be unreasonably withheld or delayed).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5.02 Transfer Taxes. </w:t>
      </w:r>
      <w:r>
        <w:rPr>
          <w:rFonts w:ascii="Arial" w:cs="Arial" w:eastAsia="Arial" w:hAnsi="Arial"/>
          <w:sz w:val="18"/>
          <w:szCs w:val="18"/>
          <w:color w:val="auto"/>
        </w:rPr>
        <w:t>All transfer, documentary, sales, use, stamp, registration, value added and other such taxes and fees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and interest) incurred in connection with this Agreement and the documents to be delivered hereunder shall be borne and paid by Seller when due. Seller shall, at its own expense, timely file any tax return or other document with respect to such taxes or fees (and Buyer shall cooperate with respect thereto as necessary).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5.03 Further Assurances. </w:t>
      </w:r>
      <w:r>
        <w:rPr>
          <w:rFonts w:ascii="Arial" w:cs="Arial" w:eastAsia="Arial" w:hAnsi="Arial"/>
          <w:sz w:val="18"/>
          <w:szCs w:val="18"/>
          <w:color w:val="auto"/>
        </w:rPr>
        <w:t>Following the Closing, each of the parties hereto shall execute and deliver such additional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conveyances and assurances and take such further actions as may be reasonably required to carry out the provisions hereof and give effect to the transactions contemplated by this Agreement and the documents to be delivered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6.01 Survival. </w:t>
      </w:r>
      <w:r>
        <w:rPr>
          <w:rFonts w:ascii="Arial" w:cs="Arial" w:eastAsia="Arial" w:hAnsi="Arial"/>
          <w:sz w:val="18"/>
          <w:szCs w:val="18"/>
          <w:color w:val="auto"/>
        </w:rPr>
        <w:t>All representations, warranties, covenants and agreements contained herein and all related rights to indemnification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for a period of one year following Closing .</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6.02 Indemnification By Seller. </w:t>
      </w:r>
      <w:r>
        <w:rPr>
          <w:rFonts w:ascii="Arial" w:cs="Arial" w:eastAsia="Arial" w:hAnsi="Arial"/>
          <w:sz w:val="18"/>
          <w:szCs w:val="18"/>
          <w:color w:val="auto"/>
        </w:rPr>
        <w:t>Seller shall defend, indemnify and hold harmless Buyer, its affiliates and their respective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employees from and against all claims, judgments, damages, liabilities, settlements, losses, costs and expenses, including attorneys’ fees and disbursements, arising from or relating to:</w:t>
      </w:r>
    </w:p>
    <w:p>
      <w:pPr>
        <w:spacing w:after="0" w:line="180" w:lineRule="exact"/>
        <w:rPr>
          <w:sz w:val="20"/>
          <w:szCs w:val="20"/>
          <w:color w:val="auto"/>
        </w:rPr>
      </w:pPr>
    </w:p>
    <w:p>
      <w:pPr>
        <w:ind w:left="1560" w:hanging="256"/>
        <w:spacing w:after="0"/>
        <w:tabs>
          <w:tab w:leader="none" w:pos="1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inaccuracy in or breach of any of the representations or warranties of Seller contained in this Agreement or any document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 hereunder;</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liabilities of TJC;</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and all litigation arising after the execution of this agreement, against TJC, whether or not Dragonfly is named a party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litigation;</w:t>
      </w:r>
    </w:p>
    <w:p>
      <w:pPr>
        <w:spacing w:after="0" w:line="210" w:lineRule="exact"/>
        <w:rPr>
          <w:rFonts w:ascii="Arial" w:cs="Arial" w:eastAsia="Arial" w:hAnsi="Arial"/>
          <w:sz w:val="17"/>
          <w:szCs w:val="17"/>
          <w:color w:val="auto"/>
        </w:rPr>
      </w:pPr>
    </w:p>
    <w:p>
      <w:pPr>
        <w:ind w:left="1560" w:hanging="256"/>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liabilities of Thomason;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and all litigation arising after the execution of this agreement, against Thomason[, whether or not Dragonfly is named a party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litigation;</w:t>
      </w:r>
    </w:p>
    <w:p>
      <w:pPr>
        <w:spacing w:after="0" w:line="210" w:lineRule="exact"/>
        <w:rPr>
          <w:rFonts w:ascii="Arial" w:cs="Arial" w:eastAsia="Arial" w:hAnsi="Arial"/>
          <w:sz w:val="16"/>
          <w:szCs w:val="16"/>
          <w:color w:val="auto"/>
        </w:rPr>
      </w:pPr>
    </w:p>
    <w:p>
      <w:pPr>
        <w:ind w:left="1520" w:hanging="216"/>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and all liabilities of Jones;</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and all litigation arising after the execution of this agreement, against Jones, whether or not Dragonfly is named a party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litigation; or</w:t>
      </w:r>
    </w:p>
    <w:p>
      <w:pPr>
        <w:spacing w:after="0" w:line="210" w:lineRule="exact"/>
        <w:rPr>
          <w:rFonts w:ascii="Arial" w:cs="Arial" w:eastAsia="Arial" w:hAnsi="Arial"/>
          <w:sz w:val="16"/>
          <w:szCs w:val="16"/>
          <w:color w:val="auto"/>
        </w:rPr>
      </w:pPr>
    </w:p>
    <w:p>
      <w:pPr>
        <w:ind w:left="1560" w:hanging="256"/>
        <w:spacing w:after="0"/>
        <w:tabs>
          <w:tab w:leader="none" w:pos="15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liabilities arising out of the business activity of all Sellers;</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litigation or liability relating to the Purchased Assets that was incurred or accrued before Closing;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ind w:right="20" w:firstLine="1304"/>
        <w:spacing w:after="0" w:line="277" w:lineRule="auto"/>
        <w:tabs>
          <w:tab w:leader="none" w:pos="15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or non-fulfillment of any covenant, agreement or obligation to be performed by Seller pursuant to this Agreement or any document to be delivered hereunder.</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6.03 Indemnification By Buyer. </w:t>
      </w:r>
      <w:r>
        <w:rPr>
          <w:rFonts w:ascii="Arial" w:cs="Arial" w:eastAsia="Arial" w:hAnsi="Arial"/>
          <w:sz w:val="18"/>
          <w:szCs w:val="18"/>
          <w:color w:val="auto"/>
        </w:rPr>
        <w:t>Buyer shall defend, indemnify and hold harmless Seller, its affiliates and their respective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employees from and against all claims, judgments, damages, liabilities, settlements, losses, costs and expenses, including attorneys’ fees and disbursements, arising from or relating to:</w:t>
      </w:r>
    </w:p>
    <w:p>
      <w:pPr>
        <w:spacing w:after="0" w:line="180" w:lineRule="exact"/>
        <w:rPr>
          <w:sz w:val="20"/>
          <w:szCs w:val="20"/>
          <w:color w:val="auto"/>
        </w:rPr>
      </w:pPr>
    </w:p>
    <w:p>
      <w:pPr>
        <w:ind w:left="1560" w:hanging="256"/>
        <w:spacing w:after="0"/>
        <w:tabs>
          <w:tab w:leader="none" w:pos="15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any inaccuracy in or breach of any of the representations or warranties of Buyer contained in this Agreement or any document to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 hereunder;</w:t>
      </w:r>
    </w:p>
    <w:p>
      <w:pPr>
        <w:spacing w:after="0" w:line="210" w:lineRule="exact"/>
        <w:rPr>
          <w:rFonts w:ascii="Arial" w:cs="Arial" w:eastAsia="Arial" w:hAnsi="Arial"/>
          <w:sz w:val="16"/>
          <w:szCs w:val="16"/>
          <w:color w:val="auto"/>
        </w:rPr>
      </w:pPr>
    </w:p>
    <w:p>
      <w:pPr>
        <w:ind w:firstLine="1304"/>
        <w:spacing w:after="0" w:line="277" w:lineRule="auto"/>
        <w:tabs>
          <w:tab w:leader="none" w:pos="1558"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breach or non-fulfillment of any covenant, agreement or obligation to be performed by Buyer pursuant to this Agreement or any document to be delivered hereunder.</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litigation or liability relating to the Purchased Assets that was incurred or accrued after Closing.</w:t>
      </w:r>
    </w:p>
    <w:p>
      <w:pPr>
        <w:spacing w:after="0" w:line="22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6.04 Indemnification Procedures. </w:t>
      </w:r>
      <w:r>
        <w:rPr>
          <w:rFonts w:ascii="Arial" w:cs="Arial" w:eastAsia="Arial" w:hAnsi="Arial"/>
          <w:sz w:val="17"/>
          <w:szCs w:val="17"/>
          <w:color w:val="auto"/>
        </w:rPr>
        <w:t>Whenever any claim shall arise for indemnification hereunder, the party entitled to indemnification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“Indemnified Party”) shall promptly provide written notice of such claim to the other party (the “Indemnifying Party”). In connection with any claim giving rise to indemnity hereunder resulting from or arising out of any Action by a person or entity who is not a party to this Agreement, the Indemnifying Party, at its sole cost and expense and upon written notice to the Indemnified Party, may assume the defense of any such Action with counsel reasonably satisfactory to the Indemnified Party. The Indemnified Party shall be entitled to participate in the defense of any such Action, with its counsel and at its own cost and expense. If the Indemnifying Party does not assume the defense of any such Action, the Indemnified Party may, but shall not be obligated to, defend against such Action in such manner as it may deem appropriate, including, but not limited to, settling such Action, after giving notice of it to the Indemnifying Party, on such terms as the Indemnified Party may deem appropriate and no action taken by the Indemnified Party in accordance with such defense and settlement shall relieve the Indemnifying Party of its indemnification obligations herein provided with respect to any damages resulting therefrom. The Indemnifying Party shall not settle any Action without the Indemnified Party’s prior written consent (which consent shall not be unreasonably withheld or delayed).</w:t>
      </w:r>
    </w:p>
    <w:p>
      <w:pPr>
        <w:spacing w:after="0" w:line="18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6.05 Tax Treatment of Indemnification Payments. </w:t>
      </w:r>
      <w:r>
        <w:rPr>
          <w:rFonts w:ascii="Arial" w:cs="Arial" w:eastAsia="Arial" w:hAnsi="Arial"/>
          <w:sz w:val="18"/>
          <w:szCs w:val="18"/>
          <w:color w:val="auto"/>
        </w:rPr>
        <w:t>All indemnification payments made by the parties under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by the parties as an adjustment to the Purchase Price for tax purposes, unless otherwise required by law.</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6.06 Effect of Investigation. </w:t>
      </w:r>
      <w:r>
        <w:rPr>
          <w:rFonts w:ascii="Arial" w:cs="Arial" w:eastAsia="Arial" w:hAnsi="Arial"/>
          <w:sz w:val="17"/>
          <w:szCs w:val="17"/>
          <w:color w:val="auto"/>
        </w:rPr>
        <w:t>Buyer’s right to indemnification or other remedy based on the representations, warranties,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of Seller contained herein will not be affected by any investigation conducted by Buyer with respect to, or any knowledge acquired by Buyer at any time, with respect to the accuracy or inaccuracy of or compliance with, any such representation, warranty, covenant or agreement.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6.07 Cumulative Remedies. </w:t>
      </w:r>
      <w:r>
        <w:rPr>
          <w:rFonts w:ascii="Arial" w:cs="Arial" w:eastAsia="Arial" w:hAnsi="Arial"/>
          <w:sz w:val="18"/>
          <w:szCs w:val="18"/>
          <w:color w:val="auto"/>
        </w:rPr>
        <w:t>The rights and remedies provided in this</w:t>
      </w:r>
      <w:r>
        <w:rPr>
          <w:rFonts w:ascii="Arial" w:cs="Arial" w:eastAsia="Arial" w:hAnsi="Arial"/>
          <w:sz w:val="18"/>
          <w:szCs w:val="18"/>
          <w:b w:val="1"/>
          <w:bCs w:val="1"/>
          <w:color w:val="auto"/>
        </w:rPr>
        <w:t xml:space="preserve"> Article VI </w:t>
      </w:r>
      <w:r>
        <w:rPr>
          <w:rFonts w:ascii="Arial" w:cs="Arial" w:eastAsia="Arial" w:hAnsi="Arial"/>
          <w:sz w:val="18"/>
          <w:szCs w:val="18"/>
          <w:color w:val="auto"/>
        </w:rPr>
        <w:t>are cumulative and are in addition to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substitution for any other rights and remedies available at law or in equity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7.01 Expenses. </w:t>
      </w:r>
      <w:r>
        <w:rPr>
          <w:rFonts w:ascii="Arial" w:cs="Arial" w:eastAsia="Arial" w:hAnsi="Arial"/>
          <w:sz w:val="17"/>
          <w:szCs w:val="17"/>
          <w:color w:val="auto"/>
        </w:rPr>
        <w:t>All costs and expenses incurred in connection with this Agreement and the transactions contemplated hereby shall be paid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party incurring such costs and expenses except that the Buyer shall bear a) the costs of packaging and shipping the Purchased Assets required to be sent from Seller’s business location(s) to that of Buyer and b) the costs of re-assigning patents from Seller to Buyer.</w:t>
      </w:r>
    </w:p>
    <w:p>
      <w:pPr>
        <w:spacing w:after="0" w:line="1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Section 7.02 Notices. </w:t>
      </w:r>
      <w:r>
        <w:rPr>
          <w:rFonts w:ascii="Arial" w:cs="Arial" w:eastAsia="Arial" w:hAnsi="Arial"/>
          <w:sz w:val="16"/>
          <w:szCs w:val="16"/>
          <w:color w:val="auto"/>
        </w:rPr>
        <w:t>All notices, requests, consents, claims, demands, waivers and other communications hereunder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w:t>
      </w:r>
      <w:r>
        <w:rPr>
          <w:rFonts w:ascii="Arial" w:cs="Arial" w:eastAsia="Arial" w:hAnsi="Arial"/>
          <w:sz w:val="16"/>
          <w:szCs w:val="16"/>
          <w:b w:val="1"/>
          <w:bCs w:val="1"/>
          <w:color w:val="auto"/>
        </w:rPr>
        <w:t>Section 7.02</w:t>
      </w:r>
      <w:r>
        <w:rPr>
          <w:rFonts w:ascii="Arial" w:cs="Arial" w:eastAsia="Arial" w:hAnsi="Arial"/>
          <w:sz w:val="16"/>
          <w:szCs w:val="16"/>
          <w:color w:val="auto"/>
        </w:rPr>
        <w:t>):</w:t>
      </w:r>
    </w:p>
    <w:p>
      <w:pPr>
        <w:sectPr>
          <w:pgSz w:w="11900" w:h="16838" w:orient="portrait"/>
          <w:cols w:equalWidth="0" w:num="1">
            <w:col w:w="11240"/>
          </w:cols>
          <w:pgMar w:left="320" w:top="688"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Thomason Jones Company, LLC</w:t>
      </w:r>
    </w:p>
    <w:p>
      <w:pPr>
        <w:spacing w:after="0" w:line="211" w:lineRule="exact"/>
        <w:rPr>
          <w:sz w:val="20"/>
          <w:szCs w:val="20"/>
          <w:color w:val="auto"/>
        </w:rPr>
      </w:pPr>
    </w:p>
    <w:p>
      <w:pPr>
        <w:sectPr>
          <w:pgSz w:w="11900" w:h="16838" w:orient="portrait"/>
          <w:cols w:equalWidth="0" w:num="2">
            <w:col w:w="2200" w:space="720"/>
            <w:col w:w="8320"/>
          </w:cols>
          <w:pgMar w:left="320" w:top="688" w:right="339" w:bottom="1440" w:gutter="0" w:footer="0" w:header="0"/>
          <w:type w:val="continuous"/>
        </w:sectPr>
      </w:pPr>
    </w:p>
    <w:p>
      <w:pPr>
        <w:spacing w:after="0" w:line="37"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Attention:</w:t>
      </w:r>
    </w:p>
    <w:p>
      <w:pPr>
        <w:sectPr>
          <w:pgSz w:w="11900" w:h="16838" w:orient="portrait"/>
          <w:cols w:equalWidth="0" w:num="1">
            <w:col w:w="11240"/>
          </w:cols>
          <w:pgMar w:left="320" w:top="688" w:right="3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Jenny Coates Law, PLLC</w:t>
      </w:r>
    </w:p>
    <w:p>
      <w:pPr>
        <w:spacing w:after="0" w:line="200" w:lineRule="exact"/>
        <w:rPr>
          <w:sz w:val="20"/>
          <w:szCs w:val="20"/>
          <w:color w:val="auto"/>
        </w:rPr>
      </w:pPr>
    </w:p>
    <w:p>
      <w:pPr>
        <w:sectPr>
          <w:pgSz w:w="11900" w:h="16838" w:orient="portrait"/>
          <w:cols w:equalWidth="0" w:num="2">
            <w:col w:w="2200" w:space="720"/>
            <w:col w:w="8320"/>
          </w:cols>
          <w:pgMar w:left="320" w:top="688" w:right="339" w:bottom="1440" w:gutter="0" w:footer="0" w:header="0"/>
          <w:type w:val="continuous"/>
        </w:sectPr>
      </w:pPr>
    </w:p>
    <w:p>
      <w:pPr>
        <w:spacing w:after="0" w:line="48"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7"/>
          <w:szCs w:val="17"/>
          <w:color w:val="auto"/>
        </w:rPr>
        <w:t>Attention:</w:t>
      </w:r>
    </w:p>
    <w:p>
      <w:pPr>
        <w:sectPr>
          <w:pgSz w:w="11900" w:h="16838" w:orient="portrait"/>
          <w:cols w:equalWidth="0" w:num="1">
            <w:col w:w="11240"/>
          </w:cols>
          <w:pgMar w:left="320" w:top="688" w:right="3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NV 89521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legal@dragonflyenergy.com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Nicole Harvey, General Counsel</w:t>
      </w:r>
    </w:p>
    <w:p>
      <w:pPr>
        <w:spacing w:after="0" w:line="200" w:lineRule="exact"/>
        <w:rPr>
          <w:sz w:val="20"/>
          <w:szCs w:val="20"/>
          <w:color w:val="auto"/>
        </w:rPr>
      </w:pPr>
    </w:p>
    <w:p>
      <w:pPr>
        <w:sectPr>
          <w:pgSz w:w="11900" w:h="16838" w:orient="portrait"/>
          <w:cols w:equalWidth="0" w:num="2">
            <w:col w:w="2200" w:space="720"/>
            <w:col w:w="8320"/>
          </w:cols>
          <w:pgMar w:left="320" w:top="688" w:right="339" w:bottom="1440" w:gutter="0" w:footer="0" w:header="0"/>
          <w:type w:val="continuous"/>
        </w:sectPr>
      </w:pPr>
    </w:p>
    <w:p>
      <w:pPr>
        <w:spacing w:after="0" w:line="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7.03 Headings. </w:t>
      </w:r>
      <w:r>
        <w:rPr>
          <w:rFonts w:ascii="Arial" w:cs="Arial" w:eastAsia="Arial" w:hAnsi="Arial"/>
          <w:sz w:val="17"/>
          <w:szCs w:val="17"/>
          <w:color w:val="auto"/>
        </w:rPr>
        <w:t>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7.04 Severability. </w:t>
      </w:r>
      <w:r>
        <w:rPr>
          <w:rFonts w:ascii="Arial" w:cs="Arial" w:eastAsia="Arial" w:hAnsi="Arial"/>
          <w:sz w:val="18"/>
          <w:szCs w:val="18"/>
          <w:color w:val="auto"/>
        </w:rPr>
        <w:t>If any term or provision of this Agreement is invalid, illegal or unenforceable in any jurisdiction, such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illegality or unenforceability shall not affect any other term or provision of this Agreement or invalidate or render unenforceable such term or provision in any other jurisdiction.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43" w:name="page144"/>
    <w:bookmarkEnd w:id="143"/>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7.05 Entire Agreement. </w:t>
      </w:r>
      <w:r>
        <w:rPr>
          <w:rFonts w:ascii="Arial" w:cs="Arial" w:eastAsia="Arial" w:hAnsi="Arial"/>
          <w:sz w:val="17"/>
          <w:szCs w:val="17"/>
          <w:color w:val="auto"/>
        </w:rPr>
        <w:t>This Agreement and the documents to be delivered hereunder constitute the sole and entire agreement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the documents to be delivered hereunder, the Exhibits and Disclosure Schedules (other than an exception expressly set forth as such in the Disclosure Schedules), the statements in the body of this Agreement will control.</w:t>
      </w:r>
    </w:p>
    <w:p>
      <w:pPr>
        <w:spacing w:after="0" w:line="16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7.06 Successors and Assigns. </w:t>
      </w:r>
      <w:r>
        <w:rPr>
          <w:rFonts w:ascii="Arial" w:cs="Arial" w:eastAsia="Arial" w:hAnsi="Arial"/>
          <w:sz w:val="16"/>
          <w:szCs w:val="16"/>
          <w:color w:val="auto"/>
        </w:rPr>
        <w:t>This Agreement shall be binding upon and shall inure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permitted assigns. Neither party may assign its rights or obligations hereunder without the prior written consent of the other party, which consent shall not be unreasonably withheld or delayed. No assignment shall relieve the assigning party of any of its obligations hereunder.</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7.07 No Third-party Beneficiaries. </w:t>
      </w:r>
      <w:r>
        <w:rPr>
          <w:rFonts w:ascii="Arial" w:cs="Arial" w:eastAsia="Arial" w:hAnsi="Arial"/>
          <w:sz w:val="18"/>
          <w:szCs w:val="18"/>
          <w:color w:val="auto"/>
        </w:rPr>
        <w:t>Except as provided in</w:t>
      </w:r>
      <w:r>
        <w:rPr>
          <w:rFonts w:ascii="Arial" w:cs="Arial" w:eastAsia="Arial" w:hAnsi="Arial"/>
          <w:sz w:val="18"/>
          <w:szCs w:val="18"/>
          <w:b w:val="1"/>
          <w:bCs w:val="1"/>
          <w:color w:val="auto"/>
        </w:rPr>
        <w:t xml:space="preserve"> Article VI</w:t>
      </w:r>
      <w:r>
        <w:rPr>
          <w:rFonts w:ascii="Arial" w:cs="Arial" w:eastAsia="Arial" w:hAnsi="Arial"/>
          <w:sz w:val="18"/>
          <w:szCs w:val="18"/>
          <w:color w:val="auto"/>
        </w:rPr>
        <w:t>, this Agreement is for the sole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7.08 Amendment and Modification. </w:t>
      </w:r>
      <w:r>
        <w:rPr>
          <w:rFonts w:ascii="Arial" w:cs="Arial" w:eastAsia="Arial" w:hAnsi="Arial"/>
          <w:sz w:val="18"/>
          <w:szCs w:val="18"/>
          <w:color w:val="auto"/>
        </w:rPr>
        <w:t>This Agreement may only be amended, modified or supplemented by an agreement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signed by each party hereto.</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7.09 Waiver. </w:t>
      </w:r>
      <w:r>
        <w:rPr>
          <w:rFonts w:ascii="Arial" w:cs="Arial" w:eastAsia="Arial" w:hAnsi="Arial"/>
          <w:sz w:val="18"/>
          <w:szCs w:val="18"/>
          <w:color w:val="auto"/>
        </w:rPr>
        <w:t>No waiver by any party of any of the provisions hereof shall be effective unless explicitly set forth in writing and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7.10 Governing Law. </w:t>
      </w:r>
      <w:r>
        <w:rPr>
          <w:rFonts w:ascii="Arial" w:cs="Arial" w:eastAsia="Arial" w:hAnsi="Arial"/>
          <w:sz w:val="18"/>
          <w:szCs w:val="18"/>
          <w:color w:val="auto"/>
        </w:rPr>
        <w:t>This Agreement shall be governed by and construed in accordance with the internal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or conflict of law provision or rule (whether of the State of Nevada or any other jurisdiction).</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7.11 Submission to Jurisdiction. </w:t>
      </w:r>
      <w:r>
        <w:rPr>
          <w:rFonts w:ascii="Arial" w:cs="Arial" w:eastAsia="Arial" w:hAnsi="Arial"/>
          <w:sz w:val="16"/>
          <w:szCs w:val="16"/>
          <w:color w:val="auto"/>
        </w:rPr>
        <w:t>Any legal suit, action or proceeding arising out of or based upon this Agreement or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may be instituted in the federal courts of the United States of America or the courts of the State of Nevada in each case located in the city of Reno and county of Washoe, and each party irrevocably submits to the exclusive jurisdiction of such courts in any such suit, action or proceeding.</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7.12 Waiver of Jury Trial. </w:t>
      </w:r>
      <w:r>
        <w:rPr>
          <w:rFonts w:ascii="Arial" w:cs="Arial" w:eastAsia="Arial" w:hAnsi="Arial"/>
          <w:sz w:val="17"/>
          <w:szCs w:val="17"/>
          <w:color w:val="auto"/>
        </w:rPr>
        <w:t>Each party acknowledges and agrees that any controversy which may arise under this Agreement is likely to</w:t>
      </w:r>
      <w:r>
        <w:rPr>
          <w:rFonts w:ascii="Arial" w:cs="Arial" w:eastAsia="Arial" w:hAnsi="Arial"/>
          <w:sz w:val="17"/>
          <w:szCs w:val="17"/>
          <w:b w:val="1"/>
          <w:bCs w:val="1"/>
          <w:color w:val="auto"/>
        </w:rPr>
        <w:t xml:space="preserve"> </w:t>
      </w:r>
      <w:r>
        <w:rPr>
          <w:rFonts w:ascii="Arial" w:cs="Arial" w:eastAsia="Arial" w:hAnsi="Arial"/>
          <w:sz w:val="17"/>
          <w:szCs w:val="17"/>
          <w:color w:val="auto"/>
        </w:rPr>
        <w:t>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5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Section 7.13 Specific Performance. </w:t>
      </w:r>
      <w:r>
        <w:rPr>
          <w:rFonts w:ascii="Arial" w:cs="Arial" w:eastAsia="Arial" w:hAnsi="Arial"/>
          <w:sz w:val="18"/>
          <w:szCs w:val="18"/>
          <w:color w:val="auto"/>
        </w:rPr>
        <w:t>The parties agree that irreparable damage would occur if any provision of this Agreement were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in accordance with the terms hereof and that the parties shall be entitled to specific performance of the terms hereof, in addition to any other remedy to which they are entitled at law or in equity.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7.14 Counterparts. </w:t>
      </w:r>
      <w:r>
        <w:rPr>
          <w:rFonts w:ascii="Arial" w:cs="Arial" w:eastAsia="Arial" w:hAnsi="Arial"/>
          <w:sz w:val="18"/>
          <w:szCs w:val="18"/>
          <w:color w:val="auto"/>
        </w:rPr>
        <w:t>This Agreement may be executed in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ind w:left="4520"/>
        <w:spacing w:after="0"/>
        <w:rPr>
          <w:sz w:val="20"/>
          <w:szCs w:val="20"/>
          <w:color w:val="auto"/>
        </w:rPr>
      </w:pPr>
      <w:r>
        <w:rPr>
          <w:rFonts w:ascii="Arial" w:cs="Arial" w:eastAsia="Arial" w:hAnsi="Arial"/>
          <w:sz w:val="17"/>
          <w:szCs w:val="17"/>
          <w:color w:val="auto"/>
        </w:rPr>
        <w:t>THOMASON JONES COMPANY, LLC</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William Thomason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William Thomason</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WILLIAM THOMASON</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William Thomason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RICHARD JONES</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Richard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92"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SUPPLY AGREEMENT</w:t>
      </w:r>
    </w:p>
    <w:p>
      <w:pPr>
        <w:spacing w:after="0" w:line="233"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This Manufacturing Supply Agreement, dated as of November 19</w:t>
      </w:r>
      <w:r>
        <w:rPr>
          <w:rFonts w:ascii="Arial" w:cs="Arial" w:eastAsia="Arial" w:hAnsi="Arial"/>
          <w:sz w:val="29"/>
          <w:szCs w:val="29"/>
          <w:color w:val="auto"/>
          <w:vertAlign w:val="superscript"/>
        </w:rPr>
        <w:t>th</w:t>
      </w:r>
      <w:r>
        <w:rPr>
          <w:rFonts w:ascii="Arial" w:cs="Arial" w:eastAsia="Arial" w:hAnsi="Arial"/>
          <w:sz w:val="18"/>
          <w:szCs w:val="18"/>
          <w:color w:val="auto"/>
        </w:rPr>
        <w:t>, 2021 (the “Agreement”), is entered into by and between DRAGONFLY ENERGY CORP., a Nevada corporation having its principal place of business at 1190 Trademark Dr. Suite 108, Reno, NV 8952l (“Seller”), and KEYSTONE RV COMPANY, a Delaware corporation having its principal place of business at 2624 Hackberry Drive, Goshen, Indiana 46527-2000 (“Buyer”, and together with Seller, the “Parties”, and each, a “Party”).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Seller is in the business of manufacturing and selling 10012H (100 Ah) and GC3H (270Ah) lithium batteries (herein the “Batteries”);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Buyer is a manufacturer of towable recreational vehicles, including travel trailers and fifth wheels, and wishes to purchase the Batteries exclusively from Seller; and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desires to manufacture, supply, and sell the Batteries exclusively to Buyer for use in the towable recreational vehicle market, and for resale to Buyer’s customers.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mutual covenants, terms and conditions set forth herein, and for other good and valuable consideration, the receipt and sufficiency of which are hereby acknowledged, the Parties incorporate by reference the above recitals, as well as all footnotes, and agree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in this Agreement, have the meanings set out or referred to in this Section I below.</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“Action” means any claim, action, cause of action, demand, lawsuit, arbitration, inquiry, audit, notice of violation, proceeding, litigation, citation, summons, subpoena or investigation of any nature, civil, criminal, administrative, regulatory or other, whether at law, in equity or otherwise.</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“Ah” as used above to describe the lithium batteries or type of Batteries to be sold exclusively to Buyer as described in this Agreement means ampere hour(s) or amp hour(s).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“Affiliate” of a Person means any other Person that directly or indirectly, through one or more intermediaries, Controls, is Controlled by, or is under common Control with,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“Basic Purchase Order Terms” means, collectively, any one or more of the following terms specified by Buyer in a Purchase Order:</w:t>
      </w:r>
    </w:p>
    <w:p>
      <w:pPr>
        <w:spacing w:after="0" w:line="225"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list of the Batteries to be purchased;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quantity of each of the Batteries ordered;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Requested Delivery Date;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unit Price for each of the Batteries to be purchased;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billing address;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Delivery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color w:val="auto"/>
        </w:rPr>
        <w:t>For the avoidance of doubt, the term “Basic Purchase Order Terms” docs not include or incorporate any general terms or conditions of any Purchase Order.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“Batteries” means the Batteries identified on Schedule l and described in the Specifications contained in Schedule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“Claim” means any Action brought against a Person entitled to indemnification under Section 10.</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“Control” (and with correlative meanings, the terms “Controlled by” and “under common Control with”) means, with respect to any Person, the possession, directly or indirectly, of the power to direct or cause the direction of the management or policies of another Person, whether through the ownership of voting securities, by contract,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“Defective” means not conforming to the Product Warranty under Section 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“Delivery Location” means the street address within the Territory for delivery of the Batteries specified in the applicable Purchase Order.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“Forecast” means, with respect to any three-month period, a good faith projection or estimate of Buyer’s requirements for Batteries during each month during the period, which approximates, as nearly as possible, based on information available at the time to Buyer, the quantity of Batteries that Buyer may order for each such month.</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“Governmental Authority”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“Governmental Order” means any order, writ, judgment, injunction, decree, stipulation, award or determination entered by or with any Governmental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Rights” means all industrial and other intellectual property (“IP”) rights comprising or relating to:</w:t>
      </w:r>
    </w:p>
    <w:p>
      <w:pPr>
        <w:spacing w:after="0" w:line="225" w:lineRule="exact"/>
        <w:rPr>
          <w:sz w:val="20"/>
          <w:szCs w:val="20"/>
          <w:color w:val="auto"/>
        </w:rPr>
      </w:pPr>
    </w:p>
    <w:p>
      <w:pPr>
        <w:ind w:left="900" w:hanging="244"/>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Patents;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Trademarks;</w:t>
      </w:r>
    </w:p>
    <w:p>
      <w:pPr>
        <w:spacing w:after="0" w:line="225" w:lineRule="exact"/>
        <w:rPr>
          <w:rFonts w:ascii="Arial" w:cs="Arial" w:eastAsia="Arial" w:hAnsi="Arial"/>
          <w:sz w:val="18"/>
          <w:szCs w:val="18"/>
          <w:color w:val="auto"/>
        </w:rPr>
      </w:pPr>
    </w:p>
    <w:p>
      <w:pPr>
        <w:ind w:firstLine="656"/>
        <w:spacing w:after="0" w:line="277" w:lineRule="auto"/>
        <w:tabs>
          <w:tab w:leader="none" w:pos="902"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internet domain names, whether or not Trademarks, registered by any authorized private registrar or Governmental Authority, web addresses, web pages, website, and URLs;</w:t>
      </w:r>
    </w:p>
    <w:p>
      <w:pPr>
        <w:spacing w:after="0" w:line="170" w:lineRule="exact"/>
        <w:rPr>
          <w:rFonts w:ascii="Arial" w:cs="Arial" w:eastAsia="Arial" w:hAnsi="Arial"/>
          <w:sz w:val="18"/>
          <w:szCs w:val="18"/>
          <w:color w:val="auto"/>
        </w:rPr>
      </w:pPr>
    </w:p>
    <w:p>
      <w:pPr>
        <w:ind w:right="20" w:firstLine="656"/>
        <w:spacing w:after="0" w:line="277" w:lineRule="auto"/>
        <w:tabs>
          <w:tab w:leader="none" w:pos="93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works of authorship, expressions, designs, and design registrations, whether or not copyrightable, including copyrights and copyrightable works, software and firmware, data, data files, and databases and other specifications and documentation;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ind w:left="900" w:hanging="244"/>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Trade Secrets;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879"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industrial and other intellectual property rights, and all rights, interests, and protections that are associated with, equivalent or similar to, or required for the exercise of, any of the foregoing, however arising, in each case whether registered or unregistered and including all registrations and applications for, and renewals or extensions of, such rights or forms of protection pursuant to the Laws of any jurisdiction throughout in any part of the world.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“Law” means any statute, law, ordinance, regulation, rule, code, constitution, treaty, common law, Governmental Order or other requirement or rule of law of any Governmental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“Nonconforming Batteries” means any Batteries received by Buyer from Seller pursuant to a Purchase Order that:</w:t>
      </w:r>
    </w:p>
    <w:p>
      <w:pPr>
        <w:spacing w:after="0" w:line="225" w:lineRule="exact"/>
        <w:rPr>
          <w:sz w:val="20"/>
          <w:szCs w:val="20"/>
          <w:color w:val="auto"/>
        </w:rPr>
      </w:pPr>
    </w:p>
    <w:p>
      <w:pPr>
        <w:ind w:left="900" w:hanging="244"/>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 not conform to the product listed in the applicable Purchase Order;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do not fully conform to the Specifications; or</w:t>
      </w:r>
    </w:p>
    <w:p>
      <w:pPr>
        <w:spacing w:after="0" w:line="225" w:lineRule="exact"/>
        <w:rPr>
          <w:rFonts w:ascii="Arial" w:cs="Arial" w:eastAsia="Arial" w:hAnsi="Arial"/>
          <w:sz w:val="18"/>
          <w:szCs w:val="18"/>
          <w:color w:val="auto"/>
        </w:rPr>
      </w:pPr>
    </w:p>
    <w:p>
      <w:pPr>
        <w:ind w:right="2280" w:firstLine="656"/>
        <w:spacing w:after="0" w:line="563" w:lineRule="auto"/>
        <w:tabs>
          <w:tab w:leader="none" w:pos="893" w:val="left"/>
        </w:tabs>
        <w:numPr>
          <w:ilvl w:val="0"/>
          <w:numId w:val="93"/>
        </w:numPr>
        <w:rPr>
          <w:rFonts w:ascii="Arial" w:cs="Arial" w:eastAsia="Arial" w:hAnsi="Arial"/>
          <w:sz w:val="16"/>
          <w:szCs w:val="16"/>
          <w:color w:val="auto"/>
        </w:rPr>
      </w:pPr>
      <w:r>
        <w:rPr>
          <w:rFonts w:ascii="Arial" w:cs="Arial" w:eastAsia="Arial" w:hAnsi="Arial"/>
          <w:sz w:val="16"/>
          <w:szCs w:val="16"/>
          <w:color w:val="auto"/>
        </w:rPr>
        <w:t>materially exceed the quantity of Batteries ordered by Buyer pursuant to this Agreement or any Purchase Order. Where the context requires, Nonconforming Batteries are deemed to be Batteries for purposes of this Agreement.</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“Patents” means all patents (including all reissues, divisionals, provisionals, continuations and continuations-in-part, re-examinations, renewals, substitutions and extensions thereof), patent applications, and other patent rights and any other Governmental Authority-issued indicia of invention ownership (including inventor’s certificates, petty patents, and patent utility models).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“Person” means any individual, partnership, corporation, trust, limited liability entity, unincorporated organization, association, Governmental Authority or any other entity.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“Purchase Order” means Buyer’s purchase order issued to Seller hereunder, including all terms and conditions attached to, or incorporated into, such purchase order.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“Receiving Party” has the meaning set forth in Section 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“Reimbursement Payment” has the meaning set forth in Section 6.4.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means a Party’s officers, directors, partners, shareholders, attorneys, third- party advisors, successors and permitted assigns.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“Requested Delivery Date” means the requested delivery date for Batteries ordered hereunder that is set forth in a Purchase Order, which must be a Business Day no less than twenty-one (21) days following delivery of the applicable Purchase Order to Seller.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“Seller’s Intellectual Property Rights” means all Intellectual Property Rights owned by or licensed to Seller.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“Seller’s Trademarks” means all Trademarks owned by or licensed to Seller.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“Specifications” means the specifications for the Batteries contained in </w:t>
      </w:r>
      <w:r>
        <w:rPr>
          <w:rFonts w:ascii="Arial" w:cs="Arial" w:eastAsia="Arial" w:hAnsi="Arial"/>
          <w:sz w:val="18"/>
          <w:szCs w:val="18"/>
          <w:b w:val="1"/>
          <w:bCs w:val="1"/>
          <w:color w:val="auto"/>
        </w:rPr>
        <w:t>Schedule</w:t>
      </w:r>
      <w:r>
        <w:rPr>
          <w:rFonts w:ascii="Arial" w:cs="Arial" w:eastAsia="Arial" w:hAnsi="Arial"/>
          <w:sz w:val="18"/>
          <w:szCs w:val="18"/>
          <w:color w:val="auto"/>
        </w:rPr>
        <w:t xml:space="preserve"> 3.</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means any and all present and future sales, income, stamp, and other taxes, levies, imposts, duties, deductions, charges, fees or withholdings imposed, levied, withheld or assessed by any Governmental Authority, together with any interest or penalties imposed thereon.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“Territory” means the US, and its territories and possessions and Canada.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“Thor” shall mean Thor Industries, Inc. and each of Thor’s current and future operating subsidiaries based in the United States, including those entities referenced at the bottom of this document (but excluding the Erwin Hymer Group family of companies and any entity in which Thor Industries or its subsidiary owns less than a controlling interest). Buyer is a wholly owned subsidiary of Thor.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“Thor Purchasing Policies” means the Thor Purchasing Policies and Procedures attached as </w:t>
      </w:r>
      <w:r>
        <w:rPr>
          <w:rFonts w:ascii="Arial" w:cs="Arial" w:eastAsia="Arial" w:hAnsi="Arial"/>
          <w:sz w:val="18"/>
          <w:szCs w:val="18"/>
          <w:b w:val="1"/>
          <w:bCs w:val="1"/>
          <w:color w:val="auto"/>
        </w:rPr>
        <w:t>Schedule 4.</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“Tooling” means, collectively, all tooling, dies, test and assembly fixtures, gauges, jigs, patterns, casting patterns, cavities, molds, and documentation (including engineering specifications and test reports) used by Seller in connection with its manufacture and sale of the Batteries, together with any accessions, attachments, parts, accessories, substitutions, replacements and appurtenances thereto.</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“Trademarks” means all rights in and to US and foreign trademarks, service marks, trade dress, trade names, brand names, logos, corporate names and domain names and other similar designations of source, sponsorship, association or origin, together with the goodwill symbolized by any of the foregoing, in each case whether registered or unregistered and including all registrations and applications for, and renewals or extensions of, such rights and all similar or equivalent rights or forms of protection in any part of the world.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“Trade Secrets” means all inventions, discoveries, trade secrets, business and technical information and know-how, databases, data collections, patent disclosures, and other confidential and proprietary information and all rights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“US” means the United States of America.</w:t>
      </w:r>
    </w:p>
    <w:p>
      <w:pPr>
        <w:spacing w:after="0" w:line="225" w:lineRule="exact"/>
        <w:rPr>
          <w:sz w:val="20"/>
          <w:szCs w:val="20"/>
          <w:color w:val="auto"/>
        </w:rPr>
      </w:pPr>
    </w:p>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Purchase and Sale of Batteries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and Sale</w:t>
      </w:r>
      <w:r>
        <w:rPr>
          <w:rFonts w:ascii="Arial" w:cs="Arial" w:eastAsia="Arial" w:hAnsi="Arial"/>
          <w:sz w:val="16"/>
          <w:szCs w:val="16"/>
          <w:color w:val="auto"/>
        </w:rPr>
        <w:t>. Subject to the terms and conditions of this Agreement, during the Term, Buyer shall purchase exclusively from Seller, and Seller shall manufacture and sell to Buyer, Buyer’s requirements of the Batteries. Schedule l contains: (a) a description of the Batteries to be manufactured and sold hereunder; (b) the purchase price for the Batteries; and (c) the quantity of the Batteries, expressed as a percentage of Buyer’s requirements of the Batteries. Unless otherwise provided in Schedule 1, subject to the terms and conditions of this Agreement, Buyer shall purchase from Seller, and Seller shall manufacture and sell to Buyer, 100% of Buyer’s requirements of the Batteries. The Parties may upon mutual agreement, from time to time, amend Schedule 1 to reflect any agreed revisions to any of the terms described in the foregoing clauses (a)-(c); provided that no such revisions will modify this Agreement or be binding on the Parties unless such revisions have been fully approved in a signed writing by authorized Representatives of both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9" w:name="page150"/>
    <w:bookmarkEnd w:id="149"/>
    <w:p>
      <w:pPr>
        <w:jc w:val="both"/>
        <w:ind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Terms of Agreement Prevail Over Buyer’s Purchase Order</w:t>
      </w:r>
      <w:r>
        <w:rPr>
          <w:rFonts w:ascii="Arial" w:cs="Arial" w:eastAsia="Arial" w:hAnsi="Arial"/>
          <w:sz w:val="18"/>
          <w:szCs w:val="18"/>
          <w:color w:val="auto"/>
        </w:rPr>
        <w:t>. The Parties intend for the express terms and conditions contained in this Agreement (including any Schedules and Exhibits hereto) and the Basic Purchase Order Terms contained in the applicable Purchase Order to exclusively govern and control each of the Parties’ respective rights and obligations regarding the subject matter of this Agreement. To the extent that there is any conflict between this Agreement or the Basic Purchase Order Terms this Agreement controls.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Right to Manufacture and Sell Competitive Batteries</w:t>
      </w:r>
      <w:r>
        <w:rPr>
          <w:rFonts w:ascii="Arial" w:cs="Arial" w:eastAsia="Arial" w:hAnsi="Arial"/>
          <w:sz w:val="17"/>
          <w:szCs w:val="17"/>
          <w:color w:val="auto"/>
        </w:rPr>
        <w:t>. This Agreement does not limit Seller’s right to manufacture or sell, or preclude Seller from manufacturing or selling, to any Person, or entering into any agreement with any other Person related to the manufacture or sale of, lithium batteries other goods or products that arc similar to or competitive with the Batteries; provided, however, while this Agreement is in effect and during the Initial Term or any Renewal Term, Seller will not enter into any other Agreement or otherwise sell Batteries to any third-party towable recreational vehicle manufacturer including other Thor subsidiaries (except Airstream), whether in competition with Buyer or otherwise, without Buyer’s prior written consent (for example, Forest River, Inc., Winnebago Industries, Inc., or Alliance RV, Inc., including each such competitors subsidiaries, divisions or affiliates) for installation, application, or use in towable recreational vehicle products.</w:t>
      </w:r>
    </w:p>
    <w:p>
      <w:pPr>
        <w:spacing w:after="0" w:line="177"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Rebates and Incentives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3.1 No rebates will be paid by Seller to Buyer during the Initial Term of this Agreement. Rebates will, however, be accrued and paid by Seller as described below for the successive Renewal Terms. Accrued rebates will be applied monthly to the orders in the first Renewal Term as a credit. These rebates will ONLY be applied to orders in the first Renewal Term, as follows:</w:t>
      </w:r>
    </w:p>
    <w:p>
      <w:pPr>
        <w:spacing w:after="0" w:line="184" w:lineRule="exact"/>
        <w:rPr>
          <w:sz w:val="20"/>
          <w:szCs w:val="20"/>
          <w:color w:val="auto"/>
        </w:rPr>
      </w:pPr>
    </w:p>
    <w:p>
      <w:pPr>
        <w:ind w:left="1960" w:hanging="656"/>
        <w:spacing w:after="0"/>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When 3 million Ah are invoiced to Buyer in the Initial Term, Buyer will accrue and receive a total rebate of $42,750.</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3 million Ah and 4 million Ah invoiced to Buyer in the Initial Term, Buyer will accrue and receive an additional $28,500 total rebate.</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4 million Ah and 5 million Ah invoiced to Buyer in the Initial Term, Buyer will accrue and receive an additional $42,750 total rebate.</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Between 5 million Ah and 6 million Ah invoiced to Buyer in the Initial Term, Buyer will accrue and receive an additional $57,000 total rebate.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same Rebate schedule will apply for the Ah(s) invoiced to the Buyer in any Renewal Term and applied monthly to the orders in next successive Renewal Term as a credit based upon the above schedule of invoiced Ah in each Renewal Term. For example, when 3 million Ah arc invoiced to Buyer in the first Renewal Term, Buyer will accrue and receive a rebate of $42,750 to be applied by the Seller to the orders in the next renewal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Rebates will be prorated when invoiced sales fall within the target range.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color w:val="auto"/>
        </w:rPr>
        <w:t>3.2 Seller will furnish, at its sole cost and expense, a point-of-sale display for each dealer that purchases twenty-seven (27) batteries.</w:t>
      </w:r>
    </w:p>
    <w:p>
      <w:pPr>
        <w:spacing w:after="0" w:line="225"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Marketing</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Product Branding</w:t>
      </w:r>
      <w:r>
        <w:rPr>
          <w:rFonts w:ascii="Arial" w:cs="Arial" w:eastAsia="Arial" w:hAnsi="Arial"/>
          <w:sz w:val="18"/>
          <w:szCs w:val="18"/>
          <w:color w:val="auto"/>
        </w:rPr>
        <w:t>. Batteries will be branded as Dragonfly Energy. Buyer acknowledges and agrees that Seller uses the Battle Born brand and that Seller retains its existing OEM and aftermarket business.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Video Marketing</w:t>
      </w:r>
      <w:r>
        <w:rPr>
          <w:rFonts w:ascii="Arial" w:cs="Arial" w:eastAsia="Arial" w:hAnsi="Arial"/>
          <w:sz w:val="18"/>
          <w:szCs w:val="18"/>
          <w:color w:val="auto"/>
        </w:rPr>
        <w:t>. Seller will provide a film crew to support Buyer’s marketing for the Batteries and participate in joint coordinated press releases and social media posts and events to help promote the Batteries.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Sponsorship</w:t>
      </w:r>
      <w:r>
        <w:rPr>
          <w:rFonts w:ascii="Arial" w:cs="Arial" w:eastAsia="Arial" w:hAnsi="Arial"/>
          <w:sz w:val="18"/>
          <w:szCs w:val="18"/>
          <w:color w:val="auto"/>
        </w:rPr>
        <w:t>. Seller will sponsor at least one influencer or demo rig annually.</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Labeling</w:t>
      </w:r>
      <w:r>
        <w:rPr>
          <w:rFonts w:ascii="Arial" w:cs="Arial" w:eastAsia="Arial" w:hAnsi="Arial"/>
          <w:sz w:val="17"/>
          <w:szCs w:val="17"/>
          <w:color w:val="auto"/>
        </w:rPr>
        <w:t>. Buyer will place a “Dragonfly Inside” sticker on the door of each and every unit equipped with a Dragonfly Energy battery. The contents and graphic design of each such sticker will be mutually agreed upon by the Parties and will be produced and provided by Seller to Buyer.</w:t>
      </w:r>
    </w:p>
    <w:p>
      <w:pPr>
        <w:spacing w:after="0" w:line="146" w:lineRule="exact"/>
        <w:rPr>
          <w:sz w:val="20"/>
          <w:szCs w:val="20"/>
          <w:color w:val="auto"/>
        </w:rPr>
      </w:pPr>
    </w:p>
    <w:p>
      <w:pPr>
        <w:ind w:left="180" w:hanging="172"/>
        <w:spacing w:after="0"/>
        <w:tabs>
          <w:tab w:leader="none" w:pos="18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Price and Payment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Price</w:t>
      </w:r>
      <w:r>
        <w:rPr>
          <w:rFonts w:ascii="Arial" w:cs="Arial" w:eastAsia="Arial" w:hAnsi="Arial"/>
          <w:sz w:val="18"/>
          <w:szCs w:val="18"/>
          <w:color w:val="auto"/>
        </w:rPr>
        <w:t>. Buyer shall purchase the Batteries from Seller at the prices set forth on Schedule l attached hereto (“Prices”), which is guaranteed to remain the same by Seller for the Initial Term and will not be increased thereafter by Seller except by mutual agreement of the Parties. Further, the Prices are subject to the Rebate schedule set forth in Section 3 above.</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Shipping Charges, Insurance, and Taxes</w:t>
      </w:r>
      <w:r>
        <w:rPr>
          <w:rFonts w:ascii="Arial" w:cs="Arial" w:eastAsia="Arial" w:hAnsi="Arial"/>
          <w:sz w:val="18"/>
          <w:szCs w:val="18"/>
          <w:color w:val="auto"/>
        </w:rPr>
        <w:t>. All Prices are inclusive of shipping charges, insurance and Taxes related to the Batteries, and any duties and charges of any kind imposed by any Governmental Authority with respect to, or measured by, the manufacture, sale, shipment, or use of the Batteries (including interest and penalties thereon).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Payment Terms</w:t>
      </w:r>
      <w:r>
        <w:rPr>
          <w:rFonts w:ascii="Arial" w:cs="Arial" w:eastAsia="Arial" w:hAnsi="Arial"/>
          <w:sz w:val="18"/>
          <w:szCs w:val="18"/>
          <w:color w:val="auto"/>
        </w:rPr>
        <w:t>. Seller shall issue an invoice to Buyer for all Batteries setting forth in reasonable detail: (i) the list of Batteries ordered by Buyer, (ii) the quantity of each of the Batteries ordered, (iii) the unit Price for each of the Batteries purchased, and (iv) the total amount due and payable by the Buyer. Buyer will pay to Seller all invoiced amounts within 30 days from the date of such invoice. Seller will provide a 1% discount for payments received within 10 days. Buyer shall make all payments in US dollars.</w:t>
      </w:r>
    </w:p>
    <w:p>
      <w:pPr>
        <w:spacing w:after="0" w:line="187" w:lineRule="exact"/>
        <w:rPr>
          <w:sz w:val="20"/>
          <w:szCs w:val="20"/>
          <w:color w:val="auto"/>
        </w:rPr>
      </w:pPr>
    </w:p>
    <w:p>
      <w:pPr>
        <w:ind w:left="180" w:hanging="172"/>
        <w:spacing w:after="0"/>
        <w:tabs>
          <w:tab w:leader="none" w:pos="18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Initial Term</w:t>
      </w:r>
      <w:r>
        <w:rPr>
          <w:rFonts w:ascii="Arial" w:cs="Arial" w:eastAsia="Arial" w:hAnsi="Arial"/>
          <w:sz w:val="18"/>
          <w:szCs w:val="18"/>
          <w:color w:val="auto"/>
        </w:rPr>
        <w:t>. The term of this Agreement commences on the Effective Date and continues for a period of twelve (12) months unless it is earlier terminated pursuant to the terms of this Agreement or applicable Law (the “Initial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jc w:val="both"/>
        <w:ind w:firstLine="648"/>
        <w:spacing w:after="0" w:line="272"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Renewal Term</w:t>
      </w:r>
      <w:r>
        <w:rPr>
          <w:rFonts w:ascii="Arial" w:cs="Arial" w:eastAsia="Arial" w:hAnsi="Arial"/>
          <w:sz w:val="17"/>
          <w:szCs w:val="17"/>
          <w:color w:val="auto"/>
        </w:rPr>
        <w:t>. If the Initial Term is not terminated as provided in Section 6.l above, this Agreement will automatically renew for additional successive twelve (12) months unless either Party provides written Notice of non-renewal at least sixty (60) days prior to the end of the first Renewal Term. The Agreement will likewise continue for successive renewal terms, unless any Renewal Term is earlier terminated pursuant to the terms of this Agreement or applicable Law. Each “Renewal Term” and together with the Initial Term, is collectively referred to as the “Term”). The terms and conditions of this Agreement during the Initial Term and each such Renewal Term will be the same as the terms in effect immediately prior to such renewal. In the event either Party provides timely Notice of their intent not to renew this Agreement, then, unless earlier terminated in accordance with its terms, this Agreement terminates on the expiration of the Initial Term or then-current Renewal Term, as applicable.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Seller’s Right to Terminate</w:t>
      </w:r>
      <w:r>
        <w:rPr>
          <w:rFonts w:ascii="Arial" w:cs="Arial" w:eastAsia="Arial" w:hAnsi="Arial"/>
          <w:sz w:val="18"/>
          <w:szCs w:val="18"/>
          <w:color w:val="auto"/>
        </w:rPr>
        <w:t>. Seller may terminate this Agreement, by providing written Notice to Buyer:</w:t>
      </w:r>
    </w:p>
    <w:p>
      <w:pPr>
        <w:spacing w:after="0" w:line="225" w:lineRule="exact"/>
        <w:rPr>
          <w:sz w:val="20"/>
          <w:szCs w:val="20"/>
          <w:color w:val="auto"/>
        </w:rPr>
      </w:pPr>
    </w:p>
    <w:p>
      <w:pPr>
        <w:ind w:left="1960" w:right="20" w:hanging="656"/>
        <w:spacing w:after="0" w:line="277" w:lineRule="auto"/>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Buyer fails to pay any amount when due under this Agreement within fifteen (l 5) days after such payment is due (“Payment Failure”);</w:t>
      </w:r>
    </w:p>
    <w:p>
      <w:pPr>
        <w:spacing w:after="0" w:line="170"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Buyer is in breach of any representation, warranty or covenant of Buyer under this Agreement (other than committing a Payment Failure), and either the breach cannot be cured or, if the breach can be cured, it is not cured by Buyer within a commercially reasonable period of time (in no case exceeding thirty (30) days) after Buyer’s receipt of written Notice of such breach; or</w:t>
      </w:r>
    </w:p>
    <w:p>
      <w:pPr>
        <w:spacing w:after="0" w:line="186" w:lineRule="exact"/>
        <w:rPr>
          <w:rFonts w:ascii="Arial" w:cs="Arial" w:eastAsia="Arial" w:hAnsi="Arial"/>
          <w:sz w:val="18"/>
          <w:szCs w:val="18"/>
          <w:color w:val="auto"/>
        </w:rPr>
      </w:pPr>
    </w:p>
    <w:p>
      <w:pPr>
        <w:jc w:val="both"/>
        <w:ind w:left="1960" w:hanging="656"/>
        <w:spacing w:after="0" w:line="296" w:lineRule="auto"/>
        <w:tabs>
          <w:tab w:leader="none" w:pos="19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Buyer (i) becomes insolvent or is generally unable to pay, or fails to pay, its debts as they become due, (ii) files or has filed against it, a petition for voluntary or involuntary bankruptcy or otherwise becomes subject, voluntarily or involuntarily, to any proceeding under any domestic or foreign bankruptcy or insolvency Law, (iii) makes or seeks to make a general assignment for the benefit of its creditors, or (iv) applies for or has appointed a receiver, trustee, custodian or similar agent appointed by order of any court of competent jurisdiction to take charge of or sell any material portion of its property or business.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termination under this Section 6.3 will be effective on Buyer’s receipt of Seller’s written Notice of termination or such later date (if any) set forth in such Notice.</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Suspended Purchasing and Buyer’s Right to Terminate</w:t>
      </w:r>
      <w:r>
        <w:rPr>
          <w:rFonts w:ascii="Arial" w:cs="Arial" w:eastAsia="Arial" w:hAnsi="Arial"/>
          <w:sz w:val="18"/>
          <w:szCs w:val="18"/>
          <w:color w:val="auto"/>
        </w:rPr>
        <w:t xml:space="preserve">. Seller acknowledges that Buyer’s obligation to purchase any Battery or Batteries will be suspended in the event that (i) the Battery or Batteries, or any part thereof, is defective, or not performing or operating in accordance with the Battery Specifications set forth on </w:t>
      </w:r>
      <w:r>
        <w:rPr>
          <w:rFonts w:ascii="Arial" w:cs="Arial" w:eastAsia="Arial" w:hAnsi="Arial"/>
          <w:sz w:val="18"/>
          <w:szCs w:val="18"/>
          <w:b w:val="1"/>
          <w:bCs w:val="1"/>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or (ii) Seller breaches or fails to honor its Warranty on the Batteries set forth in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w:t>
      </w:r>
      <w:r>
        <w:rPr>
          <w:rFonts w:ascii="Arial" w:cs="Arial" w:eastAsia="Arial" w:hAnsi="Arial"/>
          <w:sz w:val="18"/>
          <w:szCs w:val="18"/>
          <w:color w:val="auto"/>
        </w:rPr>
        <w:t xml:space="preserve"> Buyer will provide notice to Seller if it elects to suspend purchasing of the Batteries for any of the above reasons and provide Seller thirty (30) days within which to correct/cure such Battery deficiencies, failures, or breaches (the “Cure Period”). The Term will likewise be extended for the same amount of time as the Cure Period following the purchase suspension by Buyer. In the event Seller is unable to provide a correction/cure within the thirty (30) day period (the “Cure Failure”) Buyer may, after the expiration of the Cure Period, immediately discontinue purchasing Batteries, terminate this Agreement, and all obligations and this Agreement will similarly terminate immediately. Buyer will pay for all conforming product shipped prior to termination of this Agreement. At Seller’s request, Buyer will withdraw all similar Batteries from sale and, at Seller’s option, either return such Batteries to Seller or destroy the Batteries and provide Seller with written certification of such destruction. The return or destruction of the Batteries will be at the Seller’s sole cost and expense.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Effect of Expiration or Termination</w:t>
      </w:r>
      <w:r>
        <w:rPr>
          <w:rFonts w:ascii="Arial" w:cs="Arial" w:eastAsia="Arial" w:hAnsi="Arial"/>
          <w:sz w:val="18"/>
          <w:szCs w:val="18"/>
          <w:color w:val="auto"/>
        </w:rPr>
        <w:t>.</w:t>
      </w:r>
    </w:p>
    <w:p>
      <w:pPr>
        <w:spacing w:after="0" w:line="225" w:lineRule="exact"/>
        <w:rPr>
          <w:sz w:val="20"/>
          <w:szCs w:val="20"/>
          <w:color w:val="auto"/>
        </w:rPr>
      </w:pPr>
    </w:p>
    <w:p>
      <w:pPr>
        <w:ind w:left="1300" w:hanging="656"/>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Expiration or termination of the Term will not affect any rights or obligations of the Parties that:</w:t>
      </w:r>
    </w:p>
    <w:p>
      <w:pPr>
        <w:spacing w:after="0" w:line="225" w:lineRule="exact"/>
        <w:rPr>
          <w:rFonts w:ascii="Arial" w:cs="Arial" w:eastAsia="Arial" w:hAnsi="Arial"/>
          <w:sz w:val="18"/>
          <w:szCs w:val="18"/>
          <w:color w:val="auto"/>
        </w:rPr>
      </w:pPr>
    </w:p>
    <w:p>
      <w:pPr>
        <w:ind w:left="1940" w:hanging="648"/>
        <w:spacing w:after="0"/>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come into effect upon or after termination or expiration of this Agreement; or</w:t>
      </w:r>
    </w:p>
    <w:p>
      <w:pPr>
        <w:spacing w:after="0" w:line="225" w:lineRule="exact"/>
        <w:rPr>
          <w:rFonts w:ascii="Arial" w:cs="Arial" w:eastAsia="Arial" w:hAnsi="Arial"/>
          <w:sz w:val="18"/>
          <w:szCs w:val="18"/>
          <w:color w:val="auto"/>
        </w:rPr>
      </w:pPr>
    </w:p>
    <w:p>
      <w:pPr>
        <w:jc w:val="both"/>
        <w:ind w:left="1940" w:hanging="648"/>
        <w:spacing w:after="0" w:line="263" w:lineRule="auto"/>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were incurred by the Parties prior to such expiration or early termination including the provisions of Sections 5.2, 6.4, 9.1, 9.2, 10, 12.1, 12.2, 12.3, 13, and 16, all of which will remain in full force and effect and survive any expiration or termination of this Agreement.</w:t>
      </w:r>
    </w:p>
    <w:p>
      <w:pPr>
        <w:spacing w:after="0" w:line="183" w:lineRule="exact"/>
        <w:rPr>
          <w:rFonts w:ascii="Arial" w:cs="Arial" w:eastAsia="Arial" w:hAnsi="Arial"/>
          <w:sz w:val="18"/>
          <w:szCs w:val="18"/>
          <w:color w:val="auto"/>
        </w:rPr>
      </w:pPr>
    </w:p>
    <w:p>
      <w:pPr>
        <w:jc w:val="both"/>
        <w:ind w:left="1300" w:hanging="656"/>
        <w:spacing w:after="0" w:line="263" w:lineRule="auto"/>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Notice of termination under this Agreement automatically operates as a cancellation of any deliveries of Batteries to Buyer that are scheduled to be made subsequent to the effective date of termination, whether or not any orders for such Batteries had been accepted by Seller.</w:t>
      </w:r>
    </w:p>
    <w:p>
      <w:pPr>
        <w:spacing w:after="0" w:line="183" w:lineRule="exact"/>
        <w:rPr>
          <w:rFonts w:ascii="Arial" w:cs="Arial" w:eastAsia="Arial" w:hAnsi="Arial"/>
          <w:sz w:val="18"/>
          <w:szCs w:val="18"/>
          <w:color w:val="auto"/>
        </w:rPr>
      </w:pPr>
    </w:p>
    <w:p>
      <w:pPr>
        <w:ind w:left="1300" w:hanging="656"/>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the expiration or earlier termination of this Agreement, Buyer shall:</w:t>
      </w:r>
    </w:p>
    <w:p>
      <w:pPr>
        <w:spacing w:after="0" w:line="225" w:lineRule="exact"/>
        <w:rPr>
          <w:rFonts w:ascii="Arial" w:cs="Arial" w:eastAsia="Arial" w:hAnsi="Arial"/>
          <w:sz w:val="18"/>
          <w:szCs w:val="18"/>
          <w:color w:val="auto"/>
        </w:rPr>
      </w:pPr>
    </w:p>
    <w:p>
      <w:pPr>
        <w:ind w:left="1940" w:hanging="648"/>
        <w:spacing w:after="0" w:line="277" w:lineRule="auto"/>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destroy all documents and tangible materials (and any copies) containing, reflecting, incorporating or based on Seller’s Confidential Information;</w:t>
      </w:r>
    </w:p>
    <w:p>
      <w:pPr>
        <w:spacing w:after="0" w:line="170" w:lineRule="exact"/>
        <w:rPr>
          <w:rFonts w:ascii="Arial" w:cs="Arial" w:eastAsia="Arial" w:hAnsi="Arial"/>
          <w:sz w:val="18"/>
          <w:szCs w:val="18"/>
          <w:color w:val="auto"/>
        </w:rPr>
      </w:pPr>
    </w:p>
    <w:p>
      <w:pPr>
        <w:jc w:val="both"/>
        <w:ind w:left="1940" w:hanging="648"/>
        <w:spacing w:after="0" w:line="263" w:lineRule="auto"/>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except as may otherwise be required by law to maintain, permanently erase all of Seller’s Confidential Information from its computer systems, except for copies that are maintained as archive copies on its disaster recovery and/or information technology backup systems; and</w:t>
      </w:r>
    </w:p>
    <w:p>
      <w:pPr>
        <w:spacing w:after="0" w:line="183" w:lineRule="exact"/>
        <w:rPr>
          <w:rFonts w:ascii="Arial" w:cs="Arial" w:eastAsia="Arial" w:hAnsi="Arial"/>
          <w:sz w:val="18"/>
          <w:szCs w:val="18"/>
          <w:color w:val="auto"/>
        </w:rPr>
      </w:pPr>
    </w:p>
    <w:p>
      <w:pPr>
        <w:ind w:left="1940" w:hanging="648"/>
        <w:spacing w:after="0"/>
        <w:tabs>
          <w:tab w:leader="none" w:pos="19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certify in writing to Seller that it has complied with the requirements of this clause.</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92" w:right="339" w:bottom="1440" w:gutter="0" w:footer="0" w:header="0"/>
        </w:sectPr>
      </w:pPr>
    </w:p>
    <w:bookmarkStart w:id="153" w:name="page154"/>
    <w:bookmarkEnd w:id="153"/>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Certain Obligations of Buyer</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Certain Prohibited Acts</w:t>
      </w:r>
      <w:r>
        <w:rPr>
          <w:rFonts w:ascii="Arial" w:cs="Arial" w:eastAsia="Arial" w:hAnsi="Arial"/>
          <w:sz w:val="17"/>
          <w:szCs w:val="17"/>
          <w:color w:val="auto"/>
        </w:rPr>
        <w:t>. Notwithstanding anything to the contrary in this Agreement, neither Buyer nor any Buyer Representatives shall:</w:t>
      </w:r>
    </w:p>
    <w:p>
      <w:pPr>
        <w:spacing w:after="0" w:line="237" w:lineRule="exact"/>
        <w:rPr>
          <w:sz w:val="20"/>
          <w:szCs w:val="20"/>
          <w:color w:val="auto"/>
        </w:rPr>
      </w:pPr>
    </w:p>
    <w:p>
      <w:pPr>
        <w:ind w:left="1960" w:hanging="656"/>
        <w:spacing w:after="0"/>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make any representations, warranties, guarantees, indemnities, similar claims or other commitments: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actually, apparently or ostensibly on behalf of Seller, or</w:t>
      </w:r>
    </w:p>
    <w:p>
      <w:pPr>
        <w:spacing w:after="0" w:line="225" w:lineRule="exact"/>
        <w:rPr>
          <w:rFonts w:ascii="Arial" w:cs="Arial" w:eastAsia="Arial" w:hAnsi="Arial"/>
          <w:sz w:val="18"/>
          <w:szCs w:val="18"/>
          <w:color w:val="auto"/>
        </w:rPr>
      </w:pPr>
    </w:p>
    <w:p>
      <w:pPr>
        <w:jc w:val="both"/>
        <w:ind w:left="2600" w:hanging="648"/>
        <w:spacing w:after="0" w:line="263" w:lineRule="auto"/>
        <w:tabs>
          <w:tab w:leader="none" w:pos="26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to any customer or other Person with respect to the Batteries, which are additional to or inconsistent with any then-existing representations, warranties, guarantees, indemnities, similar claims or other commitments in this Agreement or any written documentation provided by Seller to Buyer.</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engage in any unfair, competitive, misleading or deceptive practices respecting Seller, Seller’s Trademarks or the Batteries, including any product disparagement; and</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separate any software or accessories sold, bundled or packaged with any Battery from such Battery or sell, license or distribute such software on a standalone basis, or remove, translate or modify the contents or documentation of or related to such software or accessories, including any customer license agreements or warranty statements.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Restrictions on Sales or Delivery Outside the Territory</w:t>
      </w:r>
      <w:r>
        <w:rPr>
          <w:rFonts w:ascii="Arial" w:cs="Arial" w:eastAsia="Arial" w:hAnsi="Arial"/>
          <w:sz w:val="18"/>
          <w:szCs w:val="18"/>
          <w:color w:val="auto"/>
        </w:rPr>
        <w:t>. Neither Buyer nor any Buyer Representatives shall sell, offer to sell, ship or deliver Batteries or any other products incorporating any of the Batteries outside of the Territory except in compliance with all of the terms and conditions contained in this Section 7 and in Section 8 of this Agreement.</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Government Contracts</w:t>
      </w:r>
      <w:r>
        <w:rPr>
          <w:rFonts w:ascii="Arial" w:cs="Arial" w:eastAsia="Arial" w:hAnsi="Arial"/>
          <w:sz w:val="16"/>
          <w:szCs w:val="16"/>
          <w:color w:val="auto"/>
        </w:rPr>
        <w:t>. Buyer shall not resell Batteries to any Governmental Authority or its respective agencies without Seller’s prior written approval. Unless otherwise separately agreed in writing between Seller and Buyer, no provisions required in any US government contract or subcontract related thereto shall be a part of this Agreement or imposed upon or binding upon Seller, and this Agreement shall not be deemed an acceptance of any government provisions that may be included or referenced in Buyer’s request for quotation, Purchase Order or any other document.</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Credit Risk on Resale of the Batteries to Customers</w:t>
      </w:r>
      <w:r>
        <w:rPr>
          <w:rFonts w:ascii="Arial" w:cs="Arial" w:eastAsia="Arial" w:hAnsi="Arial"/>
          <w:sz w:val="17"/>
          <w:szCs w:val="17"/>
          <w:color w:val="auto"/>
        </w:rPr>
        <w:t>. Buyer shall be responsible for all credit risks with respect to, and for collecting payment for, all products (including Batteries) sold to its customers or other third parties, whether or not Buyer has made full payment to Seller for such products. The inability of Buyer to collect the purchase price for any product shall not affect Buyer’s obligation to pay Seller for any Batteries.</w:t>
      </w:r>
    </w:p>
    <w:p>
      <w:pPr>
        <w:spacing w:after="0" w:line="165" w:lineRule="exact"/>
        <w:rPr>
          <w:sz w:val="20"/>
          <w:szCs w:val="20"/>
          <w:color w:val="auto"/>
        </w:rPr>
      </w:pPr>
    </w:p>
    <w:p>
      <w:pPr>
        <w:jc w:val="both"/>
        <w:ind w:firstLine="8"/>
        <w:spacing w:after="0" w:line="259"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Parties will at all times comply with all Laws applicable to this Agreement. Without limiting the generality of the foregoing, the Parties will (a) at their own expense, maintain all certifications, credentials, licenses, and permits necessary to conduct business relating to the sale, purchase, use or resale of the Batteries and (b) neither will engage in any activity or transaction involving the Batteries, by way of resale, lease, shipment, use or otherwise, that violates any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4" w:name="page155"/>
    <w:bookmarkEnd w:id="154"/>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Buyer’s Representations and Warranties</w:t>
      </w:r>
      <w:r>
        <w:rPr>
          <w:rFonts w:ascii="Arial" w:cs="Arial" w:eastAsia="Arial" w:hAnsi="Arial"/>
          <w:sz w:val="18"/>
          <w:szCs w:val="18"/>
          <w:color w:val="auto"/>
        </w:rPr>
        <w:t>. Buyer represents and warrants to Seller that, to the best of its knowledge:</w:t>
      </w:r>
    </w:p>
    <w:p>
      <w:pPr>
        <w:spacing w:after="0" w:line="225" w:lineRule="exact"/>
        <w:rPr>
          <w:sz w:val="20"/>
          <w:szCs w:val="20"/>
          <w:color w:val="auto"/>
        </w:rPr>
      </w:pPr>
    </w:p>
    <w:p>
      <w:pPr>
        <w:ind w:left="1960" w:hanging="656"/>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of the Delaware;</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duly qualified to do business and is in good standing in every jurisdiction in which such qualification is required for purposes of this Agreement;</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the full right, power and authority to enter into this Agreement and to perform its obligations hereunder;</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Buyer will not violate, conflict with, require consent under or result in any breach or default under (i) any of Buyer’s organizational documents, (ii) any applicable Law or (iii) with or without notice or lapse of time or both, the provisions of any Buyer Contract;</w:t>
      </w:r>
    </w:p>
    <w:p>
      <w:pPr>
        <w:spacing w:after="0" w:line="183" w:lineRule="exact"/>
        <w:rPr>
          <w:rFonts w:ascii="Arial" w:cs="Arial" w:eastAsia="Arial" w:hAnsi="Arial"/>
          <w:sz w:val="18"/>
          <w:szCs w:val="18"/>
          <w:color w:val="auto"/>
        </w:rPr>
      </w:pPr>
    </w:p>
    <w:p>
      <w:pPr>
        <w:ind w:left="1960" w:hanging="656"/>
        <w:spacing w:after="0" w:line="308" w:lineRule="auto"/>
        <w:tabs>
          <w:tab w:leader="none" w:pos="19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this Agreement has been executed and delivered by Buyer and (assuming due authorization, execution, and delivery by Seller) constitutes the legal, valid and binding obligation of Buyer, enforceable against Buyer in accordance with its terms;</w:t>
      </w:r>
    </w:p>
    <w:p>
      <w:pPr>
        <w:spacing w:after="0" w:line="146" w:lineRule="exact"/>
        <w:rPr>
          <w:rFonts w:ascii="Arial" w:cs="Arial" w:eastAsia="Arial" w:hAnsi="Arial"/>
          <w:sz w:val="17"/>
          <w:szCs w:val="17"/>
          <w:color w:val="auto"/>
        </w:rPr>
      </w:pPr>
    </w:p>
    <w:p>
      <w:pPr>
        <w:ind w:left="1960" w:hanging="656"/>
        <w:spacing w:after="0" w:line="277" w:lineRule="auto"/>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in compliance with all applicable Laws and Buyer Contracts relating to this Agreement, the Batteries and the operation of its business;</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obtained all material licenses, authorizations, approvals, consents or permits required by applicable Laws to conduct its business generally and to perform its obligations under this Agreement;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is not insolvent and is paying all of its debts as they become due;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Limited Product Warranty</w:t>
      </w:r>
      <w:r>
        <w:rPr>
          <w:rFonts w:ascii="Arial" w:cs="Arial" w:eastAsia="Arial" w:hAnsi="Arial"/>
          <w:sz w:val="18"/>
          <w:szCs w:val="18"/>
          <w:color w:val="auto"/>
        </w:rPr>
        <w:t xml:space="preserve">. Seller agrees that for a minimum period often (10) years from the date of purchase by the first retail owner of a Buyer recreational vehicle equipped with the Seller Batteries (the “Warranty Period”), Seller will warrant the Batteries to the retail consumer to be free from material defect and conform in all material aspects to the specifications in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and the Seller’s written consumer limited warranty attached as </w:t>
      </w:r>
      <w:r>
        <w:rPr>
          <w:rFonts w:ascii="Arial" w:cs="Arial" w:eastAsia="Arial" w:hAnsi="Arial"/>
          <w:sz w:val="18"/>
          <w:szCs w:val="18"/>
          <w:b w:val="1"/>
          <w:bCs w:val="1"/>
          <w:u w:val="single" w:color="auto"/>
          <w:color w:val="auto"/>
        </w:rPr>
        <w:t>Schedule 2</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also represents that the Batteries will be transferred to Buyer free of monetary liens, claims and encumbrances. These are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warranties provided by Seller. </w:t>
      </w:r>
      <w:r>
        <w:rPr>
          <w:rFonts w:ascii="Arial" w:cs="Arial" w:eastAsia="Arial" w:hAnsi="Arial"/>
          <w:sz w:val="18"/>
          <w:szCs w:val="18"/>
          <w:b w:val="1"/>
          <w:bCs w:val="1"/>
          <w:color w:val="auto"/>
        </w:rPr>
        <w:t>ALL OTHER WARRANTIES, EXPRESS OR IMPLIED are disclaimed.</w:t>
      </w:r>
      <w:r>
        <w:rPr>
          <w:rFonts w:ascii="Arial" w:cs="Arial" w:eastAsia="Arial" w:hAnsi="Arial"/>
          <w:sz w:val="18"/>
          <w:szCs w:val="18"/>
          <w:color w:val="auto"/>
        </w:rPr>
        <w:t xml:space="preserve"> In the event any warranty claims, repairs or issues involving the Batteries are not covered by the Seller’s Limited Warranty, the parties agree to address and administer those issues and claims in the ordinary course of business dealings between the parties. Seller will conduct periodic line audits at Buyer facilities during the Term and make recommendations to ensure proper installation, but validation of and responsibility for installation is Buyer’s sole responsibility and Seller is not responsible for installation protocol or errors.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5" w:name="page156"/>
    <w:bookmarkEnd w:id="155"/>
    <w:p>
      <w:pPr>
        <w:ind w:left="66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Product Warranty Limitations</w:t>
      </w:r>
      <w:r>
        <w:rPr>
          <w:rFonts w:ascii="Arial" w:cs="Arial" w:eastAsia="Arial" w:hAnsi="Arial"/>
          <w:sz w:val="18"/>
          <w:szCs w:val="18"/>
          <w:color w:val="auto"/>
        </w:rPr>
        <w:t>. Seller acknowledges that the Product Warranty does not apply to any Battery that:</w:t>
      </w:r>
    </w:p>
    <w:p>
      <w:pPr>
        <w:spacing w:after="0" w:line="225" w:lineRule="exact"/>
        <w:rPr>
          <w:sz w:val="20"/>
          <w:szCs w:val="20"/>
          <w:color w:val="auto"/>
        </w:rPr>
      </w:pPr>
    </w:p>
    <w:p>
      <w:pPr>
        <w:ind w:left="1960" w:right="220" w:hanging="656"/>
        <w:spacing w:after="0" w:line="263" w:lineRule="auto"/>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been subjected to abuse, misuse, neglect, negligence, accident, improper testing, improper installation, improper storage, improper handling, abnormal physical stress, abnormal environmental conditions or use contrary to any instructions issued by Seller;</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been reconstructed, repaired or altered by Persons other than Seller or its authorized Representative; or</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been used with any hardware or product that has not been previously approved in writing by Seller.</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9.4 DISCLAIMER OF OTHER REPRESENTATIONS AND WARRANTIES: NON RELIANCE. EXCEPT FOR THE PRODUCT WARRANTY SET FORTH IN SCHEDULE 2, (A) NEITHER SELLER NOR ANY PERSON ON SELLER’S BEHALF HAS MADE OR MAKES ANY EXPRESS OR IMPLIED REPRESENTATION OR WARRANTY WHATSOEVER, EITHER ORAL OR WRITTEN, INCLUDING ANY WARRANTIES OF MERCHANTABILITY, FITNESS FOR A PARTICULAR PURPOSE, TITLE, OR NON INFRINGEMENT, WHETHER ARISING BYLAW, COURSE OF DEALING, COURSE OF PERFORMANCE, USAGE OF TRADE OR OTHERWISE, ALL OF WHICH ARE EXPRESSLY DISCLAIMED, AND</w:t>
      </w:r>
    </w:p>
    <w:p>
      <w:pPr>
        <w:spacing w:after="0" w:line="3" w:lineRule="exact"/>
        <w:rPr>
          <w:sz w:val="20"/>
          <w:szCs w:val="20"/>
          <w:color w:val="auto"/>
        </w:rPr>
      </w:pPr>
    </w:p>
    <w:p>
      <w:pPr>
        <w:ind w:firstLine="8"/>
        <w:spacing w:after="0" w:line="290" w:lineRule="auto"/>
        <w:tabs>
          <w:tab w:leader="none" w:pos="30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BUYER ACKNOWLEDGES THAT IT HAS NOT RELIED UPON ANY REPRESENTATION OR WARRANTY MADE BY SELLER, OR ANY OTHER PERSON ON SELLER’S BEHALF, EXCEPT AS SPECIFICALLY PROVIDED IN SECTIONS 9.2 AND 9.3 OF THIS AGREEMENT.</w:t>
      </w:r>
    </w:p>
    <w:p>
      <w:pPr>
        <w:spacing w:after="0" w:line="161" w:lineRule="exact"/>
        <w:rPr>
          <w:sz w:val="20"/>
          <w:szCs w:val="20"/>
          <w:color w:val="auto"/>
        </w:rPr>
      </w:pPr>
    </w:p>
    <w:p>
      <w:pPr>
        <w:jc w:val="both"/>
        <w:ind w:firstLine="8"/>
        <w:spacing w:after="0" w:line="275" w:lineRule="auto"/>
        <w:tabs>
          <w:tab w:leader="none" w:pos="283"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Mutual Indemnification</w:t>
      </w:r>
      <w:r>
        <w:rPr>
          <w:rFonts w:ascii="Arial" w:cs="Arial" w:eastAsia="Arial" w:hAnsi="Arial"/>
          <w:sz w:val="17"/>
          <w:szCs w:val="17"/>
          <w:color w:val="auto"/>
        </w:rPr>
        <w:t>. Each Party (as “Indemnifying Party”) shall indemnify, defend and hold harmless the other Party and its Representatives, employees, agents, Affiliates, successors and permitted assigns (collectively, “Indemnified Party”) against any and all losses, damages, liabilities, deficiencies, claims, actions, judgments, settlements, interest, awards, penalties, fines, costs, or expenses of whatever kind, including attorneys’ fees, fees and the costs of enforcing any right to indemnification under this Agreement and the cost of pursuing any insurance providers, incurred by Indemnified Party (collectively, “Losses”), relating to any third-party Claim or any direct Claim against Indemnifying Party alleging:</w:t>
      </w:r>
    </w:p>
    <w:p>
      <w:pPr>
        <w:spacing w:after="0" w:line="176" w:lineRule="exact"/>
        <w:rPr>
          <w:rFonts w:ascii="Arial" w:cs="Arial" w:eastAsia="Arial" w:hAnsi="Arial"/>
          <w:sz w:val="17"/>
          <w:szCs w:val="17"/>
          <w:color w:val="auto"/>
        </w:rPr>
      </w:pPr>
    </w:p>
    <w:p>
      <w:pPr>
        <w:ind w:left="1960" w:hanging="656"/>
        <w:spacing w:after="0" w:line="277" w:lineRule="auto"/>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bodily injury, death of any Person or damage to real or tangible personal property caused by the acts or omissions of Indemnifying Party;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(b) any failure by Indemnifying Party to materially comply with any applicable Laws.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anything to the contrary in this Agreement, this Section 10 does not apply to any Claim (whether direct or indirect) for which a sole or exclusive remedy is provided for under another section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6" w:name="page157"/>
    <w:bookmarkEnd w:id="156"/>
    <w:p>
      <w:pPr>
        <w:ind w:left="280" w:hanging="272"/>
        <w:spacing w:after="0"/>
        <w:tabs>
          <w:tab w:leader="none" w:pos="2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 LIABILITY FOR CONSEQUENTIAL OR INDIRECT DAMAGES</w:t>
      </w:r>
      <w:r>
        <w:rPr>
          <w:rFonts w:ascii="Arial" w:cs="Arial" w:eastAsia="Arial" w:hAnsi="Arial"/>
          <w:sz w:val="18"/>
          <w:szCs w:val="18"/>
          <w:color w:val="auto"/>
        </w:rPr>
        <w:t>. EXCEPT FOR OBLIGATIONS TO MAKE PAYMENT UNDER THIS AGREEMENT, LIABILITY FOR INDEMNIFICATION, LIABILITY FOR BREACH OF CONFIDENTIALITY, OR LIABILITY FOR INFRINGEMENT OR MISAPPROPRIATION OF INTELLECTUAL PROPERTY RIGHTS, IN NO EVENT SHALL EITHER PARTY OR THEIR REPRESENTATIVES BE LIABLE FOR CONSEQUENTIAL, INDIRECT, INCIDENTAL, SPECIAL, EXEMPLARY, PUNITIVE OR ENHANCED DAMAGES, LOST PROFITS OR REVENUES OR DIMINUTION IN VALUE, ARISING OUT OF OR RELATING TO ANY BREACH OF THIS AGREEMENT, REGARDLESS OF (A) WHETHER SUCH DAMAGES WERE FORESEEABLE, (B) WHETHER OR NOT THE OTHER PARTY WAS ADVISED OF THE POSSIBILITY OF SUCH DAMAGES AND (C) THE LEGAL OR EQUITABLE THEORY (CONTRACT, TORT OR OTHERWISE) UPON WHICH THE CLAIM IS BASED, AND NOTWITHSTANDING THE FAILURE OF ANY AGREED OR OTHER REMEDY OF ITS ESSENTIAL PURPOSE.</w:t>
      </w:r>
    </w:p>
    <w:p>
      <w:pPr>
        <w:spacing w:after="0" w:line="196" w:lineRule="exact"/>
        <w:rPr>
          <w:sz w:val="20"/>
          <w:szCs w:val="20"/>
          <w:color w:val="auto"/>
        </w:rPr>
      </w:pPr>
    </w:p>
    <w:p>
      <w:pPr>
        <w:ind w:left="280" w:hanging="272"/>
        <w:spacing w:after="0"/>
        <w:tabs>
          <w:tab w:leader="none" w:pos="28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Ownership</w:t>
      </w:r>
      <w:r>
        <w:rPr>
          <w:rFonts w:ascii="Arial" w:cs="Arial" w:eastAsia="Arial" w:hAnsi="Arial"/>
          <w:sz w:val="18"/>
          <w:szCs w:val="18"/>
          <w:color w:val="auto"/>
        </w:rPr>
        <w:t>. Buyer acknowledges and agrees that:</w:t>
      </w:r>
    </w:p>
    <w:p>
      <w:pPr>
        <w:spacing w:after="0" w:line="225" w:lineRule="exact"/>
        <w:rPr>
          <w:sz w:val="20"/>
          <w:szCs w:val="20"/>
          <w:color w:val="auto"/>
        </w:rPr>
      </w:pPr>
    </w:p>
    <w:p>
      <w:pPr>
        <w:jc w:val="both"/>
        <w:ind w:left="1960" w:hanging="656"/>
        <w:spacing w:after="0" w:line="263" w:lineRule="auto"/>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to the extent provided in a separate written agreement between Buyer and Seller, Seller (or its licensors) will retain all Intellectual Property (“IP”) Rights used to create, embodied in, used in and otherwise relating to the Batteries and any of their component parts;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and all Seller’s Intellectual Property Rights are the sole and exclusive property of Seller or its licensors;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Buyer shall not acquire any ownership interest in any of Seller’s Intellectual Property Rights under this Agreement;</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goodwill derived from the use by Buyer of Seller’s Intellectual Property Rights inures to the benefit of Seller or its licensors, as the case may be;</w:t>
      </w:r>
    </w:p>
    <w:p>
      <w:pPr>
        <w:spacing w:after="0" w:line="170"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Buyer acquires any Intellectual Property Rights in or relating to any product (including any Battery) purchased under this Agreement (including any rights in any Trademarks, derivative works or patent improvements relating thereto), by operation of law, or otherwise, such rights are deemed and are hereby irrevocably assigned to Seller or its licensors, as the case may be, without further action by either Party; and</w:t>
      </w:r>
    </w:p>
    <w:p>
      <w:pPr>
        <w:spacing w:after="0" w:line="186" w:lineRule="exact"/>
        <w:rPr>
          <w:rFonts w:ascii="Arial" w:cs="Arial" w:eastAsia="Arial" w:hAnsi="Arial"/>
          <w:sz w:val="18"/>
          <w:szCs w:val="18"/>
          <w:color w:val="auto"/>
        </w:rPr>
      </w:pPr>
    </w:p>
    <w:p>
      <w:pPr>
        <w:ind w:left="1960" w:hanging="656"/>
        <w:spacing w:after="0"/>
        <w:tabs>
          <w:tab w:leader="none" w:pos="19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Buyer shall use Seller’s Intellectual Property Rights only in accordance with this Agreement and any instructions of Seller.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7" w:name="page158"/>
    <w:bookmarkEnd w:id="157"/>
    <w:p>
      <w:pPr>
        <w:ind w:left="6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Prohibited Acts</w:t>
      </w:r>
      <w:r>
        <w:rPr>
          <w:rFonts w:ascii="Arial" w:cs="Arial" w:eastAsia="Arial" w:hAnsi="Arial"/>
          <w:sz w:val="18"/>
          <w:szCs w:val="18"/>
          <w:color w:val="auto"/>
        </w:rPr>
        <w:t>. Buyer shall not:</w:t>
      </w:r>
    </w:p>
    <w:p>
      <w:pPr>
        <w:spacing w:after="0" w:line="225" w:lineRule="exact"/>
        <w:rPr>
          <w:sz w:val="20"/>
          <w:szCs w:val="20"/>
          <w:color w:val="auto"/>
        </w:rPr>
      </w:pPr>
    </w:p>
    <w:p>
      <w:pPr>
        <w:ind w:left="1960" w:right="20" w:hanging="656"/>
        <w:spacing w:after="0" w:line="277"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take any action that interferes with any of Seller’s rights in or to Seller’s Intellectual Property Rights, including Seller’s ownership or exercise thereof;</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challenge any right, title or interest of Seller in or to Seller’s Intellectual Property Rights;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make any claim or take any action adverse to Seller’s ownership of Seller’s Intellectual Property Rights;</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register or apply for registrations, anywhere in the world, for Seller’s Trademarks or any other Trademark that is similar to Seller’s Trademark[s] or that incorporates Seller’s Trademarks;</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use any mark, anywhere, that is confusingly similar to Seller’s Trademarks;</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engage in any action that tends to disparage, dilute the value of, or reflect negatively on the products purchased under this Agreement (including Batteries) or any Seller Trademark;</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misappropriate any of Seller’s Trademarks for use as a domain name without prior written consent from Seller; or</w:t>
      </w:r>
    </w:p>
    <w:p>
      <w:pPr>
        <w:spacing w:after="0" w:line="225"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alter, obscure or remove any of Seller’s Trademarks or trademark or copyright notices or any other proprietary rights notices placed on the products purchased under this Agreement (including Batteries), marketing materials or other materials that Seller may provide.</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Indemnification</w:t>
      </w:r>
      <w:r>
        <w:rPr>
          <w:rFonts w:ascii="Arial" w:cs="Arial" w:eastAsia="Arial" w:hAnsi="Arial"/>
          <w:sz w:val="18"/>
          <w:szCs w:val="18"/>
          <w:color w:val="auto"/>
        </w:rPr>
        <w:t>. With Seller retaining all IP rights as described above, Seller agrees to indemnify, defend, and hold Buyer, its parent, divisions, and affiliated companies and their respective Representatives, employees, agents, successors and permitted assigns harmless from and against any and all liability, loss, demand, judgment, cost or expense (specifically including but not limited to attorneys’ fees, court costs, damages, enhanced damages and disbursements) with respect to or as a result of any claim for violation, misappropriation and/or infringement of any third party right (including, but not limited to patent and/or copyright infringement related to the Batteries, made against the Buyer or their customers resulting from the use, sale, or offer to sell, the Batteries.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8" w:name="page159"/>
    <w:bookmarkEnd w:id="158"/>
    <w:p>
      <w:pPr>
        <w:ind w:left="280" w:hanging="272"/>
        <w:spacing w:after="0"/>
        <w:tabs>
          <w:tab w:leader="none" w:pos="2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Scope of Confidential Information</w:t>
      </w:r>
      <w:r>
        <w:rPr>
          <w:rFonts w:ascii="Arial" w:cs="Arial" w:eastAsia="Arial" w:hAnsi="Arial"/>
          <w:sz w:val="16"/>
          <w:szCs w:val="16"/>
          <w:color w:val="auto"/>
        </w:rPr>
        <w:t>. From time to time during the Term, either Party (as the “Disclosing Party”) may disclose or make available to the other Party (as the “Receiving Party”) information about its business affairs, goods and services, Forecasts, confidential information and materials comprising or relating to Intellectual Property Rights, trade secrets, third-party confidential information, and other sensitive or proprietary information. Such information, whether or not marked, designated or otherwise identified as “confidential,” is collectively referred to as “Confidential Information” hereunder. Notwithstanding the foregoing, Confidential Information does not include information that at the time of disclosure:</w:t>
      </w:r>
    </w:p>
    <w:p>
      <w:pPr>
        <w:spacing w:after="0" w:line="161" w:lineRule="exact"/>
        <w:rPr>
          <w:sz w:val="20"/>
          <w:szCs w:val="20"/>
          <w:color w:val="auto"/>
        </w:rPr>
      </w:pPr>
    </w:p>
    <w:p>
      <w:pPr>
        <w:ind w:left="1960" w:hanging="656"/>
        <w:spacing w:after="0" w:line="277" w:lineRule="auto"/>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or becomes generally available to and known by the public other than as a result of, directly or indirectly, any breach of this Section 13 by the Receiving Party or any of its Representatives;</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or becomes available to the Receiving Party on a non-confidential basis from a third-party source, provided that such third party is not and was not prohibited from disclosing such Confidential Information;</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was known by or in the possession of the Receiving Party or its Representatives prior to being disclosed by or on behalf of the Disclosing Party;</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was or is independently developed by the Receiving Party without reference to or use of, in whole or in part, any of the Disclosing Party’s Confidential Information; or</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required to be disclosed pursuant to applicable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The Receiving Party shall, for twelve months from disclosure of such Confidential Information:</w:t>
      </w:r>
    </w:p>
    <w:p>
      <w:pPr>
        <w:spacing w:after="0" w:line="237" w:lineRule="exact"/>
        <w:rPr>
          <w:sz w:val="20"/>
          <w:szCs w:val="20"/>
          <w:color w:val="auto"/>
        </w:rPr>
      </w:pPr>
    </w:p>
    <w:p>
      <w:pPr>
        <w:jc w:val="both"/>
        <w:ind w:left="1960" w:hanging="656"/>
        <w:spacing w:after="0" w:line="263" w:lineRule="auto"/>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protect and safeguard the confidentiality of the Disclosing Party’s Confidential Information with at least the same degree of care as the Receiving Party would protect its own Confidential information, but in no event with less than a commercially reasonable degree of care;</w:t>
      </w:r>
    </w:p>
    <w:p>
      <w:pPr>
        <w:spacing w:after="0" w:line="183"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use the Disclosing Party’s Confidential Information, or permit it to be accessed or used, for any purpose other than to exercise its rights or perform its obligations under this Agreement; and</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 disclose any such Confidential Information to any Person, except to the Receiving Party’s Representatives who need to know the Confidential Information to assist the Receiving Party, or act on its behalf, to exercise its rights or perform its obligations under this Agreement.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Receiving Party shall be responsible for any breach of this Section 13 caused by any of its Representatives. On the expiration or earlier termination of this Agreement, the Receiving Party and its Representatives shall, pursuant to Section 6.5(c), promptly destroy all Confidential Information and copies thereof that it has received under this Agreement.</w:t>
      </w:r>
    </w:p>
    <w:p>
      <w:pPr>
        <w:spacing w:after="0" w:line="184" w:lineRule="exact"/>
        <w:rPr>
          <w:sz w:val="20"/>
          <w:szCs w:val="20"/>
          <w:color w:val="auto"/>
        </w:rPr>
      </w:pPr>
    </w:p>
    <w:p>
      <w:pPr>
        <w:ind w:right="20" w:firstLine="8"/>
        <w:spacing w:after="0" w:line="277" w:lineRule="auto"/>
        <w:tabs>
          <w:tab w:leader="none" w:pos="283"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Tooling</w:t>
      </w:r>
      <w:r>
        <w:rPr>
          <w:rFonts w:ascii="Arial" w:cs="Arial" w:eastAsia="Arial" w:hAnsi="Arial"/>
          <w:sz w:val="18"/>
          <w:szCs w:val="18"/>
          <w:color w:val="auto"/>
        </w:rPr>
        <w:t>. All Tooling used to manufacture the Batteries is owned by Seller (“Seller Tooling”). Buyer has no right, title, or interest in or to any of the Seller Tooling.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9" w:name="page160"/>
    <w:bookmarkEnd w:id="159"/>
    <w:p>
      <w:pPr>
        <w:jc w:val="both"/>
        <w:ind w:firstLine="8"/>
        <w:spacing w:after="0" w:line="257" w:lineRule="auto"/>
        <w:tabs>
          <w:tab w:leader="none" w:pos="27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During the Term and for a period of twelve (12) months thereafter, each Party shall, at its own expense, maintain and carry in full force and effect, commercial general liability insurance (including product liability coverage) in a sum no less than $2,000,000 with financially sound and reputable insurers, and upon other Party’s reasonable request, shall provide the other Party with a certificate of insurance evidencing the insurance coverage specified in this Section. Each Party shall provide the other Party with fifteen (15) days’ advance written notice in the event of a cancellation or material change in such insurance policy.</w:t>
      </w:r>
    </w:p>
    <w:p>
      <w:pPr>
        <w:spacing w:after="0" w:line="187" w:lineRule="exact"/>
        <w:rPr>
          <w:rFonts w:ascii="Arial" w:cs="Arial" w:eastAsia="Arial" w:hAnsi="Arial"/>
          <w:sz w:val="18"/>
          <w:szCs w:val="18"/>
          <w:color w:val="auto"/>
        </w:rPr>
      </w:pPr>
    </w:p>
    <w:p>
      <w:pPr>
        <w:ind w:left="280" w:hanging="272"/>
        <w:spacing w:after="0"/>
        <w:tabs>
          <w:tab w:leader="none" w:pos="2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Upon a Party’s reasonable request, the other Party shall, at its sole cost and expense, execute and deliver all such further documents and instruments, and take all such further acts, necessary to give full effect to this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u w:val="single" w:color="auto"/>
          <w:color w:val="auto"/>
        </w:rPr>
        <w:t>Relationship of the Parties</w:t>
      </w:r>
      <w:r>
        <w:rPr>
          <w:rFonts w:ascii="Arial" w:cs="Arial" w:eastAsia="Arial" w:hAnsi="Arial"/>
          <w:sz w:val="17"/>
          <w:szCs w:val="17"/>
          <w:color w:val="auto"/>
        </w:rPr>
        <w:t>. The relationship between Seller and Buyer is solely that of vendor and vendee, and they are independent contracting parties. Nothing in this Agreement creates any agency, joint venture, partnership or other form of joint enterprise, employment or fiduciary relationship between the Parties. Neither Party has any express or implied right or authority to assume or create any obligations on behalf of or in the name of the other Party or to bind the other Party to any contract, agreement or undertaking with any third party.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and together with the Basic Purchase Order Terms, and the attached Schedules, and any related exhibits and schedules, constitutes the sole and entire agreement of the Parties with respect to the subject matter contained herein and therein, and supersedes all prior and contemporaneous understandings, agreements, representations and warranties, both written and oral, with respect to such subject matter. If there is any conflict between the terms of this Agreement and the Thor Purchasing Policies and Procedures, executed by the Parties simultaneously herewith, this Agreement is controlling.</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Survival</w:t>
      </w:r>
      <w:r>
        <w:rPr>
          <w:rFonts w:ascii="Arial" w:cs="Arial" w:eastAsia="Arial" w:hAnsi="Arial"/>
          <w:sz w:val="18"/>
          <w:szCs w:val="18"/>
          <w:color w:val="auto"/>
        </w:rPr>
        <w:t>. Termination or expiration of this Agreement for any reason shall not release either party from any liabilities or obligations set forth in this Agreement which (i) the parties have expressly agreed shall survive any such termination or expiration, or (ii) remain to be performed or by their nature would be intended to be applicable following any such termination or expiration. For example, the termination or expiration of this Agreement will not affect any of Seller’s warranties, indemnification obligations or obligations relating to returns, or any other matters set forth in this Agreement that should survive termination or expiration in order to carry out their intended purpose, all of which shall survive the termination or expiration of this Agreement.</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16.5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claims, demands, waivers and other communications under this Agreement (each, a “Notice”) must be in writing and addressed to the other Party at its address set forth below (or to such other address that the receiving Party may designate from time to time in accordance with this section). All Notices must be delivered by personal delivery, nationally recognized overnight courier or certified or registered mail (in each case, return receipt requested, postage prepaid). Except as otherwise provided in this Agreement, a Notice is effective only (a) on receipt by the receiving Party, and (b) if the Party giving the Notice has complied with the requirements of this Section.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Notice to Seller: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1190 Trademark Dr Suite 108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Reno, NV 89521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Chief Operating Officer</w:t>
      </w:r>
    </w:p>
    <w:p>
      <w:pPr>
        <w:spacing w:after="0" w:line="200" w:lineRule="exact"/>
        <w:rPr>
          <w:sz w:val="20"/>
          <w:szCs w:val="20"/>
          <w:color w:val="auto"/>
        </w:rPr>
      </w:pPr>
    </w:p>
    <w:p>
      <w:pPr>
        <w:sectPr>
          <w:pgSz w:w="11900" w:h="16838" w:orient="portrait"/>
          <w:cols w:equalWidth="0" w:num="2">
            <w:col w:w="4900" w:space="720"/>
            <w:col w:w="5620"/>
          </w:cols>
          <w:pgMar w:left="320" w:top="692" w:right="33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Notice to Buyer: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w:t>
      </w:r>
    </w:p>
    <w:p>
      <w:pPr>
        <w:sectPr>
          <w:pgSz w:w="11900" w:h="16838" w:orient="portrait"/>
          <w:cols w:equalWidth="0" w:num="1">
            <w:col w:w="11240"/>
          </w:cols>
          <w:pgMar w:left="320" w:top="692" w:right="339" w:bottom="1440" w:gutter="0" w:footer="0" w:header="0"/>
          <w:type w:val="continuous"/>
        </w:sectPr>
      </w:pP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16.6 </w:t>
      </w:r>
      <w:r>
        <w:rPr>
          <w:rFonts w:ascii="Arial" w:cs="Arial" w:eastAsia="Arial" w:hAnsi="Arial"/>
          <w:sz w:val="17"/>
          <w:szCs w:val="17"/>
          <w:u w:val="single" w:color="auto"/>
          <w:color w:val="auto"/>
        </w:rPr>
        <w:t>Interpretation</w:t>
      </w:r>
      <w:r>
        <w:rPr>
          <w:rFonts w:ascii="Arial" w:cs="Arial" w:eastAsia="Arial" w:hAnsi="Arial"/>
          <w:sz w:val="17"/>
          <w:szCs w:val="17"/>
          <w:color w:val="auto"/>
        </w:rPr>
        <w:t>. For purposes of this Agreement: (a) the words “include,” “includes” and “including” are deemed to be followed by the words “without limitation”; (b) the word “or” is not exclusive·’ (c) the words “herein’” “hereof’ “ “hereby “ “hereto” and “hereunder” refer to this Agreement as a whole; (d) words denoting the singular have a comparable meaning when used in the plural, and vice-versa; and (e) words denoting any gender include all genders. Unless the context otherwise requires, references in this Agreement: (x) to sections, exhibits, schedules, attachments, and appendices mean the sections of, and exhibits, schedules, attachments and appendices attached to, this Agreement; (y) to an agreement, instrument or other document means such agreement, instrument or other document as amended, supplemented and modified from time to time to the extent permitted by the provisions thereof; and (z) to a statute means such statute as amended from time to time and includes any successor legislation thereto and any regulations promulgated thereunder. The Parties drafted this Agreement without regard to any presumption or rule requiring construction or interpretation against the Party drafting an instrument or causing any instrument to be drafted. The exhibits, schedules, attachments and appendices referred to herein arc an integral part of this Agreement to the same extent as if they were set forth verbatim herein.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only and do not affect the interpretation of this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provision of this Agreement is invalid, illegal or unenforceable in any jurisdiction, such invalidity, illegality or unenforceability docs not affect any other term or provision of this Agreement or invalidate or render unenforceable such term or provision in any other jurisdiction. Upon a determination that any term or provision is invalid, illegal or unenforceable, the Parties shall negotiate in good faith to modify this Agreement to effect the original intent of the Parties as closely as possible in order that the transactions contemplated hereby be consummated as originally contemplated to the greatest extent possible.</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16.9 </w:t>
      </w:r>
      <w:r>
        <w:rPr>
          <w:rFonts w:ascii="Arial" w:cs="Arial" w:eastAsia="Arial" w:hAnsi="Arial"/>
          <w:sz w:val="16"/>
          <w:szCs w:val="16"/>
          <w:u w:val="single" w:color="auto"/>
          <w:color w:val="auto"/>
        </w:rPr>
        <w:t>Amendment and Modification</w:t>
      </w:r>
      <w:r>
        <w:rPr>
          <w:rFonts w:ascii="Arial" w:cs="Arial" w:eastAsia="Arial" w:hAnsi="Arial"/>
          <w:sz w:val="16"/>
          <w:szCs w:val="16"/>
          <w:color w:val="auto"/>
        </w:rPr>
        <w:t>. No amendment to or rescission, termination or discharge of this Agreement is effective unless it is in writing, identified as an amendment to or rescission, termination or discharge of this Agreement and signed by an authorized Representative of each Party.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225" w:lineRule="exact"/>
        <w:rPr>
          <w:sz w:val="20"/>
          <w:szCs w:val="20"/>
          <w:color w:val="auto"/>
        </w:rPr>
      </w:pPr>
    </w:p>
    <w:p>
      <w:pPr>
        <w:ind w:left="1960" w:right="20" w:hanging="656"/>
        <w:spacing w:after="0" w:line="277" w:lineRule="auto"/>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waiver under this Agreement is effective unless it is in writing and signed by an authorized representative of the Party waiving its 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61" w:name="page162"/>
    <w:bookmarkEnd w:id="161"/>
    <w:p>
      <w:pPr>
        <w:ind w:left="1960" w:hanging="656"/>
        <w:spacing w:after="0" w:line="277" w:lineRule="auto"/>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waiver authorized on one occasion is effective only in that instance and only for the purpose stated, and does not operate as a waiver on any future occasion.</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None of the following constitutes a waiver or estoppel of any right, remedy, power, privilege or condition arising from this Agreement:</w:t>
      </w:r>
    </w:p>
    <w:p>
      <w:pPr>
        <w:spacing w:after="0" w:line="170"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failure or delay in exercising any right, remedy, power or privilege or in enforcing any condition under this Agreement; or</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act, omission or course of dealing between the Parties.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u w:val="single" w:color="auto"/>
          <w:color w:val="auto"/>
        </w:rPr>
        <w:t>Cumulative Remedies</w:t>
      </w:r>
      <w:r>
        <w:rPr>
          <w:rFonts w:ascii="Arial" w:cs="Arial" w:eastAsia="Arial" w:hAnsi="Arial"/>
          <w:sz w:val="18"/>
          <w:szCs w:val="18"/>
          <w:color w:val="auto"/>
        </w:rPr>
        <w:t>. All rights and remedies provided in this Agreement are cumulative and not exclusive, and the exercise by either Party of any right or remedy does not preclude the exercise of any other rights or remedies that may now or subsequently be available at law, in equity, by statute, in any other agreement between the Parties or otherwise.</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Assignment</w:t>
      </w:r>
      <w:r>
        <w:rPr>
          <w:rFonts w:ascii="Arial" w:cs="Arial" w:eastAsia="Arial" w:hAnsi="Arial"/>
          <w:sz w:val="16"/>
          <w:szCs w:val="16"/>
          <w:color w:val="auto"/>
        </w:rPr>
        <w:t>. Seller may not assign this Agreement during the Term without Buyer’s prior written consent (which shall not be unreasonably withheld or delayed) as this Agreement is personal in nature and Buyer entered into this Agreement based on the anticipated performance by Seller. Buyer may not assign any of its rights or delegate any of its obligations under this Agreement without the prior written consent of Seller (which shall not be unreasonably withheld or delayed) as this Agreement is personal in nature and Seller entered into this Agreement based on the anticipated performance by Buyer. No assignment or delegation relieves the assigning or delegating Party of any of its obligations under this Agreement.</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16.13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Agreement benefits solely the parties to this Agreement and their respective permitted successors and assigns and nothing in this Agreement, express or implied, confers on any other Person any legal or equitable right, benefit or remedy of any nature whatsoever under or by reason of this Agreement.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is deemed an original, but all of which together are deemed to be one and the same agreement. A signed copy of this Agreement delivered by facsimile, e-mail or other means of electronic transmission is deemed to have the same legal effect as delivery of an original signed copy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u w:val="single" w:color="auto"/>
          <w:color w:val="auto"/>
        </w:rPr>
        <w:t>No Public Announcements or Trademark Use</w:t>
      </w:r>
      <w:r>
        <w:rPr>
          <w:rFonts w:ascii="Arial" w:cs="Arial" w:eastAsia="Arial" w:hAnsi="Arial"/>
          <w:sz w:val="18"/>
          <w:szCs w:val="18"/>
          <w:color w:val="auto"/>
        </w:rPr>
        <w:t>. Unless expressly permitted under this Agreement, neither Party will:</w:t>
      </w:r>
    </w:p>
    <w:p>
      <w:pPr>
        <w:spacing w:after="0" w:line="225" w:lineRule="exact"/>
        <w:rPr>
          <w:sz w:val="20"/>
          <w:szCs w:val="20"/>
          <w:color w:val="auto"/>
        </w:rPr>
      </w:pPr>
    </w:p>
    <w:p>
      <w:pPr>
        <w:ind w:left="1960" w:hanging="656"/>
        <w:spacing w:after="0" w:line="277" w:lineRule="auto"/>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make any statement (whether oral or in writing) in any press release, external advertising, marketing or promotion materials regarding the subject matter of this Agreement, unless:</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it has received the express written consent of the other Party, or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it is required to do so by Law or under the rules of any stock exchange to which it is subject.</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use the other Party’s Trademarks, service marks, trade names, logos, symbols or brand names, in each case, without the prior written consent of the other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2" w:name="page163"/>
    <w:bookmarkEnd w:id="162"/>
    <w:p>
      <w:pPr>
        <w:ind w:left="660"/>
        <w:spacing w:after="0"/>
        <w:rPr>
          <w:sz w:val="20"/>
          <w:szCs w:val="20"/>
          <w:color w:val="auto"/>
        </w:rPr>
      </w:pPr>
      <w:r>
        <w:rPr>
          <w:rFonts w:ascii="Arial" w:cs="Arial" w:eastAsia="Arial" w:hAnsi="Arial"/>
          <w:sz w:val="16"/>
          <w:szCs w:val="16"/>
          <w:color w:val="auto"/>
        </w:rPr>
        <w:t>IN WITNESS WHEREOF, the Parties hereto have executed this Agreement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Keystone RV Company</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 Runels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Jeff Runels</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2"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10.30</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ASSET PURCHASE AGREEMENT</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BOURNS PRODUCTIONS,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28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216"/>
        </w:trPr>
        <w:tc>
          <w:tcPr>
            <w:tcW w:w="8720" w:type="dxa"/>
            <w:vAlign w:val="bottom"/>
            <w:gridSpan w:val="2"/>
          </w:tcPr>
          <w:p>
            <w:pPr>
              <w:spacing w:after="0"/>
              <w:rPr>
                <w:sz w:val="18"/>
                <w:szCs w:val="18"/>
                <w:color w:val="auto"/>
              </w:rPr>
            </w:pPr>
          </w:p>
        </w:tc>
        <w:tc>
          <w:tcPr>
            <w:tcW w:w="2520" w:type="dxa"/>
            <w:vAlign w:val="bottom"/>
          </w:tcPr>
          <w:p>
            <w:pPr>
              <w:spacing w:after="0"/>
              <w:rPr>
                <w:sz w:val="18"/>
                <w:szCs w:val="18"/>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 </w:t>
            </w:r>
            <w:r>
              <w:rPr>
                <w:rFonts w:ascii="Arial" w:cs="Arial" w:eastAsia="Arial" w:hAnsi="Arial"/>
                <w:sz w:val="18"/>
                <w:szCs w:val="18"/>
                <w:color w:val="auto"/>
              </w:rPr>
              <w:t>PURCHASE AND SALE</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1.01</w:t>
            </w:r>
          </w:p>
        </w:tc>
        <w:tc>
          <w:tcPr>
            <w:tcW w:w="7280" w:type="dxa"/>
            <w:vAlign w:val="bottom"/>
          </w:tcPr>
          <w:p>
            <w:pPr>
              <w:ind w:left="180"/>
              <w:spacing w:after="0"/>
              <w:rPr>
                <w:sz w:val="20"/>
                <w:szCs w:val="20"/>
                <w:color w:val="auto"/>
              </w:rPr>
            </w:pPr>
            <w:r>
              <w:rPr>
                <w:rFonts w:ascii="Arial" w:cs="Arial" w:eastAsia="Arial" w:hAnsi="Arial"/>
                <w:sz w:val="18"/>
                <w:szCs w:val="18"/>
                <w:color w:val="auto"/>
              </w:rPr>
              <w:t>Purchase and Sale of Assets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1.02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Liabilities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1.03</w:t>
            </w:r>
          </w:p>
        </w:tc>
        <w:tc>
          <w:tcPr>
            <w:tcW w:w="728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1.04</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Purchase Price</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1.05</w:t>
            </w:r>
          </w:p>
        </w:tc>
        <w:tc>
          <w:tcPr>
            <w:tcW w:w="7280" w:type="dxa"/>
            <w:vAlign w:val="bottom"/>
          </w:tcPr>
          <w:p>
            <w:pPr>
              <w:ind w:left="180"/>
              <w:spacing w:after="0"/>
              <w:rPr>
                <w:sz w:val="20"/>
                <w:szCs w:val="20"/>
                <w:color w:val="auto"/>
              </w:rPr>
            </w:pPr>
            <w:r>
              <w:rPr>
                <w:rFonts w:ascii="Arial" w:cs="Arial" w:eastAsia="Arial" w:hAnsi="Arial"/>
                <w:sz w:val="18"/>
                <w:szCs w:val="18"/>
                <w:color w:val="auto"/>
              </w:rPr>
              <w:t>Withholding Tax</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II </w:t>
            </w:r>
            <w:r>
              <w:rPr>
                <w:rFonts w:ascii="Arial" w:cs="Arial" w:eastAsia="Arial" w:hAnsi="Arial"/>
                <w:sz w:val="18"/>
                <w:szCs w:val="18"/>
                <w:color w:val="auto"/>
              </w:rPr>
              <w:t>CLOSING</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2.01</w:t>
            </w:r>
          </w:p>
        </w:tc>
        <w:tc>
          <w:tcPr>
            <w:tcW w:w="7280" w:type="dxa"/>
            <w:vAlign w:val="bottom"/>
          </w:tcPr>
          <w:p>
            <w:pPr>
              <w:ind w:left="180"/>
              <w:spacing w:after="0"/>
              <w:rPr>
                <w:sz w:val="20"/>
                <w:szCs w:val="20"/>
                <w:color w:val="auto"/>
              </w:rPr>
            </w:pPr>
            <w:r>
              <w:rPr>
                <w:rFonts w:ascii="Arial" w:cs="Arial" w:eastAsia="Arial" w:hAnsi="Arial"/>
                <w:sz w:val="18"/>
                <w:szCs w:val="18"/>
                <w:color w:val="auto"/>
              </w:rPr>
              <w:t>Closing</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2.02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Closing Deliverables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III </w:t>
            </w:r>
            <w:r>
              <w:rPr>
                <w:rFonts w:ascii="Arial" w:cs="Arial" w:eastAsia="Arial" w:hAnsi="Arial"/>
                <w:sz w:val="18"/>
                <w:szCs w:val="18"/>
                <w:color w:val="auto"/>
              </w:rPr>
              <w:t>REPRESENTATIONS AND WARRANTIES OF SELLER</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3.01</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 and Authority of Seller; Enforceability</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3.02</w:t>
            </w:r>
          </w:p>
        </w:tc>
        <w:tc>
          <w:tcPr>
            <w:tcW w:w="7280" w:type="dxa"/>
            <w:vAlign w:val="bottom"/>
          </w:tcPr>
          <w:p>
            <w:pPr>
              <w:ind w:left="180"/>
              <w:spacing w:after="0"/>
              <w:rPr>
                <w:sz w:val="20"/>
                <w:szCs w:val="20"/>
                <w:color w:val="auto"/>
              </w:rPr>
            </w:pPr>
            <w:r>
              <w:rPr>
                <w:rFonts w:ascii="Arial" w:cs="Arial" w:eastAsia="Arial" w:hAnsi="Arial"/>
                <w:sz w:val="18"/>
                <w:szCs w:val="18"/>
                <w:color w:val="auto"/>
              </w:rPr>
              <w:t>No Conflicts; Consents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3.03</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Title to Purchased Assets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3.04</w:t>
            </w:r>
          </w:p>
        </w:tc>
        <w:tc>
          <w:tcPr>
            <w:tcW w:w="7280" w:type="dxa"/>
            <w:vAlign w:val="bottom"/>
          </w:tcPr>
          <w:p>
            <w:pPr>
              <w:ind w:left="180"/>
              <w:spacing w:after="0"/>
              <w:rPr>
                <w:sz w:val="20"/>
                <w:szCs w:val="20"/>
                <w:color w:val="auto"/>
              </w:rPr>
            </w:pPr>
            <w:r>
              <w:rPr>
                <w:rFonts w:ascii="Arial" w:cs="Arial" w:eastAsia="Arial" w:hAnsi="Arial"/>
                <w:sz w:val="18"/>
                <w:szCs w:val="18"/>
                <w:color w:val="auto"/>
              </w:rPr>
              <w:t>Condition of Assets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3.05</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3.06</w:t>
            </w:r>
          </w:p>
        </w:tc>
        <w:tc>
          <w:tcPr>
            <w:tcW w:w="7280" w:type="dxa"/>
            <w:vAlign w:val="bottom"/>
          </w:tcPr>
          <w:p>
            <w:pPr>
              <w:ind w:left="180"/>
              <w:spacing w:after="0"/>
              <w:rPr>
                <w:sz w:val="20"/>
                <w:szCs w:val="20"/>
                <w:color w:val="auto"/>
              </w:rPr>
            </w:pPr>
            <w:r>
              <w:rPr>
                <w:rFonts w:ascii="Arial" w:cs="Arial" w:eastAsia="Arial" w:hAnsi="Arial"/>
                <w:sz w:val="18"/>
                <w:szCs w:val="18"/>
                <w:color w:val="auto"/>
              </w:rPr>
              <w:t>Brokers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3</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3.07</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 Disclosure</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IV </w:t>
            </w:r>
            <w:r>
              <w:rPr>
                <w:rFonts w:ascii="Arial" w:cs="Arial" w:eastAsia="Arial" w:hAnsi="Arial"/>
                <w:sz w:val="18"/>
                <w:szCs w:val="18"/>
                <w:color w:val="auto"/>
              </w:rPr>
              <w:t>REPRESENTATIONS AND WARRANTIES OF BUYER</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4.01</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 and Authority of Buyer; Enforceability</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4.02</w:t>
            </w:r>
          </w:p>
        </w:tc>
        <w:tc>
          <w:tcPr>
            <w:tcW w:w="7280" w:type="dxa"/>
            <w:vAlign w:val="bottom"/>
          </w:tcPr>
          <w:p>
            <w:pPr>
              <w:ind w:left="180"/>
              <w:spacing w:after="0"/>
              <w:rPr>
                <w:sz w:val="20"/>
                <w:szCs w:val="20"/>
                <w:color w:val="auto"/>
              </w:rPr>
            </w:pPr>
            <w:r>
              <w:rPr>
                <w:rFonts w:ascii="Arial" w:cs="Arial" w:eastAsia="Arial" w:hAnsi="Arial"/>
                <w:sz w:val="18"/>
                <w:szCs w:val="18"/>
                <w:color w:val="auto"/>
              </w:rPr>
              <w:t>No Conflicts; Consents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4.03</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Proceedings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4.04</w:t>
            </w:r>
          </w:p>
        </w:tc>
        <w:tc>
          <w:tcPr>
            <w:tcW w:w="7280" w:type="dxa"/>
            <w:vAlign w:val="bottom"/>
          </w:tcPr>
          <w:p>
            <w:pPr>
              <w:ind w:left="180"/>
              <w:spacing w:after="0"/>
              <w:rPr>
                <w:sz w:val="20"/>
                <w:szCs w:val="20"/>
                <w:color w:val="auto"/>
              </w:rPr>
            </w:pPr>
            <w:r>
              <w:rPr>
                <w:rFonts w:ascii="Arial" w:cs="Arial" w:eastAsia="Arial" w:hAnsi="Arial"/>
                <w:sz w:val="18"/>
                <w:szCs w:val="18"/>
                <w:color w:val="auto"/>
              </w:rPr>
              <w:t>Brokers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 </w:t>
            </w:r>
            <w:r>
              <w:rPr>
                <w:rFonts w:ascii="Arial" w:cs="Arial" w:eastAsia="Arial" w:hAnsi="Arial"/>
                <w:sz w:val="18"/>
                <w:szCs w:val="18"/>
                <w:color w:val="auto"/>
              </w:rPr>
              <w:t>COVENANTS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5.01</w:t>
            </w:r>
          </w:p>
        </w:tc>
        <w:tc>
          <w:tcPr>
            <w:tcW w:w="7280" w:type="dxa"/>
            <w:vAlign w:val="bottom"/>
          </w:tcPr>
          <w:p>
            <w:pPr>
              <w:ind w:left="180"/>
              <w:spacing w:after="0"/>
              <w:rPr>
                <w:sz w:val="20"/>
                <w:szCs w:val="20"/>
                <w:color w:val="auto"/>
              </w:rPr>
            </w:pPr>
            <w:r>
              <w:rPr>
                <w:rFonts w:ascii="Arial" w:cs="Arial" w:eastAsia="Arial" w:hAnsi="Arial"/>
                <w:sz w:val="18"/>
                <w:szCs w:val="18"/>
                <w:color w:val="auto"/>
              </w:rPr>
              <w:t>Public Announcements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5.02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Transfer Taxes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5.03</w:t>
            </w:r>
          </w:p>
        </w:tc>
        <w:tc>
          <w:tcPr>
            <w:tcW w:w="728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VI </w:t>
            </w:r>
            <w:r>
              <w:rPr>
                <w:rFonts w:ascii="Arial" w:cs="Arial" w:eastAsia="Arial" w:hAnsi="Arial"/>
                <w:sz w:val="18"/>
                <w:szCs w:val="18"/>
                <w:color w:val="auto"/>
              </w:rPr>
              <w:t>INDEMNIFICATION</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6.01</w:t>
            </w:r>
          </w:p>
        </w:tc>
        <w:tc>
          <w:tcPr>
            <w:tcW w:w="7280" w:type="dxa"/>
            <w:vAlign w:val="bottom"/>
          </w:tcPr>
          <w:p>
            <w:pPr>
              <w:ind w:left="180"/>
              <w:spacing w:after="0"/>
              <w:rPr>
                <w:sz w:val="20"/>
                <w:szCs w:val="20"/>
                <w:color w:val="auto"/>
              </w:rPr>
            </w:pPr>
            <w:r>
              <w:rPr>
                <w:rFonts w:ascii="Arial" w:cs="Arial" w:eastAsia="Arial" w:hAnsi="Arial"/>
                <w:sz w:val="18"/>
                <w:szCs w:val="18"/>
                <w:color w:val="auto"/>
              </w:rPr>
              <w:t>Survival</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6.02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Indemnification By Seller</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6.03</w:t>
            </w:r>
          </w:p>
        </w:tc>
        <w:tc>
          <w:tcPr>
            <w:tcW w:w="7280" w:type="dxa"/>
            <w:vAlign w:val="bottom"/>
          </w:tcPr>
          <w:p>
            <w:pPr>
              <w:ind w:left="180"/>
              <w:spacing w:after="0"/>
              <w:rPr>
                <w:sz w:val="20"/>
                <w:szCs w:val="20"/>
                <w:color w:val="auto"/>
              </w:rPr>
            </w:pPr>
            <w:r>
              <w:rPr>
                <w:rFonts w:ascii="Arial" w:cs="Arial" w:eastAsia="Arial" w:hAnsi="Arial"/>
                <w:sz w:val="18"/>
                <w:szCs w:val="18"/>
                <w:color w:val="auto"/>
              </w:rPr>
              <w:t>Tax Treatment of Indemnification Payments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6.04</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Investigation</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6.05</w:t>
            </w:r>
          </w:p>
        </w:tc>
        <w:tc>
          <w:tcPr>
            <w:tcW w:w="7280" w:type="dxa"/>
            <w:vAlign w:val="bottom"/>
          </w:tcPr>
          <w:p>
            <w:pPr>
              <w:ind w:left="180"/>
              <w:spacing w:after="0"/>
              <w:rPr>
                <w:sz w:val="20"/>
                <w:szCs w:val="20"/>
                <w:color w:val="auto"/>
              </w:rPr>
            </w:pPr>
            <w:r>
              <w:rPr>
                <w:rFonts w:ascii="Arial" w:cs="Arial" w:eastAsia="Arial" w:hAnsi="Arial"/>
                <w:sz w:val="18"/>
                <w:szCs w:val="18"/>
                <w:color w:val="auto"/>
              </w:rPr>
              <w:t>Cumulative Remedies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color w:val="auto"/>
              </w:rPr>
              <w:t>MISCELLANEOUS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7.01</w:t>
            </w:r>
          </w:p>
        </w:tc>
        <w:tc>
          <w:tcPr>
            <w:tcW w:w="728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7.02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7.03</w:t>
            </w:r>
          </w:p>
        </w:tc>
        <w:tc>
          <w:tcPr>
            <w:tcW w:w="728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7.04</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Severability</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7.05</w:t>
            </w:r>
          </w:p>
        </w:tc>
        <w:tc>
          <w:tcPr>
            <w:tcW w:w="728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7.06</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Successors and Assigns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7.07</w:t>
            </w:r>
          </w:p>
        </w:tc>
        <w:tc>
          <w:tcPr>
            <w:tcW w:w="7280" w:type="dxa"/>
            <w:vAlign w:val="bottom"/>
          </w:tcPr>
          <w:p>
            <w:pPr>
              <w:ind w:left="180"/>
              <w:spacing w:after="0"/>
              <w:rPr>
                <w:sz w:val="20"/>
                <w:szCs w:val="20"/>
                <w:color w:val="auto"/>
              </w:rPr>
            </w:pPr>
            <w:r>
              <w:rPr>
                <w:rFonts w:ascii="Arial" w:cs="Arial" w:eastAsia="Arial" w:hAnsi="Arial"/>
                <w:sz w:val="18"/>
                <w:szCs w:val="18"/>
                <w:color w:val="auto"/>
              </w:rPr>
              <w:t>No Third-party Beneficiaries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7.08</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 and Modification</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7.09</w:t>
            </w:r>
          </w:p>
        </w:tc>
        <w:tc>
          <w:tcPr>
            <w:tcW w:w="7280" w:type="dxa"/>
            <w:vAlign w:val="bottom"/>
          </w:tcPr>
          <w:p>
            <w:pPr>
              <w:ind w:left="180"/>
              <w:spacing w:after="0"/>
              <w:rPr>
                <w:sz w:val="20"/>
                <w:szCs w:val="20"/>
                <w:color w:val="auto"/>
              </w:rPr>
            </w:pPr>
            <w:r>
              <w:rPr>
                <w:rFonts w:ascii="Arial" w:cs="Arial" w:eastAsia="Arial" w:hAnsi="Arial"/>
                <w:sz w:val="18"/>
                <w:szCs w:val="18"/>
                <w:color w:val="auto"/>
              </w:rPr>
              <w:t>Waiver</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7.10</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Governing Law</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7.11</w:t>
            </w:r>
          </w:p>
        </w:tc>
        <w:tc>
          <w:tcPr>
            <w:tcW w:w="7280" w:type="dxa"/>
            <w:vAlign w:val="bottom"/>
          </w:tcPr>
          <w:p>
            <w:pPr>
              <w:ind w:left="180"/>
              <w:spacing w:after="0"/>
              <w:rPr>
                <w:sz w:val="20"/>
                <w:szCs w:val="20"/>
                <w:color w:val="auto"/>
              </w:rPr>
            </w:pPr>
            <w:r>
              <w:rPr>
                <w:rFonts w:ascii="Arial" w:cs="Arial" w:eastAsia="Arial" w:hAnsi="Arial"/>
                <w:sz w:val="18"/>
                <w:szCs w:val="18"/>
                <w:color w:val="auto"/>
              </w:rPr>
              <w:t>Submission to Jurisdiction</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7.12</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 of Jury Trial</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tcPr>
          <w:p>
            <w:pPr>
              <w:ind w:left="340"/>
              <w:spacing w:after="0"/>
              <w:rPr>
                <w:sz w:val="20"/>
                <w:szCs w:val="20"/>
                <w:color w:val="auto"/>
              </w:rPr>
            </w:pPr>
            <w:r>
              <w:rPr>
                <w:rFonts w:ascii="Arial" w:cs="Arial" w:eastAsia="Arial" w:hAnsi="Arial"/>
                <w:sz w:val="18"/>
                <w:szCs w:val="18"/>
                <w:b w:val="1"/>
                <w:bCs w:val="1"/>
                <w:color w:val="auto"/>
              </w:rPr>
              <w:t>Section 7.13</w:t>
            </w:r>
          </w:p>
        </w:tc>
        <w:tc>
          <w:tcPr>
            <w:tcW w:w="728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16"/>
        </w:trPr>
        <w:tc>
          <w:tcPr>
            <w:tcW w:w="1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Section 7.14</w:t>
            </w:r>
          </w:p>
        </w:tc>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Counterparts</w:t>
            </w:r>
          </w:p>
        </w:tc>
        <w:tc>
          <w:tcPr>
            <w:tcW w:w="2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Asset Purchase Agreement (this “Agreement”), dated as of January 1, 2022, is entered into between Bourns Productions, Inc., a Nevada corporation (“Seller”) and Dragonfly Energy Corp., a Nevada corporation (“Buyer”).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Seller wishes to sell to Buyer, and Buyer wishes to purchase from Seller, the rights of Seller to the Purchased Assets (as defined herein), subject to the terms and conditions set forth herein;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color w:val="auto"/>
        </w:rPr>
        <w:t>Purchase and Sale of Assets. Subject to the terms and conditions set forth herein, Seller shall sell, assign, transfer, convey and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to Buyer, and Buyer shall purchase from Seller, all of Seller’s right, title and interest in the assets set forth on Section 1.01 of the disclosure schedule (“Disclosure Schedule”) attached hereto (the “Purchased Assets”), free and clear of any mortgage, pledge, lien, charge, security interest, claim or other encumbrance (“Encumbrance”).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1.02 </w:t>
      </w:r>
      <w:r>
        <w:rPr>
          <w:rFonts w:ascii="Arial" w:cs="Arial" w:eastAsia="Arial" w:hAnsi="Arial"/>
          <w:sz w:val="18"/>
          <w:szCs w:val="18"/>
          <w:color w:val="auto"/>
        </w:rPr>
        <w:t>No Liabilities. Buyer shall not assume any liabilities or obligations of Seller of any kind, whether known or unknown, contingent,</w:t>
      </w:r>
      <w:r>
        <w:rPr>
          <w:rFonts w:ascii="Arial" w:cs="Arial" w:eastAsia="Arial" w:hAnsi="Arial"/>
          <w:sz w:val="18"/>
          <w:szCs w:val="18"/>
          <w:b w:val="1"/>
          <w:bCs w:val="1"/>
          <w:color w:val="auto"/>
        </w:rPr>
        <w:t xml:space="preserve"> </w:t>
      </w:r>
      <w:r>
        <w:rPr>
          <w:rFonts w:ascii="Arial" w:cs="Arial" w:eastAsia="Arial" w:hAnsi="Arial"/>
          <w:sz w:val="18"/>
          <w:szCs w:val="18"/>
          <w:color w:val="auto"/>
        </w:rPr>
        <w:t>matured or otherwise, whether currently existing or hereinafter created.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1.03 </w:t>
      </w:r>
      <w:r>
        <w:rPr>
          <w:rFonts w:ascii="Arial" w:cs="Arial" w:eastAsia="Arial" w:hAnsi="Arial"/>
          <w:sz w:val="18"/>
          <w:szCs w:val="18"/>
          <w:color w:val="auto"/>
        </w:rPr>
        <w:t>Purchase Price. The aggregate purchase price for the Purchased Assets shall be $196,866.20 (the “Purchase Price”). The Buyer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the Purchase Price to Seller at the Closing (as defined herein) in cash, by wire transfer of immediately available funds in accordance with the wire transfer instructions set forth in Section 1.03 of the Disclosure Schedules.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color w:val="auto"/>
        </w:rPr>
        <w:t>Allocation of Purchase Price. Seller and Buyer agree to allocate the Purchase Price among the Purchased Assets for all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tax and financial accounting) in accordance with Section 1.04 of the Disclosure Schedules. Buyer and Seller shall file all tax returns (including amended returns and claims for refund) and information reports in a manner consistent with such allocation.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color w:val="auto"/>
        </w:rPr>
        <w:t>Withholding Tax. Buyer shall be entitled to deduct and withhold from the Purchase Price all taxes that Buyer may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deduct and withhold under any applicable tax law. All such withheld amounts shall be treated as delivered to Seller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CLOSING</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2.01 </w:t>
      </w:r>
      <w:r>
        <w:rPr>
          <w:rFonts w:ascii="Arial" w:cs="Arial" w:eastAsia="Arial" w:hAnsi="Arial"/>
          <w:sz w:val="16"/>
          <w:szCs w:val="16"/>
          <w:color w:val="auto"/>
        </w:rPr>
        <w:t>Closing. The closing of the transactions contemplated by this Agreement (the “Closing”) shall take place simultaneously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of this Agreement on the date of this Agreement (the “Closing Date”) at the offices of Dragonfly Energy Corp, 1190 Trademark Drive, #108, Reno, Nevada 89521. The consummation of the transactions contemplated by this Agreement shall be deemed to occur at 12:01 a.m. on the Closing Date.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2.02 </w:t>
      </w:r>
      <w:r>
        <w:rPr>
          <w:rFonts w:ascii="Arial" w:cs="Arial" w:eastAsia="Arial" w:hAnsi="Arial"/>
          <w:sz w:val="18"/>
          <w:szCs w:val="18"/>
          <w:color w:val="auto"/>
        </w:rPr>
        <w:t>Closing Deliverables.</w:t>
      </w:r>
    </w:p>
    <w:p>
      <w:pPr>
        <w:spacing w:after="0" w:line="229" w:lineRule="exact"/>
        <w:rPr>
          <w:sz w:val="20"/>
          <w:szCs w:val="20"/>
          <w:color w:val="auto"/>
        </w:rPr>
      </w:pPr>
    </w:p>
    <w:p>
      <w:pPr>
        <w:ind w:left="900" w:hanging="244"/>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Closing, Seller shall deliver to Buyer the following:</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 bill of sale in the form of Exhibit A hereto (the “Bill of Sale”) and duly executed by Seller, transferring the Purchased Assets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211" w:lineRule="exact"/>
        <w:rPr>
          <w:sz w:val="20"/>
          <w:szCs w:val="20"/>
          <w:color w:val="auto"/>
        </w:rPr>
      </w:pPr>
    </w:p>
    <w:p>
      <w:pPr>
        <w:ind w:right="220" w:firstLine="1304"/>
        <w:spacing w:after="0" w:line="308" w:lineRule="auto"/>
        <w:tabs>
          <w:tab w:leader="none" w:pos="1561"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 assignment and assumption agreement in the form of Exhibit B hereto (the “Assignment and Assumption Agreement”) and duly executed by Seller, effecting the assignment to and assumption by Buyer of the Purchased Assets and the Assumed Liabilities;</w:t>
      </w:r>
    </w:p>
    <w:p>
      <w:pPr>
        <w:spacing w:after="0" w:line="146" w:lineRule="exact"/>
        <w:rPr>
          <w:rFonts w:ascii="Arial" w:cs="Arial" w:eastAsia="Arial" w:hAnsi="Arial"/>
          <w:sz w:val="17"/>
          <w:szCs w:val="17"/>
          <w:color w:val="auto"/>
        </w:rPr>
      </w:pPr>
    </w:p>
    <w:p>
      <w:pPr>
        <w:ind w:right="180" w:firstLine="1304"/>
        <w:spacing w:after="0" w:line="277" w:lineRule="auto"/>
        <w:tabs>
          <w:tab w:leader="none" w:pos="161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 Assignment and Assumption of Lease in form and substance satisfactory to Buyer (the “Assignment and Assumption of Lease”) and duly executed by Seller;</w:t>
      </w:r>
    </w:p>
    <w:p>
      <w:pPr>
        <w:spacing w:after="0" w:line="170" w:lineRule="exact"/>
        <w:rPr>
          <w:rFonts w:ascii="Arial" w:cs="Arial" w:eastAsia="Arial" w:hAnsi="Arial"/>
          <w:sz w:val="18"/>
          <w:szCs w:val="18"/>
          <w:color w:val="auto"/>
        </w:rPr>
      </w:pPr>
    </w:p>
    <w:p>
      <w:pPr>
        <w:ind w:right="220" w:firstLine="1304"/>
        <w:spacing w:after="0" w:line="277" w:lineRule="auto"/>
        <w:tabs>
          <w:tab w:leader="none" w:pos="160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 certificate pursuant to Treasury Regulations Section 1.1445-2(b) that Seller is not a foreign person within the meaning of Section 1445 of the Internal Revenue Code duly executed by Seller;</w:t>
      </w:r>
    </w:p>
    <w:p>
      <w:pPr>
        <w:spacing w:after="0" w:line="170" w:lineRule="exact"/>
        <w:rPr>
          <w:rFonts w:ascii="Arial" w:cs="Arial" w:eastAsia="Arial" w:hAnsi="Arial"/>
          <w:sz w:val="18"/>
          <w:szCs w:val="18"/>
          <w:color w:val="auto"/>
        </w:rPr>
      </w:pPr>
    </w:p>
    <w:p>
      <w:pPr>
        <w:ind w:right="440" w:firstLine="1304"/>
        <w:spacing w:after="0" w:line="277" w:lineRule="auto"/>
        <w:tabs>
          <w:tab w:leader="none" w:pos="155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such other customary instruments of transfer, assumption, filings or documents, in form and substance reasonably satisfactory to Buyer, as may be required to give effect to this Agreement; and</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At the Closing, Buyer shall deliver to Seller the following:</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Purchase Price;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Assignment and Assumption Agreement duly executed by Buyer;</w:t>
      </w:r>
    </w:p>
    <w:p>
      <w:pPr>
        <w:spacing w:after="0" w:line="225" w:lineRule="exact"/>
        <w:rPr>
          <w:rFonts w:ascii="Arial" w:cs="Arial" w:eastAsia="Arial" w:hAnsi="Arial"/>
          <w:sz w:val="18"/>
          <w:szCs w:val="18"/>
          <w:color w:val="auto"/>
        </w:rPr>
      </w:pPr>
    </w:p>
    <w:p>
      <w:pPr>
        <w:ind w:left="1620" w:hanging="316"/>
        <w:spacing w:after="0"/>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Assignment and Assumption of Lease duly executed by Buyer; 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Seller represents and warrants to Buyer that the statements contained in this Article III are true and correct as of the date hereof. For purposes of this Article III, “Seller’s knowledge,” “knowledge of Seller” and any similar phrases shall mean the actual or constructive knowledge of any director or officer of Seller, after due inquiry.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3.01 </w:t>
      </w:r>
      <w:r>
        <w:rPr>
          <w:rFonts w:ascii="Arial" w:cs="Arial" w:eastAsia="Arial" w:hAnsi="Arial"/>
          <w:sz w:val="17"/>
          <w:szCs w:val="17"/>
          <w:color w:val="auto"/>
        </w:rPr>
        <w:t>Organization and Authority of Seller; Enforceability. Seller is a corporation duly organized, validly existing and in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laws of the State of Nevada. Seller has full corporate power and authority to enter into this Agreement and the documents to be delivered hereunder, to carry out its obligations hereunder and to consummate the transactions contemplated hereby. The execution, delivery and performance by Seller of this Agreement and the documents to be delivered hereunder and the consummation of the transactions contemplated hereby have been duly authorized by all requisite corporate action on the part of Seller. This Agreement and the documents to be delivered hereunder have been duly executed and delivered by Seller, and (assuming due authorization, execution and delivery by Buyer) this Agreement and the documents to be delivered hereunder constitute legal, valid and binding obligations of Seller, enforceable against Seller in accordance with their respective terms.</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3.02 </w:t>
      </w:r>
      <w:r>
        <w:rPr>
          <w:rFonts w:ascii="Arial" w:cs="Arial" w:eastAsia="Arial" w:hAnsi="Arial"/>
          <w:sz w:val="16"/>
          <w:szCs w:val="16"/>
          <w:color w:val="auto"/>
        </w:rPr>
        <w:t>No Conflicts; Consents. The execution, delivery and performance by Seller of this Agreement and the documents to be delivered</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and the consummation of the transactions contemplated hereby, do not and will not: (a) violate or conflict with the certificate of incorporation, by-laws or other organizational documents of Seller; (b) violate or conflict with any judgment, order, decree, statute, law, ordinance, rule or regulation applicable to Seller or the Purchased Assets; (c) conflict with, or result in (with or without notice or lapse of time or both) any violation of, or default under, or give rise to a right of termination, acceleration or modification of any obligation or loss of any benefit under any contract or other instrument to which Seller is a party or to which any of the Purchased Assets are subject; or (d) result in the creation or imposition of any Encumbrance on the Purchased Assets. No consent, approval, waiver or authorization is required to be obtained by Seller from any person or entity (including any governmental authority) in connection with the execution, delivery and performance by Seller of this Agreement and the consummation of the transactions contemplated hereby.</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color w:val="auto"/>
        </w:rPr>
        <w:t>Title to Purchased Assets. Seller owns and has good title to the Purchased Assets, free and clear of Encumbrances.</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Section 3.04 </w:t>
      </w:r>
      <w:r>
        <w:rPr>
          <w:rFonts w:ascii="Arial" w:cs="Arial" w:eastAsia="Arial" w:hAnsi="Arial"/>
          <w:sz w:val="16"/>
          <w:szCs w:val="16"/>
          <w:color w:val="auto"/>
        </w:rPr>
        <w:t>Condition of Assets. The Purchased Assets are in good condition and are adequate for the uses to which they are being put, and none</w:t>
      </w:r>
      <w:r>
        <w:rPr>
          <w:rFonts w:ascii="Arial" w:cs="Arial" w:eastAsia="Arial" w:hAnsi="Arial"/>
          <w:sz w:val="16"/>
          <w:szCs w:val="16"/>
          <w:b w:val="1"/>
          <w:bCs w:val="1"/>
          <w:color w:val="auto"/>
        </w:rPr>
        <w:t xml:space="preserve"> </w:t>
      </w:r>
      <w:r>
        <w:rPr>
          <w:rFonts w:ascii="Arial" w:cs="Arial" w:eastAsia="Arial" w:hAnsi="Arial"/>
          <w:sz w:val="16"/>
          <w:szCs w:val="16"/>
          <w:color w:val="auto"/>
        </w:rPr>
        <w:t>of such Purchased Assets are in need of maintenance or repairs except for ordinary, routine maintenance and repairs that are not material in nature or cost.</w:t>
      </w:r>
    </w:p>
    <w:p>
      <w:pPr>
        <w:spacing w:after="0" w:line="11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3.05 </w:t>
      </w:r>
      <w:r>
        <w:rPr>
          <w:rFonts w:ascii="Arial" w:cs="Arial" w:eastAsia="Arial" w:hAnsi="Arial"/>
          <w:sz w:val="18"/>
          <w:szCs w:val="18"/>
          <w:color w:val="auto"/>
        </w:rPr>
        <w:t>Legal Proceedings. There is no claim, action, suit, proceeding or governmental investigation (“Action”) of any nature pending or, to</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knowledge, threatened against or by Seller (a) relating to or affecting the Purchased Assets or the Assumed Liabilities; or (b) that challenges or seeks to prevent, enjoin or otherwise delay the transactions contemplated by this Agreement. No event has occurred or circumstances exist that may give rise to, or serve as a basis for, any such Action.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3.06 </w:t>
      </w:r>
      <w:r>
        <w:rPr>
          <w:rFonts w:ascii="Arial" w:cs="Arial" w:eastAsia="Arial" w:hAnsi="Arial"/>
          <w:sz w:val="18"/>
          <w:szCs w:val="18"/>
          <w:color w:val="auto"/>
        </w:rPr>
        <w:t>Brokers. 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based upon arrangements made by or on behalf of Seller.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3.07 </w:t>
      </w:r>
      <w:r>
        <w:rPr>
          <w:rFonts w:ascii="Arial" w:cs="Arial" w:eastAsia="Arial" w:hAnsi="Arial"/>
          <w:sz w:val="18"/>
          <w:szCs w:val="18"/>
          <w:color w:val="auto"/>
        </w:rPr>
        <w:t>Full Disclosure. No representation or warranty by Seller in this Agreement and no statement contained in the Disclosure Schedules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any certificate or other document furnished or to be furnished to Buyer pursuant to this Agreement contains any untrue statement of a material fact, or omits to state a material fact necessary to make the statements contained therein, in light of the circumstances in which they are made, not misleading.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BUYER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Buyer represents and warrants to Seller that the statements contained in this Article IV are true and correct as of the date hereof. For purposes of this Article IV, “Buyer’s knowledge,” “knowledge of Buyer” and any similar phrases shall mean the actual or constructive knowledge of any director or officer of Buyer, after due inquiry.</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4.01 </w:t>
      </w:r>
      <w:r>
        <w:rPr>
          <w:rFonts w:ascii="Arial" w:cs="Arial" w:eastAsia="Arial" w:hAnsi="Arial"/>
          <w:sz w:val="17"/>
          <w:szCs w:val="17"/>
          <w:color w:val="auto"/>
        </w:rPr>
        <w:t>Organization and Authority of Buyer; Enforceability. Buyer is a corporation duly organized, validly existing and in good 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laws of the State of Nevada. Buyer has full corporate power and authority to enter into this Agreement and the documents to be delivered hereunder, to carry out its obligations hereunder and to consummate the transactions contemplated hereby. The execution, delivery and performance by Buyer of this Agreement and the documents to be delivered hereunder and the consummation of the transactions contemplated hereby have been duly authorized by all requisite corporate action on the part of Buyer. This Agreement and the documents to be delivered hereunder have been duly executed and delivered by Buyer, and (assuming due authorization, execution and delivery by Seller) this Agreement and the documents to be delivered hereunder constitute legal, valid and binding obligations of Buyer enforceable against Buyer in accordance with their respective terms.</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color w:val="auto"/>
        </w:rPr>
        <w:t>No Conflicts; Consents. The execution, delivery and performance by Buyer of this Agreement and the documents to be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 consummation of the transactions contemplated hereby, do not and will not: (a) violate or conflict with the certificate of incorporation, by-laws or other organizational documents of Buyer; or (b) violate or conflict with any judgment, order, decree, statute, law, ordinance, rule or regulation applicable to Buyer. No consent, approval, waiver or authorization is required to be obtained by Buyer from any person or entity (including any governmental authority) in connection with the execution, delivery and performance by Buyer of this Agreement and the consummation of the transactions contemplated hereby.</w:t>
      </w:r>
    </w:p>
    <w:p>
      <w:pPr>
        <w:spacing w:after="0" w:line="1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4.03 </w:t>
      </w:r>
      <w:r>
        <w:rPr>
          <w:rFonts w:ascii="Arial" w:cs="Arial" w:eastAsia="Arial" w:hAnsi="Arial"/>
          <w:sz w:val="18"/>
          <w:szCs w:val="18"/>
          <w:color w:val="auto"/>
        </w:rPr>
        <w:t>Legal Proceedings. There is no Action of any nature pending or, to Buyer’s knowledge, threatened against or by Buyer that</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challenges or seeks to prevent, enjoin or otherwise delay the transactions contemplated by this Agreement. No event has occurred or circumstances exist that may give rise to, or serve as a basis for, any such Action.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4.04 </w:t>
      </w:r>
      <w:r>
        <w:rPr>
          <w:rFonts w:ascii="Arial" w:cs="Arial" w:eastAsia="Arial" w:hAnsi="Arial"/>
          <w:sz w:val="18"/>
          <w:szCs w:val="18"/>
          <w:color w:val="auto"/>
        </w:rPr>
        <w:t>Brokers. No broker, finder or investment banker is entitled to any brokerage, finder’s or other fee or commission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contemplated by this Agreement based upon arrangements made by or on behalf of Buyer.</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5.01 </w:t>
      </w:r>
      <w:r>
        <w:rPr>
          <w:rFonts w:ascii="Arial" w:cs="Arial" w:eastAsia="Arial" w:hAnsi="Arial"/>
          <w:sz w:val="18"/>
          <w:szCs w:val="18"/>
          <w:color w:val="auto"/>
        </w:rPr>
        <w:t>Public Announcements. Unless otherwise required by applicable law, neither party shall make any public announcements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the transactions contemplated hereby without the prior written consent of the other party (which consent shall not be unreasonably withheld or delayed).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5.02 </w:t>
      </w:r>
      <w:r>
        <w:rPr>
          <w:rFonts w:ascii="Arial" w:cs="Arial" w:eastAsia="Arial" w:hAnsi="Arial"/>
          <w:sz w:val="18"/>
          <w:szCs w:val="18"/>
          <w:color w:val="auto"/>
        </w:rPr>
        <w:t>Transfer Taxes. All transfer, documentary, sales, use, stamp, registration, value added and other such taxes and fees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and interest) incurred in connection with this Agreement and the documents to be delivered hereunder shall be borne and paid by Seller when due. Seller shall, at its own expense, timely file any tax return or other document with respect to such taxes or fees (and Buyer shall cooperate with respect thereto as necessary).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5.03 </w:t>
      </w:r>
      <w:r>
        <w:rPr>
          <w:rFonts w:ascii="Arial" w:cs="Arial" w:eastAsia="Arial" w:hAnsi="Arial"/>
          <w:sz w:val="18"/>
          <w:szCs w:val="18"/>
          <w:color w:val="auto"/>
        </w:rPr>
        <w:t>Further Assurances. Following the Closing, each of the parties hereto shall execute and deliver such additional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conveyances and assurances and take such further actions as may be reasonably required to carry out the provisions hereof and give effect to the transactions contemplated by this Agreement and the documents to be delivered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6.01 </w:t>
      </w:r>
      <w:r>
        <w:rPr>
          <w:rFonts w:ascii="Arial" w:cs="Arial" w:eastAsia="Arial" w:hAnsi="Arial"/>
          <w:sz w:val="18"/>
          <w:szCs w:val="18"/>
          <w:color w:val="auto"/>
        </w:rPr>
        <w:t>Survival. All representations, warranties, covenants and agreements contained herein and all related rights to indemnification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survive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6.02 </w:t>
      </w:r>
      <w:r>
        <w:rPr>
          <w:rFonts w:ascii="Arial" w:cs="Arial" w:eastAsia="Arial" w:hAnsi="Arial"/>
          <w:sz w:val="18"/>
          <w:szCs w:val="18"/>
          <w:color w:val="auto"/>
        </w:rPr>
        <w:t>Indemnification By Seller. Seller shall defend, indemnify and hold harmless Buyer, its affiliates and their respective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and employees from and against all claims, judgments, damages, liabilities, settlements, losses, costs and expenses, including attorneys’ fees and disbursements, arising from or relating to:</w:t>
      </w:r>
    </w:p>
    <w:p>
      <w:pPr>
        <w:spacing w:after="0" w:line="180" w:lineRule="exact"/>
        <w:rPr>
          <w:sz w:val="20"/>
          <w:szCs w:val="20"/>
          <w:color w:val="auto"/>
        </w:rPr>
      </w:pPr>
    </w:p>
    <w:p>
      <w:pPr>
        <w:ind w:right="160" w:firstLine="656"/>
        <w:spacing w:after="0" w:line="277" w:lineRule="auto"/>
        <w:tabs>
          <w:tab w:leader="none" w:pos="89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inaccuracy in or breach of any of the representations or warranties of Seller contained in this Agreement or any document to be delivered hereunder; or</w:t>
      </w:r>
    </w:p>
    <w:p>
      <w:pPr>
        <w:spacing w:after="0" w:line="170" w:lineRule="exact"/>
        <w:rPr>
          <w:rFonts w:ascii="Arial" w:cs="Arial" w:eastAsia="Arial" w:hAnsi="Arial"/>
          <w:sz w:val="18"/>
          <w:szCs w:val="18"/>
          <w:color w:val="auto"/>
        </w:rPr>
      </w:pPr>
    </w:p>
    <w:p>
      <w:pPr>
        <w:ind w:right="60" w:firstLine="656"/>
        <w:spacing w:after="0" w:line="277" w:lineRule="auto"/>
        <w:tabs>
          <w:tab w:leader="none" w:pos="9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breach or non-fulfillment of any covenant, agreement or obligation to be performed by Seller pursuant to this Agreement or any document to be delivered hereunder.</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6.03 </w:t>
      </w:r>
      <w:r>
        <w:rPr>
          <w:rFonts w:ascii="Arial" w:cs="Arial" w:eastAsia="Arial" w:hAnsi="Arial"/>
          <w:sz w:val="18"/>
          <w:szCs w:val="18"/>
          <w:color w:val="auto"/>
        </w:rPr>
        <w:t>Tax Treatment of Indemnification Payments. All indemnification payments made by Seller under this Agreement shall be treated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as an adjustment to the Purchase Price for tax purposes, unless otherwise required by law.</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Section 6.04 </w:t>
      </w:r>
      <w:r>
        <w:rPr>
          <w:rFonts w:ascii="Arial" w:cs="Arial" w:eastAsia="Arial" w:hAnsi="Arial"/>
          <w:sz w:val="17"/>
          <w:szCs w:val="17"/>
          <w:color w:val="auto"/>
        </w:rPr>
        <w:t>Effect of Investigation. Buyer’s right to indemnification or other remedy based on the representations, warranties, covenants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of Seller contained herein will not be affected by any investigation conducted by Buyer with respect to, or any knowledge acquired by Buyer at any time, with respect to the accuracy or inaccuracy of or compliance with, any such representation, warranty, covenant or agreement.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6.05 </w:t>
      </w:r>
      <w:r>
        <w:rPr>
          <w:rFonts w:ascii="Arial" w:cs="Arial" w:eastAsia="Arial" w:hAnsi="Arial"/>
          <w:sz w:val="18"/>
          <w:szCs w:val="18"/>
          <w:color w:val="auto"/>
        </w:rPr>
        <w:t>Cumulative Remedies. The rights and remedies provided in this Article VI are cumulative and are in addition to and not in</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substitution for any other rights and remedies available at law or in equity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0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7.01 </w:t>
      </w:r>
      <w:r>
        <w:rPr>
          <w:rFonts w:ascii="Arial" w:cs="Arial" w:eastAsia="Arial" w:hAnsi="Arial"/>
          <w:sz w:val="18"/>
          <w:szCs w:val="18"/>
          <w:color w:val="auto"/>
        </w:rPr>
        <w:t>Expenses. All costs and expenses incurred in connection with this Agreement and the transactions contemplated hereby shall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party incurring such costs and expenses.</w:t>
      </w:r>
    </w:p>
    <w:p>
      <w:pPr>
        <w:spacing w:after="0" w:line="16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 xml:space="preserve">Section 7.02 </w:t>
      </w:r>
      <w:r>
        <w:rPr>
          <w:rFonts w:ascii="Arial" w:cs="Arial" w:eastAsia="Arial" w:hAnsi="Arial"/>
          <w:sz w:val="16"/>
          <w:szCs w:val="16"/>
          <w:color w:val="auto"/>
        </w:rPr>
        <w:t>Notices. All notices, requests, consents, claims, demands, waivers and other communications hereunder shall be in writing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deemed to have been given (a) when delivered by hand (with written confirmation of receipt); (b) when received by the addressee if sent by a nationally recognized overnight courier (receipt requested); (c) on the date sent by facsimile or e-mail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following addresses (or at such other address for a party as shall be specified in a notice given in accordance with this Section 7.02):</w:t>
      </w:r>
    </w:p>
    <w:p>
      <w:pPr>
        <w:sectPr>
          <w:pgSz w:w="11900" w:h="16838" w:orient="portrait"/>
          <w:cols w:equalWidth="0" w:num="1">
            <w:col w:w="11240"/>
          </w:cols>
          <w:pgMar w:left="320" w:top="688"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If to Seller: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Bourns Productions, Inc.</w:t>
      </w:r>
    </w:p>
    <w:p>
      <w:pPr>
        <w:spacing w:after="0" w:line="211"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Attention:</w:t>
      </w:r>
    </w:p>
    <w:p>
      <w:pPr>
        <w:sectPr>
          <w:pgSz w:w="11900" w:h="16838" w:orient="portrait"/>
          <w:cols w:equalWidth="0" w:num="1">
            <w:col w:w="11240"/>
          </w:cols>
          <w:pgMar w:left="320" w:top="688" w:right="339" w:bottom="1440" w:gutter="0" w:footer="0" w:header="0"/>
          <w:type w:val="continuous"/>
        </w:sect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to Buyer: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NV 89521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nharvey@dragonflyenergy.com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Nicole Harvey, General Counsel</w:t>
      </w:r>
    </w:p>
    <w:p>
      <w:pPr>
        <w:spacing w:after="0" w:line="200" w:lineRule="exact"/>
        <w:rPr>
          <w:sz w:val="20"/>
          <w:szCs w:val="20"/>
          <w:color w:val="auto"/>
        </w:rPr>
      </w:pPr>
    </w:p>
    <w:p>
      <w:pPr>
        <w:sectPr>
          <w:pgSz w:w="11900" w:h="16838" w:orient="portrait"/>
          <w:cols w:equalWidth="0" w:num="2">
            <w:col w:w="4900" w:space="720"/>
            <w:col w:w="5620"/>
          </w:cols>
          <w:pgMar w:left="320" w:top="688" w:right="339" w:bottom="1440" w:gutter="0" w:footer="0" w:header="0"/>
          <w:type w:val="continuous"/>
        </w:sectPr>
      </w:pPr>
    </w:p>
    <w:p>
      <w:pPr>
        <w:spacing w:after="0" w:line="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Section 7.03 </w:t>
      </w:r>
      <w:r>
        <w:rPr>
          <w:rFonts w:ascii="Arial" w:cs="Arial" w:eastAsia="Arial" w:hAnsi="Arial"/>
          <w:sz w:val="17"/>
          <w:szCs w:val="17"/>
          <w:color w:val="auto"/>
        </w:rPr>
        <w:t>Headings. The headings in this Agreement are for reference only and shall not affect the interpretation of this Agreement.</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7.04 </w:t>
      </w:r>
      <w:r>
        <w:rPr>
          <w:rFonts w:ascii="Arial" w:cs="Arial" w:eastAsia="Arial" w:hAnsi="Arial"/>
          <w:sz w:val="18"/>
          <w:szCs w:val="18"/>
          <w:color w:val="auto"/>
        </w:rPr>
        <w:t>Severability. If any term or provision of this Agreement is invalid, illegal or unenforceable in any jurisdiction, such invalidity,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illegality or unenforceability shall not affect any other term or provision of this Agreement or invalidate or render unenforceable such term or provision in any other jurisdiction.</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7.05 </w:t>
      </w:r>
      <w:r>
        <w:rPr>
          <w:rFonts w:ascii="Arial" w:cs="Arial" w:eastAsia="Arial" w:hAnsi="Arial"/>
          <w:sz w:val="17"/>
          <w:szCs w:val="17"/>
          <w:color w:val="auto"/>
        </w:rPr>
        <w:t>Entire Agreement. This Agreement and the documents to be delivered hereunder constitute the sole and entire agreement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to this Agreement with respect to the subject matter contained herein, and supersede all prior and contemporaneous understandings and agreements, both written and oral, with respect to such subject matter. In the event of any inconsistency between the statements in the body of this Agreement and the documents to be delivered hereunder, the Exhibits and Disclosure Schedules (other than an exception expressly set forth as such in the Disclosure Schedules), the statements in the body of this Agreement will control.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71" w:name="page172"/>
    <w:bookmarkEnd w:id="171"/>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7.06 </w:t>
      </w:r>
      <w:r>
        <w:rPr>
          <w:rFonts w:ascii="Arial" w:cs="Arial" w:eastAsia="Arial" w:hAnsi="Arial"/>
          <w:sz w:val="16"/>
          <w:szCs w:val="16"/>
          <w:color w:val="auto"/>
        </w:rPr>
        <w:t>Successors and Assigns. This Agreement shall be binding upon and shall inure to the benefit of the parties hereto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permitted assigns. Neither party may assign its rights or obligations hereunder without the prior written consent of the other party, which consent shall not be unreasonably withheld or delayed. No assignment shall relieve the assigning party of any of its obligations hereunder.</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7.07 </w:t>
      </w:r>
      <w:r>
        <w:rPr>
          <w:rFonts w:ascii="Arial" w:cs="Arial" w:eastAsia="Arial" w:hAnsi="Arial"/>
          <w:sz w:val="18"/>
          <w:szCs w:val="18"/>
          <w:color w:val="auto"/>
        </w:rPr>
        <w:t>No Third-party Beneficiaries. Except as provided in Article VI, this Agreement is for the sole benefit of the parties hereto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7.08 </w:t>
      </w:r>
      <w:r>
        <w:rPr>
          <w:rFonts w:ascii="Arial" w:cs="Arial" w:eastAsia="Arial" w:hAnsi="Arial"/>
          <w:sz w:val="18"/>
          <w:szCs w:val="18"/>
          <w:color w:val="auto"/>
        </w:rPr>
        <w:t>Amendment and Modification. This Agreement may only be amended, modified or supplemented by an agreement in writing signed</w:t>
      </w:r>
      <w:r>
        <w:rPr>
          <w:rFonts w:ascii="Arial" w:cs="Arial" w:eastAsia="Arial" w:hAnsi="Arial"/>
          <w:sz w:val="18"/>
          <w:szCs w:val="18"/>
          <w:b w:val="1"/>
          <w:bCs w:val="1"/>
          <w:color w:val="auto"/>
        </w:rPr>
        <w:t xml:space="preserve"> </w:t>
      </w:r>
      <w:r>
        <w:rPr>
          <w:rFonts w:ascii="Arial" w:cs="Arial" w:eastAsia="Arial" w:hAnsi="Arial"/>
          <w:sz w:val="18"/>
          <w:szCs w:val="18"/>
          <w:color w:val="auto"/>
        </w:rPr>
        <w:t>by each party hereto.</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7.09 </w:t>
      </w:r>
      <w:r>
        <w:rPr>
          <w:rFonts w:ascii="Arial" w:cs="Arial" w:eastAsia="Arial" w:hAnsi="Arial"/>
          <w:sz w:val="18"/>
          <w:szCs w:val="18"/>
          <w:color w:val="auto"/>
        </w:rPr>
        <w:t>Waiver. No waiver by any party of any of the provisions hereof shall be effective unless explicitly set forth in writing and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7.10 </w:t>
      </w:r>
      <w:r>
        <w:rPr>
          <w:rFonts w:ascii="Arial" w:cs="Arial" w:eastAsia="Arial" w:hAnsi="Arial"/>
          <w:sz w:val="18"/>
          <w:szCs w:val="18"/>
          <w:color w:val="auto"/>
        </w:rPr>
        <w:t>Governing Law. This Agreement shall be governed by and construed in accordance with the internal laws of the State of Nevada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or conflict of law provision or rule (whether of the State of Nevada or any other jurisdiction).</w:t>
      </w:r>
    </w:p>
    <w:p>
      <w:pPr>
        <w:spacing w:after="0" w:line="16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Section 7.11 </w:t>
      </w:r>
      <w:r>
        <w:rPr>
          <w:rFonts w:ascii="Arial" w:cs="Arial" w:eastAsia="Arial" w:hAnsi="Arial"/>
          <w:sz w:val="16"/>
          <w:szCs w:val="16"/>
          <w:color w:val="auto"/>
        </w:rPr>
        <w:t>Submission to Jurisdiction. Any legal suit, action or proceeding arising out of or based upon this Agreement or the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contemplated hereby may be instituted in the federal courts of the United States of America or the courts of the State of Nevada in each case located in the city of Reno and county of Washoe, and each party irrevocably submits to the exclusive jurisdiction of such courts in any such suit, action or proceeding.</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7.12 </w:t>
      </w:r>
      <w:r>
        <w:rPr>
          <w:rFonts w:ascii="Arial" w:cs="Arial" w:eastAsia="Arial" w:hAnsi="Arial"/>
          <w:sz w:val="18"/>
          <w:szCs w:val="18"/>
          <w:color w:val="auto"/>
        </w:rPr>
        <w:t>Waiver of Jury Trial. Each party acknowledges and agrees that any controversy which may arise under this Agreement is likely to</w:t>
      </w:r>
      <w:r>
        <w:rPr>
          <w:rFonts w:ascii="Arial" w:cs="Arial" w:eastAsia="Arial" w:hAnsi="Arial"/>
          <w:sz w:val="18"/>
          <w:szCs w:val="18"/>
          <w:b w:val="1"/>
          <w:bCs w:val="1"/>
          <w:color w:val="auto"/>
        </w:rPr>
        <w:t xml:space="preserve"> </w:t>
      </w:r>
      <w:r>
        <w:rPr>
          <w:rFonts w:ascii="Arial" w:cs="Arial" w:eastAsia="Arial" w:hAnsi="Arial"/>
          <w:sz w:val="18"/>
          <w:szCs w:val="18"/>
          <w:color w:val="auto"/>
        </w:rPr>
        <w:t>involve complicated and difficult issues and, therefore, each such party irrevocably and unconditionally waives any right it may have to a trial by jury in respect of any legal action arising out of or relating to this Agreement or the transactions contemplated hereby.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7.13 </w:t>
      </w:r>
      <w:r>
        <w:rPr>
          <w:rFonts w:ascii="Arial" w:cs="Arial" w:eastAsia="Arial" w:hAnsi="Arial"/>
          <w:sz w:val="18"/>
          <w:szCs w:val="18"/>
          <w:color w:val="auto"/>
        </w:rPr>
        <w:t>Specific Performance. The parties agree that irreparable damage would occur if any provision of this Agreement were not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hereof and that the parties shall be entitled to specific performance of the terms hereof, in addition to any other remedy to which they are entitled at law or in equity.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7.14 </w:t>
      </w:r>
      <w:r>
        <w:rPr>
          <w:rFonts w:ascii="Arial" w:cs="Arial" w:eastAsia="Arial" w:hAnsi="Arial"/>
          <w:sz w:val="18"/>
          <w:szCs w:val="18"/>
          <w:color w:val="auto"/>
        </w:rPr>
        <w:t>Counterparts. This Agreement may be executed in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as of the date first written above by their respective officers thereunto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BOURNS PRODUCTIONS,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Tyler Bourns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 By:  </w:t>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10.31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Assignment and Assumption Agreement (the “Agreement”), effective as of January 1, 2022 (the “Effective Date”), is by and between Bourns Productions, Inc., a Nevada corporation (“Seller”), and Dragonfly Energy Corp., a Nevada corporation (“Buyer”).</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WHEREAS, Seller and Buyer have entered into a certain Asset Purchase Agreement, dated as of January 1, 2021 (the “Purchase Agreement”), pursuant to which, among other things, Seller has agreed to assign all of its rights, title and interests in, and Buyer has agreed to assume all of Seller’s</w:t>
      </w:r>
    </w:p>
    <w:p>
      <w:pPr>
        <w:spacing w:after="0"/>
        <w:tabs>
          <w:tab w:leader="none" w:pos="4680" w:val="left"/>
        </w:tabs>
        <w:rPr>
          <w:sz w:val="20"/>
          <w:szCs w:val="20"/>
          <w:color w:val="auto"/>
        </w:rPr>
      </w:pPr>
      <w:r>
        <w:rPr>
          <w:rFonts w:ascii="Arial" w:cs="Arial" w:eastAsia="Arial" w:hAnsi="Arial"/>
          <w:sz w:val="18"/>
          <w:szCs w:val="18"/>
          <w:color w:val="auto"/>
        </w:rPr>
        <w:t>duties and obligations under, the Starr Insurance Policy No.</w:t>
      </w:r>
      <w:r>
        <w:rPr>
          <w:sz w:val="20"/>
          <w:szCs w:val="20"/>
          <w:color w:val="auto"/>
        </w:rPr>
        <w:tab/>
      </w:r>
      <w:r>
        <w:rPr>
          <w:rFonts w:ascii="Arial" w:cs="Arial" w:eastAsia="Arial" w:hAnsi="Arial"/>
          <w:sz w:val="16"/>
          <w:szCs w:val="16"/>
          <w:color w:val="auto"/>
        </w:rPr>
        <w:t>(“Assigned Contract”).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terms and conditions set forth herein, and for other good and valuable consideration, the receipt and sufficiency of which are hereby acknowledged, the parties agree as follows:</w:t>
      </w:r>
    </w:p>
    <w:p>
      <w:pPr>
        <w:spacing w:after="0" w:line="170" w:lineRule="exact"/>
        <w:rPr>
          <w:sz w:val="20"/>
          <w:szCs w:val="20"/>
          <w:color w:val="auto"/>
        </w:rPr>
      </w:pPr>
    </w:p>
    <w:p>
      <w:pPr>
        <w:ind w:firstLine="656"/>
        <w:spacing w:after="0" w:line="277" w:lineRule="auto"/>
        <w:tabs>
          <w:tab w:leader="none" w:pos="84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in this Agreement but not otherwise defined herein are given the meanings set forth in the Purchase Agreement.</w:t>
      </w:r>
    </w:p>
    <w:p>
      <w:pPr>
        <w:spacing w:after="0" w:line="170" w:lineRule="exact"/>
        <w:rPr>
          <w:rFonts w:ascii="Arial" w:cs="Arial" w:eastAsia="Arial" w:hAnsi="Arial"/>
          <w:sz w:val="18"/>
          <w:szCs w:val="18"/>
          <w:color w:val="auto"/>
        </w:rPr>
      </w:pPr>
    </w:p>
    <w:p>
      <w:pPr>
        <w:jc w:val="both"/>
        <w:ind w:firstLine="656"/>
        <w:spacing w:after="0" w:line="311" w:lineRule="auto"/>
        <w:tabs>
          <w:tab w:leader="none" w:pos="82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Seller hereby sells, assigns, grants, conveys and transfers to Buyer all of Seller’s right, title and interest in and to the Assigned Contract. Buyer hereby accepts such assignment and assumes all of Seller’s duties and obligations under the Assigned Contract and agrees to pay, perform and discharge, as and when due, all of the obligations of Seller under the Assigned Contract accruing on and after the Effective Date.</w:t>
      </w:r>
    </w:p>
    <w:p>
      <w:pPr>
        <w:spacing w:after="0" w:line="148" w:lineRule="exact"/>
        <w:rPr>
          <w:rFonts w:ascii="Arial" w:cs="Arial" w:eastAsia="Arial" w:hAnsi="Arial"/>
          <w:sz w:val="16"/>
          <w:szCs w:val="16"/>
          <w:color w:val="auto"/>
        </w:rPr>
      </w:pPr>
    </w:p>
    <w:p>
      <w:pPr>
        <w:jc w:val="both"/>
        <w:ind w:firstLine="656"/>
        <w:spacing w:after="0" w:line="275" w:lineRule="auto"/>
        <w:tabs>
          <w:tab w:leader="none" w:pos="855"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Terms of the Purchase Agreement</w:t>
      </w:r>
      <w:r>
        <w:rPr>
          <w:rFonts w:ascii="Arial" w:cs="Arial" w:eastAsia="Arial" w:hAnsi="Arial"/>
          <w:sz w:val="17"/>
          <w:szCs w:val="17"/>
          <w:color w:val="auto"/>
        </w:rPr>
        <w:t>. The terms of the Purchase Agreement, including, but not limited to, the representations, warranties, covenants, agreements and indemnities relating to the Assigned Contract are incorporated herein by this reference. The parties hereto acknowledge and agree that the representations, warranties, covenants, agreements and indemnities contained in the Purchase Agreement shall not be superseded hereby but shall remain in full force and effect to the full extent provided therein. In the event of any conflict or inconsistency between the terms of the Purchase Agreement and the terms hereof, the terms of the Purchase Agreement shall govern.</w:t>
      </w:r>
    </w:p>
    <w:p>
      <w:pPr>
        <w:spacing w:after="0" w:line="176" w:lineRule="exact"/>
        <w:rPr>
          <w:rFonts w:ascii="Arial" w:cs="Arial" w:eastAsia="Arial" w:hAnsi="Arial"/>
          <w:sz w:val="17"/>
          <w:szCs w:val="17"/>
          <w:color w:val="auto"/>
        </w:rPr>
      </w:pPr>
    </w:p>
    <w:p>
      <w:pPr>
        <w:ind w:left="840" w:hanging="184"/>
        <w:spacing w:after="0"/>
        <w:tabs>
          <w:tab w:leader="none" w:pos="8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Nevada.</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facsimile, email or other means of electronic transmission shall be deemed to have the same legal effect as delivery of an original signed copy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spacing w:after="0"/>
        <w:rPr>
          <w:sz w:val="20"/>
          <w:szCs w:val="20"/>
          <w:color w:val="auto"/>
        </w:rPr>
      </w:pPr>
      <w:r>
        <w:rPr>
          <w:rFonts w:ascii="Arial" w:cs="Arial" w:eastAsia="Arial" w:hAnsi="Arial"/>
          <w:sz w:val="16"/>
          <w:szCs w:val="16"/>
          <w:color w:val="1A1A1A"/>
        </w:rPr>
        <w:t xml:space="preserve">IN WITNESS WHEREOF, the </w:t>
      </w:r>
      <w:r>
        <w:rPr>
          <w:rFonts w:ascii="Arial" w:cs="Arial" w:eastAsia="Arial" w:hAnsi="Arial"/>
          <w:sz w:val="16"/>
          <w:szCs w:val="16"/>
          <w:color w:val="0A0A0A"/>
        </w:rPr>
        <w:t>parties</w:t>
      </w:r>
      <w:r>
        <w:rPr>
          <w:rFonts w:ascii="Arial" w:cs="Arial" w:eastAsia="Arial" w:hAnsi="Arial"/>
          <w:sz w:val="16"/>
          <w:szCs w:val="16"/>
          <w:color w:val="1A1A1A"/>
        </w:rPr>
        <w:t xml:space="preserve"> have executed this Agreement to be effective as of the date first above written.</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color w:val="1A1A1A"/>
        </w:rPr>
        <w:t>BOURNS PRODUCTIONS,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1A1A1A"/>
        </w:rPr>
        <w:t>By:</w:t>
      </w:r>
      <w:r>
        <w:rPr>
          <w:sz w:val="20"/>
          <w:szCs w:val="20"/>
          <w:color w:val="auto"/>
        </w:rPr>
        <w:tab/>
      </w:r>
      <w:r>
        <w:rPr>
          <w:rFonts w:ascii="Arial" w:cs="Arial" w:eastAsia="Arial" w:hAnsi="Arial"/>
          <w:sz w:val="18"/>
          <w:szCs w:val="18"/>
          <w:i w:val="1"/>
          <w:iCs w:val="1"/>
          <w:color w:val="1A1A1A"/>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1A1A1A"/>
        </w:rPr>
        <w:t>Name: Tyler Bourns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1A1A1A"/>
        </w:rPr>
        <w:t>Title:</w:t>
      </w:r>
      <w:r>
        <w:rPr>
          <w:sz w:val="20"/>
          <w:szCs w:val="20"/>
          <w:color w:val="auto"/>
        </w:rPr>
        <w:tab/>
      </w:r>
      <w:r>
        <w:rPr>
          <w:rFonts w:ascii="Arial" w:cs="Arial" w:eastAsia="Arial" w:hAnsi="Arial"/>
          <w:sz w:val="15"/>
          <w:szCs w:val="15"/>
          <w:color w:val="1A1A1A"/>
        </w:rPr>
        <w:t>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1A1A1A"/>
        </w:rPr>
        <w:t>DRAGONFLY ENERGY CORP.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1A1A1A"/>
        </w:rPr>
        <w:t>By:</w:t>
      </w:r>
      <w:r>
        <w:rPr>
          <w:sz w:val="20"/>
          <w:szCs w:val="20"/>
          <w:color w:val="auto"/>
        </w:rPr>
        <w:tab/>
      </w:r>
      <w:r>
        <w:rPr>
          <w:rFonts w:ascii="Arial" w:cs="Arial" w:eastAsia="Arial" w:hAnsi="Arial"/>
          <w:sz w:val="18"/>
          <w:szCs w:val="18"/>
          <w:i w:val="1"/>
          <w:iCs w:val="1"/>
          <w:color w:val="1A1A1A"/>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1A1A1A"/>
        </w:rPr>
        <w:t xml:space="preserve">Name: Denis </w:t>
      </w:r>
      <w:r>
        <w:rPr>
          <w:rFonts w:ascii="Arial" w:cs="Arial" w:eastAsia="Arial" w:hAnsi="Arial"/>
          <w:sz w:val="18"/>
          <w:szCs w:val="18"/>
          <w:color w:val="0A0A0A"/>
        </w:rPr>
        <w:t>Phares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1A1A1A"/>
        </w:rPr>
        <w:t>Title:</w:t>
      </w:r>
      <w:r>
        <w:rPr>
          <w:sz w:val="20"/>
          <w:szCs w:val="20"/>
          <w:color w:val="auto"/>
        </w:rPr>
        <w:tab/>
      </w:r>
      <w:r>
        <w:rPr>
          <w:rFonts w:ascii="Arial" w:cs="Arial" w:eastAsia="Arial" w:hAnsi="Arial"/>
          <w:sz w:val="16"/>
          <w:szCs w:val="16"/>
          <w:color w:val="1A1A1A"/>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5"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10.32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 OF LEASE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VALUE RECEIVED, Bourns Productions, Inc., a Nevada corporation (“Assignor”) hereby assigns, conveys, transfers, and sets over to Dragonfly Energy Corp., a Nevada corporation (“Assignee”), its successors and assigns, all of Assignor’s right, title, and interest in, to, and under that certain Commercial Lease dated as of September 4, 2015 (as amended, the “Lease”) made by and between Los Angeles 1nm &amp; Steel Company, as successor in interest to Meiser Enterprises, as landlord, (“Landlord”) and Assignor, as tenant. covering Suite 3 in the property located at 320 Western Road, Reno, Nevada 89506, together with all options, rights, contracts, licenses, permits, deposits, and profits appurtenant to or related to the Lease. This Assignment and Assumption of Lease Agreement is subject to the terms and conditions of that certain Asset Purchase Agreement dated January 1, 2022 between Bourns Productions, Inc. and Dragonfly, Energy Corp. (the “Purchase Agreement”).</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Assignee hereby accepts the foregoing assignment and assumes all of the obligations of Assignor as tenant under the Lease accruing from and after the date hereof and agrees, for the benefit of Assignor, its successors and assigns, and for the benefit or Landlord, its successors and assigns, to pay, perform, discharge when due, and otherwise satisfy in due course all of such obligations and liabilities of the tenant under and in accordance with the provisions of the Lease.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Assignor and Assignee have duly executed this Assignment and Assumption of Lease Agreement as of January I,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5 of the Lease, Landlord hereby consents in writing to this Assignment.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LOS ANGELES IRON &amp; STEEL CO.</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/s/Mary Watkins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4579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Mary Watkins</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right="1159"/>
        <w:spacing w:after="0" w:line="277" w:lineRule="auto"/>
        <w:rPr>
          <w:sz w:val="20"/>
          <w:szCs w:val="20"/>
          <w:color w:val="auto"/>
        </w:rPr>
      </w:pPr>
      <w:r>
        <w:rPr>
          <w:rFonts w:ascii="Arial" w:cs="Arial" w:eastAsia="Arial" w:hAnsi="Arial"/>
          <w:sz w:val="18"/>
          <w:szCs w:val="18"/>
          <w:color w:val="auto"/>
        </w:rPr>
        <w:t>BOURNS PRODUCTIONS. INC.. a Nevada corporation,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14605</wp:posOffset>
            </wp:positionV>
            <wp:extent cx="313753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Tyler Bourns</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right="1219"/>
        <w:spacing w:after="0" w:line="277" w:lineRule="auto"/>
        <w:rPr>
          <w:sz w:val="20"/>
          <w:szCs w:val="20"/>
          <w:color w:val="auto"/>
        </w:rPr>
      </w:pPr>
      <w:r>
        <w:rPr>
          <w:rFonts w:ascii="Arial" w:cs="Arial" w:eastAsia="Arial" w:hAnsi="Arial"/>
          <w:sz w:val="18"/>
          <w:szCs w:val="18"/>
          <w:color w:val="auto"/>
        </w:rPr>
        <w:t>DRAGONFLY ENERGY CORP., a Nevada Corporation,</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14605</wp:posOffset>
            </wp:positionV>
            <wp:extent cx="31375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280035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5160" w:space="580"/>
            <w:col w:w="4399"/>
          </w:cols>
          <w:pgMar w:left="320" w:top="665" w:right="1440"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10.33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INDUSTRIAL LEASE ♦</w:t>
      </w:r>
    </w:p>
    <w:p>
      <w:pPr>
        <w:spacing w:after="0" w:line="23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color w:val="auto"/>
        </w:rPr>
        <w:t xml:space="preserve">THIS LEASE </w:t>
      </w:r>
      <w:r>
        <w:rPr>
          <w:rFonts w:ascii="Arial" w:cs="Arial" w:eastAsia="Arial" w:hAnsi="Arial"/>
          <w:sz w:val="18"/>
          <w:szCs w:val="18"/>
          <w:color w:val="auto"/>
        </w:rPr>
        <w:t>is made as of this 25</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April, 2019 (the “</w:t>
      </w:r>
      <w:r>
        <w:rPr>
          <w:rFonts w:ascii="Arial" w:cs="Arial" w:eastAsia="Arial" w:hAnsi="Arial"/>
          <w:sz w:val="18"/>
          <w:szCs w:val="18"/>
          <w:b w:val="1"/>
          <w:bCs w:val="1"/>
          <w:color w:val="auto"/>
        </w:rPr>
        <w:t>Lease 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THE NORTHWESTERN MUTUAL LIFE INSURANCE COMPANY</w:t>
      </w:r>
      <w:r>
        <w:rPr>
          <w:rFonts w:ascii="Arial" w:cs="Arial" w:eastAsia="Arial" w:hAnsi="Arial"/>
          <w:sz w:val="18"/>
          <w:szCs w:val="18"/>
          <w:color w:val="auto"/>
        </w:rPr>
        <w:t>, a Wisconsin corporation (“</w:t>
      </w:r>
      <w:r>
        <w:rPr>
          <w:rFonts w:ascii="Arial" w:cs="Arial" w:eastAsia="Arial" w:hAnsi="Arial"/>
          <w:sz w:val="18"/>
          <w:szCs w:val="18"/>
          <w:b w:val="1"/>
          <w:bCs w:val="1"/>
          <w:color w:val="auto"/>
        </w:rPr>
        <w:t>Landlord</w:t>
      </w:r>
      <w:r>
        <w:rPr>
          <w:rFonts w:ascii="Arial" w:cs="Arial" w:eastAsia="Arial" w:hAnsi="Arial"/>
          <w:sz w:val="18"/>
          <w:szCs w:val="18"/>
          <w:color w:val="auto"/>
        </w:rPr>
        <w:t>”), dba Sparks Industrial, and</w:t>
      </w:r>
      <w:r>
        <w:rPr>
          <w:rFonts w:ascii="Arial" w:cs="Arial" w:eastAsia="Arial" w:hAnsi="Arial"/>
          <w:sz w:val="18"/>
          <w:szCs w:val="18"/>
          <w:b w:val="1"/>
          <w:bCs w:val="1"/>
          <w:color w:val="auto"/>
        </w:rPr>
        <w:t xml:space="preserve"> DRAGONFLY ENERGY CORP.</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7"/>
          </w:tcPr>
          <w:p>
            <w:pPr>
              <w:ind w:left="780"/>
              <w:spacing w:after="0"/>
              <w:rPr>
                <w:sz w:val="20"/>
                <w:szCs w:val="20"/>
                <w:color w:val="auto"/>
              </w:rPr>
            </w:pPr>
            <w:r>
              <w:rPr>
                <w:rFonts w:ascii="Arial" w:cs="Arial" w:eastAsia="Arial" w:hAnsi="Arial"/>
                <w:sz w:val="18"/>
                <w:szCs w:val="18"/>
                <w:b w:val="1"/>
                <w:bCs w:val="1"/>
                <w:color w:val="auto"/>
              </w:rPr>
              <w:t>BASIC LEASE INFORMATION</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LANDLORD:</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w w:val="95"/>
              </w:rPr>
              <w:t>The Northwestern Mutual Life Insurance Company, a Wisconsin corporation, dba Sparks</w:t>
            </w:r>
          </w:p>
        </w:tc>
      </w:tr>
      <w:tr>
        <w:trPr>
          <w:trHeight w:val="230"/>
        </w:trPr>
        <w:tc>
          <w:tcPr>
            <w:tcW w:w="3560" w:type="dxa"/>
            <w:vAlign w:val="bottom"/>
          </w:tcPr>
          <w:p>
            <w:pPr>
              <w:spacing w:after="0"/>
              <w:rPr>
                <w:sz w:val="20"/>
                <w:szCs w:val="20"/>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Industrial</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TENANT:</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Dragonfly Energy Corp., a Nevada corporation</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LANDLORD’S NOTICE ADDRESS:</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Advisors Commercial Real Estate</w:t>
            </w:r>
          </w:p>
        </w:tc>
      </w:tr>
      <w:tr>
        <w:trPr>
          <w:trHeight w:val="432"/>
        </w:trPr>
        <w:tc>
          <w:tcPr>
            <w:tcW w:w="3560" w:type="dxa"/>
            <w:vAlign w:val="bottom"/>
          </w:tcPr>
          <w:p>
            <w:pPr>
              <w:spacing w:after="0"/>
              <w:rPr>
                <w:sz w:val="24"/>
                <w:szCs w:val="24"/>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Attention:</w:t>
            </w:r>
          </w:p>
        </w:tc>
      </w:tr>
      <w:tr>
        <w:trPr>
          <w:trHeight w:val="432"/>
        </w:trPr>
        <w:tc>
          <w:tcPr>
            <w:tcW w:w="3560" w:type="dxa"/>
            <w:vAlign w:val="bottom"/>
          </w:tcPr>
          <w:p>
            <w:pPr>
              <w:spacing w:after="0"/>
              <w:rPr>
                <w:sz w:val="24"/>
                <w:szCs w:val="24"/>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with a copy to:</w:t>
            </w:r>
          </w:p>
        </w:tc>
      </w:tr>
      <w:tr>
        <w:trPr>
          <w:trHeight w:val="432"/>
        </w:trPr>
        <w:tc>
          <w:tcPr>
            <w:tcW w:w="3560" w:type="dxa"/>
            <w:vAlign w:val="bottom"/>
          </w:tcPr>
          <w:p>
            <w:pPr>
              <w:spacing w:after="0"/>
              <w:rPr>
                <w:sz w:val="24"/>
                <w:szCs w:val="24"/>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The Northwestern Mutual Life Insurance Company</w:t>
            </w:r>
          </w:p>
        </w:tc>
      </w:tr>
      <w:tr>
        <w:trPr>
          <w:trHeight w:val="432"/>
        </w:trPr>
        <w:tc>
          <w:tcPr>
            <w:tcW w:w="3560" w:type="dxa"/>
            <w:vAlign w:val="bottom"/>
          </w:tcPr>
          <w:p>
            <w:pPr>
              <w:spacing w:after="0"/>
              <w:rPr>
                <w:sz w:val="24"/>
                <w:szCs w:val="24"/>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Attention:</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TENANT’S NOTICE ADDRESS:</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Dragonfly Energy Corp.</w:t>
            </w:r>
          </w:p>
        </w:tc>
      </w:tr>
      <w:tr>
        <w:trPr>
          <w:trHeight w:val="432"/>
        </w:trPr>
        <w:tc>
          <w:tcPr>
            <w:tcW w:w="3560" w:type="dxa"/>
            <w:vAlign w:val="bottom"/>
          </w:tcPr>
          <w:p>
            <w:pPr>
              <w:spacing w:after="0"/>
              <w:rPr>
                <w:sz w:val="24"/>
                <w:szCs w:val="24"/>
                <w:color w:val="auto"/>
              </w:rPr>
            </w:pP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Attention: Denis Phares</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PROJECT:</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rPr>
              <w:t>Greg Park</w:t>
            </w:r>
          </w:p>
        </w:tc>
      </w:tr>
      <w:tr>
        <w:trPr>
          <w:trHeight w:val="418"/>
        </w:trPr>
        <w:tc>
          <w:tcPr>
            <w:tcW w:w="3560" w:type="dxa"/>
            <w:vAlign w:val="bottom"/>
          </w:tcPr>
          <w:p>
            <w:pPr>
              <w:spacing w:after="0"/>
              <w:rPr>
                <w:sz w:val="20"/>
                <w:szCs w:val="20"/>
                <w:color w:val="auto"/>
              </w:rPr>
            </w:pPr>
            <w:r>
              <w:rPr>
                <w:rFonts w:ascii="Arial" w:cs="Arial" w:eastAsia="Arial" w:hAnsi="Arial"/>
                <w:sz w:val="18"/>
                <w:szCs w:val="18"/>
                <w:color w:val="auto"/>
              </w:rPr>
              <w:t>BUILDTNG DESCRIPTION:</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w w:val="97"/>
              </w:rPr>
              <w:t>A 45,000 square foot building located at 1355 Greg Street, Sparks, Nevada, commonly</w:t>
            </w:r>
          </w:p>
        </w:tc>
      </w:tr>
      <w:tr>
        <w:trPr>
          <w:trHeight w:val="190"/>
        </w:trPr>
        <w:tc>
          <w:tcPr>
            <w:tcW w:w="3560" w:type="dxa"/>
            <w:vAlign w:val="bottom"/>
          </w:tcPr>
          <w:p>
            <w:pPr>
              <w:spacing w:after="0"/>
              <w:rPr>
                <w:sz w:val="16"/>
                <w:szCs w:val="16"/>
                <w:color w:val="auto"/>
              </w:rPr>
            </w:pPr>
          </w:p>
        </w:tc>
        <w:tc>
          <w:tcPr>
            <w:tcW w:w="7680" w:type="dxa"/>
            <w:vAlign w:val="bottom"/>
            <w:gridSpan w:val="7"/>
          </w:tcPr>
          <w:p>
            <w:pPr>
              <w:ind w:left="940"/>
              <w:spacing w:after="0" w:line="190" w:lineRule="exact"/>
              <w:rPr>
                <w:sz w:val="20"/>
                <w:szCs w:val="20"/>
                <w:color w:val="auto"/>
              </w:rPr>
            </w:pPr>
            <w:r>
              <w:rPr>
                <w:rFonts w:ascii="Arial" w:cs="Arial" w:eastAsia="Arial" w:hAnsi="Arial"/>
                <w:sz w:val="18"/>
                <w:szCs w:val="18"/>
                <w:color w:val="auto"/>
              </w:rPr>
              <w:t>known as Building “C,” as shown outlined in blue on Exhibit A.</w:t>
            </w:r>
          </w:p>
        </w:tc>
      </w:tr>
      <w:tr>
        <w:trPr>
          <w:trHeight w:val="20"/>
        </w:trPr>
        <w:tc>
          <w:tcPr>
            <w:tcW w:w="3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38"/>
        </w:trPr>
        <w:tc>
          <w:tcPr>
            <w:tcW w:w="3560" w:type="dxa"/>
            <w:vAlign w:val="bottom"/>
          </w:tcPr>
          <w:p>
            <w:pPr>
              <w:spacing w:after="0"/>
              <w:rPr>
                <w:sz w:val="20"/>
                <w:szCs w:val="20"/>
                <w:color w:val="auto"/>
              </w:rPr>
            </w:pPr>
            <w:r>
              <w:rPr>
                <w:rFonts w:ascii="Arial" w:cs="Arial" w:eastAsia="Arial" w:hAnsi="Arial"/>
                <w:sz w:val="18"/>
                <w:szCs w:val="18"/>
                <w:color w:val="auto"/>
              </w:rPr>
              <w:t>PREMISES:</w:t>
            </w:r>
          </w:p>
        </w:tc>
        <w:tc>
          <w:tcPr>
            <w:tcW w:w="7680" w:type="dxa"/>
            <w:vAlign w:val="bottom"/>
            <w:gridSpan w:val="7"/>
          </w:tcPr>
          <w:p>
            <w:pPr>
              <w:ind w:left="940"/>
              <w:spacing w:after="0"/>
              <w:rPr>
                <w:sz w:val="20"/>
                <w:szCs w:val="20"/>
                <w:color w:val="auto"/>
              </w:rPr>
            </w:pPr>
            <w:r>
              <w:rPr>
                <w:rFonts w:ascii="Arial" w:cs="Arial" w:eastAsia="Arial" w:hAnsi="Arial"/>
                <w:sz w:val="18"/>
                <w:szCs w:val="18"/>
                <w:color w:val="auto"/>
                <w:w w:val="91"/>
              </w:rPr>
              <w:t>A 15,200 square foot area located at 1355 Greg Street, Suites 101-102, Sparks, Nevada, as</w:t>
            </w:r>
          </w:p>
        </w:tc>
      </w:tr>
      <w:tr>
        <w:trPr>
          <w:trHeight w:val="190"/>
        </w:trPr>
        <w:tc>
          <w:tcPr>
            <w:tcW w:w="3560" w:type="dxa"/>
            <w:vAlign w:val="bottom"/>
          </w:tcPr>
          <w:p>
            <w:pPr>
              <w:spacing w:after="0"/>
              <w:rPr>
                <w:sz w:val="16"/>
                <w:szCs w:val="16"/>
                <w:color w:val="auto"/>
              </w:rPr>
            </w:pPr>
          </w:p>
        </w:tc>
        <w:tc>
          <w:tcPr>
            <w:tcW w:w="7680" w:type="dxa"/>
            <w:vAlign w:val="bottom"/>
            <w:gridSpan w:val="7"/>
          </w:tcPr>
          <w:p>
            <w:pPr>
              <w:ind w:left="940"/>
              <w:spacing w:after="0" w:line="190" w:lineRule="exact"/>
              <w:rPr>
                <w:sz w:val="20"/>
                <w:szCs w:val="20"/>
                <w:color w:val="auto"/>
              </w:rPr>
            </w:pPr>
            <w:r>
              <w:rPr>
                <w:rFonts w:ascii="Arial" w:cs="Arial" w:eastAsia="Arial" w:hAnsi="Arial"/>
                <w:sz w:val="18"/>
                <w:szCs w:val="18"/>
                <w:color w:val="auto"/>
              </w:rPr>
              <w:t>shown outlined in red on Exhibit A and as more particularly depicted on Exhibit A-1.</w:t>
            </w:r>
          </w:p>
        </w:tc>
      </w:tr>
      <w:tr>
        <w:trPr>
          <w:trHeight w:val="460"/>
        </w:trPr>
        <w:tc>
          <w:tcPr>
            <w:tcW w:w="35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178" w:name="page179"/>
    <w:bookmarkEnd w:id="1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PERMITTED USE:</w:t>
            </w: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w w:val="94"/>
              </w:rPr>
              <w:t>Warehousing, distribution and assembly of lithium battery packs, sales of lithium batteries</w:t>
            </w:r>
          </w:p>
        </w:tc>
      </w:tr>
      <w:tr>
        <w:trPr>
          <w:trHeight w:val="216"/>
        </w:trPr>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w w:val="94"/>
              </w:rPr>
              <w:t>and electronics accessories and incidental general office use relating thereto (in no event</w:t>
            </w:r>
          </w:p>
        </w:tc>
      </w:tr>
      <w:tr>
        <w:trPr>
          <w:trHeight w:val="230"/>
        </w:trPr>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900" w:type="dxa"/>
            <w:vAlign w:val="bottom"/>
            <w:gridSpan w:val="8"/>
          </w:tcPr>
          <w:p>
            <w:pPr>
              <w:ind w:left="180"/>
              <w:spacing w:after="0"/>
              <w:rPr>
                <w:sz w:val="20"/>
                <w:szCs w:val="20"/>
                <w:color w:val="auto"/>
              </w:rPr>
            </w:pPr>
            <w:r>
              <w:rPr>
                <w:rFonts w:ascii="Arial" w:cs="Arial" w:eastAsia="Arial" w:hAnsi="Arial"/>
                <w:sz w:val="18"/>
                <w:szCs w:val="18"/>
                <w:color w:val="auto"/>
              </w:rPr>
              <w:t>shall Tenant use the Premises for manufacturing) and for no other purpose.</w:t>
            </w: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PARKING ALLOCATION:</w:t>
            </w:r>
          </w:p>
        </w:tc>
        <w:tc>
          <w:tcPr>
            <w:tcW w:w="2500" w:type="dxa"/>
            <w:vAlign w:val="bottom"/>
            <w:gridSpan w:val="3"/>
          </w:tcPr>
          <w:p>
            <w:pPr>
              <w:ind w:left="180"/>
              <w:spacing w:after="0"/>
              <w:rPr>
                <w:sz w:val="20"/>
                <w:szCs w:val="20"/>
                <w:color w:val="auto"/>
              </w:rPr>
            </w:pPr>
            <w:r>
              <w:rPr>
                <w:rFonts w:ascii="Arial" w:cs="Arial" w:eastAsia="Arial" w:hAnsi="Arial"/>
                <w:sz w:val="18"/>
                <w:szCs w:val="18"/>
                <w:color w:val="auto"/>
                <w:w w:val="90"/>
              </w:rPr>
              <w:t>Sixteen (16) unreserved spaces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ESTIMATED TERM COMMENCEMENT DATE:</w:t>
            </w: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May 1, 2019</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648"/>
        </w:trPr>
        <w:tc>
          <w:tcPr>
            <w:tcW w:w="4320" w:type="dxa"/>
            <w:vAlign w:val="bottom"/>
            <w:gridSpan w:val="2"/>
          </w:tcPr>
          <w:p>
            <w:pPr>
              <w:spacing w:after="0"/>
              <w:rPr>
                <w:sz w:val="20"/>
                <w:szCs w:val="20"/>
                <w:color w:val="auto"/>
              </w:rPr>
            </w:pPr>
            <w:r>
              <w:rPr>
                <w:rFonts w:ascii="Arial" w:cs="Arial" w:eastAsia="Arial" w:hAnsi="Arial"/>
                <w:sz w:val="18"/>
                <w:szCs w:val="18"/>
                <w:color w:val="auto"/>
              </w:rPr>
              <w:t>LENGTH OF TERM:</w:t>
            </w:r>
          </w:p>
        </w:tc>
        <w:tc>
          <w:tcPr>
            <w:tcW w:w="2400" w:type="dxa"/>
            <w:vAlign w:val="bottom"/>
            <w:gridSpan w:val="2"/>
          </w:tcPr>
          <w:p>
            <w:pPr>
              <w:ind w:left="180"/>
              <w:spacing w:after="0"/>
              <w:rPr>
                <w:sz w:val="20"/>
                <w:szCs w:val="20"/>
                <w:color w:val="auto"/>
              </w:rPr>
            </w:pPr>
            <w:r>
              <w:rPr>
                <w:rFonts w:ascii="Arial" w:cs="Arial" w:eastAsia="Arial" w:hAnsi="Arial"/>
                <w:sz w:val="18"/>
                <w:szCs w:val="18"/>
                <w:color w:val="auto"/>
              </w:rPr>
              <w:t>Sixty (60) months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BASE RENT:</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14"/>
        </w:trPr>
        <w:tc>
          <w:tcPr>
            <w:tcW w:w="3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Square</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Foot Rental</w:t>
            </w:r>
          </w:p>
        </w:tc>
        <w:tc>
          <w:tcPr>
            <w:tcW w:w="3240" w:type="dxa"/>
            <w:vAlign w:val="bottom"/>
            <w:gridSpan w:val="3"/>
          </w:tcPr>
          <w:p>
            <w:pPr>
              <w:spacing w:after="0"/>
              <w:rPr>
                <w:sz w:val="20"/>
                <w:szCs w:val="20"/>
                <w:color w:val="auto"/>
              </w:rPr>
            </w:pPr>
            <w:r>
              <w:rPr>
                <w:rFonts w:ascii="Arial" w:cs="Arial" w:eastAsia="Arial" w:hAnsi="Arial"/>
                <w:sz w:val="18"/>
                <w:szCs w:val="18"/>
                <w:b w:val="1"/>
                <w:bCs w:val="1"/>
                <w:color w:val="auto"/>
              </w:rPr>
              <w:t>Monthly Base</w:t>
            </w:r>
          </w:p>
        </w:tc>
      </w:tr>
      <w:tr>
        <w:trPr>
          <w:trHeight w:val="241"/>
        </w:trPr>
        <w:tc>
          <w:tcPr>
            <w:tcW w:w="3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0" w:type="dxa"/>
            <w:vAlign w:val="bottom"/>
            <w:gridSpan w:val="2"/>
          </w:tcPr>
          <w:p>
            <w:pPr>
              <w:ind w:left="440"/>
              <w:spacing w:after="0"/>
              <w:rPr>
                <w:sz w:val="20"/>
                <w:szCs w:val="20"/>
                <w:color w:val="auto"/>
              </w:rPr>
            </w:pPr>
            <w:r>
              <w:rPr>
                <w:rFonts w:ascii="Arial" w:cs="Arial" w:eastAsia="Arial" w:hAnsi="Arial"/>
                <w:sz w:val="18"/>
                <w:szCs w:val="18"/>
                <w:b w:val="1"/>
                <w:bCs w:val="1"/>
                <w:color w:val="auto"/>
              </w:rPr>
              <w:t>Months</w:t>
            </w:r>
          </w:p>
        </w:tc>
        <w:tc>
          <w:tcPr>
            <w:tcW w:w="10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3020" w:type="dxa"/>
            <w:vAlign w:val="bottom"/>
            <w:gridSpan w:val="2"/>
          </w:tcPr>
          <w:p>
            <w:pPr>
              <w:ind w:left="140"/>
              <w:spacing w:after="0"/>
              <w:rPr>
                <w:sz w:val="20"/>
                <w:szCs w:val="20"/>
                <w:color w:val="auto"/>
              </w:rPr>
            </w:pPr>
            <w:r>
              <w:rPr>
                <w:rFonts w:ascii="Arial" w:cs="Arial" w:eastAsia="Arial" w:hAnsi="Arial"/>
                <w:sz w:val="18"/>
                <w:szCs w:val="18"/>
                <w:b w:val="1"/>
                <w:bCs w:val="1"/>
                <w:color w:val="auto"/>
              </w:rPr>
              <w:t>Rent</w:t>
            </w:r>
          </w:p>
        </w:tc>
      </w:tr>
      <w:tr>
        <w:trPr>
          <w:trHeight w:val="216"/>
        </w:trPr>
        <w:tc>
          <w:tcPr>
            <w:tcW w:w="350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ind w:right="710"/>
              <w:spacing w:after="0"/>
              <w:rPr>
                <w:sz w:val="20"/>
                <w:szCs w:val="20"/>
                <w:color w:val="auto"/>
              </w:rPr>
            </w:pPr>
            <w:r>
              <w:rPr>
                <w:rFonts w:ascii="Arial" w:cs="Arial" w:eastAsia="Arial" w:hAnsi="Arial"/>
                <w:sz w:val="18"/>
                <w:szCs w:val="18"/>
                <w:color w:val="auto"/>
                <w:w w:val="87"/>
              </w:rPr>
              <w:t>1 – 12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9,880.00</w:t>
            </w:r>
          </w:p>
        </w:tc>
        <w:tc>
          <w:tcPr>
            <w:tcW w:w="2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13 – 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0.6695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10,176.40</w:t>
            </w:r>
          </w:p>
        </w:tc>
        <w:tc>
          <w:tcPr>
            <w:tcW w:w="2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25 – 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0.6896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10,481.69</w:t>
            </w:r>
          </w:p>
        </w:tc>
        <w:tc>
          <w:tcPr>
            <w:tcW w:w="2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0" w:type="dxa"/>
            <w:vAlign w:val="bottom"/>
            <w:gridSpan w:val="2"/>
          </w:tcPr>
          <w:p>
            <w:pPr>
              <w:jc w:val="center"/>
              <w:ind w:right="940"/>
              <w:spacing w:after="0"/>
              <w:rPr>
                <w:sz w:val="20"/>
                <w:szCs w:val="20"/>
                <w:color w:val="auto"/>
              </w:rPr>
            </w:pPr>
            <w:r>
              <w:rPr>
                <w:rFonts w:ascii="Arial" w:cs="Arial" w:eastAsia="Arial" w:hAnsi="Arial"/>
                <w:sz w:val="18"/>
                <w:szCs w:val="18"/>
                <w:color w:val="auto"/>
                <w:w w:val="89"/>
              </w:rPr>
              <w:t>37 – 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0.7103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10,796.14</w:t>
            </w:r>
          </w:p>
        </w:tc>
        <w:tc>
          <w:tcPr>
            <w:tcW w:w="210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center"/>
              <w:ind w:right="940"/>
              <w:spacing w:after="0"/>
              <w:rPr>
                <w:sz w:val="20"/>
                <w:szCs w:val="20"/>
                <w:color w:val="auto"/>
              </w:rPr>
            </w:pPr>
            <w:r>
              <w:rPr>
                <w:rFonts w:ascii="Arial" w:cs="Arial" w:eastAsia="Arial" w:hAnsi="Arial"/>
                <w:sz w:val="18"/>
                <w:szCs w:val="18"/>
                <w:color w:val="auto"/>
                <w:w w:val="89"/>
              </w:rPr>
              <w:t>49 – 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0.7316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11,120.03</w:t>
            </w:r>
          </w:p>
        </w:tc>
        <w:tc>
          <w:tcPr>
            <w:tcW w:w="2100" w:type="dxa"/>
            <w:vAlign w:val="bottom"/>
          </w:tcPr>
          <w:p>
            <w:pPr>
              <w:spacing w:after="0"/>
              <w:rPr>
                <w:sz w:val="18"/>
                <w:szCs w:val="18"/>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SECURITY DEPOSIT:</w:t>
            </w:r>
          </w:p>
        </w:tc>
        <w:tc>
          <w:tcPr>
            <w:tcW w:w="2280" w:type="dxa"/>
            <w:vAlign w:val="bottom"/>
          </w:tcPr>
          <w:p>
            <w:pPr>
              <w:ind w:left="80"/>
              <w:spacing w:after="0"/>
              <w:rPr>
                <w:sz w:val="20"/>
                <w:szCs w:val="20"/>
                <w:color w:val="auto"/>
              </w:rPr>
            </w:pPr>
            <w:r>
              <w:rPr>
                <w:rFonts w:ascii="Arial" w:cs="Arial" w:eastAsia="Arial" w:hAnsi="Arial"/>
                <w:sz w:val="18"/>
                <w:szCs w:val="18"/>
                <w:color w:val="auto"/>
              </w:rPr>
              <w:t>$13,704.03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w w:val="97"/>
              </w:rPr>
              <w:t>TENANT’S PROPORTIONATE SHARE OF BUILDING:</w:t>
            </w:r>
          </w:p>
        </w:tc>
        <w:tc>
          <w:tcPr>
            <w:tcW w:w="2280" w:type="dxa"/>
            <w:vAlign w:val="bottom"/>
          </w:tcPr>
          <w:p>
            <w:pPr>
              <w:ind w:left="80"/>
              <w:spacing w:after="0"/>
              <w:rPr>
                <w:sz w:val="20"/>
                <w:szCs w:val="20"/>
                <w:color w:val="auto"/>
              </w:rPr>
            </w:pPr>
            <w:r>
              <w:rPr>
                <w:rFonts w:ascii="Arial" w:cs="Arial" w:eastAsia="Arial" w:hAnsi="Arial"/>
                <w:sz w:val="18"/>
                <w:szCs w:val="18"/>
                <w:color w:val="auto"/>
              </w:rPr>
              <w:t>33.78%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ESTIMATED FIRST YEAR OPERATING COST:</w:t>
            </w:r>
          </w:p>
        </w:tc>
        <w:tc>
          <w:tcPr>
            <w:tcW w:w="2500" w:type="dxa"/>
            <w:vAlign w:val="bottom"/>
            <w:gridSpan w:val="3"/>
          </w:tcPr>
          <w:p>
            <w:pPr>
              <w:ind w:left="80"/>
              <w:spacing w:after="0"/>
              <w:rPr>
                <w:sz w:val="20"/>
                <w:szCs w:val="20"/>
                <w:color w:val="auto"/>
              </w:rPr>
            </w:pPr>
            <w:r>
              <w:rPr>
                <w:rFonts w:ascii="Arial" w:cs="Arial" w:eastAsia="Arial" w:hAnsi="Arial"/>
                <w:sz w:val="18"/>
                <w:szCs w:val="18"/>
                <w:color w:val="auto"/>
                <w:w w:val="89"/>
              </w:rPr>
              <w:t>$2,584.00 per month ($0.17 PSF)</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LIABILITY INSURANCE LIMITS:</w:t>
            </w:r>
          </w:p>
        </w:tc>
        <w:tc>
          <w:tcPr>
            <w:tcW w:w="6900" w:type="dxa"/>
            <w:vAlign w:val="bottom"/>
            <w:gridSpan w:val="8"/>
          </w:tcPr>
          <w:p>
            <w:pPr>
              <w:ind w:left="80"/>
              <w:spacing w:after="0"/>
              <w:rPr>
                <w:sz w:val="20"/>
                <w:szCs w:val="20"/>
                <w:color w:val="auto"/>
              </w:rPr>
            </w:pPr>
            <w:r>
              <w:rPr>
                <w:rFonts w:ascii="Arial" w:cs="Arial" w:eastAsia="Arial" w:hAnsi="Arial"/>
                <w:sz w:val="18"/>
                <w:szCs w:val="18"/>
                <w:color w:val="auto"/>
              </w:rPr>
              <w:t>$3,000,000 per occurrence; $5,000,000 annual aggregate</w:t>
            </w: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TENANT IMPROVEMENT ALLOWANCE:</w:t>
            </w:r>
          </w:p>
        </w:tc>
        <w:tc>
          <w:tcPr>
            <w:tcW w:w="2400" w:type="dxa"/>
            <w:vAlign w:val="bottom"/>
            <w:gridSpan w:val="2"/>
          </w:tcPr>
          <w:p>
            <w:pPr>
              <w:ind w:left="80"/>
              <w:spacing w:after="0"/>
              <w:rPr>
                <w:sz w:val="20"/>
                <w:szCs w:val="20"/>
                <w:color w:val="auto"/>
              </w:rPr>
            </w:pPr>
            <w:r>
              <w:rPr>
                <w:rFonts w:ascii="Arial" w:cs="Arial" w:eastAsia="Arial" w:hAnsi="Arial"/>
                <w:sz w:val="18"/>
                <w:szCs w:val="18"/>
                <w:color w:val="auto"/>
              </w:rPr>
              <w:t>See Section 2(c)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4320" w:type="dxa"/>
            <w:vAlign w:val="bottom"/>
            <w:gridSpan w:val="2"/>
          </w:tcPr>
          <w:p>
            <w:pPr>
              <w:spacing w:after="0"/>
              <w:rPr>
                <w:sz w:val="20"/>
                <w:szCs w:val="20"/>
                <w:color w:val="auto"/>
              </w:rPr>
            </w:pPr>
            <w:r>
              <w:rPr>
                <w:rFonts w:ascii="Arial" w:cs="Arial" w:eastAsia="Arial" w:hAnsi="Arial"/>
                <w:sz w:val="18"/>
                <w:szCs w:val="18"/>
                <w:color w:val="auto"/>
              </w:rPr>
              <w:t>BROKERS:</w:t>
            </w:r>
          </w:p>
        </w:tc>
        <w:tc>
          <w:tcPr>
            <w:tcW w:w="6900" w:type="dxa"/>
            <w:vAlign w:val="bottom"/>
            <w:gridSpan w:val="8"/>
          </w:tcPr>
          <w:p>
            <w:pPr>
              <w:ind w:left="80"/>
              <w:spacing w:after="0"/>
              <w:rPr>
                <w:sz w:val="20"/>
                <w:szCs w:val="20"/>
                <w:color w:val="auto"/>
              </w:rPr>
            </w:pPr>
            <w:r>
              <w:rPr>
                <w:rFonts w:ascii="Arial" w:cs="Arial" w:eastAsia="Arial" w:hAnsi="Arial"/>
                <w:sz w:val="18"/>
                <w:szCs w:val="18"/>
                <w:color w:val="auto"/>
              </w:rPr>
              <w:t>Kidder Mathews representing both Landlord and Tenant</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foregoing Basic Lease Information is incorporated into and made part of this Lease. Each reference in this Lease to any of the Basic Lease Information shall mean the respective information above and shall be construed to incorporate all of the terms provided under the particular Lease paragraph pertaining to such information. In the event of any conflict between the Basic Lease Information and the Lease, the Basic Lease Information shall control.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9" w:name="page180"/>
    <w:bookmarkEnd w:id="179"/>
    <w:p>
      <w:pPr>
        <w:ind w:firstLine="648"/>
        <w:spacing w:after="0" w:line="277" w:lineRule="auto"/>
        <w:rPr>
          <w:sz w:val="20"/>
          <w:szCs w:val="20"/>
          <w:color w:val="auto"/>
        </w:rPr>
      </w:pPr>
      <w:r>
        <w:rPr>
          <w:rFonts w:ascii="Arial" w:cs="Arial" w:eastAsia="Arial" w:hAnsi="Arial"/>
          <w:sz w:val="18"/>
          <w:szCs w:val="18"/>
          <w:color w:val="auto"/>
        </w:rPr>
        <w:t>By signing this Lease below, Landlord and Tenant agree to all the terms set forth in the Basic Lease Information above and all the General Lease Terms set forth in the provisions that follow on the succeeding pages, including all referenced Exhibits.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parties have executed this Lease on the dates set forth below, to be effective as of the Lease Date set forth in the preamble paragraph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5620" w:type="dxa"/>
            <w:vAlign w:val="bottom"/>
            <w:gridSpan w:val="4"/>
          </w:tcPr>
          <w:p>
            <w:pPr>
              <w:ind w:left="120"/>
              <w:spacing w:after="0"/>
              <w:rPr>
                <w:sz w:val="20"/>
                <w:szCs w:val="20"/>
                <w:color w:val="auto"/>
              </w:rPr>
            </w:pPr>
            <w:r>
              <w:rPr>
                <w:rFonts w:ascii="Arial" w:cs="Arial" w:eastAsia="Arial" w:hAnsi="Arial"/>
                <w:sz w:val="18"/>
                <w:szCs w:val="18"/>
                <w:b w:val="1"/>
                <w:bCs w:val="1"/>
                <w:color w:val="auto"/>
              </w:rPr>
              <w:t>TENANT:</w:t>
            </w:r>
          </w:p>
        </w:tc>
      </w:tr>
      <w:tr>
        <w:trPr>
          <w:trHeight w:val="418"/>
        </w:trPr>
        <w:tc>
          <w:tcPr>
            <w:tcW w:w="5620" w:type="dxa"/>
            <w:vAlign w:val="bottom"/>
            <w:gridSpan w:val="4"/>
          </w:tcPr>
          <w:p>
            <w:pPr>
              <w:spacing w:after="0"/>
              <w:rPr>
                <w:sz w:val="20"/>
                <w:szCs w:val="20"/>
                <w:color w:val="auto"/>
              </w:rPr>
            </w:pPr>
            <w:r>
              <w:rPr>
                <w:rFonts w:ascii="Arial" w:cs="Arial" w:eastAsia="Arial" w:hAnsi="Arial"/>
                <w:sz w:val="18"/>
                <w:szCs w:val="18"/>
                <w:color w:val="auto"/>
              </w:rPr>
              <w:t>THE NORTHWESTERN MUTUAL LIFE</w:t>
            </w:r>
          </w:p>
        </w:tc>
        <w:tc>
          <w:tcPr>
            <w:tcW w:w="5620" w:type="dxa"/>
            <w:vAlign w:val="bottom"/>
            <w:gridSpan w:val="4"/>
          </w:tcPr>
          <w:p>
            <w:pPr>
              <w:ind w:left="120"/>
              <w:spacing w:after="0"/>
              <w:rPr>
                <w:sz w:val="20"/>
                <w:szCs w:val="20"/>
                <w:color w:val="auto"/>
              </w:rPr>
            </w:pPr>
            <w:r>
              <w:rPr>
                <w:rFonts w:ascii="Arial" w:cs="Arial" w:eastAsia="Arial" w:hAnsi="Arial"/>
                <w:sz w:val="18"/>
                <w:szCs w:val="18"/>
                <w:color w:val="auto"/>
              </w:rPr>
              <w:t>DRAGONFLY ENERGY CORP.,</w:t>
            </w:r>
          </w:p>
        </w:tc>
      </w:tr>
      <w:tr>
        <w:trPr>
          <w:trHeight w:val="216"/>
        </w:trPr>
        <w:tc>
          <w:tcPr>
            <w:tcW w:w="5620" w:type="dxa"/>
            <w:vAlign w:val="bottom"/>
            <w:gridSpan w:val="4"/>
          </w:tcPr>
          <w:p>
            <w:pPr>
              <w:spacing w:after="0"/>
              <w:rPr>
                <w:sz w:val="20"/>
                <w:szCs w:val="20"/>
                <w:color w:val="auto"/>
              </w:rPr>
            </w:pPr>
            <w:r>
              <w:rPr>
                <w:rFonts w:ascii="Arial" w:cs="Arial" w:eastAsia="Arial" w:hAnsi="Arial"/>
                <w:sz w:val="18"/>
                <w:szCs w:val="18"/>
                <w:color w:val="auto"/>
              </w:rPr>
              <w:t>INSURANCE COMPANY,</w:t>
            </w:r>
          </w:p>
        </w:tc>
        <w:tc>
          <w:tcPr>
            <w:tcW w:w="5620" w:type="dxa"/>
            <w:vAlign w:val="bottom"/>
            <w:gridSpan w:val="4"/>
          </w:tcPr>
          <w:p>
            <w:pPr>
              <w:ind w:left="120"/>
              <w:spacing w:after="0"/>
              <w:rPr>
                <w:sz w:val="20"/>
                <w:szCs w:val="20"/>
                <w:color w:val="auto"/>
              </w:rPr>
            </w:pPr>
            <w:r>
              <w:rPr>
                <w:rFonts w:ascii="Arial" w:cs="Arial" w:eastAsia="Arial" w:hAnsi="Arial"/>
                <w:sz w:val="18"/>
                <w:szCs w:val="18"/>
                <w:color w:val="auto"/>
              </w:rPr>
              <w:t>a Nevada corporation</w:t>
            </w:r>
          </w:p>
        </w:tc>
      </w:tr>
      <w:tr>
        <w:trPr>
          <w:trHeight w:val="230"/>
        </w:trPr>
        <w:tc>
          <w:tcPr>
            <w:tcW w:w="5620" w:type="dxa"/>
            <w:vAlign w:val="bottom"/>
            <w:gridSpan w:val="4"/>
          </w:tcPr>
          <w:p>
            <w:pPr>
              <w:spacing w:after="0"/>
              <w:rPr>
                <w:sz w:val="20"/>
                <w:szCs w:val="20"/>
                <w:color w:val="auto"/>
              </w:rPr>
            </w:pPr>
            <w:r>
              <w:rPr>
                <w:rFonts w:ascii="Arial" w:cs="Arial" w:eastAsia="Arial" w:hAnsi="Arial"/>
                <w:sz w:val="18"/>
                <w:szCs w:val="18"/>
                <w:color w:val="auto"/>
              </w:rPr>
              <w:t>a Wisconsin corporation</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439"/>
        </w:trPr>
        <w:tc>
          <w:tcPr>
            <w:tcW w:w="5620" w:type="dxa"/>
            <w:vAlign w:val="bottom"/>
            <w:gridSpan w:val="4"/>
          </w:tcPr>
          <w:p>
            <w:pPr>
              <w:spacing w:after="0"/>
              <w:rPr>
                <w:sz w:val="20"/>
                <w:szCs w:val="20"/>
                <w:color w:val="auto"/>
              </w:rPr>
            </w:pPr>
            <w:r>
              <w:rPr>
                <w:rFonts w:ascii="Arial" w:cs="Arial" w:eastAsia="Arial" w:hAnsi="Arial"/>
                <w:sz w:val="18"/>
                <w:szCs w:val="18"/>
                <w:color w:val="auto"/>
              </w:rPr>
              <w:t>By: Northwestern Mutual Investment</w:t>
            </w:r>
          </w:p>
        </w:tc>
        <w:tc>
          <w:tcPr>
            <w:tcW w:w="5620" w:type="dxa"/>
            <w:vAlign w:val="bottom"/>
            <w:gridSpan w:val="4"/>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tc>
      </w:tr>
      <w:tr>
        <w:trPr>
          <w:trHeight w:val="202"/>
        </w:trPr>
        <w:tc>
          <w:tcPr>
            <w:tcW w:w="340" w:type="dxa"/>
            <w:vAlign w:val="bottom"/>
          </w:tcPr>
          <w:p>
            <w:pPr>
              <w:spacing w:after="0"/>
              <w:rPr>
                <w:sz w:val="17"/>
                <w:szCs w:val="17"/>
                <w:color w:val="auto"/>
              </w:rPr>
            </w:pPr>
          </w:p>
        </w:tc>
        <w:tc>
          <w:tcPr>
            <w:tcW w:w="5280" w:type="dxa"/>
            <w:vAlign w:val="bottom"/>
            <w:gridSpan w:val="3"/>
          </w:tcPr>
          <w:p>
            <w:pPr>
              <w:spacing w:after="0" w:line="201" w:lineRule="exact"/>
              <w:rPr>
                <w:sz w:val="20"/>
                <w:szCs w:val="20"/>
                <w:color w:val="auto"/>
              </w:rPr>
            </w:pPr>
            <w:r>
              <w:rPr>
                <w:rFonts w:ascii="Arial" w:cs="Arial" w:eastAsia="Arial" w:hAnsi="Arial"/>
                <w:sz w:val="18"/>
                <w:szCs w:val="18"/>
                <w:color w:val="auto"/>
              </w:rPr>
              <w:t>Management Company, LLC,</w:t>
            </w:r>
          </w:p>
        </w:tc>
        <w:tc>
          <w:tcPr>
            <w:tcW w:w="460" w:type="dxa"/>
            <w:vAlign w:val="bottom"/>
          </w:tcPr>
          <w:p>
            <w:pPr>
              <w:spacing w:after="0"/>
              <w:rPr>
                <w:sz w:val="17"/>
                <w:szCs w:val="17"/>
                <w:color w:val="auto"/>
              </w:rPr>
            </w:pPr>
          </w:p>
        </w:tc>
        <w:tc>
          <w:tcPr>
            <w:tcW w:w="516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Denis Phares, CEO</w:t>
            </w:r>
          </w:p>
        </w:tc>
      </w:tr>
      <w:tr>
        <w:trPr>
          <w:trHeight w:val="216"/>
        </w:trPr>
        <w:tc>
          <w:tcPr>
            <w:tcW w:w="34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 Delaware limited liability company,</w:t>
            </w: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5280" w:type="dxa"/>
            <w:vAlign w:val="bottom"/>
            <w:gridSpan w:val="3"/>
          </w:tcPr>
          <w:p>
            <w:pPr>
              <w:spacing w:after="0" w:line="190" w:lineRule="exact"/>
              <w:rPr>
                <w:sz w:val="20"/>
                <w:szCs w:val="20"/>
                <w:color w:val="auto"/>
              </w:rPr>
            </w:pPr>
            <w:r>
              <w:rPr>
                <w:rFonts w:ascii="Arial" w:cs="Arial" w:eastAsia="Arial" w:hAnsi="Arial"/>
                <w:sz w:val="18"/>
                <w:szCs w:val="18"/>
                <w:color w:val="auto"/>
              </w:rPr>
              <w:t>its wholly-owned affiliate</w:t>
            </w:r>
          </w:p>
        </w:tc>
        <w:tc>
          <w:tcPr>
            <w:tcW w:w="5620" w:type="dxa"/>
            <w:vAlign w:val="bottom"/>
            <w:gridSpan w:val="4"/>
          </w:tcPr>
          <w:p>
            <w:pPr>
              <w:ind w:left="120"/>
              <w:spacing w:after="0" w:line="190" w:lineRule="exact"/>
              <w:rPr>
                <w:sz w:val="20"/>
                <w:szCs w:val="20"/>
                <w:color w:val="auto"/>
              </w:rPr>
            </w:pPr>
            <w:r>
              <w:rPr>
                <w:rFonts w:ascii="Arial" w:cs="Arial" w:eastAsia="Arial" w:hAnsi="Arial"/>
                <w:sz w:val="18"/>
                <w:szCs w:val="18"/>
                <w:color w:val="auto"/>
              </w:rPr>
              <w:t>Date of Execution: April 26 , 2019</w:t>
            </w:r>
          </w:p>
        </w:tc>
      </w:tr>
      <w:tr>
        <w:trPr>
          <w:trHeight w:val="459"/>
        </w:trPr>
        <w:tc>
          <w:tcPr>
            <w:tcW w:w="5620" w:type="dxa"/>
            <w:vAlign w:val="bottom"/>
            <w:gridSpan w:val="4"/>
          </w:tcPr>
          <w:p>
            <w:pPr>
              <w:spacing w:after="0"/>
              <w:rPr>
                <w:sz w:val="20"/>
                <w:szCs w:val="20"/>
                <w:color w:val="auto"/>
              </w:rPr>
            </w:pPr>
            <w:r>
              <w:rPr>
                <w:rFonts w:ascii="Arial" w:cs="Arial" w:eastAsia="Arial" w:hAnsi="Arial"/>
                <w:sz w:val="18"/>
                <w:szCs w:val="18"/>
                <w:color w:val="auto"/>
              </w:rPr>
              <w:t>By: /s/ Ryan Lance</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528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color w:val="auto"/>
              </w:rPr>
              <w:t>Ryan Lance</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Director-Asset Management</w:t>
            </w: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391"/>
        </w:trPr>
        <w:tc>
          <w:tcPr>
            <w:tcW w:w="5620" w:type="dxa"/>
            <w:vAlign w:val="bottom"/>
            <w:gridSpan w:val="4"/>
          </w:tcPr>
          <w:p>
            <w:pPr>
              <w:spacing w:after="0"/>
              <w:rPr>
                <w:sz w:val="20"/>
                <w:szCs w:val="20"/>
                <w:color w:val="auto"/>
              </w:rPr>
            </w:pPr>
            <w:r>
              <w:rPr>
                <w:rFonts w:ascii="Arial" w:cs="Arial" w:eastAsia="Arial" w:hAnsi="Arial"/>
                <w:sz w:val="18"/>
                <w:szCs w:val="18"/>
                <w:color w:val="auto"/>
              </w:rPr>
              <w:t>Date of Execution: April 29 , 2019</w:t>
            </w: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60"/>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80" w:name="page181"/>
    <w:bookmarkEnd w:id="1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740" w:type="dxa"/>
            <w:vAlign w:val="bottom"/>
            <w:gridSpan w:val="2"/>
          </w:tcPr>
          <w:p>
            <w:pPr>
              <w:jc w:val="center"/>
              <w:ind w:right="4410"/>
              <w:spacing w:after="0"/>
              <w:rPr>
                <w:sz w:val="20"/>
                <w:szCs w:val="20"/>
                <w:color w:val="auto"/>
              </w:rPr>
            </w:pPr>
            <w:r>
              <w:rPr>
                <w:rFonts w:ascii="Arial" w:cs="Arial" w:eastAsia="Arial" w:hAnsi="Arial"/>
                <w:sz w:val="18"/>
                <w:szCs w:val="18"/>
                <w:b w:val="1"/>
                <w:bCs w:val="1"/>
                <w:color w:val="auto"/>
                <w:w w:val="98"/>
              </w:rPr>
              <w:t>TABLE OF CONTENTS</w:t>
            </w:r>
          </w:p>
        </w:tc>
      </w:tr>
      <w:tr>
        <w:trPr>
          <w:trHeight w:val="452"/>
        </w:trPr>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PREMISES</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1</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POSSESSION AND LEASE COMMENCEMENT</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1</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2</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2</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RULES AND REGULATIONS</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3</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3</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OPERATING COST</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4</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7</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INDEMNIFICATION, WAIVER AND RELEASE</w:t>
            </w:r>
          </w:p>
        </w:tc>
        <w:tc>
          <w:tcPr>
            <w:tcW w:w="6740" w:type="dxa"/>
            <w:vAlign w:val="bottom"/>
            <w:gridSpan w:val="2"/>
            <w:shd w:val="clear" w:color="auto" w:fill="CCEEFF"/>
          </w:tcPr>
          <w:p>
            <w:pPr>
              <w:jc w:val="center"/>
              <w:ind w:left="6010"/>
              <w:spacing w:after="0"/>
              <w:rPr>
                <w:sz w:val="20"/>
                <w:szCs w:val="20"/>
                <w:color w:val="auto"/>
              </w:rPr>
            </w:pPr>
            <w:r>
              <w:rPr>
                <w:rFonts w:ascii="Arial" w:cs="Arial" w:eastAsia="Arial" w:hAnsi="Arial"/>
                <w:sz w:val="18"/>
                <w:szCs w:val="18"/>
                <w:color w:val="auto"/>
                <w:w w:val="79"/>
              </w:rPr>
              <w:t>9</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LANDLORD’S REPAIRS AND SERVICES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10</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TENANT’S REPAIRS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11</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ALTERATIONS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12</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LIENS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12</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13</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LANDLORD’S ACCESS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13</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UTILITIES</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14</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SUBORDINATION</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14</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FINANCIAL STATEMENT</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15</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ESTOPPEL CERTIFICATE</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15</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SECURITY DEPOSIT</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15</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ASSIGNMENT AND SUBLETTING</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16</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22.</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CONDEMNATION</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17</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CASUALTY DAMAGE</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18</w:t>
            </w:r>
          </w:p>
        </w:tc>
      </w:tr>
      <w:tr>
        <w:trPr>
          <w:trHeight w:val="216"/>
        </w:trPr>
        <w:tc>
          <w:tcPr>
            <w:tcW w:w="4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24.</w:t>
            </w:r>
          </w:p>
        </w:tc>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HOLDING OVER</w:t>
            </w:r>
          </w:p>
        </w:tc>
        <w:tc>
          <w:tcPr>
            <w:tcW w:w="6740" w:type="dxa"/>
            <w:vAlign w:val="bottom"/>
            <w:gridSpan w:val="2"/>
            <w:shd w:val="clear" w:color="auto" w:fill="CCEEFF"/>
          </w:tcPr>
          <w:p>
            <w:pPr>
              <w:jc w:val="center"/>
              <w:ind w:left="5990"/>
              <w:spacing w:after="0"/>
              <w:rPr>
                <w:sz w:val="20"/>
                <w:szCs w:val="20"/>
                <w:color w:val="auto"/>
              </w:rPr>
            </w:pPr>
            <w:r>
              <w:rPr>
                <w:rFonts w:ascii="Arial" w:cs="Arial" w:eastAsia="Arial" w:hAnsi="Arial"/>
                <w:sz w:val="18"/>
                <w:szCs w:val="18"/>
                <w:color w:val="auto"/>
                <w:w w:val="89"/>
              </w:rPr>
              <w:t>19</w:t>
            </w:r>
          </w:p>
        </w:tc>
      </w:tr>
      <w:tr>
        <w:trPr>
          <w:trHeight w:val="466"/>
        </w:trPr>
        <w:tc>
          <w:tcPr>
            <w:tcW w:w="4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jc w:val="center"/>
              <w:ind w:right="4410"/>
              <w:spacing w:after="0"/>
              <w:rPr>
                <w:sz w:val="20"/>
                <w:szCs w:val="20"/>
                <w:color w:val="auto"/>
              </w:rPr>
            </w:pPr>
            <w:r>
              <w:rPr>
                <w:rFonts w:ascii="Arial" w:cs="Arial" w:eastAsia="Arial" w:hAnsi="Arial"/>
                <w:sz w:val="18"/>
                <w:szCs w:val="18"/>
                <w:color w:val="auto"/>
                <w:w w:val="98"/>
              </w:rPr>
              <w:t>i</w:t>
            </w:r>
          </w:p>
        </w:tc>
      </w:tr>
    </w:tbl>
    <w:p>
      <w:pPr>
        <w:sectPr>
          <w:pgSz w:w="11900" w:h="16838" w:orient="portrait"/>
          <w:cols w:equalWidth="0" w:num="1">
            <w:col w:w="11240"/>
          </w:cols>
          <w:pgMar w:left="320" w:top="688" w:right="339" w:bottom="144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DEFAULT</w:t>
            </w:r>
          </w:p>
        </w:tc>
        <w:tc>
          <w:tcPr>
            <w:tcW w:w="636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7"/>
              </w:rPr>
              <w:t>LATE CHARGE</w:t>
            </w:r>
          </w:p>
        </w:tc>
        <w:tc>
          <w:tcPr>
            <w:tcW w:w="636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LANDLORD DEFAULT</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TENANT’S REMEDIES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BY LANDLORD</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LANDLORD TO PERFORM TENANT’S COVENANTS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HAZARDOUS MATERIALS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WAIVER</w:t>
            </w:r>
          </w:p>
        </w:tc>
        <w:tc>
          <w:tcPr>
            <w:tcW w:w="636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26</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SURRENDER OF PREMISES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NOTICES</w:t>
            </w:r>
          </w:p>
        </w:tc>
        <w:tc>
          <w:tcPr>
            <w:tcW w:w="6360" w:type="dxa"/>
            <w:vAlign w:val="bottom"/>
            <w:shd w:val="clear" w:color="auto" w:fill="CCEEFF"/>
          </w:tcPr>
          <w:p>
            <w:pPr>
              <w:spacing w:after="0"/>
              <w:rPr>
                <w:sz w:val="18"/>
                <w:szCs w:val="18"/>
                <w:color w:val="auto"/>
              </w:rPr>
            </w:pP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ATTORNEYS’ FEES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AUTHORITY OF PARTIES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SUCCESSORS AND ASSIGNS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FORCE MAJEURE</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BROKERAGE COMMISSION</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WAIVER OF TRIAL BY JURY</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SUBSTITUTION OF PREMISES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20" w:type="dxa"/>
            <w:vAlign w:val="bottom"/>
            <w:gridSpan w:val="2"/>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9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r>
      <w:tr>
        <w:trPr>
          <w:trHeight w:val="392"/>
        </w:trPr>
        <w:tc>
          <w:tcPr>
            <w:tcW w:w="660" w:type="dxa"/>
            <w:vAlign w:val="bottom"/>
            <w:gridSpan w:val="2"/>
          </w:tcPr>
          <w:p>
            <w:pPr>
              <w:spacing w:after="0"/>
              <w:rPr>
                <w:sz w:val="20"/>
                <w:szCs w:val="20"/>
                <w:color w:val="auto"/>
              </w:rPr>
            </w:pPr>
            <w:r>
              <w:rPr>
                <w:rFonts w:ascii="Arial" w:cs="Arial" w:eastAsia="Arial" w:hAnsi="Arial"/>
                <w:sz w:val="18"/>
                <w:szCs w:val="18"/>
                <w:color w:val="auto"/>
                <w:w w:val="94"/>
              </w:rPr>
              <w:t>Exhibits:</w:t>
            </w:r>
          </w:p>
        </w:tc>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438"/>
        </w:trPr>
        <w:tc>
          <w:tcPr>
            <w:tcW w:w="6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A</w:t>
            </w:r>
          </w:p>
        </w:tc>
        <w:tc>
          <w:tcPr>
            <w:tcW w:w="6360" w:type="dxa"/>
            <w:vAlign w:val="bottom"/>
          </w:tcPr>
          <w:p>
            <w:pPr>
              <w:ind w:left="40"/>
              <w:spacing w:after="0"/>
              <w:rPr>
                <w:sz w:val="20"/>
                <w:szCs w:val="20"/>
                <w:color w:val="auto"/>
              </w:rPr>
            </w:pPr>
            <w:r>
              <w:rPr>
                <w:rFonts w:ascii="Arial" w:cs="Arial" w:eastAsia="Arial" w:hAnsi="Arial"/>
                <w:sz w:val="18"/>
                <w:szCs w:val="18"/>
                <w:color w:val="auto"/>
              </w:rPr>
              <w:t>Site Plan Showing Premises and Building</w:t>
            </w:r>
          </w:p>
        </w:tc>
        <w:tc>
          <w:tcPr>
            <w:tcW w:w="296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A-1</w:t>
            </w:r>
          </w:p>
        </w:tc>
        <w:tc>
          <w:tcPr>
            <w:tcW w:w="6360" w:type="dxa"/>
            <w:vAlign w:val="bottom"/>
          </w:tcPr>
          <w:p>
            <w:pPr>
              <w:ind w:left="40"/>
              <w:spacing w:after="0"/>
              <w:rPr>
                <w:sz w:val="20"/>
                <w:szCs w:val="20"/>
                <w:color w:val="auto"/>
              </w:rPr>
            </w:pPr>
            <w:r>
              <w:rPr>
                <w:rFonts w:ascii="Arial" w:cs="Arial" w:eastAsia="Arial" w:hAnsi="Arial"/>
                <w:sz w:val="18"/>
                <w:szCs w:val="18"/>
                <w:color w:val="auto"/>
              </w:rPr>
              <w:t>Diagram of Premises</w:t>
            </w:r>
          </w:p>
        </w:tc>
        <w:tc>
          <w:tcPr>
            <w:tcW w:w="29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B</w:t>
            </w:r>
          </w:p>
        </w:tc>
        <w:tc>
          <w:tcPr>
            <w:tcW w:w="6360" w:type="dxa"/>
            <w:vAlign w:val="bottom"/>
          </w:tcPr>
          <w:p>
            <w:pPr>
              <w:ind w:left="40"/>
              <w:spacing w:after="0"/>
              <w:rPr>
                <w:sz w:val="20"/>
                <w:szCs w:val="20"/>
                <w:color w:val="auto"/>
              </w:rPr>
            </w:pPr>
            <w:r>
              <w:rPr>
                <w:rFonts w:ascii="Arial" w:cs="Arial" w:eastAsia="Arial" w:hAnsi="Arial"/>
                <w:sz w:val="18"/>
                <w:szCs w:val="18"/>
                <w:color w:val="auto"/>
              </w:rPr>
              <w:t>Tenant Questionnaire Regarding Use of Premises</w:t>
            </w:r>
          </w:p>
        </w:tc>
        <w:tc>
          <w:tcPr>
            <w:tcW w:w="29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B-1</w:t>
            </w:r>
          </w:p>
        </w:tc>
        <w:tc>
          <w:tcPr>
            <w:tcW w:w="6360" w:type="dxa"/>
            <w:vAlign w:val="bottom"/>
          </w:tcPr>
          <w:p>
            <w:pPr>
              <w:ind w:left="40"/>
              <w:spacing w:after="0"/>
              <w:rPr>
                <w:sz w:val="20"/>
                <w:szCs w:val="20"/>
                <w:color w:val="auto"/>
              </w:rPr>
            </w:pPr>
            <w:r>
              <w:rPr>
                <w:rFonts w:ascii="Arial" w:cs="Arial" w:eastAsia="Arial" w:hAnsi="Arial"/>
                <w:sz w:val="18"/>
                <w:szCs w:val="18"/>
                <w:color w:val="auto"/>
              </w:rPr>
              <w:t>Chart Listing Stored Products</w:t>
            </w:r>
          </w:p>
        </w:tc>
        <w:tc>
          <w:tcPr>
            <w:tcW w:w="296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C</w:t>
            </w:r>
          </w:p>
        </w:tc>
        <w:tc>
          <w:tcPr>
            <w:tcW w:w="6360" w:type="dxa"/>
            <w:vAlign w:val="bottom"/>
          </w:tcPr>
          <w:p>
            <w:pPr>
              <w:ind w:left="40"/>
              <w:spacing w:after="0"/>
              <w:rPr>
                <w:sz w:val="20"/>
                <w:szCs w:val="20"/>
                <w:color w:val="auto"/>
              </w:rPr>
            </w:pPr>
            <w:r>
              <w:rPr>
                <w:rFonts w:ascii="Arial" w:cs="Arial" w:eastAsia="Arial" w:hAnsi="Arial"/>
                <w:sz w:val="18"/>
                <w:szCs w:val="18"/>
                <w:color w:val="auto"/>
              </w:rPr>
              <w:t>Rules and Regulations</w:t>
            </w:r>
          </w:p>
        </w:tc>
        <w:tc>
          <w:tcPr>
            <w:tcW w:w="296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Exhibit D</w:t>
            </w:r>
          </w:p>
        </w:tc>
        <w:tc>
          <w:tcPr>
            <w:tcW w:w="6360" w:type="dxa"/>
            <w:vAlign w:val="bottom"/>
          </w:tcPr>
          <w:p>
            <w:pPr>
              <w:ind w:left="40"/>
              <w:spacing w:after="0"/>
              <w:rPr>
                <w:sz w:val="20"/>
                <w:szCs w:val="20"/>
                <w:color w:val="auto"/>
              </w:rPr>
            </w:pPr>
            <w:r>
              <w:rPr>
                <w:rFonts w:ascii="Arial" w:cs="Arial" w:eastAsia="Arial" w:hAnsi="Arial"/>
                <w:sz w:val="18"/>
                <w:szCs w:val="18"/>
                <w:color w:val="auto"/>
              </w:rPr>
              <w:t>Option to Renew</w:t>
            </w:r>
          </w:p>
        </w:tc>
        <w:tc>
          <w:tcPr>
            <w:tcW w:w="29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GENERAL LEASE TERMS</w:t>
      </w:r>
    </w:p>
    <w:p>
      <w:pPr>
        <w:spacing w:after="0" w:line="225"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PREMISES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Landlord leases to Tenant and Tenant leases from Landlord, upon the terms and conditions hereinabove and hereinafter set forth, those premises (the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outlined in red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more fully described in the Basic Lease Information. The Premises are a part of the building described in the Basic Lease Information (the “</w:t>
      </w:r>
      <w:r>
        <w:rPr>
          <w:rFonts w:ascii="Arial" w:cs="Arial" w:eastAsia="Arial" w:hAnsi="Arial"/>
          <w:sz w:val="18"/>
          <w:szCs w:val="18"/>
          <w:b w:val="1"/>
          <w:bCs w:val="1"/>
          <w:color w:val="auto"/>
        </w:rPr>
        <w:t>Building</w:t>
      </w:r>
      <w:r>
        <w:rPr>
          <w:rFonts w:ascii="Arial" w:cs="Arial" w:eastAsia="Arial" w:hAnsi="Arial"/>
          <w:sz w:val="18"/>
          <w:szCs w:val="18"/>
          <w:color w:val="auto"/>
        </w:rPr>
        <w:t xml:space="preserve">”) (outlined in blue on </w:t>
      </w:r>
      <w:r>
        <w:rPr>
          <w:rFonts w:ascii="Arial" w:cs="Arial" w:eastAsia="Arial" w:hAnsi="Arial"/>
          <w:sz w:val="18"/>
          <w:szCs w:val="18"/>
          <w:u w:val="single" w:color="auto"/>
          <w:color w:val="auto"/>
        </w:rPr>
        <w:t>Exhibit A</w:t>
      </w:r>
      <w:r>
        <w:rPr>
          <w:rFonts w:ascii="Arial" w:cs="Arial" w:eastAsia="Arial" w:hAnsi="Arial"/>
          <w:sz w:val="18"/>
          <w:szCs w:val="18"/>
          <w:color w:val="auto"/>
        </w:rPr>
        <w:t>) and a part of the project identified in the Basic Lease Information which consists of more than one building (the “</w:t>
      </w:r>
      <w:r>
        <w:rPr>
          <w:rFonts w:ascii="Arial" w:cs="Arial" w:eastAsia="Arial" w:hAnsi="Arial"/>
          <w:sz w:val="18"/>
          <w:szCs w:val="18"/>
          <w:b w:val="1"/>
          <w:bCs w:val="1"/>
          <w:color w:val="auto"/>
        </w:rPr>
        <w:t>Project</w:t>
      </w:r>
      <w:r>
        <w:rPr>
          <w:rFonts w:ascii="Arial" w:cs="Arial" w:eastAsia="Arial" w:hAnsi="Arial"/>
          <w:sz w:val="18"/>
          <w:szCs w:val="18"/>
          <w:color w:val="auto"/>
        </w:rPr>
        <w:t>”). The Premises and the Building are stipulated for all purposes of this Lease to contain the square footage set forth in the Basic Lease Information.</w:t>
      </w:r>
    </w:p>
    <w:p>
      <w:pPr>
        <w:spacing w:after="0" w:line="184" w:lineRule="exact"/>
        <w:rPr>
          <w:sz w:val="20"/>
          <w:szCs w:val="20"/>
          <w:color w:val="auto"/>
        </w:rPr>
      </w:pPr>
    </w:p>
    <w:p>
      <w:pPr>
        <w:ind w:left="1300" w:hanging="644"/>
        <w:spacing w:after="0"/>
        <w:tabs>
          <w:tab w:leader="none" w:pos="130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POSSESSION AND LEASE COMMENCEMENT</w:t>
      </w:r>
    </w:p>
    <w:p>
      <w:pPr>
        <w:spacing w:after="0" w:line="225" w:lineRule="exact"/>
        <w:rPr>
          <w:rFonts w:ascii="Arial" w:cs="Arial" w:eastAsia="Arial" w:hAnsi="Arial"/>
          <w:sz w:val="18"/>
          <w:szCs w:val="18"/>
          <w:b w:val="1"/>
          <w:bCs w:val="1"/>
          <w:color w:val="auto"/>
        </w:rPr>
      </w:pPr>
    </w:p>
    <w:p>
      <w:pPr>
        <w:jc w:val="both"/>
        <w:ind w:firstLine="1304"/>
        <w:spacing w:after="0" w:line="292" w:lineRule="auto"/>
        <w:tabs>
          <w:tab w:leader="none" w:pos="1567" w:val="left"/>
        </w:tabs>
        <w:numPr>
          <w:ilvl w:val="1"/>
          <w:numId w:val="128"/>
        </w:numPr>
        <w:rPr>
          <w:rFonts w:ascii="Arial" w:cs="Arial" w:eastAsia="Arial" w:hAnsi="Arial"/>
          <w:sz w:val="16"/>
          <w:szCs w:val="16"/>
          <w:color w:val="auto"/>
        </w:rPr>
      </w:pPr>
      <w:r>
        <w:rPr>
          <w:rFonts w:ascii="Arial" w:cs="Arial" w:eastAsia="Arial" w:hAnsi="Arial"/>
          <w:sz w:val="16"/>
          <w:szCs w:val="16"/>
          <w:b w:val="1"/>
          <w:bCs w:val="1"/>
          <w:color w:val="auto"/>
        </w:rPr>
        <w:t>Term Commencement Date</w:t>
      </w:r>
      <w:r>
        <w:rPr>
          <w:rFonts w:ascii="Arial" w:cs="Arial" w:eastAsia="Arial" w:hAnsi="Arial"/>
          <w:sz w:val="16"/>
          <w:szCs w:val="16"/>
          <w:color w:val="auto"/>
        </w:rPr>
        <w:t>. The term commencement date (the “</w:t>
      </w:r>
      <w:r>
        <w:rPr>
          <w:rFonts w:ascii="Arial" w:cs="Arial" w:eastAsia="Arial" w:hAnsi="Arial"/>
          <w:sz w:val="16"/>
          <w:szCs w:val="16"/>
          <w:b w:val="1"/>
          <w:bCs w:val="1"/>
          <w:color w:val="auto"/>
        </w:rPr>
        <w:t>Term Commencement Date</w:t>
      </w:r>
      <w:r>
        <w:rPr>
          <w:rFonts w:ascii="Arial" w:cs="Arial" w:eastAsia="Arial" w:hAnsi="Arial"/>
          <w:sz w:val="16"/>
          <w:szCs w:val="16"/>
          <w:color w:val="auto"/>
        </w:rPr>
        <w:t>”) shall be the date 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delivers possession of the Premises to Tenant, which is estimated to occur on the Estimated Term Commencement Date set forth in the Basic Lease Information. If for any reason Landlord cannot deliver possession of the Premises to Tenant on the Estimated Term Commencement Date, Landlord shall not be subject to any liability therefor, nor shall Landlord be in default hereunder, and Tenant agrees to accept possession of the Premises at such time as Landlord is able to deliver the same, which date shall then be deemed the Term Commencement Date. Tenant shall not be liable for any Rent for any period prior to the Term Commencement Date. Tenant shall, upon demand, execute and deliver to Landlord a letter of acceptance of delivery of the Premises, which shall confirm the Term Commencement Date and such other details of the Lease as Landlord shall reasonably require.</w:t>
      </w:r>
    </w:p>
    <w:p>
      <w:pPr>
        <w:spacing w:after="0" w:line="161" w:lineRule="exact"/>
        <w:rPr>
          <w:rFonts w:ascii="Arial" w:cs="Arial" w:eastAsia="Arial" w:hAnsi="Arial"/>
          <w:sz w:val="16"/>
          <w:szCs w:val="16"/>
          <w:color w:val="auto"/>
        </w:rPr>
      </w:pPr>
    </w:p>
    <w:p>
      <w:pPr>
        <w:jc w:val="both"/>
        <w:ind w:firstLine="1304"/>
        <w:spacing w:after="0" w:line="273" w:lineRule="auto"/>
        <w:tabs>
          <w:tab w:leader="none" w:pos="1551" w:val="left"/>
        </w:tabs>
        <w:numPr>
          <w:ilvl w:val="1"/>
          <w:numId w:val="128"/>
        </w:numPr>
        <w:rPr>
          <w:rFonts w:ascii="Arial" w:cs="Arial" w:eastAsia="Arial" w:hAnsi="Arial"/>
          <w:sz w:val="17"/>
          <w:szCs w:val="17"/>
          <w:color w:val="auto"/>
        </w:rPr>
      </w:pPr>
      <w:r>
        <w:rPr>
          <w:rFonts w:ascii="Arial" w:cs="Arial" w:eastAsia="Arial" w:hAnsi="Arial"/>
          <w:sz w:val="17"/>
          <w:szCs w:val="17"/>
          <w:b w:val="1"/>
          <w:bCs w:val="1"/>
          <w:color w:val="auto"/>
        </w:rPr>
        <w:t>As Is; Warranty</w:t>
      </w:r>
      <w:r>
        <w:rPr>
          <w:rFonts w:ascii="Arial" w:cs="Arial" w:eastAsia="Arial" w:hAnsi="Arial"/>
          <w:sz w:val="17"/>
          <w:szCs w:val="17"/>
          <w:color w:val="auto"/>
        </w:rPr>
        <w:t>. Tenant acknowledges that Tenant has inspected and accepts the Premises in its present condition, broom clean, “AS</w:t>
      </w:r>
      <w:r>
        <w:rPr>
          <w:rFonts w:ascii="Arial" w:cs="Arial" w:eastAsia="Arial" w:hAnsi="Arial"/>
          <w:sz w:val="17"/>
          <w:szCs w:val="17"/>
          <w:b w:val="1"/>
          <w:bCs w:val="1"/>
          <w:color w:val="auto"/>
        </w:rPr>
        <w:t xml:space="preserve"> </w:t>
      </w:r>
      <w:r>
        <w:rPr>
          <w:rFonts w:ascii="Arial" w:cs="Arial" w:eastAsia="Arial" w:hAnsi="Arial"/>
          <w:sz w:val="17"/>
          <w:szCs w:val="17"/>
          <w:color w:val="auto"/>
        </w:rPr>
        <w:t>IS,” and suitable for the purpose for which the Premises are leased. Tenant agrees that said Premises is in good and satisfactory condition as of when possession was taken. Tenant further acknowledges that no representations as to the condition or repair of the Premises nor promises to alter, remodel or improve the Premises have been made by Landlord. Notwithstanding the foregoing to the contrary, Landlord warrants that for ninety (90) days following the Term Commencement Date (the “</w:t>
      </w:r>
      <w:r>
        <w:rPr>
          <w:rFonts w:ascii="Arial" w:cs="Arial" w:eastAsia="Arial" w:hAnsi="Arial"/>
          <w:sz w:val="17"/>
          <w:szCs w:val="17"/>
          <w:b w:val="1"/>
          <w:bCs w:val="1"/>
          <w:color w:val="auto"/>
        </w:rPr>
        <w:t>Warranty Period</w:t>
      </w:r>
      <w:r>
        <w:rPr>
          <w:rFonts w:ascii="Arial" w:cs="Arial" w:eastAsia="Arial" w:hAnsi="Arial"/>
          <w:sz w:val="17"/>
          <w:szCs w:val="17"/>
          <w:color w:val="auto"/>
        </w:rPr>
        <w:t>”), the existing heating, electrical, plumbing and mechanical systems located in and serving the Premises shall be in good operating condition. Landlord shall repair any defective or malfunctioning aspect of such systems of which Landlord has received written notice from Tenant describing the failure or malfunction within the Warranty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both"/>
        <w:ind w:firstLine="1304"/>
        <w:spacing w:after="0" w:line="269" w:lineRule="auto"/>
        <w:tabs>
          <w:tab w:leader="none" w:pos="1554" w:val="left"/>
        </w:tabs>
        <w:numPr>
          <w:ilvl w:val="1"/>
          <w:numId w:val="129"/>
        </w:numPr>
        <w:rPr>
          <w:rFonts w:ascii="Arial" w:cs="Arial" w:eastAsia="Arial" w:hAnsi="Arial"/>
          <w:sz w:val="17"/>
          <w:szCs w:val="17"/>
          <w:color w:val="auto"/>
        </w:rPr>
      </w:pPr>
      <w:r>
        <w:rPr>
          <w:rFonts w:ascii="Arial" w:cs="Arial" w:eastAsia="Arial" w:hAnsi="Arial"/>
          <w:sz w:val="17"/>
          <w:szCs w:val="17"/>
          <w:b w:val="1"/>
          <w:bCs w:val="1"/>
          <w:color w:val="auto"/>
        </w:rPr>
        <w:t>Tenant Improvement Allowance</w:t>
      </w:r>
      <w:r>
        <w:rPr>
          <w:rFonts w:ascii="Arial" w:cs="Arial" w:eastAsia="Arial" w:hAnsi="Arial"/>
          <w:sz w:val="17"/>
          <w:szCs w:val="17"/>
          <w:color w:val="auto"/>
        </w:rPr>
        <w:t>. Subject to the terms hereof, Landlord shall grant Tenant an allowance of up to $15,200.00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Tenant Improvement Allowance</w:t>
      </w:r>
      <w:r>
        <w:rPr>
          <w:rFonts w:ascii="Arial" w:cs="Arial" w:eastAsia="Arial" w:hAnsi="Arial"/>
          <w:sz w:val="17"/>
          <w:szCs w:val="17"/>
          <w:color w:val="auto"/>
        </w:rPr>
        <w:t>”) towards the cost of performing certain improvements to be made in and to the Premises by Tenant, which improvements shall be subject to Landlord’s prior written consent. All such improvements shall be performed by a general contractor and subcontractors approved by Landlord and otherwise in compliance with Paragraph 12 of this Lease. Upon completion of such improvements, Tenant shall submit to Landlord a request for reimbursement for the cost of such improvements up to the amount of the Tenant Improvement Allowance, accompanied by documentation evidencing the cost of the materials and labor performed for the improvements to the Premises and, if required by Landlord, evidence of payment of such amounts and final, unconditional lien waivers in connection therewith. Tenant shall submit its request for reimbursement to Landlord within twelve (12) months following the date of mutual execution of this Lease. Landlord shall not be obligated to make any reimbursement with respect to a request received after such date. Any portion of the Tenant Improvement Allowance not timely used by Tenant shall be forfeited. Under no circumstances shall Landlord be obligated to fund any portion of the Tenant Improvement Allowance when an event of default occurs (or is occurring) under this Lease. The Tenant Improvement Allowance may only be used toward the cost of design and construction of permanent physical improvements to the Premises and may not be used for Tenant’s furniture, fixtures, equipment or other personal property.</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 of this Lease shall commence on the Term Commencement Date and continue in full force and effect for the number of months specified as the Length of Term in the Basic Lease Information or until this Lease is terminated or further extended as otherwise provided herein. If the Term Commencement Date is a date other than the first day of a calendar month, the Term shall be the number of months of the Length of Term in addition to the remainder of the calendar month following the Term Commencement Date.</w:t>
      </w:r>
    </w:p>
    <w:p>
      <w:pPr>
        <w:spacing w:after="0" w:line="183"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USE</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40" w:val="left"/>
        </w:tabs>
        <w:numPr>
          <w:ilvl w:val="1"/>
          <w:numId w:val="131"/>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Tenant shall use the Premises for the Permitted Use set forth in the Basic Lease Information and for no other use or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In all events, Tenant’s use shall be in compliance with all applicable Regulations (as defined in Paragraph 4(c) below). Tenant shall control Tenant’s employees, agents, customers, visitors, invitees, licensees, contractors, assignees and subtenants (collectively, “</w:t>
      </w:r>
      <w:r>
        <w:rPr>
          <w:rFonts w:ascii="Arial" w:cs="Arial" w:eastAsia="Arial" w:hAnsi="Arial"/>
          <w:sz w:val="18"/>
          <w:szCs w:val="18"/>
          <w:b w:val="1"/>
          <w:bCs w:val="1"/>
          <w:color w:val="auto"/>
        </w:rPr>
        <w:t>Tenant’s Parties</w:t>
      </w:r>
      <w:r>
        <w:rPr>
          <w:rFonts w:ascii="Arial" w:cs="Arial" w:eastAsia="Arial" w:hAnsi="Arial"/>
          <w:sz w:val="18"/>
          <w:szCs w:val="18"/>
          <w:color w:val="auto"/>
        </w:rPr>
        <w:t xml:space="preserve">”) in such a manner that Tenant and Tenant’s Parties cumulatively do not exceed the Parking Allocation set forth in the Basic Lease Information at any time. Tenant and Tenant’s Parties shall have the nonexclusive right to use, in common with other parties occupying the Building or Project, the parking areas, driveways and sidewalks of the Project, subject to the rules and regulations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Tenant expressly acknowledges that Landlord does not provide on-site security personnel for Tenant’s Premises.</w:t>
      </w:r>
    </w:p>
    <w:p>
      <w:pPr>
        <w:spacing w:after="0" w:line="188" w:lineRule="exact"/>
        <w:rPr>
          <w:rFonts w:ascii="Arial" w:cs="Arial" w:eastAsia="Arial" w:hAnsi="Arial"/>
          <w:sz w:val="18"/>
          <w:szCs w:val="18"/>
          <w:color w:val="auto"/>
        </w:rPr>
      </w:pPr>
    </w:p>
    <w:p>
      <w:pPr>
        <w:jc w:val="both"/>
        <w:ind w:firstLine="1304"/>
        <w:spacing w:after="0" w:line="270" w:lineRule="auto"/>
        <w:tabs>
          <w:tab w:leader="none" w:pos="1551" w:val="left"/>
        </w:tabs>
        <w:numPr>
          <w:ilvl w:val="1"/>
          <w:numId w:val="131"/>
        </w:numPr>
        <w:rPr>
          <w:rFonts w:ascii="Arial" w:cs="Arial" w:eastAsia="Arial" w:hAnsi="Arial"/>
          <w:sz w:val="17"/>
          <w:szCs w:val="17"/>
          <w:color w:val="auto"/>
        </w:rPr>
      </w:pPr>
      <w:r>
        <w:rPr>
          <w:rFonts w:ascii="Arial" w:cs="Arial" w:eastAsia="Arial" w:hAnsi="Arial"/>
          <w:sz w:val="17"/>
          <w:szCs w:val="17"/>
          <w:b w:val="1"/>
          <w:bCs w:val="1"/>
          <w:color w:val="auto"/>
        </w:rPr>
        <w:t>Limitations</w:t>
      </w:r>
      <w:r>
        <w:rPr>
          <w:rFonts w:ascii="Arial" w:cs="Arial" w:eastAsia="Arial" w:hAnsi="Arial"/>
          <w:sz w:val="17"/>
          <w:szCs w:val="17"/>
          <w:color w:val="auto"/>
        </w:rPr>
        <w:t>. Tenant shall not permit any odors, smoke, dust, gas, substances, noise or vibrations to emanate from the Premises, nor</w:t>
      </w:r>
      <w:r>
        <w:rPr>
          <w:rFonts w:ascii="Arial" w:cs="Arial" w:eastAsia="Arial" w:hAnsi="Arial"/>
          <w:sz w:val="17"/>
          <w:szCs w:val="17"/>
          <w:b w:val="1"/>
          <w:bCs w:val="1"/>
          <w:color w:val="auto"/>
        </w:rPr>
        <w:t xml:space="preserve"> </w:t>
      </w:r>
      <w:r>
        <w:rPr>
          <w:rFonts w:ascii="Arial" w:cs="Arial" w:eastAsia="Arial" w:hAnsi="Arial"/>
          <w:sz w:val="17"/>
          <w:szCs w:val="17"/>
          <w:color w:val="auto"/>
        </w:rPr>
        <w:t>take any action which would constitute a nuisance or would disturb, obstruct or endanger any other tenants of the Building or Project or interfere with their use of their respective premises. Storage outside the Premises of materials, vehicles or any other items is prohibited. Tenant shall not use or allow the Premises to be used for any improper, immoral, unlawful or objectionable purpose, nor shall Tenant cause or maintain or permit any nuisance in, on or about the Premises. Tenant shall not commit or suffer the commission of any waste in, on or about the Premises. Tenant shall not use the Premises for retail purposes. Tenant shall not allow any sale by auction upon the Premises, or place any loads upon the floors, walls or ceilings that endanger the structure, or place any harmful liquids in the drainage system of the Building or Project. No waste materials or refuse shall be dumped upon or permitted to remain outside the Premises except in trash containers placed inside exterior enclosures designed for that purpose by Landlord. Landlord shall not be responsible to Tenant for the non-compliance by any other tenant or occupant of the Building or Project with any of the above-referenced rules or any other terms or provisions of such tenant’s lease or other contract.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both"/>
        <w:ind w:firstLine="1304"/>
        <w:spacing w:after="0" w:line="286" w:lineRule="auto"/>
        <w:tabs>
          <w:tab w:leader="none" w:pos="1540" w:val="left"/>
        </w:tabs>
        <w:numPr>
          <w:ilvl w:val="1"/>
          <w:numId w:val="132"/>
        </w:numPr>
        <w:rPr>
          <w:rFonts w:ascii="Arial" w:cs="Arial" w:eastAsia="Arial" w:hAnsi="Arial"/>
          <w:sz w:val="16"/>
          <w:szCs w:val="16"/>
          <w:color w:val="auto"/>
        </w:rPr>
      </w:pPr>
      <w:r>
        <w:rPr>
          <w:rFonts w:ascii="Arial" w:cs="Arial" w:eastAsia="Arial" w:hAnsi="Arial"/>
          <w:sz w:val="16"/>
          <w:szCs w:val="16"/>
          <w:b w:val="1"/>
          <w:bCs w:val="1"/>
          <w:color w:val="auto"/>
        </w:rPr>
        <w:t>Compliance with Regulations</w:t>
      </w:r>
      <w:r>
        <w:rPr>
          <w:rFonts w:ascii="Arial" w:cs="Arial" w:eastAsia="Arial" w:hAnsi="Arial"/>
          <w:sz w:val="16"/>
          <w:szCs w:val="16"/>
          <w:color w:val="auto"/>
        </w:rPr>
        <w:t>. By entering the Premises, Tenant accepts the Premises in the condition existing as of the date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entry, subject to all existing and future municipal, state, federal and other governmental statutes, regulations, laws and ordinances applicable thereto, including (i) zoning ordinances, (ii) regulations governing and relating to the use, occupancy and possession of the Premises, including without limitation the Americans with Disabilities Act of 1990, (iii) regulations governing and relating to the use, storage, generation and disposal of Hazardous Materials (as defined in Paragraph 31 below) in, on and under the Premises and (iv) any conditions, covenants and restrictions recorded against the Building or Project (all of the foregoing, including (i) through (iv) above, collectively, the “</w:t>
      </w:r>
      <w:r>
        <w:rPr>
          <w:rFonts w:ascii="Arial" w:cs="Arial" w:eastAsia="Arial" w:hAnsi="Arial"/>
          <w:sz w:val="16"/>
          <w:szCs w:val="16"/>
          <w:b w:val="1"/>
          <w:bCs w:val="1"/>
          <w:color w:val="auto"/>
        </w:rPr>
        <w:t>Regulations</w:t>
      </w:r>
      <w:r>
        <w:rPr>
          <w:rFonts w:ascii="Arial" w:cs="Arial" w:eastAsia="Arial" w:hAnsi="Arial"/>
          <w:sz w:val="16"/>
          <w:szCs w:val="16"/>
          <w:color w:val="auto"/>
        </w:rPr>
        <w:t>”). Except for pre-existing violations, Tenant shall, at Tenant’s sole expense, strictly comply with all Regulations now in force or which may hereafter be in force relating to the Premises and the use of the Premises and/or the use, storage, generation of Hazardous Materials in, on and under the Premises. Tenant shall at its sole cost and expense obtain any and all licenses or permits necessary for Tenant’s use of the Premises. Tenant acknowledges that it will be wholly responsible for any accommodations or alterations which need to be made to the Premises to accommodate disabled employees or customers of Tenant. Tenant shall promptly comply with the requirements of any board of fire underwriters or other similar body now or hereafter constituted. Tenant shall indemnify, defend, protect and hold Landlord, Landlord’s wholly-owned subsidiaries, Landlord’s agents (including the manager of the Project), employees, directors, officers, shareholders, partners, contractors and lenders, and their respective successors and assigns (collectively, the “</w:t>
      </w:r>
      <w:r>
        <w:rPr>
          <w:rFonts w:ascii="Arial" w:cs="Arial" w:eastAsia="Arial" w:hAnsi="Arial"/>
          <w:sz w:val="16"/>
          <w:szCs w:val="16"/>
          <w:b w:val="1"/>
          <w:bCs w:val="1"/>
          <w:color w:val="auto"/>
        </w:rPr>
        <w:t>Landlord Indemnitees</w:t>
      </w:r>
      <w:r>
        <w:rPr>
          <w:rFonts w:ascii="Arial" w:cs="Arial" w:eastAsia="Arial" w:hAnsi="Arial"/>
          <w:sz w:val="16"/>
          <w:szCs w:val="16"/>
          <w:color w:val="auto"/>
        </w:rPr>
        <w:t>”), harmless from and against any loss, cost, expense, damage, attorneys’ fees or liability arising out of the failure of Tenant to comply with any applicable Regulation or to comply with the requirements as set forth herein. Tenant’s obligations pursuant to the foregoing indemnity shall survive the termination of this Lease.</w:t>
      </w:r>
    </w:p>
    <w:p>
      <w:pPr>
        <w:spacing w:after="0" w:line="167" w:lineRule="exact"/>
        <w:rPr>
          <w:rFonts w:ascii="Arial" w:cs="Arial" w:eastAsia="Arial" w:hAnsi="Arial"/>
          <w:sz w:val="16"/>
          <w:szCs w:val="16"/>
          <w:color w:val="auto"/>
        </w:rPr>
      </w:pPr>
    </w:p>
    <w:p>
      <w:pPr>
        <w:ind w:left="1300" w:hanging="644"/>
        <w:spacing w:after="0"/>
        <w:tabs>
          <w:tab w:leader="none" w:pos="13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RULES AND REGULATIONS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Tenant shall faithfully observe and comply with the rules and regulations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as well as any that Landlord may from time to time prescribe in writing for the purpose of maintaining the proper care, cleanliness, safety, traffic flow and general order of the Premises or Project. Tenant shall cause Tenant’s Parties to comply with such rules and regulations. Landlord shall not be responsible to Tenant for the noncompliance by any other tenant or occupant of the Building or Project with any of the rules and regulations.</w:t>
      </w:r>
    </w:p>
    <w:p>
      <w:pPr>
        <w:spacing w:after="0" w:line="183"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225" w:lineRule="exact"/>
        <w:rPr>
          <w:rFonts w:ascii="Arial" w:cs="Arial" w:eastAsia="Arial" w:hAnsi="Arial"/>
          <w:sz w:val="18"/>
          <w:szCs w:val="18"/>
          <w:b w:val="1"/>
          <w:bCs w:val="1"/>
          <w:color w:val="auto"/>
        </w:rPr>
      </w:pPr>
    </w:p>
    <w:p>
      <w:pPr>
        <w:jc w:val="both"/>
        <w:ind w:firstLine="1304"/>
        <w:spacing w:after="0" w:line="255" w:lineRule="auto"/>
        <w:tabs>
          <w:tab w:leader="none" w:pos="1540" w:val="left"/>
        </w:tabs>
        <w:numPr>
          <w:ilvl w:val="1"/>
          <w:numId w:val="134"/>
        </w:numPr>
        <w:rPr>
          <w:rFonts w:ascii="Arial" w:cs="Arial" w:eastAsia="Arial" w:hAnsi="Arial"/>
          <w:sz w:val="18"/>
          <w:szCs w:val="18"/>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Tenant shall pay to Landlord, without notice or demand, throughout the Term, Base Rent as specified in the Basic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payable in monthly installments in advance on or before the first day of each calendar month, in lawful money of the United States, without deduction or offset whatsoever, at the address specified in the Basic Lease Information or to such other place as Landlord may from time to time designate in writing. Base Rent for the first full month of the Term, together with an estimate of Tenant’s Proportionate Share of Basic Operating Cost (as hereinafter defined) for such month, shall be paid by Tenant upon Tenant’s execution of this Lease. If the obligation for payment of Rent commences on other than the first day of a month, then Rent shall be prorated and the prorated installment shall be paid on the first day of the calendar month next succeeding the Term Commencement Date.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5" w:name="page186"/>
    <w:bookmarkEnd w:id="185"/>
    <w:p>
      <w:pPr>
        <w:jc w:val="both"/>
        <w:ind w:firstLine="1304"/>
        <w:spacing w:after="0" w:line="314" w:lineRule="auto"/>
        <w:tabs>
          <w:tab w:leader="none" w:pos="1551"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Additional Rent</w:t>
      </w:r>
      <w:r>
        <w:rPr>
          <w:rFonts w:ascii="Arial" w:cs="Arial" w:eastAsia="Arial" w:hAnsi="Arial"/>
          <w:sz w:val="16"/>
          <w:szCs w:val="16"/>
          <w:color w:val="auto"/>
        </w:rPr>
        <w:t>. All monies other than Base Rent required to be paid by Tenant hereunder, including, but not limited to, the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and late charge described in Paragraph 26, any monies spent by Landlord pursuant to Paragraph 30, and Tenant’s Proportionate Share of Basic Operating Cost, as specified in Paragraph 7 below, shall be considered additional rent (“</w:t>
      </w:r>
      <w:r>
        <w:rPr>
          <w:rFonts w:ascii="Arial" w:cs="Arial" w:eastAsia="Arial" w:hAnsi="Arial"/>
          <w:sz w:val="16"/>
          <w:szCs w:val="16"/>
          <w:b w:val="1"/>
          <w:bCs w:val="1"/>
          <w:color w:val="auto"/>
        </w:rPr>
        <w:t>Additional Rent</w:t>
      </w:r>
      <w:r>
        <w:rPr>
          <w:rFonts w:ascii="Arial" w:cs="Arial" w:eastAsia="Arial" w:hAnsi="Arial"/>
          <w:sz w:val="16"/>
          <w:szCs w:val="16"/>
          <w:color w:val="auto"/>
        </w:rPr>
        <w:t>”); “</w:t>
      </w:r>
      <w:r>
        <w:rPr>
          <w:rFonts w:ascii="Arial" w:cs="Arial" w:eastAsia="Arial" w:hAnsi="Arial"/>
          <w:sz w:val="16"/>
          <w:szCs w:val="16"/>
          <w:b w:val="1"/>
          <w:bCs w:val="1"/>
          <w:color w:val="auto"/>
        </w:rPr>
        <w:t>Rent</w:t>
      </w:r>
      <w:r>
        <w:rPr>
          <w:rFonts w:ascii="Arial" w:cs="Arial" w:eastAsia="Arial" w:hAnsi="Arial"/>
          <w:sz w:val="16"/>
          <w:szCs w:val="16"/>
          <w:color w:val="auto"/>
        </w:rPr>
        <w:t>” shall mean Base Rent and Additional Rent.</w:t>
      </w:r>
    </w:p>
    <w:p>
      <w:pPr>
        <w:spacing w:after="0" w:line="141" w:lineRule="exact"/>
        <w:rPr>
          <w:rFonts w:ascii="Arial" w:cs="Arial" w:eastAsia="Arial" w:hAnsi="Arial"/>
          <w:sz w:val="16"/>
          <w:szCs w:val="16"/>
          <w:color w:val="auto"/>
        </w:rPr>
      </w:pPr>
    </w:p>
    <w:p>
      <w:pPr>
        <w:ind w:left="1300" w:hanging="644"/>
        <w:spacing w:after="0"/>
        <w:tabs>
          <w:tab w:leader="none" w:pos="13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BASIC OPERATING COST</w:t>
      </w:r>
    </w:p>
    <w:p>
      <w:pPr>
        <w:spacing w:after="0" w:line="225" w:lineRule="exact"/>
        <w:rPr>
          <w:rFonts w:ascii="Arial" w:cs="Arial" w:eastAsia="Arial" w:hAnsi="Arial"/>
          <w:sz w:val="18"/>
          <w:szCs w:val="18"/>
          <w:b w:val="1"/>
          <w:bCs w:val="1"/>
          <w:color w:val="auto"/>
        </w:rPr>
      </w:pPr>
    </w:p>
    <w:p>
      <w:pPr>
        <w:jc w:val="both"/>
        <w:ind w:firstLine="1304"/>
        <w:spacing w:after="0" w:line="277" w:lineRule="auto"/>
        <w:tabs>
          <w:tab w:leader="none" w:pos="1567" w:val="left"/>
        </w:tabs>
        <w:numPr>
          <w:ilvl w:val="1"/>
          <w:numId w:val="136"/>
        </w:numPr>
        <w:rPr>
          <w:rFonts w:ascii="Arial" w:cs="Arial" w:eastAsia="Arial" w:hAnsi="Arial"/>
          <w:sz w:val="17"/>
          <w:szCs w:val="17"/>
          <w:color w:val="auto"/>
        </w:rPr>
      </w:pPr>
      <w:r>
        <w:rPr>
          <w:rFonts w:ascii="Arial" w:cs="Arial" w:eastAsia="Arial" w:hAnsi="Arial"/>
          <w:sz w:val="17"/>
          <w:szCs w:val="17"/>
          <w:b w:val="1"/>
          <w:bCs w:val="1"/>
          <w:color w:val="auto"/>
        </w:rPr>
        <w:t>Basic Operating Cost</w:t>
      </w:r>
      <w:r>
        <w:rPr>
          <w:rFonts w:ascii="Arial" w:cs="Arial" w:eastAsia="Arial" w:hAnsi="Arial"/>
          <w:sz w:val="17"/>
          <w:szCs w:val="17"/>
          <w:color w:val="auto"/>
        </w:rPr>
        <w:t>. In addition to the Base Rent required to be paid hereunder, Tenant shall pay throughout the Term as</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Rent, Tenant’s Proportionate Share, as set forth in the Basic Lease Information, of Basic Operating Cost for the Building in the manner set forth below. “</w:t>
      </w:r>
      <w:r>
        <w:rPr>
          <w:rFonts w:ascii="Arial" w:cs="Arial" w:eastAsia="Arial" w:hAnsi="Arial"/>
          <w:sz w:val="17"/>
          <w:szCs w:val="17"/>
          <w:b w:val="1"/>
          <w:bCs w:val="1"/>
          <w:color w:val="auto"/>
        </w:rPr>
        <w:t>Basic Operating Cost</w:t>
      </w:r>
      <w:r>
        <w:rPr>
          <w:rFonts w:ascii="Arial" w:cs="Arial" w:eastAsia="Arial" w:hAnsi="Arial"/>
          <w:sz w:val="17"/>
          <w:szCs w:val="17"/>
          <w:color w:val="auto"/>
        </w:rPr>
        <w:t>” shall mean all expenses and costs of every kind and nature which Landlord shall pay or become obligated to pay, because of or in connection with the management, maintenance, repair, preservation and operation of the Project and its supporting facilities (determined in accordance with generally accepted accounting principles, consistently applied) including but not limited to the following:</w:t>
      </w:r>
    </w:p>
    <w:p>
      <w:pPr>
        <w:spacing w:after="0" w:line="167" w:lineRule="exact"/>
        <w:rPr>
          <w:rFonts w:ascii="Arial" w:cs="Arial" w:eastAsia="Arial" w:hAnsi="Arial"/>
          <w:sz w:val="17"/>
          <w:szCs w:val="17"/>
          <w:color w:val="auto"/>
        </w:rPr>
      </w:pPr>
    </w:p>
    <w:p>
      <w:pPr>
        <w:jc w:val="both"/>
        <w:ind w:firstLine="1952"/>
        <w:spacing w:after="0" w:line="268" w:lineRule="auto"/>
        <w:tabs>
          <w:tab w:leader="none" w:pos="2172" w:val="left"/>
        </w:tabs>
        <w:numPr>
          <w:ilvl w:val="2"/>
          <w:numId w:val="136"/>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All real property taxes, possessory interest taxes, business or license taxes or fees, service payments in lieu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taxes or fees, annual or periodic license or use fees, excises, transit charges, housing fund assessments, open space charges, assessments, levies, fees or charges, general and special, ordinary and extraordinary, unforeseen as well as foreseen, of any kind (including fees in-lieu of any such tax or assessment) which are assessed, levied, charged, confirmed, or imposed by any public authority upon the Project, its operations or the Rent (or any portion or component thereof) (all of the foregoing being hereinafter collectively referred to as “</w:t>
      </w:r>
      <w:r>
        <w:rPr>
          <w:rFonts w:ascii="Arial" w:cs="Arial" w:eastAsia="Arial" w:hAnsi="Arial"/>
          <w:sz w:val="17"/>
          <w:szCs w:val="17"/>
          <w:b w:val="1"/>
          <w:bCs w:val="1"/>
          <w:color w:val="auto"/>
        </w:rPr>
        <w:t>real property taxes</w:t>
      </w:r>
      <w:r>
        <w:rPr>
          <w:rFonts w:ascii="Arial" w:cs="Arial" w:eastAsia="Arial" w:hAnsi="Arial"/>
          <w:sz w:val="17"/>
          <w:szCs w:val="17"/>
          <w:color w:val="auto"/>
        </w:rPr>
        <w:t>”), or any tax imposed in substitution, partially or totally, or any tax previously included with the definition of real property taxes, or any additional tax the nature of which was previously included within the definition of real property taxes except (A) inheritance, estate or gift taxes imposed upon or assessed against the Project, or any part thereof or interest therein, and (B) taxes computed upon the basis of net income of Landlord or the owner of any interest therein, except as otherwise provided in the following sentence. Basic Operating Cost shall also include any taxes, assessments, or any other fees imposed by any public authority upon or measured by the monthly rental or other charges payable hereunder, including, without limitation, any gross income tax or excise tax levied by the local governmental authority in which the Project is located, the federal government, or any other governmental body with respect to receipt of such rental, or upon, with respect to, or by reason of the development, possession, leasing, operation, management, maintenance, alteration, repair, use or occupancy by Tenant of the Premises or any portion thereof, or upon this transaction or any document to which Tenant is a party creating or transferring an interest or an estate in the Premises. In the event that it shall not be lawful for Tenant to reimburse Landlord for all or any part of such taxes, the monthly rental payable to Landlord under this Lease shall be revised to net to Landlord the same net rental after imposition of any such taxes on Landlord as would have been payable to Landlord prior to the payment of any such taxes.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6" w:name="page187"/>
    <w:bookmarkEnd w:id="186"/>
    <w:p>
      <w:pPr>
        <w:ind w:firstLine="1952"/>
        <w:spacing w:after="0" w:line="282" w:lineRule="auto"/>
        <w:tabs>
          <w:tab w:leader="none" w:pos="222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 All insurance premiums and costs, including but not limited to, any insurance deductible amounts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as more fully set forth in Paragraph 8(a) below.</w:t>
      </w:r>
    </w:p>
    <w:p>
      <w:pPr>
        <w:spacing w:after="0" w:line="161" w:lineRule="exact"/>
        <w:rPr>
          <w:rFonts w:ascii="Arial" w:cs="Arial" w:eastAsia="Arial" w:hAnsi="Arial"/>
          <w:sz w:val="18"/>
          <w:szCs w:val="18"/>
          <w:color w:val="auto"/>
        </w:rPr>
      </w:pPr>
    </w:p>
    <w:p>
      <w:pPr>
        <w:jc w:val="both"/>
        <w:ind w:firstLine="1952"/>
        <w:spacing w:after="0" w:line="289" w:lineRule="auto"/>
        <w:tabs>
          <w:tab w:leader="none" w:pos="2299"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Repairs and Improvements</w:t>
      </w:r>
      <w:r>
        <w:rPr>
          <w:rFonts w:ascii="Arial" w:cs="Arial" w:eastAsia="Arial" w:hAnsi="Arial"/>
          <w:sz w:val="16"/>
          <w:szCs w:val="16"/>
          <w:color w:val="auto"/>
        </w:rPr>
        <w:t>. Repairs, replacements and general maintenance for the Premises, Building and Project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those repairs expressly made the financial responsibility of Landlord pursuant to the terms of this Lease, repairs to the extent paid for by proceeds of insurance or by Tenant or other third parties, and alterations attributable solely to tenants of the Project other than Tenant). Such repairs, replacements and general maintenance shall include the cost of any capital improvements made to or capital assets acquired for the Project, Building or Premises before or after the Term Commencement Date that reduce any other Basic Operating Cost, are reasonably necessary for the health and safety of the occupants of the Project, or are made to the Project, Building or Premises by Landlord before or after the date of this Lease and are required under any Regulation, such costs or allocable portions thereof to be amortized over such reasonable period as Landlord shall determine, together with interest on the unamortized balance at the “prime rate” charged by Wells Fargo Bank, N.A. (San Francisco) at the time such improvements or capital assets are constructed or acquired, plus two (2) percentage points, but in no event more than the maximum rate permitted by law.</w:t>
      </w:r>
    </w:p>
    <w:p>
      <w:pPr>
        <w:spacing w:after="0" w:line="166" w:lineRule="exact"/>
        <w:rPr>
          <w:rFonts w:ascii="Arial" w:cs="Arial" w:eastAsia="Arial" w:hAnsi="Arial"/>
          <w:sz w:val="16"/>
          <w:szCs w:val="16"/>
          <w:color w:val="auto"/>
        </w:rPr>
      </w:pPr>
    </w:p>
    <w:p>
      <w:pPr>
        <w:jc w:val="both"/>
        <w:ind w:firstLine="1952"/>
        <w:spacing w:after="0" w:line="261" w:lineRule="auto"/>
        <w:tabs>
          <w:tab w:leader="none" w:pos="2249"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 All expenses relating to maintenance, janitorial, debris removal and service agreements and services, and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supplies and equipment used in maintaining the Premises, Building and Project and the equipment therein and the adjacent sidewalks, driveways, curbs, parking and service areas, including, without limitation, alarm service, window cleaning, elevator maintenance, Building exterior, roof and lighting fixture maintenance, landscaping and drainage and irrigation systems.</w:t>
      </w:r>
    </w:p>
    <w:p>
      <w:pPr>
        <w:spacing w:after="0" w:line="179" w:lineRule="exact"/>
        <w:rPr>
          <w:rFonts w:ascii="Arial" w:cs="Arial" w:eastAsia="Arial" w:hAnsi="Arial"/>
          <w:sz w:val="18"/>
          <w:szCs w:val="18"/>
          <w:color w:val="auto"/>
        </w:rPr>
      </w:pPr>
    </w:p>
    <w:p>
      <w:pPr>
        <w:ind w:left="2200" w:hanging="248"/>
        <w:spacing w:after="0"/>
        <w:tabs>
          <w:tab w:leader="none" w:pos="220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Utilities</w:t>
      </w:r>
      <w:r>
        <w:rPr>
          <w:rFonts w:ascii="Arial" w:cs="Arial" w:eastAsia="Arial" w:hAnsi="Arial"/>
          <w:sz w:val="17"/>
          <w:szCs w:val="17"/>
          <w:color w:val="auto"/>
        </w:rPr>
        <w:t>. Utilities which benefit all or a portion of the Premises, Building or Project, including without limitation electricity,</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water and sewer charges.</w:t>
      </w:r>
    </w:p>
    <w:p>
      <w:pPr>
        <w:spacing w:after="0" w:line="206" w:lineRule="exact"/>
        <w:rPr>
          <w:rFonts w:ascii="Arial" w:cs="Arial" w:eastAsia="Arial" w:hAnsi="Arial"/>
          <w:sz w:val="17"/>
          <w:szCs w:val="17"/>
          <w:color w:val="auto"/>
        </w:rPr>
      </w:pPr>
    </w:p>
    <w:p>
      <w:pPr>
        <w:ind w:left="2280" w:hanging="328"/>
        <w:spacing w:after="0"/>
        <w:tabs>
          <w:tab w:leader="none" w:pos="2280" w:val="left"/>
        </w:tabs>
        <w:numPr>
          <w:ilvl w:val="0"/>
          <w:numId w:val="137"/>
        </w:numPr>
        <w:rPr>
          <w:rFonts w:ascii="Arial" w:cs="Arial" w:eastAsia="Arial" w:hAnsi="Arial"/>
          <w:sz w:val="16"/>
          <w:szCs w:val="16"/>
          <w:color w:val="auto"/>
        </w:rPr>
      </w:pPr>
      <w:r>
        <w:rPr>
          <w:rFonts w:ascii="Arial" w:cs="Arial" w:eastAsia="Arial" w:hAnsi="Arial"/>
          <w:sz w:val="16"/>
          <w:szCs w:val="16"/>
          <w:b w:val="1"/>
          <w:bCs w:val="1"/>
          <w:color w:val="auto"/>
        </w:rPr>
        <w:t>Management Fee</w:t>
      </w:r>
      <w:r>
        <w:rPr>
          <w:rFonts w:ascii="Arial" w:cs="Arial" w:eastAsia="Arial" w:hAnsi="Arial"/>
          <w:sz w:val="16"/>
          <w:szCs w:val="16"/>
          <w:color w:val="auto"/>
        </w:rPr>
        <w:t>. A management and accounting cost recovery fee equal to 3.25% of the sum of Base Rent and Basic</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Operating Cost.</w:t>
      </w:r>
    </w:p>
    <w:p>
      <w:pPr>
        <w:spacing w:after="0" w:line="206" w:lineRule="exact"/>
        <w:rPr>
          <w:rFonts w:ascii="Arial" w:cs="Arial" w:eastAsia="Arial" w:hAnsi="Arial"/>
          <w:sz w:val="16"/>
          <w:szCs w:val="16"/>
          <w:color w:val="auto"/>
        </w:rPr>
      </w:pPr>
    </w:p>
    <w:p>
      <w:pPr>
        <w:ind w:right="20" w:firstLine="1952"/>
        <w:spacing w:after="0" w:line="282" w:lineRule="auto"/>
        <w:tabs>
          <w:tab w:leader="none" w:pos="2312"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Legal and Accounting</w:t>
      </w:r>
      <w:r>
        <w:rPr>
          <w:rFonts w:ascii="Arial" w:cs="Arial" w:eastAsia="Arial" w:hAnsi="Arial"/>
          <w:sz w:val="18"/>
          <w:szCs w:val="18"/>
          <w:color w:val="auto"/>
        </w:rPr>
        <w:t>. Legal and accounting expenses relating to the Project, including the cost of audits by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accountants and tax consultants.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Operating Cost shall not include specific costs incurred for the account of, separately billed to, and paid by specific tenants.</w:t>
      </w:r>
    </w:p>
    <w:p>
      <w:pPr>
        <w:spacing w:after="0" w:line="221" w:lineRule="exact"/>
        <w:rPr>
          <w:sz w:val="20"/>
          <w:szCs w:val="20"/>
          <w:color w:val="auto"/>
        </w:rPr>
      </w:pPr>
    </w:p>
    <w:p>
      <w:pPr>
        <w:jc w:val="both"/>
        <w:ind w:firstLine="1304"/>
        <w:spacing w:after="0" w:line="269" w:lineRule="auto"/>
        <w:tabs>
          <w:tab w:leader="none" w:pos="1578" w:val="left"/>
        </w:tabs>
        <w:numPr>
          <w:ilvl w:val="0"/>
          <w:numId w:val="138"/>
        </w:numPr>
        <w:rPr>
          <w:rFonts w:ascii="Arial" w:cs="Arial" w:eastAsia="Arial" w:hAnsi="Arial"/>
          <w:sz w:val="17"/>
          <w:szCs w:val="17"/>
          <w:color w:val="auto"/>
        </w:rPr>
      </w:pPr>
      <w:r>
        <w:rPr>
          <w:rFonts w:ascii="Arial" w:cs="Arial" w:eastAsia="Arial" w:hAnsi="Arial"/>
          <w:sz w:val="17"/>
          <w:szCs w:val="17"/>
          <w:b w:val="1"/>
          <w:bCs w:val="1"/>
          <w:color w:val="auto"/>
        </w:rPr>
        <w:t>Payment of Estimated Basic Operating Cost</w:t>
      </w:r>
      <w:r>
        <w:rPr>
          <w:rFonts w:ascii="Arial" w:cs="Arial" w:eastAsia="Arial" w:hAnsi="Arial"/>
          <w:sz w:val="17"/>
          <w:szCs w:val="17"/>
          <w:color w:val="auto"/>
        </w:rPr>
        <w:t>. “</w:t>
      </w:r>
      <w:r>
        <w:rPr>
          <w:rFonts w:ascii="Arial" w:cs="Arial" w:eastAsia="Arial" w:hAnsi="Arial"/>
          <w:sz w:val="17"/>
          <w:szCs w:val="17"/>
          <w:b w:val="1"/>
          <w:bCs w:val="1"/>
          <w:color w:val="auto"/>
        </w:rPr>
        <w:t>Estimated Basic Operating Cost</w:t>
      </w:r>
      <w:r>
        <w:rPr>
          <w:rFonts w:ascii="Arial" w:cs="Arial" w:eastAsia="Arial" w:hAnsi="Arial"/>
          <w:sz w:val="17"/>
          <w:szCs w:val="17"/>
          <w:color w:val="auto"/>
        </w:rPr>
        <w:t>” for any particular fiscal year shall mean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estimate of the Basic Operating Cost for such fiscal year made prior to commencement of such fiscal year as hereinafter provided. Landlord shall have the right from time to time to revise its fiscal year and interim accounting periods so long as the periods as so revised are reconciled with prior periods in accordance with generally accepted accounting principles consistently applied. During the last month of each fiscal year during the Term, or as soon thereafter as practicable, Landlord shall give Tenant written notice of the Estimated Basic Operating Cost for the ensuing fiscal year. Tenant shall pay Tenant’s Proportionate Share of the Estimated Basic Operating Cost with installments of Base Rent for the fiscal year to which the Estimated Basic Operating Cost applies in monthly installments on the first day of each calendar month during such year, in advance. If at any time during the course of the fiscal year, Landlord determines that Basic Operating Cost is projected to vary from the then Estimated Basic Operating Cost by more than ten percent (10%), Landlord may, by written notice to Tenant, revise the Estimated Basic Operating Cost for the balance of such fiscal year, and Tenant’s monthly installments for the remainder of such year shall be adjusted so that by the end of such fiscal year Tenant has paid to Landlord Tenant’s Proportionate Share of the revised Estimated Basic Operating cost for such year.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7" w:name="page188"/>
    <w:bookmarkEnd w:id="187"/>
    <w:p>
      <w:pPr>
        <w:jc w:val="both"/>
        <w:ind w:firstLine="1304"/>
        <w:spacing w:after="0" w:line="287" w:lineRule="auto"/>
        <w:tabs>
          <w:tab w:leader="none" w:pos="1567" w:val="left"/>
        </w:tabs>
        <w:numPr>
          <w:ilvl w:val="0"/>
          <w:numId w:val="139"/>
        </w:numPr>
        <w:rPr>
          <w:rFonts w:ascii="Arial" w:cs="Arial" w:eastAsia="Arial" w:hAnsi="Arial"/>
          <w:sz w:val="16"/>
          <w:szCs w:val="16"/>
          <w:color w:val="auto"/>
        </w:rPr>
      </w:pPr>
      <w:r>
        <w:rPr>
          <w:rFonts w:ascii="Arial" w:cs="Arial" w:eastAsia="Arial" w:hAnsi="Arial"/>
          <w:sz w:val="16"/>
          <w:szCs w:val="16"/>
          <w:b w:val="1"/>
          <w:bCs w:val="1"/>
          <w:color w:val="auto"/>
        </w:rPr>
        <w:t>Computation of Basic Operating Cost Adjustment</w:t>
      </w:r>
      <w:r>
        <w:rPr>
          <w:rFonts w:ascii="Arial" w:cs="Arial" w:eastAsia="Arial" w:hAnsi="Arial"/>
          <w:sz w:val="16"/>
          <w:szCs w:val="16"/>
          <w:color w:val="auto"/>
        </w:rPr>
        <w:t>. “</w:t>
      </w:r>
      <w:r>
        <w:rPr>
          <w:rFonts w:ascii="Arial" w:cs="Arial" w:eastAsia="Arial" w:hAnsi="Arial"/>
          <w:sz w:val="16"/>
          <w:szCs w:val="16"/>
          <w:b w:val="1"/>
          <w:bCs w:val="1"/>
          <w:color w:val="auto"/>
        </w:rPr>
        <w:t>Basic Operating Cost Adjustment</w:t>
      </w:r>
      <w:r>
        <w:rPr>
          <w:rFonts w:ascii="Arial" w:cs="Arial" w:eastAsia="Arial" w:hAnsi="Arial"/>
          <w:sz w:val="16"/>
          <w:szCs w:val="16"/>
          <w:color w:val="auto"/>
        </w:rPr>
        <w:t>” shall mean the difference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Estimated Basic Operating Cost and Basic Operating Cost for any fiscal year determined as hereinafter provided. Within one hundred twenty (120) days after the end of each fiscal year or as soon thereafter as practicable, Landlord shall deliver to Tenant a statement of Basic Operating Cost for the fiscal year just ended, accompanied by a computation of the Basic Operating Cost Adjustment. If such statement shows that Tenant’s payment based upon Estimated Basic Operating Cost is less than Tenant’s Proportionate Share of Basic Operating Cost, then Tenant shall pay to Landlord the difference within twenty (20) days after receipt of such statement. If such statement shows that Tenant’s payment of Estimated Basic Operating Cost exceeds Tenant’s Proportionate Share of Basic Operating Cost, then (provided that Tenant is not in default under this Lease) Landlord shall at Landlord’s option credit the difference to Tenant’s Rent payment(s) next due hereunder or pay the difference to Tenant, in either case within twenty (20) days after delivery of such statement to Tenant. If this Lease has been terminated or the Term hereof has expired prior to the date of such statement, then the Basic Operating Cost Adjustment shall be paid by the appropriate party within twenty (20) days after the date of delivery of the statement. Should this Lease commence or terminate at any time other than the first day of a fiscal year, Tenant’s Proportionate Share of Basic Operating Cost shall be prorated by reference to the exact number of calendar days during such fiscal year that this Lease is in effect. No delay by Landlord in submitting any statement shall constitute a waiver of Landlord’s right to submit such statement or to collect Tenant’s Proportionate Share of Basic Operating Cost due hereunder.</w:t>
      </w:r>
    </w:p>
    <w:p>
      <w:pPr>
        <w:spacing w:after="0" w:line="163" w:lineRule="exact"/>
        <w:rPr>
          <w:rFonts w:ascii="Arial" w:cs="Arial" w:eastAsia="Arial" w:hAnsi="Arial"/>
          <w:sz w:val="16"/>
          <w:szCs w:val="16"/>
          <w:color w:val="auto"/>
        </w:rPr>
      </w:pPr>
    </w:p>
    <w:p>
      <w:pPr>
        <w:jc w:val="both"/>
        <w:ind w:firstLine="1304"/>
        <w:spacing w:after="0" w:line="258" w:lineRule="auto"/>
        <w:tabs>
          <w:tab w:leader="none" w:pos="156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Net Lease</w:t>
      </w:r>
      <w:r>
        <w:rPr>
          <w:rFonts w:ascii="Arial" w:cs="Arial" w:eastAsia="Arial" w:hAnsi="Arial"/>
          <w:sz w:val="18"/>
          <w:szCs w:val="18"/>
          <w:color w:val="auto"/>
        </w:rPr>
        <w:t>. This shall be a net Lease and Base Rent shall be paid to Landlord absolutely net of all costs and expenses,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provided to the contrary in this Lease. The provisions for payment of Basic Operating Cost and the Basic Operating Cost Adjustment are intended to pass on to Tenant and reimburse Landlord for all costs and expenses of the nature described in Paragraph 7(a) incurred in connection with the management, maintenance, repair, preservation and operation of the Building or Project and such additional facilities now and in subsequent years as may be determined by Landlord to be necessary for the Building or Project.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8" w:name="page189"/>
    <w:bookmarkEnd w:id="188"/>
    <w:p>
      <w:pPr>
        <w:jc w:val="both"/>
        <w:ind w:left="-8" w:firstLine="1304"/>
        <w:spacing w:after="0" w:line="283" w:lineRule="auto"/>
        <w:tabs>
          <w:tab w:leader="none" w:pos="1532" w:val="left"/>
        </w:tabs>
        <w:numPr>
          <w:ilvl w:val="2"/>
          <w:numId w:val="140"/>
        </w:numPr>
        <w:rPr>
          <w:rFonts w:ascii="Arial" w:cs="Arial" w:eastAsia="Arial" w:hAnsi="Arial"/>
          <w:sz w:val="16"/>
          <w:szCs w:val="16"/>
          <w:color w:val="auto"/>
        </w:rPr>
      </w:pPr>
      <w:r>
        <w:rPr>
          <w:rFonts w:ascii="Arial" w:cs="Arial" w:eastAsia="Arial" w:hAnsi="Arial"/>
          <w:sz w:val="16"/>
          <w:szCs w:val="16"/>
          <w:b w:val="1"/>
          <w:bCs w:val="1"/>
          <w:color w:val="auto"/>
        </w:rPr>
        <w:t>Tenant Audit</w:t>
      </w:r>
      <w:r>
        <w:rPr>
          <w:rFonts w:ascii="Arial" w:cs="Arial" w:eastAsia="Arial" w:hAnsi="Arial"/>
          <w:sz w:val="16"/>
          <w:szCs w:val="16"/>
          <w:color w:val="auto"/>
        </w:rPr>
        <w:t>. Within thirty (30) days following Tenant’s receipt of Landlord’s statement of Basic Operating Cost for any fiscal year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Term, Tenant may, at its expense during Landlord’s normal business hours, elect to audit Landlord’s books and records as they relate to the Basic Operating Cost for the fiscal year covered by such statement, subject to the following conditions: (1) Tenant shall deposit with Landlord the full amount in dispute; (2) there is no uncured event of default under this Lease; (3) the audit shall be prepared by an independent certified public accounting firm of recognized national standing; (4) in no event shall any audit be performed by a firm retained on a “contingency fee” basis; (5) the audit shall commence within fifteen (15) days after Landlord makes Landlord’s books and records available to Tenant’s auditor and shall conclude within thirty (30) days after commencement; (6) the audit shall be conducted where Landlord maintains its books and records and shall not unreasonably interfere with the conduct of Landlord’s business; and (7) Tenant and its accounting firm shall treat any audit in a confidential manner and shall each execute Landlord’s confidentiality agreement for Landlord’s benefit prior to commencing the audit. Tenant shall deliver a copy of such audit to Landlord within five (5) business days of receipt by Tenant. This paragraph shall not be construed to limit, suspend or abate Tenant’s obligation to pay Rent when due, including Tenant’s Proportionate Share of Basic Operating Cost. After verification, Landlord shall credit any overpayment determined by the audit report against the next monthly payment(s) of Rent provided to be paid under this Lease, or, if no further Rent is due, refund such overpayment directly to Tenant within twenty</w:t>
      </w:r>
    </w:p>
    <w:p>
      <w:pPr>
        <w:spacing w:after="0" w:line="6" w:lineRule="exact"/>
        <w:rPr>
          <w:rFonts w:ascii="Arial" w:cs="Arial" w:eastAsia="Arial" w:hAnsi="Arial"/>
          <w:sz w:val="16"/>
          <w:szCs w:val="16"/>
          <w:color w:val="auto"/>
        </w:rPr>
      </w:pPr>
    </w:p>
    <w:p>
      <w:pPr>
        <w:jc w:val="both"/>
        <w:ind w:left="-8" w:firstLine="8"/>
        <w:spacing w:after="0" w:line="281" w:lineRule="auto"/>
        <w:tabs>
          <w:tab w:leader="none" w:pos="38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days of determination. Likewise, Tenant shall pay Landlord any underpayment determined by the audit report within twenty (20) days of determination. The foregoing obligations shall survive the expiration or earlier termination of this Lease. If Tenant does not give written notice of its election to audit during the referenced thirty (30)-day period, Landlord’s Basic Operating Cost for the applicable fiscal year shall be deemed approved for all purposes, and Tenant shall have no further right to review or contest the same. If the audit proves that Landlord’s calculation of Tenant’s Proportionate Share of Basic Operating Cost for the fiscal year under inspection was overstated by more than ten percent (10%) in the aggregate, then, after verification, Landlord shall pay Tenant’s actual reasonable out-of-pocket audit and inspection fees applicable to the review of said fiscal year statement within twenty</w:t>
      </w:r>
    </w:p>
    <w:p>
      <w:pPr>
        <w:spacing w:after="0" w:line="3" w:lineRule="exact"/>
        <w:rPr>
          <w:rFonts w:ascii="Arial" w:cs="Arial" w:eastAsia="Arial" w:hAnsi="Arial"/>
          <w:sz w:val="16"/>
          <w:szCs w:val="16"/>
          <w:color w:val="auto"/>
        </w:rPr>
      </w:pPr>
    </w:p>
    <w:p>
      <w:pPr>
        <w:ind w:left="352" w:hanging="352"/>
        <w:spacing w:after="0"/>
        <w:tabs>
          <w:tab w:leader="none" w:pos="3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days after receipt of Tenant’s invoice therefor.</w:t>
      </w:r>
    </w:p>
    <w:p>
      <w:pPr>
        <w:spacing w:after="0" w:line="206" w:lineRule="exact"/>
        <w:rPr>
          <w:rFonts w:ascii="Arial" w:cs="Arial" w:eastAsia="Arial" w:hAnsi="Arial"/>
          <w:sz w:val="18"/>
          <w:szCs w:val="18"/>
          <w:color w:val="auto"/>
        </w:rPr>
      </w:pPr>
    </w:p>
    <w:p>
      <w:pPr>
        <w:jc w:val="both"/>
        <w:ind w:left="-8" w:firstLine="1304"/>
        <w:spacing w:after="0" w:line="298" w:lineRule="auto"/>
        <w:tabs>
          <w:tab w:leader="none" w:pos="1513" w:val="left"/>
        </w:tabs>
        <w:numPr>
          <w:ilvl w:val="2"/>
          <w:numId w:val="142"/>
        </w:numPr>
        <w:rPr>
          <w:rFonts w:ascii="Arial" w:cs="Arial" w:eastAsia="Arial" w:hAnsi="Arial"/>
          <w:sz w:val="16"/>
          <w:szCs w:val="16"/>
          <w:color w:val="auto"/>
        </w:rPr>
      </w:pPr>
      <w:r>
        <w:rPr>
          <w:rFonts w:ascii="Arial" w:cs="Arial" w:eastAsia="Arial" w:hAnsi="Arial"/>
          <w:sz w:val="16"/>
          <w:szCs w:val="16"/>
          <w:b w:val="1"/>
          <w:bCs w:val="1"/>
          <w:color w:val="auto"/>
        </w:rPr>
        <w:t>Tenant’s Personal Property Taxes</w:t>
      </w:r>
      <w:r>
        <w:rPr>
          <w:rFonts w:ascii="Arial" w:cs="Arial" w:eastAsia="Arial" w:hAnsi="Arial"/>
          <w:sz w:val="16"/>
          <w:szCs w:val="16"/>
          <w:color w:val="auto"/>
        </w:rPr>
        <w:t>. In addition to and wholly apart from Tenant’s obligation to pay Tenant’s Proportionate Share of</w:t>
      </w:r>
      <w:r>
        <w:rPr>
          <w:rFonts w:ascii="Arial" w:cs="Arial" w:eastAsia="Arial" w:hAnsi="Arial"/>
          <w:sz w:val="16"/>
          <w:szCs w:val="16"/>
          <w:b w:val="1"/>
          <w:bCs w:val="1"/>
          <w:color w:val="auto"/>
        </w:rPr>
        <w:t xml:space="preserve"> </w:t>
      </w:r>
      <w:r>
        <w:rPr>
          <w:rFonts w:ascii="Arial" w:cs="Arial" w:eastAsia="Arial" w:hAnsi="Arial"/>
          <w:sz w:val="16"/>
          <w:szCs w:val="16"/>
          <w:color w:val="auto"/>
        </w:rPr>
        <w:t>Basic Operating Cost, Tenant shall be responsible for and shall pay prior to delinquency any taxes or governmental service fees, possessory interest taxes, fees or charges in lieu of any such taxes, capital levies, or other charges imposed upon, levied with respect to or assessed against its personal property, on the value of the Alterations (as defined in Paragraph 12 below) made to the Premises, and on Tenant’s interest pursuant to this Lease. To the extent that any such taxes are not separately assessed or billed to Tenant, Tenant shall pay the amount thereof on demand once invoiced to Tenant by Landlord.</w:t>
      </w:r>
    </w:p>
    <w:p>
      <w:pPr>
        <w:spacing w:after="0" w:line="153" w:lineRule="exact"/>
        <w:rPr>
          <w:rFonts w:ascii="Arial" w:cs="Arial" w:eastAsia="Arial" w:hAnsi="Arial"/>
          <w:sz w:val="16"/>
          <w:szCs w:val="16"/>
          <w:color w:val="auto"/>
        </w:rPr>
      </w:pPr>
    </w:p>
    <w:p>
      <w:pPr>
        <w:ind w:left="1292" w:hanging="644"/>
        <w:spacing w:after="0"/>
        <w:tabs>
          <w:tab w:leader="none" w:pos="1292" w:val="left"/>
        </w:tabs>
        <w:numPr>
          <w:ilvl w:val="1"/>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5" w:lineRule="exact"/>
        <w:rPr>
          <w:rFonts w:ascii="Arial" w:cs="Arial" w:eastAsia="Arial" w:hAnsi="Arial"/>
          <w:sz w:val="18"/>
          <w:szCs w:val="18"/>
          <w:b w:val="1"/>
          <w:bCs w:val="1"/>
          <w:color w:val="auto"/>
        </w:rPr>
      </w:pPr>
    </w:p>
    <w:p>
      <w:pPr>
        <w:ind w:left="1532" w:hanging="236"/>
        <w:spacing w:after="0"/>
        <w:tabs>
          <w:tab w:leader="none" w:pos="1532" w:val="left"/>
        </w:tabs>
        <w:numPr>
          <w:ilvl w:val="2"/>
          <w:numId w:val="143"/>
        </w:numPr>
        <w:rPr>
          <w:rFonts w:ascii="Arial" w:cs="Arial" w:eastAsia="Arial" w:hAnsi="Arial"/>
          <w:sz w:val="16"/>
          <w:szCs w:val="16"/>
          <w:color w:val="auto"/>
        </w:rPr>
      </w:pPr>
      <w:r>
        <w:rPr>
          <w:rFonts w:ascii="Arial" w:cs="Arial" w:eastAsia="Arial" w:hAnsi="Arial"/>
          <w:sz w:val="16"/>
          <w:szCs w:val="16"/>
          <w:b w:val="1"/>
          <w:bCs w:val="1"/>
          <w:color w:val="auto"/>
        </w:rPr>
        <w:t>Landlord’s Insurance</w:t>
      </w:r>
      <w:r>
        <w:rPr>
          <w:rFonts w:ascii="Arial" w:cs="Arial" w:eastAsia="Arial" w:hAnsi="Arial"/>
          <w:sz w:val="16"/>
          <w:szCs w:val="16"/>
          <w:color w:val="auto"/>
        </w:rPr>
        <w:t>. At all times during the Term, Landlord shall procure and keep in full force and effect the following insurance:</w:t>
      </w:r>
    </w:p>
    <w:p>
      <w:pPr>
        <w:spacing w:after="0" w:line="252" w:lineRule="exact"/>
        <w:rPr>
          <w:rFonts w:ascii="Arial" w:cs="Arial" w:eastAsia="Arial" w:hAnsi="Arial"/>
          <w:sz w:val="16"/>
          <w:szCs w:val="16"/>
          <w:color w:val="auto"/>
        </w:rPr>
      </w:pPr>
    </w:p>
    <w:p>
      <w:pPr>
        <w:jc w:val="both"/>
        <w:ind w:left="-8" w:firstLine="1952"/>
        <w:spacing w:after="0" w:line="263" w:lineRule="auto"/>
        <w:tabs>
          <w:tab w:leader="none" w:pos="2160" w:val="left"/>
        </w:tabs>
        <w:numPr>
          <w:ilvl w:val="3"/>
          <w:numId w:val="143"/>
        </w:numPr>
        <w:rPr>
          <w:rFonts w:ascii="Arial" w:cs="Arial" w:eastAsia="Arial" w:hAnsi="Arial"/>
          <w:sz w:val="18"/>
          <w:szCs w:val="18"/>
          <w:color w:val="auto"/>
        </w:rPr>
      </w:pPr>
      <w:r>
        <w:rPr>
          <w:rFonts w:ascii="Arial" w:cs="Arial" w:eastAsia="Arial" w:hAnsi="Arial"/>
          <w:sz w:val="18"/>
          <w:szCs w:val="18"/>
          <w:color w:val="auto"/>
        </w:rPr>
        <w:t>Special Risk property insurance insuring (i) the Building, (ii) all improvements located therein, excluding Tenant’s Property (as defined in Paragraph 8(b)(i) below), (iii) Landlord’s equipment located in the Building, and (iv) common area furnishings, all in such amounts and with such deductibles as Landlord considers appropriate;</w:t>
      </w:r>
    </w:p>
    <w:p>
      <w:pPr>
        <w:spacing w:after="0" w:line="183" w:lineRule="exact"/>
        <w:rPr>
          <w:rFonts w:ascii="Arial" w:cs="Arial" w:eastAsia="Arial" w:hAnsi="Arial"/>
          <w:sz w:val="18"/>
          <w:szCs w:val="18"/>
          <w:color w:val="auto"/>
        </w:rPr>
      </w:pPr>
    </w:p>
    <w:p>
      <w:pPr>
        <w:ind w:left="2212" w:hanging="268"/>
        <w:spacing w:after="0"/>
        <w:tabs>
          <w:tab w:leader="none" w:pos="2212" w:val="left"/>
        </w:tabs>
        <w:numPr>
          <w:ilvl w:val="3"/>
          <w:numId w:val="143"/>
        </w:numPr>
        <w:rPr>
          <w:rFonts w:ascii="Arial" w:cs="Arial" w:eastAsia="Arial" w:hAnsi="Arial"/>
          <w:sz w:val="18"/>
          <w:szCs w:val="18"/>
          <w:color w:val="auto"/>
        </w:rPr>
      </w:pPr>
      <w:r>
        <w:rPr>
          <w:rFonts w:ascii="Arial" w:cs="Arial" w:eastAsia="Arial" w:hAnsi="Arial"/>
          <w:sz w:val="18"/>
          <w:szCs w:val="18"/>
          <w:color w:val="auto"/>
        </w:rPr>
        <w:t>Commercial general liability insurance insuring Landlord’s interest in the Project;</w:t>
      </w:r>
    </w:p>
    <w:p>
      <w:pPr>
        <w:spacing w:after="0" w:line="225" w:lineRule="exact"/>
        <w:rPr>
          <w:rFonts w:ascii="Arial" w:cs="Arial" w:eastAsia="Arial" w:hAnsi="Arial"/>
          <w:sz w:val="18"/>
          <w:szCs w:val="18"/>
          <w:color w:val="auto"/>
        </w:rPr>
      </w:pPr>
    </w:p>
    <w:p>
      <w:pPr>
        <w:ind w:left="2252" w:hanging="308"/>
        <w:spacing w:after="0"/>
        <w:tabs>
          <w:tab w:leader="none" w:pos="2252" w:val="left"/>
        </w:tabs>
        <w:numPr>
          <w:ilvl w:val="3"/>
          <w:numId w:val="143"/>
        </w:numPr>
        <w:rPr>
          <w:rFonts w:ascii="Arial" w:cs="Arial" w:eastAsia="Arial" w:hAnsi="Arial"/>
          <w:sz w:val="18"/>
          <w:szCs w:val="18"/>
          <w:color w:val="auto"/>
        </w:rPr>
      </w:pPr>
      <w:r>
        <w:rPr>
          <w:rFonts w:ascii="Arial" w:cs="Arial" w:eastAsia="Arial" w:hAnsi="Arial"/>
          <w:sz w:val="18"/>
          <w:szCs w:val="18"/>
          <w:color w:val="auto"/>
        </w:rPr>
        <w:t>Rental income insurance in an amount equal to one year’s Rent; and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89" w:name="page190"/>
    <w:bookmarkEnd w:id="189"/>
    <w:p>
      <w:pPr>
        <w:ind w:left="2260" w:hanging="308"/>
        <w:spacing w:after="0"/>
        <w:tabs>
          <w:tab w:leader="none" w:pos="226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Such other insurance as Landlord reasonably determines from time to time.</w:t>
      </w:r>
    </w:p>
    <w:p>
      <w:pPr>
        <w:spacing w:after="0" w:line="221" w:lineRule="exact"/>
        <w:rPr>
          <w:rFonts w:ascii="Arial" w:cs="Arial" w:eastAsia="Arial" w:hAnsi="Arial"/>
          <w:sz w:val="18"/>
          <w:szCs w:val="18"/>
          <w:color w:val="auto"/>
        </w:rPr>
      </w:pPr>
    </w:p>
    <w:p>
      <w:pPr>
        <w:ind w:left="1560" w:hanging="256"/>
        <w:spacing w:after="0"/>
        <w:tabs>
          <w:tab w:leader="none" w:pos="156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Tenant’s Insurance</w:t>
      </w:r>
      <w:r>
        <w:rPr>
          <w:rFonts w:ascii="Arial" w:cs="Arial" w:eastAsia="Arial" w:hAnsi="Arial"/>
          <w:sz w:val="17"/>
          <w:szCs w:val="17"/>
          <w:color w:val="auto"/>
        </w:rPr>
        <w:t>. Tenant shall, at its sole cost and expense, procure and keep in full force and effect the following insurance:</w:t>
      </w:r>
    </w:p>
    <w:p>
      <w:pPr>
        <w:spacing w:after="0" w:line="240" w:lineRule="exact"/>
        <w:rPr>
          <w:rFonts w:ascii="Arial" w:cs="Arial" w:eastAsia="Arial" w:hAnsi="Arial"/>
          <w:sz w:val="17"/>
          <w:szCs w:val="17"/>
          <w:color w:val="auto"/>
        </w:rPr>
      </w:pPr>
    </w:p>
    <w:p>
      <w:pPr>
        <w:jc w:val="both"/>
        <w:ind w:firstLine="1952"/>
        <w:spacing w:after="0" w:line="263" w:lineRule="auto"/>
        <w:tabs>
          <w:tab w:leader="none" w:pos="2184"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Special Risk property insurance on Tenant’s Property for its full replacement value. Such policy shall contain an agreed amount endorsement in lieu of a co-insurance clause. “</w:t>
      </w:r>
      <w:r>
        <w:rPr>
          <w:rFonts w:ascii="Arial" w:cs="Arial" w:eastAsia="Arial" w:hAnsi="Arial"/>
          <w:sz w:val="18"/>
          <w:szCs w:val="18"/>
          <w:b w:val="1"/>
          <w:bCs w:val="1"/>
          <w:color w:val="auto"/>
        </w:rPr>
        <w:t>Tenant’s Property</w:t>
      </w:r>
      <w:r>
        <w:rPr>
          <w:rFonts w:ascii="Arial" w:cs="Arial" w:eastAsia="Arial" w:hAnsi="Arial"/>
          <w:sz w:val="18"/>
          <w:szCs w:val="18"/>
          <w:color w:val="auto"/>
        </w:rPr>
        <w:t>” is herein defined to be personal property of Tenant and any improvements made by or for Tenant pursuant to any Work Letter attached hereto.</w:t>
      </w:r>
    </w:p>
    <w:p>
      <w:pPr>
        <w:spacing w:after="0" w:line="183" w:lineRule="exact"/>
        <w:rPr>
          <w:rFonts w:ascii="Arial" w:cs="Arial" w:eastAsia="Arial" w:hAnsi="Arial"/>
          <w:sz w:val="18"/>
          <w:szCs w:val="18"/>
          <w:color w:val="auto"/>
        </w:rPr>
      </w:pPr>
    </w:p>
    <w:p>
      <w:pPr>
        <w:jc w:val="both"/>
        <w:ind w:firstLine="1952"/>
        <w:spacing w:after="0" w:line="279" w:lineRule="auto"/>
        <w:tabs>
          <w:tab w:leader="none" w:pos="2213"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Commercial general liability insurance insuring Tenant against any liability arising out of its use, occupancy or maintenance of the Premises or the business operated by Tenant pursuant to the Lease. Such insurance shall provide a combined single limit for bodily injury and property damage in the amounts set forth in the Basic Lease Information. Such policy shall name Landlord, Landlord’s wholly-owned subsidiaries, Landlord’s property manager and any mortgagees of Landlord as additional insureds as their respective interests may appear;</w:t>
      </w:r>
    </w:p>
    <w:p>
      <w:pPr>
        <w:spacing w:after="0" w:line="171" w:lineRule="exact"/>
        <w:rPr>
          <w:rFonts w:ascii="Arial" w:cs="Arial" w:eastAsia="Arial" w:hAnsi="Arial"/>
          <w:sz w:val="17"/>
          <w:szCs w:val="17"/>
          <w:color w:val="auto"/>
        </w:rPr>
      </w:pPr>
    </w:p>
    <w:p>
      <w:pPr>
        <w:ind w:left="2260" w:hanging="308"/>
        <w:spacing w:after="0"/>
        <w:tabs>
          <w:tab w:leader="none" w:pos="22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Workers’ Compensation insurance as required by state law;</w:t>
      </w:r>
    </w:p>
    <w:p>
      <w:pPr>
        <w:spacing w:after="0" w:line="225" w:lineRule="exact"/>
        <w:rPr>
          <w:rFonts w:ascii="Arial" w:cs="Arial" w:eastAsia="Arial" w:hAnsi="Arial"/>
          <w:sz w:val="18"/>
          <w:szCs w:val="18"/>
          <w:color w:val="auto"/>
        </w:rPr>
      </w:pPr>
    </w:p>
    <w:p>
      <w:pPr>
        <w:ind w:firstLine="1952"/>
        <w:spacing w:after="0" w:line="277" w:lineRule="auto"/>
        <w:tabs>
          <w:tab w:leader="none" w:pos="225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If Tenant uses vehicles to carry out its business on or about the Project, motor vehicles liability insurance with a combined single limit of not less than $1,000,000 for bodily injury and property damage; and</w:t>
      </w:r>
    </w:p>
    <w:p>
      <w:pPr>
        <w:spacing w:after="0" w:line="170" w:lineRule="exact"/>
        <w:rPr>
          <w:rFonts w:ascii="Arial" w:cs="Arial" w:eastAsia="Arial" w:hAnsi="Arial"/>
          <w:sz w:val="18"/>
          <w:szCs w:val="18"/>
          <w:color w:val="auto"/>
        </w:rPr>
      </w:pPr>
    </w:p>
    <w:p>
      <w:pPr>
        <w:ind w:right="20" w:firstLine="1952"/>
        <w:spacing w:after="0" w:line="277" w:lineRule="auto"/>
        <w:tabs>
          <w:tab w:leader="none" w:pos="221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Any other form or forms of insurance or increased amounts of insurance as Landlord or any mortgagees of Landlord may reasonably require from time to time.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such policies shall be written in a form and with an insurance company licensed to do business in the State of Nevada with a rating in Best’s Insurance Guide of not less than A:VII satisfactory to Landlord and any mortgagees of Landlord, and shall provide that Landlord and any mortgagees of Landlord receive not less than thirty (30) days’ prior written notice of any cancellation or reduction in coverage. Tenant’s deductible amounts shall not exceed $1,000. Prior to or at the time that Tenant takes possession of the Premises, and as a condition thereof, Tenant shall deliver to Landlord copies of policies or certificates evidencing the existence of the required amounts and forms of coverage satisfactory to Landlord. Tenant shall, at least thirty (30) days prior to the expiration of such policies, furnish Landlord with renewals or “binders” thereof, or Landlord may order such insurance and charge the cost thereof to Tenant as Additional Rent.</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Tenant shall obtain certificates of insurance evidencing commercial general liability insurance, including completed operations, motor vehicle liability insurance and workers’ compensation insurance in the amounts required above from any contractor or subcontractor engaged by Tenant for Alterations, repairs or maintenance at the Premises during the Term, and such liability insurance shall name the same parties as additional insureds as is described above, and shall provide that any loss shall be payable to Landlord and such other additional insured parties as their respective interests may appear.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0" w:name="page191"/>
    <w:bookmarkEnd w:id="190"/>
    <w:p>
      <w:pPr>
        <w:ind w:right="20" w:firstLine="1304"/>
        <w:spacing w:after="0" w:line="282" w:lineRule="auto"/>
        <w:tabs>
          <w:tab w:leader="none" w:pos="1567"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Forms of Policies</w:t>
      </w:r>
      <w:r>
        <w:rPr>
          <w:rFonts w:ascii="Arial" w:cs="Arial" w:eastAsia="Arial" w:hAnsi="Arial"/>
          <w:sz w:val="18"/>
          <w:szCs w:val="18"/>
          <w:color w:val="auto"/>
        </w:rPr>
        <w:t>. All commercial general liability and special risk property policies maintained by Tenant shall be written 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policies, not contributing with and not supplemental to the coverage that Landlord may carry.</w:t>
      </w:r>
    </w:p>
    <w:p>
      <w:pPr>
        <w:spacing w:after="0" w:line="161" w:lineRule="exact"/>
        <w:rPr>
          <w:rFonts w:ascii="Arial" w:cs="Arial" w:eastAsia="Arial" w:hAnsi="Arial"/>
          <w:sz w:val="18"/>
          <w:szCs w:val="18"/>
          <w:color w:val="auto"/>
        </w:rPr>
      </w:pPr>
    </w:p>
    <w:p>
      <w:pPr>
        <w:jc w:val="both"/>
        <w:ind w:firstLine="1304"/>
        <w:spacing w:after="0" w:line="272" w:lineRule="auto"/>
        <w:tabs>
          <w:tab w:leader="none" w:pos="1578"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Waiver of Subrogation</w:t>
      </w:r>
      <w:r>
        <w:rPr>
          <w:rFonts w:ascii="Arial" w:cs="Arial" w:eastAsia="Arial" w:hAnsi="Arial"/>
          <w:sz w:val="17"/>
          <w:szCs w:val="17"/>
          <w:color w:val="auto"/>
        </w:rPr>
        <w:t>. Notwithstanding anything to the contrary in this Lease, Landlord and Tenant, for themselves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insurers, each agree to and do hereby waive any and all claims, demands, actions and causes of action that each may have or claim to have against the other, and/or against any subsidiary or joint venture of such other party, for loss or damage to any property, whether real and personal, to the extent the same is caused by or results from risks (i) which are insurable under standard fire and extended coverage insurance or (ii) which arc insured against under any policy of insurance covering the Premises or any portion thereof or property therein carried by the parties and in force at the time of such loss or damage, notwithstanding that any such loss or damage may be due to or result from the negligence of either party hereto or their respective employees or agents; provided, however, that this waiver shall not apply to the portion of any damage which is not reimbursed by the damaged party’s insurance because of the deductible in the damaged party’s insurance coverage.</w:t>
      </w:r>
    </w:p>
    <w:p>
      <w:pPr>
        <w:spacing w:after="0" w:line="171" w:lineRule="exact"/>
        <w:rPr>
          <w:rFonts w:ascii="Arial" w:cs="Arial" w:eastAsia="Arial" w:hAnsi="Arial"/>
          <w:sz w:val="17"/>
          <w:szCs w:val="17"/>
          <w:color w:val="auto"/>
        </w:rPr>
      </w:pPr>
    </w:p>
    <w:p>
      <w:pPr>
        <w:jc w:val="both"/>
        <w:ind w:firstLine="1304"/>
        <w:spacing w:after="0" w:line="261" w:lineRule="auto"/>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b w:val="1"/>
          <w:bCs w:val="1"/>
          <w:color w:val="auto"/>
        </w:rPr>
        <w:t>Adequacy of Coverage</w:t>
      </w:r>
      <w:r>
        <w:rPr>
          <w:rFonts w:ascii="Arial" w:cs="Arial" w:eastAsia="Arial" w:hAnsi="Arial"/>
          <w:sz w:val="18"/>
          <w:szCs w:val="18"/>
          <w:color w:val="auto"/>
        </w:rPr>
        <w:t>. Landlord, its agents and employees make no representation that the limits of liability specified to be carried</w:t>
      </w:r>
      <w:r>
        <w:rPr>
          <w:rFonts w:ascii="Arial" w:cs="Arial" w:eastAsia="Arial" w:hAnsi="Arial"/>
          <w:sz w:val="18"/>
          <w:szCs w:val="18"/>
          <w:b w:val="1"/>
          <w:bCs w:val="1"/>
          <w:color w:val="auto"/>
        </w:rPr>
        <w:t xml:space="preserve"> </w:t>
      </w:r>
      <w:r>
        <w:rPr>
          <w:rFonts w:ascii="Arial" w:cs="Arial" w:eastAsia="Arial" w:hAnsi="Arial"/>
          <w:sz w:val="18"/>
          <w:szCs w:val="18"/>
          <w:color w:val="auto"/>
        </w:rPr>
        <w:t>by Tenant pursuant to this Paragraph 8 are adequate to protect Tenant and such minimum limits shall not relieve Tenant from any of its obligations under this Lease. If Tenant believes that any of such insurance coverage is inadequate, Tenant will obtain such additional insurance coverage, as Tenant deems adequate, at Tenant’s sole expense.</w:t>
      </w:r>
    </w:p>
    <w:p>
      <w:pPr>
        <w:spacing w:after="0" w:line="179" w:lineRule="exact"/>
        <w:rPr>
          <w:rFonts w:ascii="Arial" w:cs="Arial" w:eastAsia="Arial" w:hAnsi="Arial"/>
          <w:sz w:val="18"/>
          <w:szCs w:val="18"/>
          <w:color w:val="auto"/>
        </w:rPr>
      </w:pPr>
    </w:p>
    <w:p>
      <w:pPr>
        <w:jc w:val="both"/>
        <w:ind w:firstLine="1304"/>
        <w:spacing w:after="0" w:line="281" w:lineRule="auto"/>
        <w:tabs>
          <w:tab w:leader="none" w:pos="1521"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Certain Insurance Risks. </w:t>
      </w:r>
      <w:r>
        <w:rPr>
          <w:rFonts w:ascii="Arial" w:cs="Arial" w:eastAsia="Arial" w:hAnsi="Arial"/>
          <w:sz w:val="17"/>
          <w:szCs w:val="17"/>
          <w:color w:val="auto"/>
        </w:rPr>
        <w:t>Tenant shall not do or permit to be done any act or thing upon the Premises or the Project or bring or keep</w:t>
      </w:r>
      <w:r>
        <w:rPr>
          <w:rFonts w:ascii="Arial" w:cs="Arial" w:eastAsia="Arial" w:hAnsi="Arial"/>
          <w:sz w:val="17"/>
          <w:szCs w:val="17"/>
          <w:b w:val="1"/>
          <w:bCs w:val="1"/>
          <w:color w:val="auto"/>
        </w:rPr>
        <w:t xml:space="preserve"> </w:t>
      </w:r>
      <w:r>
        <w:rPr>
          <w:rFonts w:ascii="Arial" w:cs="Arial" w:eastAsia="Arial" w:hAnsi="Arial"/>
          <w:sz w:val="17"/>
          <w:szCs w:val="17"/>
          <w:color w:val="auto"/>
        </w:rPr>
        <w:t>anything therein which would (i) jeopardize or be in conflict with fire or other insurance policies covering the Project or fixtures and property in the Project; (ii) increase the rate of fire insurance applicable to the Project or cause a cancellation of said insurance; or (iii) subject Landlord to any liability or responsibility for injury to any person or persons or to property by reason of any business or operation being carried on upon the Premises.</w:t>
      </w:r>
    </w:p>
    <w:p>
      <w:pPr>
        <w:spacing w:after="0" w:line="164" w:lineRule="exact"/>
        <w:rPr>
          <w:rFonts w:ascii="Arial" w:cs="Arial" w:eastAsia="Arial" w:hAnsi="Arial"/>
          <w:sz w:val="17"/>
          <w:szCs w:val="17"/>
          <w:color w:val="auto"/>
        </w:rPr>
      </w:pPr>
    </w:p>
    <w:p>
      <w:pPr>
        <w:ind w:left="1300" w:hanging="644"/>
        <w:spacing w:after="0"/>
        <w:tabs>
          <w:tab w:leader="none" w:pos="13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WAIVER AND RELEASE</w:t>
      </w:r>
    </w:p>
    <w:p>
      <w:pPr>
        <w:spacing w:after="0" w:line="225" w:lineRule="exact"/>
        <w:rPr>
          <w:rFonts w:ascii="Arial" w:cs="Arial" w:eastAsia="Arial" w:hAnsi="Arial"/>
          <w:sz w:val="18"/>
          <w:szCs w:val="18"/>
          <w:b w:val="1"/>
          <w:bCs w:val="1"/>
          <w:color w:val="auto"/>
        </w:rPr>
      </w:pPr>
    </w:p>
    <w:p>
      <w:pPr>
        <w:jc w:val="both"/>
        <w:ind w:firstLine="1304"/>
        <w:spacing w:after="0" w:line="281" w:lineRule="auto"/>
        <w:tabs>
          <w:tab w:leader="none" w:pos="1540" w:val="left"/>
        </w:tabs>
        <w:numPr>
          <w:ilvl w:val="1"/>
          <w:numId w:val="147"/>
        </w:numPr>
        <w:rPr>
          <w:rFonts w:ascii="Arial" w:cs="Arial" w:eastAsia="Arial" w:hAnsi="Arial"/>
          <w:sz w:val="17"/>
          <w:szCs w:val="17"/>
          <w:color w:val="auto"/>
        </w:rPr>
      </w:pPr>
      <w:r>
        <w:rPr>
          <w:rFonts w:ascii="Arial" w:cs="Arial" w:eastAsia="Arial" w:hAnsi="Arial"/>
          <w:sz w:val="17"/>
          <w:szCs w:val="17"/>
          <w:b w:val="1"/>
          <w:bCs w:val="1"/>
          <w:color w:val="auto"/>
        </w:rPr>
        <w:t>Tenant’s Indemnification</w:t>
      </w:r>
      <w:r>
        <w:rPr>
          <w:rFonts w:ascii="Arial" w:cs="Arial" w:eastAsia="Arial" w:hAnsi="Arial"/>
          <w:sz w:val="17"/>
          <w:szCs w:val="17"/>
          <w:color w:val="auto"/>
        </w:rPr>
        <w:t>. Except to the extent of any injury to persons or damage to property that is proximately caused by the gross</w:t>
      </w:r>
      <w:r>
        <w:rPr>
          <w:rFonts w:ascii="Arial" w:cs="Arial" w:eastAsia="Arial" w:hAnsi="Arial"/>
          <w:sz w:val="17"/>
          <w:szCs w:val="17"/>
          <w:b w:val="1"/>
          <w:bCs w:val="1"/>
          <w:color w:val="auto"/>
        </w:rPr>
        <w:t xml:space="preserve"> </w:t>
      </w:r>
      <w:r>
        <w:rPr>
          <w:rFonts w:ascii="Arial" w:cs="Arial" w:eastAsia="Arial" w:hAnsi="Arial"/>
          <w:sz w:val="17"/>
          <w:szCs w:val="17"/>
          <w:color w:val="auto"/>
        </w:rPr>
        <w:t>negligence or willful misconduct of Landlord, its employees or agents, and subject to the provisions of Paragraph 8(d) above, Tenant shall indemnify and hold the Landlord Indemnitees harmless from and against any and all demands, claims, causes of action, fines, penalties, damages, liabilities, judgments, and expenses (including, without limitation, reasonable attorneys’ fees) incurred in connection with or arising from:</w:t>
      </w:r>
    </w:p>
    <w:p>
      <w:pPr>
        <w:spacing w:after="0" w:line="168" w:lineRule="exact"/>
        <w:rPr>
          <w:rFonts w:ascii="Arial" w:cs="Arial" w:eastAsia="Arial" w:hAnsi="Arial"/>
          <w:sz w:val="17"/>
          <w:szCs w:val="17"/>
          <w:color w:val="auto"/>
        </w:rPr>
      </w:pPr>
    </w:p>
    <w:p>
      <w:pPr>
        <w:ind w:left="2160" w:hanging="208"/>
        <w:spacing w:after="0"/>
        <w:tabs>
          <w:tab w:leader="none" w:pos="216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The use or occupancy or manner of use or occupancy of the Premises by Tenant or any of the Tenant’s Parties;</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activity, work, or thing done or permitted by Tenant in or about the Premises, the Building, or the Project;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1" w:name="page192"/>
    <w:bookmarkEnd w:id="191"/>
    <w:p>
      <w:pPr>
        <w:ind w:left="2260" w:hanging="308"/>
        <w:spacing w:after="0"/>
        <w:tabs>
          <w:tab w:leader="none" w:pos="2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breach by Tenant or by any of the Tenant’s Parties of this Lease;</w:t>
      </w:r>
    </w:p>
    <w:p>
      <w:pPr>
        <w:spacing w:after="0" w:line="225" w:lineRule="exact"/>
        <w:rPr>
          <w:rFonts w:ascii="Arial" w:cs="Arial" w:eastAsia="Arial" w:hAnsi="Arial"/>
          <w:sz w:val="18"/>
          <w:szCs w:val="18"/>
          <w:color w:val="auto"/>
        </w:rPr>
      </w:pPr>
    </w:p>
    <w:p>
      <w:pPr>
        <w:ind w:firstLine="1952"/>
        <w:spacing w:after="0" w:line="277" w:lineRule="auto"/>
        <w:tabs>
          <w:tab w:leader="none" w:pos="2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injury or damage to the person, property or business of Tenant or any of the Tenant’s Parties entering upon the Premises under the express or implied invitation of Tenant, and</w:t>
      </w:r>
    </w:p>
    <w:p>
      <w:pPr>
        <w:spacing w:after="0" w:line="170" w:lineRule="exact"/>
        <w:rPr>
          <w:rFonts w:ascii="Arial" w:cs="Arial" w:eastAsia="Arial" w:hAnsi="Arial"/>
          <w:sz w:val="18"/>
          <w:szCs w:val="18"/>
          <w:color w:val="auto"/>
        </w:rPr>
      </w:pPr>
    </w:p>
    <w:p>
      <w:pPr>
        <w:ind w:left="2200" w:hanging="248"/>
        <w:spacing w:after="0"/>
        <w:tabs>
          <w:tab w:leader="none" w:pos="22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alleged violation by Tenant of any Regulation.</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any action or proceeding is brought against a Landlord Indemnitee by reason of any of the foregoing items (i) through (v), Tenant, upon written notice from such Landlord Indemnitee, shall defend the same at Tenant’s expense, with counsel reasonably satisfactory to Landlord. Tenant’s obligations pursuant to the foregoing indemnity shall survive the termination of this Lease.</w:t>
      </w:r>
    </w:p>
    <w:p>
      <w:pPr>
        <w:spacing w:after="0" w:line="180" w:lineRule="exact"/>
        <w:rPr>
          <w:sz w:val="20"/>
          <w:szCs w:val="20"/>
          <w:color w:val="auto"/>
        </w:rPr>
      </w:pPr>
    </w:p>
    <w:p>
      <w:pPr>
        <w:ind w:firstLine="1304"/>
        <w:spacing w:after="0" w:line="347" w:lineRule="auto"/>
        <w:tabs>
          <w:tab w:leader="none" w:pos="1551" w:val="left"/>
        </w:tabs>
        <w:numPr>
          <w:ilvl w:val="1"/>
          <w:numId w:val="149"/>
        </w:numPr>
        <w:rPr>
          <w:rFonts w:ascii="Arial" w:cs="Arial" w:eastAsia="Arial" w:hAnsi="Arial"/>
          <w:sz w:val="16"/>
          <w:szCs w:val="16"/>
          <w:color w:val="auto"/>
        </w:rPr>
      </w:pPr>
      <w:r>
        <w:rPr>
          <w:rFonts w:ascii="Arial" w:cs="Arial" w:eastAsia="Arial" w:hAnsi="Arial"/>
          <w:sz w:val="16"/>
          <w:szCs w:val="16"/>
          <w:b w:val="1"/>
          <w:bCs w:val="1"/>
          <w:color w:val="auto"/>
        </w:rPr>
        <w:t>ssence herein</w:t>
      </w:r>
      <w:r>
        <w:rPr>
          <w:rFonts w:ascii="Arial" w:cs="Arial" w:eastAsia="Arial" w:hAnsi="Arial"/>
          <w:sz w:val="16"/>
          <w:szCs w:val="16"/>
          <w:color w:val="auto"/>
        </w:rPr>
        <w:t>. NotwiTenant, as a material part of the consideration to Landlord for this Lease, by this Paragraph 9 hereby waives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releases all claims against the Landlord Indemnitees, to all matters for which Landlord has disclaimed liability pursuant to the provisions of this Lease.</w:t>
      </w:r>
    </w:p>
    <w:p>
      <w:pPr>
        <w:spacing w:after="0" w:line="115" w:lineRule="exact"/>
        <w:rPr>
          <w:rFonts w:ascii="Arial" w:cs="Arial" w:eastAsia="Arial" w:hAnsi="Arial"/>
          <w:sz w:val="16"/>
          <w:szCs w:val="16"/>
          <w:color w:val="auto"/>
        </w:rPr>
      </w:pPr>
    </w:p>
    <w:p>
      <w:pPr>
        <w:ind w:left="1300" w:hanging="644"/>
        <w:spacing w:after="0"/>
        <w:tabs>
          <w:tab w:leader="none" w:pos="13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REPAIRS AND SERVICES</w:t>
      </w:r>
    </w:p>
    <w:p>
      <w:pPr>
        <w:spacing w:after="0" w:line="225" w:lineRule="exact"/>
        <w:rPr>
          <w:rFonts w:ascii="Arial" w:cs="Arial" w:eastAsia="Arial" w:hAnsi="Arial"/>
          <w:sz w:val="18"/>
          <w:szCs w:val="18"/>
          <w:b w:val="1"/>
          <w:bCs w:val="1"/>
          <w:color w:val="auto"/>
        </w:rPr>
      </w:pPr>
    </w:p>
    <w:p>
      <w:pPr>
        <w:jc w:val="both"/>
        <w:ind w:firstLine="1304"/>
        <w:spacing w:after="0" w:line="286" w:lineRule="auto"/>
        <w:tabs>
          <w:tab w:leader="none" w:pos="1554" w:val="left"/>
        </w:tabs>
        <w:numPr>
          <w:ilvl w:val="1"/>
          <w:numId w:val="150"/>
        </w:numPr>
        <w:rPr>
          <w:rFonts w:ascii="Arial" w:cs="Arial" w:eastAsia="Arial" w:hAnsi="Arial"/>
          <w:sz w:val="16"/>
          <w:szCs w:val="16"/>
          <w:color w:val="auto"/>
        </w:rPr>
      </w:pPr>
      <w:r>
        <w:rPr>
          <w:rFonts w:ascii="Arial" w:cs="Arial" w:eastAsia="Arial" w:hAnsi="Arial"/>
          <w:sz w:val="16"/>
          <w:szCs w:val="16"/>
          <w:b w:val="1"/>
          <w:bCs w:val="1"/>
          <w:color w:val="auto"/>
        </w:rPr>
        <w:t>Repairs and Services</w:t>
      </w:r>
      <w:r>
        <w:rPr>
          <w:rFonts w:ascii="Arial" w:cs="Arial" w:eastAsia="Arial" w:hAnsi="Arial"/>
          <w:sz w:val="16"/>
          <w:szCs w:val="16"/>
          <w:color w:val="auto"/>
        </w:rPr>
        <w:t>. Landlord shall at Landlord’s expense maintain the structural soundness of the structural beams of the roof,</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foundations and exterior walls of the Building in good repair, reasonable wear and tear excepted. The term “exterior walls” as used herein shall not include windows, glass or plate glass, doors, special storefronts or office entries. Landlord shall perform on behalf of Tenant and other tenants of the Project, as an item of Basic Operating Cost, the maintenance and repair of the Building, Project, and public and common areas of the Project, including but not limited to the roof, pest extermination, the landscaped areas, parking areas, driveways, the truck staging areas, rail spur areas (if any), fire sprinkler systems, sanitary and storm sewer lines, utility services, electric and telephone equipment servicing the Building(s), exterior lighting and anything which affects the operation and exterior appearance of the Project, as determined by Landlord in its sole discretion. In addition, Landlord shall, as an item of Basic Operating Cost, enter into a regularly scheduled preventive maintenance/service contract with a licensed maintenance contractor for servicing all hot water, heating, ventilation and air conditioning (“</w:t>
      </w:r>
      <w:r>
        <w:rPr>
          <w:rFonts w:ascii="Arial" w:cs="Arial" w:eastAsia="Arial" w:hAnsi="Arial"/>
          <w:sz w:val="16"/>
          <w:szCs w:val="16"/>
          <w:b w:val="1"/>
          <w:bCs w:val="1"/>
          <w:color w:val="auto"/>
        </w:rPr>
        <w:t>HVAC</w:t>
      </w:r>
      <w:r>
        <w:rPr>
          <w:rFonts w:ascii="Arial" w:cs="Arial" w:eastAsia="Arial" w:hAnsi="Arial"/>
          <w:sz w:val="16"/>
          <w:szCs w:val="16"/>
          <w:color w:val="auto"/>
        </w:rPr>
        <w:t>”) systems and associated equipment within or serving the Building, which HVAC maintenance/service contract will include all services suggested by the equipment manufacturer within the operation/maintenance manual. Except for the expenses directly involving the items specifically described in the first sentence of this Paragraph 10, Tenant shall reimburse Landlord for all such costs in accordance with the terms of Paragraph 7. Any damage caused by or repairs necessitated by any act of Tenant may be repaired by Landlord at Landlord’s option and at Tenant’s expense. Tenant shall immediately give Landlord written notice of any defect or need for repairs after which Landlord shall have a reasonable opportunity to repair same. Landlord and Landlord’s agent’s liability with respect to any defects, repairs, or maintenance for which Landlord is responsible under any of the provisions of this Lease shall be limited to the cost of such repairs or maintenance. Tenant hereby waives the benefit of any present or future law which might give Tenant the right to repair the Premises at Landlord’s expense or to terminate the Lease due to the condition of the Premises.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2" w:name="page193"/>
    <w:bookmarkEnd w:id="192"/>
    <w:p>
      <w:pPr>
        <w:jc w:val="both"/>
        <w:ind w:firstLine="1304"/>
        <w:spacing w:after="0" w:line="255" w:lineRule="auto"/>
        <w:tabs>
          <w:tab w:leader="none" w:pos="1551"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Exemption of Landlord from Liability</w:t>
      </w:r>
      <w:r>
        <w:rPr>
          <w:rFonts w:ascii="Arial" w:cs="Arial" w:eastAsia="Arial" w:hAnsi="Arial"/>
          <w:sz w:val="18"/>
          <w:szCs w:val="18"/>
          <w:color w:val="auto"/>
        </w:rPr>
        <w:t>. Landlord shall not be liable for any damage or injury to the person, business (or any loss of</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therefrom), goods, wares, merchandise or other property of Tenant or any of Tenant’s Parties or any other person in or about the Premises, whether such damage or injury is caused by or results from (i) fire, steam, electricity, water, gas or rain; (ii) the breakage, leakage, obstruction or other defects of pipes, sprinklers, wires, appliances, plumbing, air conditioning or lighting fixtures or any other cause; (iii) conditions arising in or about the Premises or upon other portions of the Building, or from other sources or places; (iv) theft, riot, strike, injunction, war, terrorist act or act of God; or (v) any act or omission of any other tenant of the Project. The provisions of this Paragraph 10(b) shall not, however, exempt Landlord from liability for Landlord’s gross negligence or willful misconduct.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TENANT’S REPAIRS</w:t>
      </w:r>
    </w:p>
    <w:p>
      <w:pPr>
        <w:spacing w:after="0" w:line="225" w:lineRule="exact"/>
        <w:rPr>
          <w:rFonts w:ascii="Arial" w:cs="Arial" w:eastAsia="Arial" w:hAnsi="Arial"/>
          <w:sz w:val="18"/>
          <w:szCs w:val="18"/>
          <w:b w:val="1"/>
          <w:bCs w:val="1"/>
          <w:color w:val="auto"/>
        </w:rPr>
      </w:pPr>
    </w:p>
    <w:p>
      <w:pPr>
        <w:jc w:val="both"/>
        <w:ind w:firstLine="1304"/>
        <w:spacing w:after="0" w:line="291" w:lineRule="auto"/>
        <w:tabs>
          <w:tab w:leader="none" w:pos="1554" w:val="left"/>
        </w:tabs>
        <w:numPr>
          <w:ilvl w:val="1"/>
          <w:numId w:val="152"/>
        </w:numPr>
        <w:rPr>
          <w:rFonts w:ascii="Arial" w:cs="Arial" w:eastAsia="Arial" w:hAnsi="Arial"/>
          <w:sz w:val="16"/>
          <w:szCs w:val="16"/>
          <w:color w:val="auto"/>
        </w:rPr>
      </w:pPr>
      <w:r>
        <w:rPr>
          <w:rFonts w:ascii="Arial" w:cs="Arial" w:eastAsia="Arial" w:hAnsi="Arial"/>
          <w:sz w:val="16"/>
          <w:szCs w:val="16"/>
          <w:b w:val="1"/>
          <w:bCs w:val="1"/>
          <w:color w:val="auto"/>
        </w:rPr>
        <w:t>Maintenance and Repairs</w:t>
      </w:r>
      <w:r>
        <w:rPr>
          <w:rFonts w:ascii="Arial" w:cs="Arial" w:eastAsia="Arial" w:hAnsi="Arial"/>
          <w:sz w:val="16"/>
          <w:szCs w:val="16"/>
          <w:color w:val="auto"/>
        </w:rPr>
        <w:t>. Tenant shall at Tenant’s expense maintain all parts of the Premises in a good, clean, secure and fully-operative condition and promptly make all necessary repairs and replacements, including but not limited to, all windows, glass, doors, walls and wall finishes, floor covering, ceilings, truck doors, dock bumpers, dock plates and levelers, plumbing work and fixtures, downspouts, electrical and lighting systems (bulbs and ballasts) and fire sprinklers. Tenant shall at Tenant’s expense also perform regular removal of trash and debris from the Premises. If required by the railroad company, Tenant agrees to sign a joint maintenance agreement governing the use of the rail spur, if any. Tenant shall not damage any demising wall or disturb the integrity and support provided by any demising wall and shall, at its sole expense, immediately repair any damage to any demising wall caused by Tenant or any of Tenant’s Parties. Tenant shall promptly replace any portion of the Premises or system or equipment in the Premises which cannot be fully repaired, regardless of whether the benefit of such replacement extends beyond the Term.</w:t>
      </w:r>
    </w:p>
    <w:p>
      <w:pPr>
        <w:spacing w:after="0" w:line="159" w:lineRule="exact"/>
        <w:rPr>
          <w:rFonts w:ascii="Arial" w:cs="Arial" w:eastAsia="Arial" w:hAnsi="Arial"/>
          <w:sz w:val="16"/>
          <w:szCs w:val="16"/>
          <w:color w:val="auto"/>
        </w:rPr>
      </w:pPr>
    </w:p>
    <w:p>
      <w:pPr>
        <w:jc w:val="both"/>
        <w:ind w:firstLine="1304"/>
        <w:spacing w:after="0" w:line="281" w:lineRule="auto"/>
        <w:tabs>
          <w:tab w:leader="none" w:pos="1578" w:val="left"/>
        </w:tabs>
        <w:numPr>
          <w:ilvl w:val="1"/>
          <w:numId w:val="152"/>
        </w:numPr>
        <w:rPr>
          <w:rFonts w:ascii="Arial" w:cs="Arial" w:eastAsia="Arial" w:hAnsi="Arial"/>
          <w:sz w:val="17"/>
          <w:szCs w:val="17"/>
          <w:color w:val="auto"/>
        </w:rPr>
      </w:pPr>
      <w:r>
        <w:rPr>
          <w:rFonts w:ascii="Arial" w:cs="Arial" w:eastAsia="Arial" w:hAnsi="Arial"/>
          <w:sz w:val="17"/>
          <w:szCs w:val="17"/>
          <w:b w:val="1"/>
          <w:bCs w:val="1"/>
          <w:color w:val="auto"/>
        </w:rPr>
        <w:t>Climate Control</w:t>
      </w:r>
      <w:r>
        <w:rPr>
          <w:rFonts w:ascii="Arial" w:cs="Arial" w:eastAsia="Arial" w:hAnsi="Arial"/>
          <w:sz w:val="17"/>
          <w:szCs w:val="17"/>
          <w:color w:val="auto"/>
        </w:rPr>
        <w:t>. Tenant shall be responsible for providing appropriate climate control in the Premises, and shall in all events</w:t>
      </w:r>
      <w:r>
        <w:rPr>
          <w:rFonts w:ascii="Arial" w:cs="Arial" w:eastAsia="Arial" w:hAnsi="Arial"/>
          <w:sz w:val="17"/>
          <w:szCs w:val="17"/>
          <w:b w:val="1"/>
          <w:bCs w:val="1"/>
          <w:color w:val="auto"/>
        </w:rPr>
        <w:t xml:space="preserve"> </w:t>
      </w:r>
      <w:r>
        <w:rPr>
          <w:rFonts w:ascii="Arial" w:cs="Arial" w:eastAsia="Arial" w:hAnsi="Arial"/>
          <w:sz w:val="17"/>
          <w:szCs w:val="17"/>
          <w:color w:val="auto"/>
        </w:rPr>
        <w:t>maintain heat in the Premises during the winter months at a temperature of at least 55° Fahrenheit. Tenant shall not block or cover any of the HVAC ducts in the Premises. Tenant shall immediately report to Landlord: (i) any evidence of a water leak or excessive moisture in the Premises; (ii) any evidence of mold or mildew in the Premises; and (iii) any failure or malfunction in the HVAC system serving the Premises.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3" w:name="page194"/>
    <w:bookmarkEnd w:id="193"/>
    <w:p>
      <w:pPr>
        <w:ind w:left="1300" w:hanging="644"/>
        <w:spacing w:after="0"/>
        <w:tabs>
          <w:tab w:leader="none" w:pos="1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ALTERATIONS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Tenant shall not make, or allow to be made, any alterations or physical additions (“</w:t>
      </w:r>
      <w:r>
        <w:rPr>
          <w:rFonts w:ascii="Arial" w:cs="Arial" w:eastAsia="Arial" w:hAnsi="Arial"/>
          <w:sz w:val="16"/>
          <w:szCs w:val="16"/>
          <w:b w:val="1"/>
          <w:bCs w:val="1"/>
          <w:color w:val="auto"/>
        </w:rPr>
        <w:t>Alterations</w:t>
      </w:r>
      <w:r>
        <w:rPr>
          <w:rFonts w:ascii="Arial" w:cs="Arial" w:eastAsia="Arial" w:hAnsi="Arial"/>
          <w:sz w:val="16"/>
          <w:szCs w:val="16"/>
          <w:color w:val="auto"/>
        </w:rPr>
        <w:t>”) in, about or to the Premises without obtaining the prior written consent of Landlord, which consent shall not be unreasonably withheld, with respect to proposed Alterations which: (a) comply with all applicable Regulations; (b) are in Landlord’s opinion compatible with the Project and its mechanical, plumbing, electrical and HVAC systems; (c) will not interfere with the use and occupancy of any other portion of the Building or Project by any other tenant or its invitees; and (d) are commenced only after Tenant has complied fully with the Required Mechanics Lien Protections as set forth and defined in Paragraph 13 below. Specifically, but without limiting the generality of the foregoing, Landlord shall have the right of written consent for all plans and specifications for the proposed Alterations, construction means and methods, all appropriate permits and licenses, any contractor or subcontractor to be employed on the work of Alteration, and the time for performance of such work. Tenant shall also supply to Landlord any documents and information reasonably requested by Landlord in connection with Landlord’s consideration of a request for approval hereunder. Tenant shall reimburse Landlord for all costs which Landlord may incur in connection with granting approval to Tenant for any such Alterations, including any costs or expenses which Landlord may incur in electing to have outside architects and engineers review said plans and specifications. Landlord, in the exercise of its reasonable discretion, may require Tenant to provide additional cash collateral and/or lien and completion bonds in form and amount satisfactory to Landlord for any Alterations undertaken by Tenant under this Paragraph 12. Upon completion of any Alterations, Tenant, at Landlord’s request, shall provide Landlord with “as built” plans for the Premises and proof of payment for all labor and materials. All Alterations made by Tenant shall remain the property of Tenant until termination of this Lease, at which time they shall be and become the property of Landlord if Landlord so elects; provided, however, that Landlord may, at Landlord’s option, require that Tenant, at Tenant’s expense, remove any or all Alterations made by Tenant and restore the Premises to their prior condition by the termination of this Lease. All such removals and restoration shall be accomplished in a good and workmanlike manner so as not to cause any damage to the Premises or Project whatsoever. If Tenant fails to so remove such Alterations or Tenant’s trade fixtures, furniture or other personal property, Landlord may keep and use them or remove any of them and cause them to be stored or sold in accordance with applicable law, at Tenant’s sole expense.</w:t>
      </w:r>
    </w:p>
    <w:p>
      <w:pPr>
        <w:spacing w:after="0" w:line="169"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LIENS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Tenant shall keep the Premises and the Project free from liens arising out of or related to work performed, materials or supplies furnished, or obligations incurred by Tenant in connection with any Alterations or other work made, suffered or done by or on behalf of Tenant in or on the Premises or Project. In the event that Tenant shall not, within ten (10) days following the imposition of any such lien, cause the same to be released of record by payment or posting of a proper bond, Landlord shall have, in addition to all other remedies provided herein and by law, the right, but not the obligation, to cause the same to be released by such means as Landlord shall deem proper, including payment of the claim giving rise to such lien. All sums paid by Landlord on behalf of Tenant and all expenses incurred by Landlord in connection therewith shall be payable to Landlord by Tenant on demand with interest at the Applicable Interest Rate from the date of payment by Landlord. Landlord shall have the right at all times to post and keep posted on the Premises any notices permitted or required by law, or which Landlord shall deem proper, for the protection of Landlord, the Premises, the Project and any other party having an interest therein, from mechanics’ and materialmen’s liens, and Tenant shall give Landlord not less than ten (10) business days’ prior written notice of the commencement of any work in the Premises or Project which could lawfully give rise to a claim for mechanics’ or materialmen’s liens. IN ADDITION, AND NOTWITHSTANDING ANY TERM OR PROVISION OF THIS PARAGRAPH 13 OR OF THIS LEASE TO THE CONTRARY, TO THE EXTENT THE COST OF SAME WOULD EXCEED $5,000.00, TENANT SHALL NOT COMMENCE OR CONDUCT, OR ALLOW TO BE COMMENCED OR CONDUCTED, ANY ALTERATIONS OR WORK OF REPAIR OR REPLACEMENT AT ITS REQUEST OR AUTHORIZATION, OR ALLOW THE DELIVERY OF ANY MATERIALS IN CONNECTION THEREWITH, UNLESS AND UNTIL TENANT HAS COMPLIED WITH EACH AND EVERY TERM OF NEVADA REVISED STATUTES (“</w:t>
      </w:r>
      <w:r>
        <w:rPr>
          <w:rFonts w:ascii="Arial" w:cs="Arial" w:eastAsia="Arial" w:hAnsi="Arial"/>
          <w:sz w:val="17"/>
          <w:szCs w:val="17"/>
          <w:b w:val="1"/>
          <w:bCs w:val="1"/>
          <w:color w:val="auto"/>
        </w:rPr>
        <w:t>NRS</w:t>
      </w:r>
      <w:r>
        <w:rPr>
          <w:rFonts w:ascii="Arial" w:cs="Arial" w:eastAsia="Arial" w:hAnsi="Arial"/>
          <w:sz w:val="17"/>
          <w:szCs w:val="17"/>
          <w:color w:val="auto"/>
        </w:rPr>
        <w:t>”) 108.2403, SUCH THAT LANDLORD ACHIEVES THE STATUS OF A “DISINTERESTED OWNER” AS DEFINED AND DESCRIBED IN NRS 108.234. (THE FOREGOING REQUIREMENTS AND OBLIGATIONS OF TENANT ARE THE “</w:t>
      </w:r>
      <w:r>
        <w:rPr>
          <w:rFonts w:ascii="Arial" w:cs="Arial" w:eastAsia="Arial" w:hAnsi="Arial"/>
          <w:sz w:val="17"/>
          <w:szCs w:val="17"/>
          <w:b w:val="1"/>
          <w:bCs w:val="1"/>
          <w:color w:val="auto"/>
        </w:rPr>
        <w:t>REQUIRED MECHANICS LIEN PROTECTIONS</w:t>
      </w:r>
      <w:r>
        <w:rPr>
          <w:rFonts w:ascii="Arial" w:cs="Arial" w:eastAsia="Arial" w:hAnsi="Arial"/>
          <w:sz w:val="17"/>
          <w:szCs w:val="17"/>
          <w:color w:val="auto"/>
        </w:rPr>
        <w: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4" w:name="page195"/>
    <w:bookmarkEnd w:id="194"/>
    <w:p>
      <w:pPr>
        <w:ind w:left="1300" w:hanging="644"/>
        <w:spacing w:after="0"/>
        <w:tabs>
          <w:tab w:leader="none" w:pos="13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SIGNS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signs, notices and graphics of every kind or character, visible in or from public view or corridors, the common areas or the exterior of the Premises, shall be subject to Landlord’s prior written approval. Subject to the foregoing, Tenant shall be permitted to install, at Tenant’s sole cost, identity signage on the Premises, subject to Landlord’s signage criteria and applicable Regulations. Any such signage shall be maintained by Tenant throughout the Term. Tenant shall not place or maintain any banners whatsoever or any window decor in or on any exterior window or window fronting upon any common areas or service area or upon any truck doors or man doors without Landlord’s prior written approval. Any installation of signs or graphics on or about the Premises and Project shall be subject to any applicable Regulations and to any other requirements imposed by Landlord. Tenant shall remove all such signs and graphics prior to the termination of this Lease. Such installations and removals shall be made in such manner as to avoid injury or defacement of the Premises, Building or Project and any other improvements contained therein, and Tenant shall repair any injury or defacement, including without limitation, discoloration caused by such installation or removal.</w:t>
      </w:r>
    </w:p>
    <w:p>
      <w:pPr>
        <w:spacing w:after="0" w:line="177" w:lineRule="exact"/>
        <w:rPr>
          <w:sz w:val="20"/>
          <w:szCs w:val="20"/>
          <w:color w:val="auto"/>
        </w:rPr>
      </w:pPr>
    </w:p>
    <w:p>
      <w:pPr>
        <w:ind w:left="1300" w:hanging="644"/>
        <w:spacing w:after="0"/>
        <w:tabs>
          <w:tab w:leader="none" w:pos="130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LANDLORD’S ACCESS</w:t>
      </w:r>
    </w:p>
    <w:p>
      <w:pPr>
        <w:spacing w:after="0" w:line="225" w:lineRule="exact"/>
        <w:rPr>
          <w:rFonts w:ascii="Arial" w:cs="Arial" w:eastAsia="Arial" w:hAnsi="Arial"/>
          <w:sz w:val="18"/>
          <w:szCs w:val="18"/>
          <w:b w:val="1"/>
          <w:bCs w:val="1"/>
          <w:color w:val="auto"/>
        </w:rPr>
      </w:pPr>
    </w:p>
    <w:p>
      <w:pPr>
        <w:jc w:val="both"/>
        <w:ind w:firstLine="1304"/>
        <w:spacing w:after="0" w:line="272" w:lineRule="auto"/>
        <w:tabs>
          <w:tab w:leader="none" w:pos="1540" w:val="left"/>
        </w:tabs>
        <w:numPr>
          <w:ilvl w:val="1"/>
          <w:numId w:val="156"/>
        </w:numPr>
        <w:rPr>
          <w:rFonts w:ascii="Arial" w:cs="Arial" w:eastAsia="Arial" w:hAnsi="Arial"/>
          <w:sz w:val="17"/>
          <w:szCs w:val="17"/>
          <w:color w:val="auto"/>
        </w:rPr>
      </w:pPr>
      <w:r>
        <w:rPr>
          <w:rFonts w:ascii="Arial" w:cs="Arial" w:eastAsia="Arial" w:hAnsi="Arial"/>
          <w:sz w:val="17"/>
          <w:szCs w:val="17"/>
          <w:b w:val="1"/>
          <w:bCs w:val="1"/>
          <w:color w:val="auto"/>
        </w:rPr>
        <w:t>Landlord’s Access to Premises</w:t>
      </w:r>
      <w:r>
        <w:rPr>
          <w:rFonts w:ascii="Arial" w:cs="Arial" w:eastAsia="Arial" w:hAnsi="Arial"/>
          <w:sz w:val="17"/>
          <w:szCs w:val="17"/>
          <w:color w:val="auto"/>
        </w:rPr>
        <w:t>. After reasonable notice, except in emergencies where no such notice shall be required, Landlord, and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agents and representatives, shall have the right to enter the Premises to inspect the same, to clean, to perform such work as may be permitted or required hereunder, to make repairs or alterations to the Premises or Project or to other tenant spaces therein, to deal with emergencies, to post such notices as may be permitted or required by law to prevent the perfection of liens against Landlord’s interest in the Project, to exhibit the Premises to prospective tenants, purchasers, lenders or others, or for any other purpose as Landlord may deem necessary or desirable; provided, however, that Landlord shall use commercially reasonable efforts not to unreasonably interfere with Tenant’s business operations. Tenant shall not be entitled to any abatement of Rent by reason of the exercise of any such right of entry. At any time within six (6) months prior to the end of the Term, Landlord shall have the right to erect on the Premises and/or Project a suitable sign indicating that the Premises are available for lease.</w:t>
      </w:r>
    </w:p>
    <w:p>
      <w:pPr>
        <w:spacing w:after="0" w:line="171" w:lineRule="exact"/>
        <w:rPr>
          <w:rFonts w:ascii="Arial" w:cs="Arial" w:eastAsia="Arial" w:hAnsi="Arial"/>
          <w:sz w:val="17"/>
          <w:szCs w:val="17"/>
          <w:color w:val="auto"/>
        </w:rPr>
      </w:pPr>
    </w:p>
    <w:p>
      <w:pPr>
        <w:jc w:val="both"/>
        <w:ind w:firstLine="1304"/>
        <w:spacing w:after="0" w:line="255" w:lineRule="auto"/>
        <w:tabs>
          <w:tab w:leader="none" w:pos="1564" w:val="left"/>
        </w:tabs>
        <w:numPr>
          <w:ilvl w:val="1"/>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Landlord’s Rights as to Common Areas. </w:t>
      </w:r>
      <w:r>
        <w:rPr>
          <w:rFonts w:ascii="Arial" w:cs="Arial" w:eastAsia="Arial" w:hAnsi="Arial"/>
          <w:sz w:val="18"/>
          <w:szCs w:val="18"/>
          <w:color w:val="auto"/>
        </w:rPr>
        <w:t>Landlord may from time to time change the size, location, nature and use of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areas of the Project, including converting common areas into leasable areas, constructing additional parking facilities (including parking structures) and other improvements in the common areas, and increasing or decreasing common area land and/or facilities. Tenant acknowledges that such activities may result in occasional inconvenience to Tenant from time to time. Such activities and changes shall be expressly permitted if they do not materially impair Tenant’s access to or use of the Premises. In addition, Landlord may at any time close any common area of the Project to make repairs or changes (provided the closure does not unreasonably impede access to the Premises by Tenant), to prevent the acquisition of public rights in such areas or to discourage non-customer parking.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5" w:name="page196"/>
    <w:bookmarkEnd w:id="195"/>
    <w:p>
      <w:pPr>
        <w:ind w:left="1300" w:hanging="644"/>
        <w:spacing w:after="0"/>
        <w:tabs>
          <w:tab w:leader="none" w:pos="130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UTILITIES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Tenant shall pay directly to the appropriate supplier for all gas, heat, air conditioning, light, power, telephone and other utilities and services used on or from the Premises, together with any taxes, penalties, surcharges or the like pertaining thereto, and maintenance charges for utilities, and shall furnish all electric light bulbs, ballasts and tubes. If any such services are not separately metered to Tenant, Tenant shall pay a reasonable proportion, as determined by Landlord, of all charges jointly serving other premises. Landlord shall not be liable for any damages directly or indirectly resulting from nor shall the Rent or any monies owed Landlord under this Lease herein reserved be abated by reason of: (a) the installation, use or interruption of use of any equipment used in connection with the furnishing of any such utilities or services; (b) the failure to furnish or delay in furnishing any such utilities or services when such failure or delay is caused by acts of God or the elements, labor disturbances of any character, or any other accidents or other conditions beyond the reasonable control of Landlord; or (c) the limitation, curtailment, rationing or restriction on use of water, electricity, gas or any other form of energy or any other service or utility whatsoever serving the Premises or Project. Landlord shall be entitled to cooperate voluntarily and in a reasonable manner with the efforts of national, state or local governmental agencies or utility suppliers in reducing energy or other resource consumption. The obligation to make services available hereunder shall be subject to the limitations of any such voluntary, reasonable program. Tenant shall provide its own janitorial services for the Premises.</w:t>
      </w:r>
    </w:p>
    <w:p>
      <w:pPr>
        <w:spacing w:after="0" w:line="175" w:lineRule="exact"/>
        <w:rPr>
          <w:sz w:val="20"/>
          <w:szCs w:val="20"/>
          <w:color w:val="auto"/>
        </w:rPr>
      </w:pPr>
    </w:p>
    <w:p>
      <w:pPr>
        <w:ind w:left="1300" w:hanging="644"/>
        <w:spacing w:after="0"/>
        <w:tabs>
          <w:tab w:leader="none" w:pos="130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the necessity of any additional document being executed by Tenant for the purpose of effecting a subordination, this Lease shall be subject and subordinate at all times to: (a) all ground leases or underlying leases which may now exist or hereafter be executed affecting the Premises and/or the Project and (b) any mortgage or deed of trust which may now exist or hereafter be placed upon the Project, any advances made on the security thereof and any renewals, modifications, consolidations, replacements or extensions thereof, whenever made or recorded. Notwithstanding the foregoing, Landlord shall have the right to subordinate or cause to be subordinated any such ground leases or underlying leases or any such mortgages or deeds of trust to this Lease on notice to Tenant. In the event that any ground lease or underlying lease terminates for any reason or any mortgage or deed of trust is foreclosed or a conveyance in lieu of foreclosure is made for any reason, Tenant shall, notwithstanding any subordination, attorn to and become the Tenant of the successor-in-interest to Landlord at the option of such successor-in-interest, provided that Tenant shall have no claim against such successor-in-interest arising from Landlord’s acts or omissions occurring prior to such termination, foreclosure or conveyance in lieu thereof. Within ten (10) days after request by Landlord, Tenant shall execute and deliver any additional documents evidencing Tenant’s attornment or the subordination of this Lease with respect to any such ground leases or underlying leases or any such mortgage or deed of trust, in the form requested by Landlord or by any ground lessor, mortgagee, or beneficiary under a deed of trust.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6" w:name="page197"/>
    <w:bookmarkEnd w:id="196"/>
    <w:p>
      <w:pPr>
        <w:ind w:left="1300" w:hanging="644"/>
        <w:spacing w:after="0"/>
        <w:tabs>
          <w:tab w:leader="none" w:pos="130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Within ten (10) days after written request from Landlord, Tenant shall provide to Landlord Tenant’s current financial statement or other information discussing the financial worth of Tenant prepared in accordance with generally accepted accounting principles consistently applied, which Landlord shall use solely for purposes of this Lease and in connection with the ownership, management, financing and/or disposition of the Project. Tenant represents and warrants to Landlord that each such financial statement is a true and accurate statement as of the date of such statement.</w:t>
      </w:r>
    </w:p>
    <w:p>
      <w:pPr>
        <w:spacing w:after="0" w:line="167"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ESTOPPEL CERTIFICATE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Tenant agrees from time to time, within ten (10) days after written request of Landlord, to execute and deliver to Landlord, or Landlord’s designee, an estoppel certificate stating that this Lease is in full force and effect and has not been modified (or stating any such modifications), the date to which Rent has been paid, the expiration date of this Lease, that Landlord is not in default under this Lease (or specifying any claimed defaults), and such other matters pertaining to this Lease as may be reasonably requested by Landlord. Failure by Tenant to execute and deliver such certificate shall constitute an acceptance of the Premises and acknowledgment by Tenant that the statements included are true and correct without exception. Landlord and Tenant intend that any statement delivered pursuant to this Paragraph 19 may be relied upon by any mortgagee, beneficiary, purchaser or prospective purchaser of the Project or any interest therein. The parties agree that Tenant’s obligation to furnish such estoppel certificate in a timely fashion is a material inducement for Landlord’s execution of this Lease, and shall be an event of default if Tenant fails to fully comply.</w:t>
      </w:r>
    </w:p>
    <w:p>
      <w:pPr>
        <w:spacing w:after="0" w:line="161"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Tenant agrees to deposit with Landlord upon Tenant’s execution of this Lease, a Security Deposit in the amount set forth in the Basic Lease Information, which sum shall be held by Landlord, without obligation for interest, as security for the full and faithful performance of Tenant’s covenants and obligations under this Lease. The Security Deposit is not an advance rental deposit or a measure of damages incurred by Landlord in case of Tenant’s default. Upon the occurrence of any event of default by Tenant, Landlord may, from time to time, without prejudice to any other remedy provided herein or provided by law, use such fund to the extent necessary to make good any arrears of Rent or other payments due to Landlord hereunder, and any other damage, injury, expense or liability caused by such event of default, and Tenant shall pay to Landlord, on demand, the amount so applied in order to restore the Security Deposit to its original amount. Although the Security Deposit shall be deemed the property of Landlord, any remaining balance of such Security Deposit shall be returned by Landlord to Tenant within thirty (30) days after termination of this Lease provided that (i) Tenant has fulfilled ail of its surrender obligations set forth in this Lease and (ii) the return of the Security Deposit shall not be construed as a representation from Landlord that all of Tenant’s obligations under this Lease have been fulfilled. Landlord may use and commingle the Security Deposit with other funds of Landlord.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7" w:name="page198"/>
    <w:bookmarkEnd w:id="197"/>
    <w:p>
      <w:pPr>
        <w:ind w:left="1300" w:hanging="644"/>
        <w:spacing w:after="0"/>
        <w:tabs>
          <w:tab w:leader="none" w:pos="130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 AND SUBLETTING</w:t>
      </w:r>
    </w:p>
    <w:p>
      <w:pPr>
        <w:spacing w:after="0" w:line="225" w:lineRule="exact"/>
        <w:rPr>
          <w:rFonts w:ascii="Arial" w:cs="Arial" w:eastAsia="Arial" w:hAnsi="Arial"/>
          <w:sz w:val="18"/>
          <w:szCs w:val="18"/>
          <w:b w:val="1"/>
          <w:bCs w:val="1"/>
          <w:color w:val="auto"/>
        </w:rPr>
      </w:pPr>
    </w:p>
    <w:p>
      <w:pPr>
        <w:jc w:val="both"/>
        <w:ind w:firstLine="1304"/>
        <w:spacing w:after="0" w:line="285" w:lineRule="auto"/>
        <w:tabs>
          <w:tab w:leader="none" w:pos="1540" w:val="left"/>
        </w:tabs>
        <w:numPr>
          <w:ilvl w:val="1"/>
          <w:numId w:val="162"/>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Tenant shall not assign or sublet the Premises or any part thereof without Landlord’s prior written approval, which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unreasonably withheld. If Tenant desires to assign this Lease or sublet any or all of the Premises, Tenant shall give Landlord written notice at least thirty (30) days prior to the anticipated effective date of the assignment or sublease. Such notice shall be accompanied by a statement setting forth the identity of the proposed transferee and the details of the proposed transfer, financial information regarding the proposed transferee, and a copy of the proposed assignment or sublease documentation (which shall be subject to Landlord’s review and approval). Landlord shall then have a period of ten (10) days following receipt of such materials to notify Tenant in writing that Landlord elects either to (1) permit Tenant to assign this Lease or sublet such space, subject, however, to Landlord’s prior written approval of the proposed assignee or subtenant, (2) withhold its consent to the proposed assignment or sublease, if reasonable, or (3) if the transfer is an assignment of this Lease or a sublease of the entire Premises, to terminate this Lease effective as of the effective date of the proposed sublease or assignment (in which case Landlord may elect to enter into a direct lease with the proposed sublessee or assignee or any other party, without incurring any liability to Tenant). If Landlord should fail to notify Tenant in writing of such election within said period, Landlord shall be deemed to have waived options (2) and (3) above, but written approval by Landlord of the proposed assignee or subtenant shall still be required. Without limiting the other instances in which it may be reasonable for Landlord to withhold Landlord’s consent to an assignment or subletting, Landlord and Tenant acknowledge that it shall be reasonable for Landlord to withhold Landlord’s consent in the following instances: (i) the use of the Premises by such proposed assignee or subtenant would not be a Permitted Use, would violate an existing lease at the Project or would increase the parking density of the Project; (ii) the proposed assignee or subtenant is not of sound financial condition; (iii) the proposed assignee or subtenant is a governmental agency; (iv) the proposed assignee or subtenant does not have a good reputation as a tenant of real property; (v) the assignment or subletting would entail any alterations which would lessen the value of the leasehold improvements in the Premises; or (vi) if Tenant is then in default of any obligation of Tenant under this Lease, or Tenant has defaulted under this Lease on three (3) or more occasions during any twelve (12)-month period preceding the date that Tenant shall request consent. Failure by Landlord to approve a proposed assignee or subtenant shall not cause a termination of this Lease. Under no circumstances may Tenant mortgage or otherwise encumber its interest in the Lease or in the Premises.</w:t>
      </w:r>
    </w:p>
    <w:p>
      <w:pPr>
        <w:spacing w:after="0" w:line="166" w:lineRule="exact"/>
        <w:rPr>
          <w:rFonts w:ascii="Arial" w:cs="Arial" w:eastAsia="Arial" w:hAnsi="Arial"/>
          <w:sz w:val="16"/>
          <w:szCs w:val="16"/>
          <w:color w:val="auto"/>
        </w:rPr>
      </w:pPr>
    </w:p>
    <w:p>
      <w:pPr>
        <w:jc w:val="both"/>
        <w:ind w:right="20" w:firstLine="1304"/>
        <w:spacing w:after="0" w:line="261" w:lineRule="auto"/>
        <w:tabs>
          <w:tab w:leader="none" w:pos="1551"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Bonus Rent</w:t>
      </w:r>
      <w:r>
        <w:rPr>
          <w:rFonts w:ascii="Arial" w:cs="Arial" w:eastAsia="Arial" w:hAnsi="Arial"/>
          <w:sz w:val="18"/>
          <w:szCs w:val="18"/>
          <w:color w:val="auto"/>
        </w:rPr>
        <w:t>. Any rent or other consideration realized by Tenant under any such sublease or assignment in excess of the Rent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after amortization of a reasonable brokerage commission, shall be divided and paid fifty percent (50%) to Tenant and fifty percent (50%) to Landlord. In any subletting or assignment undertaken by Tenant, Tenant shall diligently seek to obtain the maximum rental amount available in the marketplace for such subletting or assignment.</w:t>
      </w:r>
    </w:p>
    <w:p>
      <w:pPr>
        <w:spacing w:after="0" w:line="179" w:lineRule="exact"/>
        <w:rPr>
          <w:rFonts w:ascii="Arial" w:cs="Arial" w:eastAsia="Arial" w:hAnsi="Arial"/>
          <w:sz w:val="18"/>
          <w:szCs w:val="18"/>
          <w:color w:val="auto"/>
        </w:rPr>
      </w:pPr>
    </w:p>
    <w:p>
      <w:pPr>
        <w:jc w:val="both"/>
        <w:ind w:firstLine="1304"/>
        <w:spacing w:after="0" w:line="256" w:lineRule="auto"/>
        <w:tabs>
          <w:tab w:leader="none" w:pos="1540" w:val="left"/>
        </w:tabs>
        <w:numPr>
          <w:ilvl w:val="1"/>
          <w:numId w:val="162"/>
        </w:numPr>
        <w:rPr>
          <w:rFonts w:ascii="Arial" w:cs="Arial" w:eastAsia="Arial" w:hAnsi="Arial"/>
          <w:sz w:val="18"/>
          <w:szCs w:val="18"/>
          <w:color w:val="auto"/>
        </w:rPr>
      </w:pPr>
      <w:r>
        <w:rPr>
          <w:rFonts w:ascii="Arial" w:cs="Arial" w:eastAsia="Arial" w:hAnsi="Arial"/>
          <w:sz w:val="18"/>
          <w:szCs w:val="18"/>
          <w:b w:val="1"/>
          <w:bCs w:val="1"/>
          <w:color w:val="auto"/>
        </w:rPr>
        <w:t>Corporation</w:t>
      </w:r>
      <w:r>
        <w:rPr>
          <w:rFonts w:ascii="Arial" w:cs="Arial" w:eastAsia="Arial" w:hAnsi="Arial"/>
          <w:sz w:val="18"/>
          <w:szCs w:val="18"/>
          <w:color w:val="auto"/>
        </w:rPr>
        <w:t>. If Tenant is a corporation, a transfer of corporate shares by sale, assignment, bequest, inheritance, operation of law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disposition (including such a transfer to or by a receiver or trustee in federal or state bankruptcy, insolvency or other proceedings) so as to result in a change in the present Control of such corporation or any of its parent corporations by the person or persons owning a majority of said corporate shares, shall constitute an assignment for all purposes of this Lease. For purposes of this Paragraph 21, “</w:t>
      </w:r>
      <w:r>
        <w:rPr>
          <w:rFonts w:ascii="Arial" w:cs="Arial" w:eastAsia="Arial" w:hAnsi="Arial"/>
          <w:sz w:val="18"/>
          <w:szCs w:val="18"/>
          <w:b w:val="1"/>
          <w:bCs w:val="1"/>
          <w:color w:val="auto"/>
        </w:rPr>
        <w:t>Control</w:t>
      </w:r>
      <w:r>
        <w:rPr>
          <w:rFonts w:ascii="Arial" w:cs="Arial" w:eastAsia="Arial" w:hAnsi="Arial"/>
          <w:sz w:val="18"/>
          <w:szCs w:val="18"/>
          <w:color w:val="auto"/>
        </w:rPr>
        <w:t>” means the direct or indirect ownership of more than fifty percent (50%) of the voting securities or other interest of an entity, or possession of the right to vote more than fifty percent (50%) of the voting interest in the ordinary direction of the entity’s affairs.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8" w:name="page199"/>
    <w:bookmarkEnd w:id="198"/>
    <w:p>
      <w:pPr>
        <w:jc w:val="both"/>
        <w:ind w:firstLine="1304"/>
        <w:spacing w:after="0" w:line="261" w:lineRule="auto"/>
        <w:tabs>
          <w:tab w:leader="none" w:pos="1551"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Partnership</w:t>
      </w:r>
      <w:r>
        <w:rPr>
          <w:rFonts w:ascii="Arial" w:cs="Arial" w:eastAsia="Arial" w:hAnsi="Arial"/>
          <w:sz w:val="18"/>
          <w:szCs w:val="18"/>
          <w:color w:val="auto"/>
        </w:rPr>
        <w:t>. If Tenant is a partnership, limited liability company, joint venture or other incorporated business form, a transfer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of persons, firms or entities responsible for managerial control of Tenant by sale, assignment, bequest, inheritance, operation of law or other disposition, so as to result in a change in the present Control of said entity and/or a change in the identity of the person responsible for the general credit obligations of said entity, shall constitute an assignment for all purposes of this Lease.</w:t>
      </w:r>
    </w:p>
    <w:p>
      <w:pPr>
        <w:spacing w:after="0" w:line="179" w:lineRule="exact"/>
        <w:rPr>
          <w:rFonts w:ascii="Arial" w:cs="Arial" w:eastAsia="Arial" w:hAnsi="Arial"/>
          <w:sz w:val="18"/>
          <w:szCs w:val="18"/>
          <w:color w:val="auto"/>
        </w:rPr>
      </w:pPr>
    </w:p>
    <w:p>
      <w:pPr>
        <w:jc w:val="both"/>
        <w:ind w:firstLine="1304"/>
        <w:spacing w:after="0" w:line="294" w:lineRule="auto"/>
        <w:tabs>
          <w:tab w:leader="none" w:pos="1540" w:val="left"/>
        </w:tabs>
        <w:numPr>
          <w:ilvl w:val="1"/>
          <w:numId w:val="163"/>
        </w:numPr>
        <w:rPr>
          <w:rFonts w:ascii="Arial" w:cs="Arial" w:eastAsia="Arial" w:hAnsi="Arial"/>
          <w:sz w:val="16"/>
          <w:szCs w:val="16"/>
          <w:color w:val="auto"/>
        </w:rPr>
      </w:pPr>
      <w:r>
        <w:rPr>
          <w:rFonts w:ascii="Arial" w:cs="Arial" w:eastAsia="Arial" w:hAnsi="Arial"/>
          <w:sz w:val="16"/>
          <w:szCs w:val="16"/>
          <w:b w:val="1"/>
          <w:bCs w:val="1"/>
          <w:color w:val="auto"/>
        </w:rPr>
        <w:t>Liability</w:t>
      </w:r>
      <w:r>
        <w:rPr>
          <w:rFonts w:ascii="Arial" w:cs="Arial" w:eastAsia="Arial" w:hAnsi="Arial"/>
          <w:sz w:val="16"/>
          <w:szCs w:val="16"/>
          <w:color w:val="auto"/>
        </w:rPr>
        <w:t>. No assignment or subletting by Tenant shall relieve Tenant of any obligation under this Lease or change Tenant’s primary</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liability to pay the Rent and perform all other obligations of Tenant under this Lease. Landlord’s acceptance of Rent from any other party shall not be construed as a waiver of any provision of this Paragraph 21. Consent to one transfer is not a consent to any subsequent transfer. If Tenant’s assignee or subtenant defaults under this Lease, Landlord may proceed directly against Tenant without pursuing remedies against the transferee. Landlord may consent to subsequent assignments or modifications of this Lease by Tenant’s transferee, without notifying Tenant or obtaining its consent, and such actions shall not relieve Tenant of its liabilities herein set forth. Any assignment or subletting which conflicts with the provisions hereof shall be void.</w:t>
      </w:r>
    </w:p>
    <w:p>
      <w:pPr>
        <w:spacing w:after="0" w:line="159" w:lineRule="exact"/>
        <w:rPr>
          <w:rFonts w:ascii="Arial" w:cs="Arial" w:eastAsia="Arial" w:hAnsi="Arial"/>
          <w:sz w:val="16"/>
          <w:szCs w:val="16"/>
          <w:color w:val="auto"/>
        </w:rPr>
      </w:pPr>
    </w:p>
    <w:p>
      <w:pPr>
        <w:jc w:val="both"/>
        <w:ind w:firstLine="1304"/>
        <w:spacing w:after="0" w:line="266" w:lineRule="auto"/>
        <w:tabs>
          <w:tab w:leader="none" w:pos="1521" w:val="left"/>
        </w:tabs>
        <w:numPr>
          <w:ilvl w:val="1"/>
          <w:numId w:val="163"/>
        </w:numPr>
        <w:rPr>
          <w:rFonts w:ascii="Arial" w:cs="Arial" w:eastAsia="Arial" w:hAnsi="Arial"/>
          <w:sz w:val="18"/>
          <w:szCs w:val="18"/>
          <w:color w:val="auto"/>
        </w:rPr>
      </w:pPr>
      <w:r>
        <w:rPr>
          <w:rFonts w:ascii="Arial" w:cs="Arial" w:eastAsia="Arial" w:hAnsi="Arial"/>
          <w:sz w:val="18"/>
          <w:szCs w:val="18"/>
          <w:b w:val="1"/>
          <w:bCs w:val="1"/>
          <w:color w:val="auto"/>
        </w:rPr>
        <w:t>No Merger</w:t>
      </w:r>
      <w:r>
        <w:rPr>
          <w:rFonts w:ascii="Arial" w:cs="Arial" w:eastAsia="Arial" w:hAnsi="Arial"/>
          <w:sz w:val="18"/>
          <w:szCs w:val="18"/>
          <w:color w:val="auto"/>
        </w:rPr>
        <w:t>. No merger shall result from Tenant’s sublease of the Premises under this Paragraph 21, Tenant’s surrender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or the termination of this Lease in any other manner. In any such event, Landlord may terminate any or all subtenancies or succeed to the interest of Tenant as sublandlord thereunder.</w:t>
      </w:r>
    </w:p>
    <w:p>
      <w:pPr>
        <w:spacing w:after="0" w:line="175" w:lineRule="exact"/>
        <w:rPr>
          <w:rFonts w:ascii="Arial" w:cs="Arial" w:eastAsia="Arial" w:hAnsi="Arial"/>
          <w:sz w:val="18"/>
          <w:szCs w:val="18"/>
          <w:color w:val="auto"/>
        </w:rPr>
      </w:pPr>
    </w:p>
    <w:p>
      <w:pPr>
        <w:ind w:left="1300" w:hanging="644"/>
        <w:spacing w:after="0"/>
        <w:tabs>
          <w:tab w:leader="none" w:pos="130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CONDEMNATION</w:t>
      </w:r>
    </w:p>
    <w:p>
      <w:pPr>
        <w:spacing w:after="0" w:line="225" w:lineRule="exact"/>
        <w:rPr>
          <w:rFonts w:ascii="Arial" w:cs="Arial" w:eastAsia="Arial" w:hAnsi="Arial"/>
          <w:sz w:val="18"/>
          <w:szCs w:val="18"/>
          <w:b w:val="1"/>
          <w:bCs w:val="1"/>
          <w:color w:val="auto"/>
        </w:rPr>
      </w:pPr>
    </w:p>
    <w:p>
      <w:pPr>
        <w:jc w:val="both"/>
        <w:ind w:firstLine="1304"/>
        <w:spacing w:after="0" w:line="261" w:lineRule="auto"/>
        <w:tabs>
          <w:tab w:leader="none" w:pos="1540"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Condemnation Resulting in Termination</w:t>
      </w:r>
      <w:r>
        <w:rPr>
          <w:rFonts w:ascii="Arial" w:cs="Arial" w:eastAsia="Arial" w:hAnsi="Arial"/>
          <w:sz w:val="18"/>
          <w:szCs w:val="18"/>
          <w:color w:val="auto"/>
        </w:rPr>
        <w:t>. If the whole or any substantial part of the Project should be taken or condemned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public use under governmental law, ordinance or regulation, or by right of eminent domain, or by private purchase in lieu thereof, and the taking would prevent or materially interfere with the Permitted Use of the Premises, this Lease shall terminate and the Rent shall be abated during the unexpired portion of this Lease, effective when the physical taking of said Premises shall have occurred.</w:t>
      </w:r>
    </w:p>
    <w:p>
      <w:pPr>
        <w:spacing w:after="0" w:line="179" w:lineRule="exact"/>
        <w:rPr>
          <w:rFonts w:ascii="Arial" w:cs="Arial" w:eastAsia="Arial" w:hAnsi="Arial"/>
          <w:sz w:val="18"/>
          <w:szCs w:val="18"/>
          <w:color w:val="auto"/>
        </w:rPr>
      </w:pPr>
    </w:p>
    <w:p>
      <w:pPr>
        <w:jc w:val="both"/>
        <w:ind w:firstLine="1304"/>
        <w:spacing w:after="0" w:line="255" w:lineRule="auto"/>
        <w:tabs>
          <w:tab w:leader="none" w:pos="1564" w:val="left"/>
        </w:tabs>
        <w:numPr>
          <w:ilvl w:val="1"/>
          <w:numId w:val="164"/>
        </w:numPr>
        <w:rPr>
          <w:rFonts w:ascii="Arial" w:cs="Arial" w:eastAsia="Arial" w:hAnsi="Arial"/>
          <w:sz w:val="18"/>
          <w:szCs w:val="18"/>
          <w:color w:val="auto"/>
        </w:rPr>
      </w:pPr>
      <w:r>
        <w:rPr>
          <w:rFonts w:ascii="Arial" w:cs="Arial" w:eastAsia="Arial" w:hAnsi="Arial"/>
          <w:sz w:val="18"/>
          <w:szCs w:val="18"/>
          <w:b w:val="1"/>
          <w:bCs w:val="1"/>
          <w:color w:val="auto"/>
        </w:rPr>
        <w:t>Condemnation Not Resulting in Termination</w:t>
      </w:r>
      <w:r>
        <w:rPr>
          <w:rFonts w:ascii="Arial" w:cs="Arial" w:eastAsia="Arial" w:hAnsi="Arial"/>
          <w:sz w:val="18"/>
          <w:szCs w:val="18"/>
          <w:color w:val="auto"/>
        </w:rPr>
        <w:t>. If a portion of the Project should be taken or condemned for any public use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any governmental law, ordinance, or regulation, or by right of eminent domain, or by private purchase in lieu thereof, and this Lease is not terminated as provided in Paragraph 22(a) above, this Lease shall continue in full force and effect, provided that (i) Landlord shall proceed with reasonable diligence to restore the remainder of the Project to the extent feasible and to ensure that the Premises or remainder thereof is restored to a tenantable condition (provided that Landlord shall have no obligation to restore any Tenant Alterations or any of Tenant’s Property) and (ii) the Rent payable hereunder during the unexpired portion of the Lease shall be reduced, beginning on the date when the physical taking shall have occurred, to such amount as may be fair and reasonable under all of the circumstances.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9" w:name="page200"/>
    <w:bookmarkEnd w:id="199"/>
    <w:p>
      <w:pPr>
        <w:jc w:val="both"/>
        <w:ind w:firstLine="1304"/>
        <w:spacing w:after="0" w:line="261" w:lineRule="auto"/>
        <w:tabs>
          <w:tab w:leader="none" w:pos="1540" w:val="left"/>
        </w:tabs>
        <w:numPr>
          <w:ilvl w:val="1"/>
          <w:numId w:val="165"/>
        </w:numPr>
        <w:rPr>
          <w:rFonts w:ascii="Arial" w:cs="Arial" w:eastAsia="Arial" w:hAnsi="Arial"/>
          <w:sz w:val="18"/>
          <w:szCs w:val="18"/>
          <w:color w:val="auto"/>
        </w:rPr>
      </w:pPr>
      <w:r>
        <w:rPr>
          <w:rFonts w:ascii="Arial" w:cs="Arial" w:eastAsia="Arial" w:hAnsi="Arial"/>
          <w:sz w:val="18"/>
          <w:szCs w:val="18"/>
          <w:b w:val="1"/>
          <w:bCs w:val="1"/>
          <w:color w:val="auto"/>
        </w:rPr>
        <w:t>Award</w:t>
      </w:r>
      <w:r>
        <w:rPr>
          <w:rFonts w:ascii="Arial" w:cs="Arial" w:eastAsia="Arial" w:hAnsi="Arial"/>
          <w:sz w:val="18"/>
          <w:szCs w:val="18"/>
          <w:color w:val="auto"/>
        </w:rPr>
        <w:t>. Landlord shall be entitled to any and all payment, income, rent, award, or any interest therein whatsoever which may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or made in connection with such taking or conveyance and Tenant shall have no claim against Landlord or otherwise for the value of any unexpired portion of this Lease. Notwithstanding the foregoing, any compensation specifically awarded Tenant for loss of business, Tenant’s personal property, moving costs or loss of goodwill, shall be and remain the property of Tenant.</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CASUALTY DAMAGE</w:t>
      </w:r>
    </w:p>
    <w:p>
      <w:pPr>
        <w:spacing w:after="0" w:line="225" w:lineRule="exact"/>
        <w:rPr>
          <w:rFonts w:ascii="Arial" w:cs="Arial" w:eastAsia="Arial" w:hAnsi="Arial"/>
          <w:sz w:val="18"/>
          <w:szCs w:val="18"/>
          <w:b w:val="1"/>
          <w:bCs w:val="1"/>
          <w:color w:val="auto"/>
        </w:rPr>
      </w:pPr>
    </w:p>
    <w:p>
      <w:pPr>
        <w:jc w:val="both"/>
        <w:ind w:firstLine="1304"/>
        <w:spacing w:after="0" w:line="281" w:lineRule="auto"/>
        <w:tabs>
          <w:tab w:leader="none" w:pos="1554" w:val="left"/>
        </w:tabs>
        <w:numPr>
          <w:ilvl w:val="1"/>
          <w:numId w:val="166"/>
        </w:numPr>
        <w:rPr>
          <w:rFonts w:ascii="Arial" w:cs="Arial" w:eastAsia="Arial" w:hAnsi="Arial"/>
          <w:sz w:val="17"/>
          <w:szCs w:val="17"/>
          <w:color w:val="auto"/>
        </w:rPr>
      </w:pPr>
      <w:r>
        <w:rPr>
          <w:rFonts w:ascii="Arial" w:cs="Arial" w:eastAsia="Arial" w:hAnsi="Arial"/>
          <w:sz w:val="17"/>
          <w:szCs w:val="17"/>
          <w:b w:val="1"/>
          <w:bCs w:val="1"/>
          <w:color w:val="auto"/>
        </w:rPr>
        <w:t>Casualty; Notice to Tenant</w:t>
      </w:r>
      <w:r>
        <w:rPr>
          <w:rFonts w:ascii="Arial" w:cs="Arial" w:eastAsia="Arial" w:hAnsi="Arial"/>
          <w:sz w:val="17"/>
          <w:szCs w:val="17"/>
          <w:color w:val="auto"/>
        </w:rPr>
        <w:t>. If the Premises or the Building are damaged by fire or other insured casualty (each, a “</w:t>
      </w:r>
      <w:r>
        <w:rPr>
          <w:rFonts w:ascii="Arial" w:cs="Arial" w:eastAsia="Arial" w:hAnsi="Arial"/>
          <w:sz w:val="17"/>
          <w:szCs w:val="17"/>
          <w:b w:val="1"/>
          <w:bCs w:val="1"/>
          <w:color w:val="auto"/>
        </w:rPr>
        <w:t>Casualty</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immediately notify Landlord. Within sixty (60) days following the Casualty, Landlord shall give Tenant written notice of the time which will be needed to repair such damage, as determined by Landlord in its reasonable discretion, and the election (if any) which Landlord has made according to this Paragraph 23. The date of delivery of Landlord’s notice will be the “</w:t>
      </w:r>
      <w:r>
        <w:rPr>
          <w:rFonts w:ascii="Arial" w:cs="Arial" w:eastAsia="Arial" w:hAnsi="Arial"/>
          <w:sz w:val="17"/>
          <w:szCs w:val="17"/>
          <w:b w:val="1"/>
          <w:bCs w:val="1"/>
          <w:color w:val="auto"/>
        </w:rPr>
        <w:t>Notice Date</w:t>
      </w:r>
      <w:r>
        <w:rPr>
          <w:rFonts w:ascii="Arial" w:cs="Arial" w:eastAsia="Arial" w:hAnsi="Arial"/>
          <w:sz w:val="17"/>
          <w:szCs w:val="17"/>
          <w:color w:val="auto"/>
        </w:rPr>
        <w:t>” for purposes of this Paragraph 23.</w:t>
      </w:r>
    </w:p>
    <w:p>
      <w:pPr>
        <w:spacing w:after="0" w:line="164" w:lineRule="exact"/>
        <w:rPr>
          <w:rFonts w:ascii="Arial" w:cs="Arial" w:eastAsia="Arial" w:hAnsi="Arial"/>
          <w:sz w:val="17"/>
          <w:szCs w:val="17"/>
          <w:color w:val="auto"/>
        </w:rPr>
      </w:pPr>
    </w:p>
    <w:p>
      <w:pPr>
        <w:jc w:val="both"/>
        <w:ind w:firstLine="1304"/>
        <w:spacing w:after="0" w:line="277" w:lineRule="auto"/>
        <w:tabs>
          <w:tab w:leader="none" w:pos="1564" w:val="left"/>
        </w:tabs>
        <w:numPr>
          <w:ilvl w:val="1"/>
          <w:numId w:val="166"/>
        </w:numPr>
        <w:rPr>
          <w:rFonts w:ascii="Arial" w:cs="Arial" w:eastAsia="Arial" w:hAnsi="Arial"/>
          <w:sz w:val="17"/>
          <w:szCs w:val="17"/>
          <w:color w:val="auto"/>
        </w:rPr>
      </w:pPr>
      <w:r>
        <w:rPr>
          <w:rFonts w:ascii="Arial" w:cs="Arial" w:eastAsia="Arial" w:hAnsi="Arial"/>
          <w:sz w:val="17"/>
          <w:szCs w:val="17"/>
          <w:b w:val="1"/>
          <w:bCs w:val="1"/>
          <w:color w:val="auto"/>
        </w:rPr>
        <w:t>Repair Period</w:t>
      </w:r>
      <w:r>
        <w:rPr>
          <w:rFonts w:ascii="Arial" w:cs="Arial" w:eastAsia="Arial" w:hAnsi="Arial"/>
          <w:sz w:val="17"/>
          <w:szCs w:val="17"/>
          <w:color w:val="auto"/>
        </w:rPr>
        <w:t>. If the Premises or the Building are damaged by Casualty to an extent which may be repaired within two hundred</w:t>
      </w:r>
      <w:r>
        <w:rPr>
          <w:rFonts w:ascii="Arial" w:cs="Arial" w:eastAsia="Arial" w:hAnsi="Arial"/>
          <w:sz w:val="17"/>
          <w:szCs w:val="17"/>
          <w:b w:val="1"/>
          <w:bCs w:val="1"/>
          <w:color w:val="auto"/>
        </w:rPr>
        <w:t xml:space="preserve"> </w:t>
      </w:r>
      <w:r>
        <w:rPr>
          <w:rFonts w:ascii="Arial" w:cs="Arial" w:eastAsia="Arial" w:hAnsi="Arial"/>
          <w:sz w:val="17"/>
          <w:szCs w:val="17"/>
          <w:color w:val="auto"/>
        </w:rPr>
        <w:t>seventy (270) days after the Notice Date, as reasonably determined by Landlord, Landlord shall promptly begin to repair the damage after the Notice Date, to the extent set forth in Paragraph 23(f) below, and Landlord will diligently pursue the completion of such repair. In that event, this Lease will continue in full force and effect except that Rent shall be abated on a pro rata basis from the date of the Casualty until the date of the completion of such repairs (the “</w:t>
      </w:r>
      <w:r>
        <w:rPr>
          <w:rFonts w:ascii="Arial" w:cs="Arial" w:eastAsia="Arial" w:hAnsi="Arial"/>
          <w:sz w:val="17"/>
          <w:szCs w:val="17"/>
          <w:b w:val="1"/>
          <w:bCs w:val="1"/>
          <w:color w:val="auto"/>
        </w:rPr>
        <w:t>Repair Period</w:t>
      </w:r>
      <w:r>
        <w:rPr>
          <w:rFonts w:ascii="Arial" w:cs="Arial" w:eastAsia="Arial" w:hAnsi="Arial"/>
          <w:sz w:val="17"/>
          <w:szCs w:val="17"/>
          <w:color w:val="auto"/>
        </w:rPr>
        <w:t>”) based on the proportion of the rentable area of the Premises Tenant is unable to use during the Repair Period.</w:t>
      </w:r>
    </w:p>
    <w:p>
      <w:pPr>
        <w:spacing w:after="0" w:line="167" w:lineRule="exact"/>
        <w:rPr>
          <w:rFonts w:ascii="Arial" w:cs="Arial" w:eastAsia="Arial" w:hAnsi="Arial"/>
          <w:sz w:val="17"/>
          <w:szCs w:val="17"/>
          <w:color w:val="auto"/>
        </w:rPr>
      </w:pPr>
    </w:p>
    <w:p>
      <w:pPr>
        <w:jc w:val="both"/>
        <w:ind w:firstLine="1304"/>
        <w:spacing w:after="0" w:line="293" w:lineRule="auto"/>
        <w:tabs>
          <w:tab w:leader="none" w:pos="1554" w:val="left"/>
        </w:tabs>
        <w:numPr>
          <w:ilvl w:val="1"/>
          <w:numId w:val="166"/>
        </w:numPr>
        <w:rPr>
          <w:rFonts w:ascii="Arial" w:cs="Arial" w:eastAsia="Arial" w:hAnsi="Arial"/>
          <w:sz w:val="16"/>
          <w:szCs w:val="16"/>
          <w:color w:val="auto"/>
        </w:rPr>
      </w:pPr>
      <w:r>
        <w:rPr>
          <w:rFonts w:ascii="Arial" w:cs="Arial" w:eastAsia="Arial" w:hAnsi="Arial"/>
          <w:sz w:val="16"/>
          <w:szCs w:val="16"/>
          <w:b w:val="1"/>
          <w:bCs w:val="1"/>
          <w:color w:val="auto"/>
        </w:rPr>
        <w:t>Options in Event of Major Damage</w:t>
      </w:r>
      <w:r>
        <w:rPr>
          <w:rFonts w:ascii="Arial" w:cs="Arial" w:eastAsia="Arial" w:hAnsi="Arial"/>
          <w:sz w:val="16"/>
          <w:szCs w:val="16"/>
          <w:color w:val="auto"/>
        </w:rPr>
        <w:t>. If the Premises or the Building are damaged by Casualty to an extent that they may not be</w:t>
      </w:r>
      <w:r>
        <w:rPr>
          <w:rFonts w:ascii="Arial" w:cs="Arial" w:eastAsia="Arial" w:hAnsi="Arial"/>
          <w:sz w:val="16"/>
          <w:szCs w:val="16"/>
          <w:b w:val="1"/>
          <w:bCs w:val="1"/>
          <w:color w:val="auto"/>
        </w:rPr>
        <w:t xml:space="preserve"> </w:t>
      </w:r>
      <w:r>
        <w:rPr>
          <w:rFonts w:ascii="Arial" w:cs="Arial" w:eastAsia="Arial" w:hAnsi="Arial"/>
          <w:sz w:val="16"/>
          <w:szCs w:val="16"/>
          <w:color w:val="auto"/>
        </w:rPr>
        <w:t>repaired within two hundred seventy (270) days after the Notice Date, as reasonably determined by Landlord, then (1) Landlord may cancel this Lease as of</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the date of such Casualty by written notice given to Tenant on or before the sixtieth (60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Casualty or (2) Tenant may cancel this Lease as of the date of such Casualty by written notice given to Landlord within ten (10) days after Landlord’s delivery of its written notice that the repairs cannot be made within such two hundred seventy (270)-day period. If neither Landlord nor Tenant so elects to cancel this Lease, Landlord shall diligently proceed to repair the Building and Premises, to the extent set forth in Paragraph 23(f) below, and Rent shall be abated on a pro rata basis during the Repair Period based on the proportion of the rentable area of the Premises Tenant is unable to use during the Repair Period.</w:t>
      </w:r>
    </w:p>
    <w:p>
      <w:pPr>
        <w:spacing w:after="0" w:line="196" w:lineRule="exact"/>
        <w:rPr>
          <w:sz w:val="20"/>
          <w:szCs w:val="20"/>
          <w:color w:val="auto"/>
        </w:rPr>
      </w:pPr>
    </w:p>
    <w:p>
      <w:pPr>
        <w:jc w:val="both"/>
        <w:ind w:firstLine="1304"/>
        <w:spacing w:after="0" w:line="286" w:lineRule="auto"/>
        <w:tabs>
          <w:tab w:leader="none" w:pos="1564" w:val="left"/>
        </w:tabs>
        <w:numPr>
          <w:ilvl w:val="0"/>
          <w:numId w:val="167"/>
        </w:numPr>
        <w:rPr>
          <w:rFonts w:ascii="Arial" w:cs="Arial" w:eastAsia="Arial" w:hAnsi="Arial"/>
          <w:sz w:val="17"/>
          <w:szCs w:val="17"/>
          <w:color w:val="auto"/>
        </w:rPr>
      </w:pPr>
      <w:r>
        <w:rPr>
          <w:rFonts w:ascii="Arial" w:cs="Arial" w:eastAsia="Arial" w:hAnsi="Arial"/>
          <w:sz w:val="17"/>
          <w:szCs w:val="17"/>
          <w:b w:val="1"/>
          <w:bCs w:val="1"/>
          <w:color w:val="auto"/>
        </w:rPr>
        <w:t>Landlord’s Termination Rights</w:t>
      </w:r>
      <w:r>
        <w:rPr>
          <w:rFonts w:ascii="Arial" w:cs="Arial" w:eastAsia="Arial" w:hAnsi="Arial"/>
          <w:sz w:val="17"/>
          <w:szCs w:val="17"/>
          <w:color w:val="auto"/>
        </w:rPr>
        <w:t>. Notwithstanding the provisions of Paragraphs 23(a), (b) and (c), above, if the Premises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 are damaged by an uninsured casualty, or if the proceeds of insurance are insufficient to pay for the repair of any damage to the Premises or the Building, or if the Casualty occurs during the last six (6) months of the Term, Landlord shall have the option to repair such damage or cancel this Lease as of the date of the damage by written notice to Tenant given on or before the sixtieth (60</w:t>
      </w:r>
      <w:r>
        <w:rPr>
          <w:rFonts w:ascii="Arial" w:cs="Arial" w:eastAsia="Arial" w:hAnsi="Arial"/>
          <w:sz w:val="28"/>
          <w:szCs w:val="28"/>
          <w:color w:val="auto"/>
          <w:vertAlign w:val="superscript"/>
        </w:rPr>
        <w:t>th</w:t>
      </w:r>
      <w:r>
        <w:rPr>
          <w:rFonts w:ascii="Arial" w:cs="Arial" w:eastAsia="Arial" w:hAnsi="Arial"/>
          <w:sz w:val="17"/>
          <w:szCs w:val="17"/>
          <w:color w:val="auto"/>
        </w:rPr>
        <w:t>) day following the occurrence of the damage.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0" w:name="page201"/>
    <w:bookmarkEnd w:id="200"/>
    <w:p>
      <w:pPr>
        <w:jc w:val="both"/>
        <w:ind w:firstLine="1304"/>
        <w:spacing w:after="0" w:line="303" w:lineRule="auto"/>
        <w:tabs>
          <w:tab w:leader="none" w:pos="1540"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Tenant’s Ob1igations and Waiver</w:t>
      </w:r>
      <w:r>
        <w:rPr>
          <w:rFonts w:ascii="Arial" w:cs="Arial" w:eastAsia="Arial" w:hAnsi="Arial"/>
          <w:sz w:val="16"/>
          <w:szCs w:val="16"/>
          <w:color w:val="auto"/>
        </w:rPr>
        <w:t>. If any Casualty is the result of the willful conduct or negligence or failure to act of Tenant, its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contractors, employees, or invitees, there will be no abatement of Rent as otherwise provided for in this Paragraph 23. Tenant shall have no rights to terminate this Lease on account of any damage to the Premises, the Building, or the Project except as specifically set forth herein, Tenant hereby waiving any such right which may exist at law or in equity allowing Tenant to terminate this Lease in the event of the substantial destruction of leased premises.</w:t>
      </w:r>
    </w:p>
    <w:p>
      <w:pPr>
        <w:spacing w:after="0" w:line="150" w:lineRule="exact"/>
        <w:rPr>
          <w:rFonts w:ascii="Arial" w:cs="Arial" w:eastAsia="Arial" w:hAnsi="Arial"/>
          <w:sz w:val="16"/>
          <w:szCs w:val="16"/>
          <w:color w:val="auto"/>
        </w:rPr>
      </w:pPr>
    </w:p>
    <w:p>
      <w:pPr>
        <w:jc w:val="both"/>
        <w:ind w:firstLine="1304"/>
        <w:spacing w:after="0" w:line="261" w:lineRule="auto"/>
        <w:tabs>
          <w:tab w:leader="none" w:pos="1521" w:val="left"/>
        </w:tabs>
        <w:numPr>
          <w:ilvl w:val="1"/>
          <w:numId w:val="168"/>
        </w:numPr>
        <w:rPr>
          <w:rFonts w:ascii="Arial" w:cs="Arial" w:eastAsia="Arial" w:hAnsi="Arial"/>
          <w:sz w:val="18"/>
          <w:szCs w:val="18"/>
          <w:color w:val="auto"/>
        </w:rPr>
      </w:pPr>
      <w:r>
        <w:rPr>
          <w:rFonts w:ascii="Arial" w:cs="Arial" w:eastAsia="Arial" w:hAnsi="Arial"/>
          <w:sz w:val="18"/>
          <w:szCs w:val="18"/>
          <w:b w:val="1"/>
          <w:bCs w:val="1"/>
          <w:color w:val="auto"/>
        </w:rPr>
        <w:t>Limitations on Repair</w:t>
      </w:r>
      <w:r>
        <w:rPr>
          <w:rFonts w:ascii="Arial" w:cs="Arial" w:eastAsia="Arial" w:hAnsi="Arial"/>
          <w:sz w:val="18"/>
          <w:szCs w:val="18"/>
          <w:color w:val="auto"/>
        </w:rPr>
        <w:t>. Notwithstanding anything contained herein to the contrary, Landlord’s obligations for repair of damage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shall exclude Tenant’s Property and Tenant’s Alterations. Tenant shall be solely responsible for the repair, replacement and restoration of Tenant’s Property and Alterations and shall promptly commence such repair and diligently pursue the same to completion unless this Lease is terminated as provided in this Paragraph 23.</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HOLDING OVER</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Tenant shall vacate the Premises upon the expiration or sooner termination of this Lease. If Tenant shall retain possession of the Premises or any portion thereof without Landlord’s consent following the expiration or sooner termination of the Lease for any reason, then Tenant shall pay to Landlord for each day of such retention two hundred percent (200%) of the amount of the daily rental as of the last month prior to the date of expiration or termination. Tenant shall also indemnify, defend, protect and hold the Landlord Indemnitees harmless from any loss, liability or cost, including reasonable attorneys’ fees, resulting from delay by Tenant in surrendering the Premises, including, without limitation, any claims made by any succeeding tenant founded on such delay. Acceptance of Rent by Landlord following expiration or termination shall not constitute a renewal of this Lease, and nothing contained in this Paragraph 24 shall waive Landlord’s right of reentry or any other right. Unless Landlord consents in writing to Tenant’s holding over, Tenant shall be only a Tenant at sufferance, whether or not Landlord accepts any Rent from Tenant while Tenant is holding over without Landlord’s written consent. Additionally, in the event that upon termination of the Lease, Tenant has not fulfilled its obligation with respect to repairs and cleanup of the Premises or any other Tenant obligations as set forth in this Lease, then Landlord shall have the right to perform any such obligations as it deems necessary at Tenant’s sole cost and expense, and any time required by Landlord to complete such obligations shall be considered a period of holding over and the terms of this Paragraph 24 shall apply thereto.</w:t>
      </w:r>
    </w:p>
    <w:p>
      <w:pPr>
        <w:spacing w:after="0" w:line="175" w:lineRule="exact"/>
        <w:rPr>
          <w:sz w:val="20"/>
          <w:szCs w:val="20"/>
          <w:color w:val="auto"/>
        </w:rPr>
      </w:pPr>
    </w:p>
    <w:p>
      <w:pPr>
        <w:ind w:left="1300" w:hanging="644"/>
        <w:spacing w:after="0"/>
        <w:tabs>
          <w:tab w:leader="none" w:pos="130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DEFAULT</w:t>
      </w:r>
    </w:p>
    <w:p>
      <w:pPr>
        <w:spacing w:after="0" w:line="225" w:lineRule="exact"/>
        <w:rPr>
          <w:rFonts w:ascii="Arial" w:cs="Arial" w:eastAsia="Arial" w:hAnsi="Arial"/>
          <w:sz w:val="18"/>
          <w:szCs w:val="18"/>
          <w:b w:val="1"/>
          <w:bCs w:val="1"/>
          <w:color w:val="auto"/>
        </w:rPr>
      </w:pPr>
    </w:p>
    <w:p>
      <w:pPr>
        <w:ind w:left="1540" w:hanging="236"/>
        <w:spacing w:after="0"/>
        <w:tabs>
          <w:tab w:leader="none" w:pos="1540" w:val="left"/>
        </w:tabs>
        <w:numPr>
          <w:ilvl w:val="1"/>
          <w:numId w:val="170"/>
        </w:numPr>
        <w:rPr>
          <w:rFonts w:ascii="Arial" w:cs="Arial" w:eastAsia="Arial" w:hAnsi="Arial"/>
          <w:sz w:val="18"/>
          <w:szCs w:val="18"/>
          <w:color w:val="auto"/>
        </w:rPr>
      </w:pPr>
      <w:r>
        <w:rPr>
          <w:rFonts w:ascii="Arial" w:cs="Arial" w:eastAsia="Arial" w:hAnsi="Arial"/>
          <w:sz w:val="18"/>
          <w:szCs w:val="18"/>
          <w:b w:val="1"/>
          <w:bCs w:val="1"/>
          <w:color w:val="auto"/>
        </w:rPr>
        <w:t>Events of Default</w:t>
      </w:r>
      <w:r>
        <w:rPr>
          <w:rFonts w:ascii="Arial" w:cs="Arial" w:eastAsia="Arial" w:hAnsi="Arial"/>
          <w:sz w:val="18"/>
          <w:szCs w:val="18"/>
          <w:color w:val="auto"/>
        </w:rPr>
        <w:t>. The occurrence of any of the following shall constitute an event of default on the part of Tenant:</w:t>
      </w:r>
    </w:p>
    <w:p>
      <w:pPr>
        <w:spacing w:after="0" w:line="225" w:lineRule="exact"/>
        <w:rPr>
          <w:rFonts w:ascii="Arial" w:cs="Arial" w:eastAsia="Arial" w:hAnsi="Arial"/>
          <w:sz w:val="18"/>
          <w:szCs w:val="18"/>
          <w:color w:val="auto"/>
        </w:rPr>
      </w:pPr>
    </w:p>
    <w:p>
      <w:pPr>
        <w:ind w:left="2160" w:hanging="208"/>
        <w:spacing w:after="0"/>
        <w:tabs>
          <w:tab w:leader="none" w:pos="2160" w:val="left"/>
        </w:tabs>
        <w:numPr>
          <w:ilvl w:val="2"/>
          <w:numId w:val="170"/>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Abandonment of the Premises for a continuous period in excess of five (5) days.</w:t>
      </w:r>
    </w:p>
    <w:p>
      <w:pPr>
        <w:spacing w:after="0" w:line="225" w:lineRule="exact"/>
        <w:rPr>
          <w:rFonts w:ascii="Arial" w:cs="Arial" w:eastAsia="Arial" w:hAnsi="Arial"/>
          <w:sz w:val="18"/>
          <w:szCs w:val="18"/>
          <w:color w:val="auto"/>
        </w:rPr>
      </w:pPr>
    </w:p>
    <w:p>
      <w:pPr>
        <w:ind w:left="2220" w:hanging="268"/>
        <w:spacing w:after="0"/>
        <w:tabs>
          <w:tab w:leader="none" w:pos="2220" w:val="left"/>
        </w:tabs>
        <w:numPr>
          <w:ilvl w:val="2"/>
          <w:numId w:val="170"/>
        </w:numPr>
        <w:rPr>
          <w:rFonts w:ascii="Arial" w:cs="Arial" w:eastAsia="Arial" w:hAnsi="Arial"/>
          <w:sz w:val="16"/>
          <w:szCs w:val="16"/>
          <w:color w:val="auto"/>
        </w:rPr>
      </w:pPr>
      <w:r>
        <w:rPr>
          <w:rFonts w:ascii="Arial" w:cs="Arial" w:eastAsia="Arial" w:hAnsi="Arial"/>
          <w:sz w:val="16"/>
          <w:szCs w:val="16"/>
          <w:b w:val="1"/>
          <w:bCs w:val="1"/>
          <w:color w:val="auto"/>
        </w:rPr>
        <w:t>Nonpayment of Rent</w:t>
      </w:r>
      <w:r>
        <w:rPr>
          <w:rFonts w:ascii="Arial" w:cs="Arial" w:eastAsia="Arial" w:hAnsi="Arial"/>
          <w:sz w:val="16"/>
          <w:szCs w:val="16"/>
          <w:color w:val="auto"/>
        </w:rPr>
        <w:t>. Failure to pay any installment of Rent or any other amount due and payable hereunder upon the date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when said payment is due.</w:t>
      </w:r>
    </w:p>
    <w:p>
      <w:pPr>
        <w:spacing w:after="0" w:line="206" w:lineRule="exact"/>
        <w:rPr>
          <w:rFonts w:ascii="Arial" w:cs="Arial" w:eastAsia="Arial" w:hAnsi="Arial"/>
          <w:sz w:val="16"/>
          <w:szCs w:val="16"/>
          <w:color w:val="auto"/>
        </w:rPr>
      </w:pPr>
    </w:p>
    <w:p>
      <w:pPr>
        <w:jc w:val="both"/>
        <w:ind w:firstLine="1952"/>
        <w:spacing w:after="0" w:line="266" w:lineRule="auto"/>
        <w:tabs>
          <w:tab w:leader="none" w:pos="2272" w:val="left"/>
        </w:tabs>
        <w:numPr>
          <w:ilvl w:val="2"/>
          <w:numId w:val="170"/>
        </w:numPr>
        <w:rPr>
          <w:rFonts w:ascii="Arial" w:cs="Arial" w:eastAsia="Arial" w:hAnsi="Arial"/>
          <w:sz w:val="18"/>
          <w:szCs w:val="18"/>
          <w:color w:val="auto"/>
        </w:rPr>
      </w:pPr>
      <w:r>
        <w:rPr>
          <w:rFonts w:ascii="Arial" w:cs="Arial" w:eastAsia="Arial" w:hAnsi="Arial"/>
          <w:sz w:val="18"/>
          <w:szCs w:val="18"/>
          <w:b w:val="1"/>
          <w:bCs w:val="1"/>
          <w:color w:val="auto"/>
        </w:rPr>
        <w:t>Mechanics’ Lien</w:t>
      </w:r>
      <w:r>
        <w:rPr>
          <w:rFonts w:ascii="Arial" w:cs="Arial" w:eastAsia="Arial" w:hAnsi="Arial"/>
          <w:sz w:val="18"/>
          <w:szCs w:val="18"/>
          <w:color w:val="auto"/>
        </w:rPr>
        <w:t>. Without limiting Tenant’s obligation to comply fully with the Required Mechanics Lien Protections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applicable instance, failure to release of record any mechanics’ lien filed against the Premises or the Project within ten (10) days following imposition of such lien.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1" w:name="page202"/>
    <w:bookmarkEnd w:id="201"/>
    <w:p>
      <w:pPr>
        <w:jc w:val="both"/>
        <w:ind w:firstLine="1952"/>
        <w:spacing w:after="0" w:line="277" w:lineRule="auto"/>
        <w:tabs>
          <w:tab w:leader="none" w:pos="2262" w:val="left"/>
        </w:tabs>
        <w:numPr>
          <w:ilvl w:val="1"/>
          <w:numId w:val="171"/>
        </w:numPr>
        <w:rPr>
          <w:rFonts w:ascii="Arial" w:cs="Arial" w:eastAsia="Arial" w:hAnsi="Arial"/>
          <w:sz w:val="17"/>
          <w:szCs w:val="17"/>
          <w:color w:val="auto"/>
        </w:rPr>
      </w:pPr>
      <w:r>
        <w:rPr>
          <w:rFonts w:ascii="Arial" w:cs="Arial" w:eastAsia="Arial" w:hAnsi="Arial"/>
          <w:sz w:val="17"/>
          <w:szCs w:val="17"/>
          <w:b w:val="1"/>
          <w:bCs w:val="1"/>
          <w:color w:val="auto"/>
        </w:rPr>
        <w:t>Other Obligations</w:t>
      </w:r>
      <w:r>
        <w:rPr>
          <w:rFonts w:ascii="Arial" w:cs="Arial" w:eastAsia="Arial" w:hAnsi="Arial"/>
          <w:sz w:val="17"/>
          <w:szCs w:val="17"/>
          <w:color w:val="auto"/>
        </w:rPr>
        <w:t>. Failure to perform any obligation, agreement or covenant under this Lease other than those matters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in clauses (i), (ii) and (iii) of this Paragraph 25(a), such failure continuing for fifteen (15) days after written notice of such failure; provided, however, that if more than fifteen (15) days are reasonably required to complete such performance, Tenant shall not be in default if Tenant commences such performance within the fifteen (15)-day period and thereafter diligently pursues its completion. The notice required by this clause (iv) is intended to satisfy any and all notice requirements imposed by law on Landlord and is not in addition to any such requirement.</w:t>
      </w:r>
    </w:p>
    <w:p>
      <w:pPr>
        <w:spacing w:after="0" w:line="167" w:lineRule="exact"/>
        <w:rPr>
          <w:rFonts w:ascii="Arial" w:cs="Arial" w:eastAsia="Arial" w:hAnsi="Arial"/>
          <w:sz w:val="17"/>
          <w:szCs w:val="17"/>
          <w:color w:val="auto"/>
        </w:rPr>
      </w:pPr>
    </w:p>
    <w:p>
      <w:pPr>
        <w:ind w:left="2200" w:hanging="248"/>
        <w:spacing w:after="0"/>
        <w:tabs>
          <w:tab w:leader="none" w:pos="2200"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General Assignment</w:t>
      </w:r>
      <w:r>
        <w:rPr>
          <w:rFonts w:ascii="Arial" w:cs="Arial" w:eastAsia="Arial" w:hAnsi="Arial"/>
          <w:sz w:val="18"/>
          <w:szCs w:val="18"/>
          <w:color w:val="auto"/>
        </w:rPr>
        <w:t>. A general assignment by Tenant for the benefit of creditors.</w:t>
      </w:r>
    </w:p>
    <w:p>
      <w:pPr>
        <w:spacing w:after="0" w:line="225" w:lineRule="exact"/>
        <w:rPr>
          <w:rFonts w:ascii="Arial" w:cs="Arial" w:eastAsia="Arial" w:hAnsi="Arial"/>
          <w:sz w:val="18"/>
          <w:szCs w:val="18"/>
          <w:color w:val="auto"/>
        </w:rPr>
      </w:pPr>
    </w:p>
    <w:p>
      <w:pPr>
        <w:jc w:val="both"/>
        <w:ind w:firstLine="1952"/>
        <w:spacing w:after="0" w:line="256" w:lineRule="auto"/>
        <w:tabs>
          <w:tab w:leader="none" w:pos="2276"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Bankruptcy</w:t>
      </w:r>
      <w:r>
        <w:rPr>
          <w:rFonts w:ascii="Arial" w:cs="Arial" w:eastAsia="Arial" w:hAnsi="Arial"/>
          <w:sz w:val="18"/>
          <w:szCs w:val="18"/>
          <w:color w:val="auto"/>
        </w:rPr>
        <w:t>. The filing of any voluntary petition in bankruptcy by Tenant, or the filing of an involuntary petition by</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creditors, which involuntary petition remains undischarged for a period of thirty (30) days. In the event that under applicable law the trustee in bankruptcy or Tenant has the right to affirm this Lease and continue to perform the obligations of Tenant hereunder, such trustee or Tenant shall, in such time period as may be permitted by the bankruptcy court having jurisdiction, cure all defaults of Tenant hereunder outstanding as of the date of the affirmance of this Lease and provide to Landlord such adequate assurances as may be necessary to ensure Landlord of the continued performance of Tenant’s obligations under this Lease.</w:t>
      </w:r>
    </w:p>
    <w:p>
      <w:pPr>
        <w:spacing w:after="0" w:line="187" w:lineRule="exact"/>
        <w:rPr>
          <w:rFonts w:ascii="Arial" w:cs="Arial" w:eastAsia="Arial" w:hAnsi="Arial"/>
          <w:sz w:val="18"/>
          <w:szCs w:val="18"/>
          <w:color w:val="auto"/>
        </w:rPr>
      </w:pPr>
    </w:p>
    <w:p>
      <w:pPr>
        <w:ind w:firstLine="1952"/>
        <w:spacing w:after="0" w:line="282" w:lineRule="auto"/>
        <w:tabs>
          <w:tab w:leader="none" w:pos="2312"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Receivership</w:t>
      </w:r>
      <w:r>
        <w:rPr>
          <w:rFonts w:ascii="Arial" w:cs="Arial" w:eastAsia="Arial" w:hAnsi="Arial"/>
          <w:sz w:val="18"/>
          <w:szCs w:val="18"/>
          <w:color w:val="auto"/>
        </w:rPr>
        <w:t>. The employment of a receiver to take possession of substantially all of Tenant’s assets or the Premises, if</w:t>
      </w:r>
      <w:r>
        <w:rPr>
          <w:rFonts w:ascii="Arial" w:cs="Arial" w:eastAsia="Arial" w:hAnsi="Arial"/>
          <w:sz w:val="18"/>
          <w:szCs w:val="18"/>
          <w:b w:val="1"/>
          <w:bCs w:val="1"/>
          <w:color w:val="auto"/>
        </w:rPr>
        <w:t xml:space="preserve"> </w:t>
      </w:r>
      <w:r>
        <w:rPr>
          <w:rFonts w:ascii="Arial" w:cs="Arial" w:eastAsia="Arial" w:hAnsi="Arial"/>
          <w:sz w:val="18"/>
          <w:szCs w:val="18"/>
          <w:color w:val="auto"/>
        </w:rPr>
        <w:t>such appointment remains undismissed or undischarged for a period of ten (10) days after the order therefor.</w:t>
      </w:r>
    </w:p>
    <w:p>
      <w:pPr>
        <w:spacing w:after="0" w:line="161" w:lineRule="exact"/>
        <w:rPr>
          <w:rFonts w:ascii="Arial" w:cs="Arial" w:eastAsia="Arial" w:hAnsi="Arial"/>
          <w:sz w:val="18"/>
          <w:szCs w:val="18"/>
          <w:color w:val="auto"/>
        </w:rPr>
      </w:pPr>
    </w:p>
    <w:p>
      <w:pPr>
        <w:ind w:firstLine="1952"/>
        <w:spacing w:after="0" w:line="282" w:lineRule="auto"/>
        <w:tabs>
          <w:tab w:leader="none" w:pos="2376"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Attachment</w:t>
      </w:r>
      <w:r>
        <w:rPr>
          <w:rFonts w:ascii="Arial" w:cs="Arial" w:eastAsia="Arial" w:hAnsi="Arial"/>
          <w:sz w:val="18"/>
          <w:szCs w:val="18"/>
          <w:color w:val="auto"/>
        </w:rPr>
        <w:t>. The attachment, execution or other judicial seizure of all or substantially all of Tenant’s assets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if such attachment or other seizure remains undismissed or undischarged for a period of ten (10) days after the levy thereof.</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Remedies Upon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92" w:lineRule="auto"/>
        <w:tabs>
          <w:tab w:leader="none" w:pos="2186" w:val="left"/>
        </w:tabs>
        <w:numPr>
          <w:ilvl w:val="1"/>
          <w:numId w:val="172"/>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In the event of the occurrence of any event of default, Landlord shall have the right to give a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notice to Tenant, and on the date specified in such notice, Tenant’s right to possession shall terminate, and this Lease shall terminate unless on or before such date all arrears of rental and all other sums payable by Tenant under this Lease and all costs and expenses incurred by or on behalf of Landlord hereunder shall have been paid by Tenant and all other events of default of this Lease by Tenant at the time existing shall have been fully remedied to the satisfaction of Landlord. At any time after such termination, Landlord may recover possession of the Premises or any part thereof and expel and remove therefrom Tenant and any other person occupying the same, by any lawful means, and again repossess and enjoy the Premises without prejudice to any of the remedies that Landlord may have under this Lease, or at law or equity, by reason of Tenant’s default or of such termination.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2" w:name="page203"/>
    <w:bookmarkEnd w:id="202"/>
    <w:p>
      <w:pPr>
        <w:jc w:val="both"/>
        <w:ind w:firstLine="1952"/>
        <w:spacing w:after="0" w:line="298" w:lineRule="auto"/>
        <w:tabs>
          <w:tab w:leader="none" w:pos="2209" w:val="left"/>
        </w:tabs>
        <w:numPr>
          <w:ilvl w:val="1"/>
          <w:numId w:val="173"/>
        </w:numPr>
        <w:rPr>
          <w:rFonts w:ascii="Arial" w:cs="Arial" w:eastAsia="Arial" w:hAnsi="Arial"/>
          <w:sz w:val="16"/>
          <w:szCs w:val="16"/>
          <w:color w:val="auto"/>
        </w:rPr>
      </w:pPr>
      <w:r>
        <w:rPr>
          <w:rFonts w:ascii="Arial" w:cs="Arial" w:eastAsia="Arial" w:hAnsi="Arial"/>
          <w:sz w:val="16"/>
          <w:szCs w:val="16"/>
          <w:b w:val="1"/>
          <w:bCs w:val="1"/>
          <w:color w:val="auto"/>
        </w:rPr>
        <w:t>Continuation After Default</w:t>
      </w:r>
      <w:r>
        <w:rPr>
          <w:rFonts w:ascii="Arial" w:cs="Arial" w:eastAsia="Arial" w:hAnsi="Arial"/>
          <w:sz w:val="16"/>
          <w:szCs w:val="16"/>
          <w:color w:val="auto"/>
        </w:rPr>
        <w:t>. Even though an event of default may have occurred, this Lease shall continue in effect for so</w:t>
      </w:r>
      <w:r>
        <w:rPr>
          <w:rFonts w:ascii="Arial" w:cs="Arial" w:eastAsia="Arial" w:hAnsi="Arial"/>
          <w:sz w:val="16"/>
          <w:szCs w:val="16"/>
          <w:b w:val="1"/>
          <w:bCs w:val="1"/>
          <w:color w:val="auto"/>
        </w:rPr>
        <w:t xml:space="preserve"> </w:t>
      </w:r>
      <w:r>
        <w:rPr>
          <w:rFonts w:ascii="Arial" w:cs="Arial" w:eastAsia="Arial" w:hAnsi="Arial"/>
          <w:sz w:val="16"/>
          <w:szCs w:val="16"/>
          <w:color w:val="auto"/>
        </w:rPr>
        <w:t>long as Landlord does not terminate Tenant’s right to possession under Paragraph 25(b)(i) above, and Landlord may enforce all of Landlord’s rights and remedies under this Lease, including without limitation, the right to recover Rent as it becomes due, and Landlord, without terminating this Lease, may exercise all of the rights and remedies of a landlord. Acts of maintenance, preservation or efforts to lease the Premises or the appointment of a receiver upon application of Landlord to protect Landlord’s interest under this Lease shall not constitute an election to terminate Tenant’s right to possession.</w:t>
      </w:r>
    </w:p>
    <w:p>
      <w:pPr>
        <w:spacing w:after="0" w:line="153" w:lineRule="exact"/>
        <w:rPr>
          <w:rFonts w:ascii="Arial" w:cs="Arial" w:eastAsia="Arial" w:hAnsi="Arial"/>
          <w:sz w:val="16"/>
          <w:szCs w:val="16"/>
          <w:color w:val="auto"/>
        </w:rPr>
      </w:pPr>
    </w:p>
    <w:p>
      <w:pPr>
        <w:jc w:val="both"/>
        <w:ind w:firstLine="1952"/>
        <w:spacing w:after="0" w:line="266" w:lineRule="auto"/>
        <w:tabs>
          <w:tab w:leader="none" w:pos="2272" w:val="left"/>
        </w:tabs>
        <w:numPr>
          <w:ilvl w:val="1"/>
          <w:numId w:val="173"/>
        </w:numPr>
        <w:rPr>
          <w:rFonts w:ascii="Arial" w:cs="Arial" w:eastAsia="Arial" w:hAnsi="Arial"/>
          <w:sz w:val="18"/>
          <w:szCs w:val="18"/>
          <w:color w:val="auto"/>
        </w:rPr>
      </w:pPr>
      <w:r>
        <w:rPr>
          <w:rFonts w:ascii="Arial" w:cs="Arial" w:eastAsia="Arial" w:hAnsi="Arial"/>
          <w:sz w:val="18"/>
          <w:szCs w:val="18"/>
          <w:b w:val="1"/>
          <w:bCs w:val="1"/>
          <w:color w:val="auto"/>
        </w:rPr>
        <w:t>Other Remedies</w:t>
      </w:r>
      <w:r>
        <w:rPr>
          <w:rFonts w:ascii="Arial" w:cs="Arial" w:eastAsia="Arial" w:hAnsi="Arial"/>
          <w:sz w:val="18"/>
          <w:szCs w:val="18"/>
          <w:color w:val="auto"/>
        </w:rPr>
        <w:t>. In the event of the occurrence of any event of default, Landlord may pursue any other remedy now or</w:t>
      </w:r>
      <w:r>
        <w:rPr>
          <w:rFonts w:ascii="Arial" w:cs="Arial" w:eastAsia="Arial" w:hAnsi="Arial"/>
          <w:sz w:val="18"/>
          <w:szCs w:val="18"/>
          <w:b w:val="1"/>
          <w:bCs w:val="1"/>
          <w:color w:val="auto"/>
        </w:rPr>
        <w:t xml:space="preserve"> </w:t>
      </w:r>
      <w:r>
        <w:rPr>
          <w:rFonts w:ascii="Arial" w:cs="Arial" w:eastAsia="Arial" w:hAnsi="Arial"/>
          <w:sz w:val="18"/>
          <w:szCs w:val="18"/>
          <w:color w:val="auto"/>
        </w:rPr>
        <w:t>hereafter available to Landlord under the laws or judicial decisions of the State of Nevada. All rights and remedies of Landlord hereunder shall be cumulative and in addition to all rights and remedies given to Landlord at law or equity.</w:t>
      </w:r>
    </w:p>
    <w:p>
      <w:pPr>
        <w:spacing w:after="0" w:line="175" w:lineRule="exact"/>
        <w:rPr>
          <w:rFonts w:ascii="Arial" w:cs="Arial" w:eastAsia="Arial" w:hAnsi="Arial"/>
          <w:sz w:val="18"/>
          <w:szCs w:val="18"/>
          <w:color w:val="auto"/>
        </w:rPr>
      </w:pPr>
    </w:p>
    <w:p>
      <w:pPr>
        <w:jc w:val="both"/>
        <w:ind w:firstLine="1304"/>
        <w:spacing w:after="0" w:line="285" w:lineRule="auto"/>
        <w:tabs>
          <w:tab w:leader="none" w:pos="1540" w:val="left"/>
        </w:tabs>
        <w:numPr>
          <w:ilvl w:val="0"/>
          <w:numId w:val="174"/>
        </w:numPr>
        <w:rPr>
          <w:rFonts w:ascii="Arial" w:cs="Arial" w:eastAsia="Arial" w:hAnsi="Arial"/>
          <w:sz w:val="16"/>
          <w:szCs w:val="16"/>
          <w:color w:val="auto"/>
        </w:rPr>
      </w:pPr>
      <w:r>
        <w:rPr>
          <w:rFonts w:ascii="Arial" w:cs="Arial" w:eastAsia="Arial" w:hAnsi="Arial"/>
          <w:sz w:val="16"/>
          <w:szCs w:val="16"/>
          <w:b w:val="1"/>
          <w:bCs w:val="1"/>
          <w:color w:val="auto"/>
        </w:rPr>
        <w:t>Damages After Default</w:t>
      </w:r>
      <w:r>
        <w:rPr>
          <w:rFonts w:ascii="Arial" w:cs="Arial" w:eastAsia="Arial" w:hAnsi="Arial"/>
          <w:sz w:val="16"/>
          <w:szCs w:val="16"/>
          <w:color w:val="auto"/>
        </w:rPr>
        <w:t>. Should Landlord terminate this Lease pursuant to the provisions of Paragraph 25(b)(i) above, Landlord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rights and remedies of a landlord. Upon such termination, in addition to any other rights and remedies to which Landlord may be entitled under applicable law, Landlord shal1 be entitled to recover from Tenant: (1) the worth at the time of award of the unpaid Rent and other amounts which had been earned at the time of termination, (2) the worth at the time of award of the amount by which the unpaid Rent and other amounts which would have been earned after termination until the time of award exceeds the amount of such Rent loss that Tenant proves could have been reasonably avoided; (3) the worth at the time of award of the amount by which the unpaid Rent and other amounts which would have been paid for the balance of the Term after the time of award exceeds the amount of such Rent loss that Tenant proves could be reasonably avoided; and (4) any other amount necessary to compensate Landlord for all the detriment proximately caused by Tenant’s failure to perform Tenant’s obligations under this Lease or which, in the ordinary course of things, would be likely to result therefrom, including, but not limited to, any costs or expenses incurred by Landlord in maintaining or preserving the Premises after such default, the cost of recovering possession of the Premises, expenses of reletting, including necessary renovation or alteration of the Premises, Landlord’s reasonable attorneys’ fees incurred in connection therewith, and any real estate commissions paid or payable. The “worth at the time of award” of the amounts referred to in clauses (1) and (2) above shall be computed at the lesser of the “prime rate” as announced from time to time by Wells Fargo Bank, N.A. (San Francisco), plus five (5) percentage points, or the maximum interest rate allowed by law (the “</w:t>
      </w:r>
      <w:r>
        <w:rPr>
          <w:rFonts w:ascii="Arial" w:cs="Arial" w:eastAsia="Arial" w:hAnsi="Arial"/>
          <w:sz w:val="16"/>
          <w:szCs w:val="16"/>
          <w:b w:val="1"/>
          <w:bCs w:val="1"/>
          <w:color w:val="auto"/>
        </w:rPr>
        <w:t>Applicable Interest Rate</w:t>
      </w:r>
      <w:r>
        <w:rPr>
          <w:rFonts w:ascii="Arial" w:cs="Arial" w:eastAsia="Arial" w:hAnsi="Arial"/>
          <w:sz w:val="16"/>
          <w:szCs w:val="16"/>
          <w:color w:val="auto"/>
        </w:rPr>
        <w:t>”). The “worth at the time of award” of the amount referred to in clause (3) above shall be computed by discounting such amount at the Federal Discount Rate of the Federal Reserve Bank of San Francisco at the time of the award. If this Lease provides for any periods during the Term during which Tenant is not required to pay Base Rent or if Tenant otherwise receives a Rent concession, then upon the occurrence of an event of default, such agreement or concession shall be automatically revoked, and Tenant shall owe to Landlord the full amount of such Base Rent or value of such Rent concession, plus interest at the Applicable Interest Rate, calculated from the date that such Base Rent or Rent concession would have been payable.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3" w:name="page204"/>
    <w:bookmarkEnd w:id="203"/>
    <w:p>
      <w:pPr>
        <w:ind w:left="1300" w:hanging="644"/>
        <w:spacing w:after="0"/>
        <w:tabs>
          <w:tab w:leader="none" w:pos="13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LATE CHARGE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any installment of Rent or other amount owed to Landlord is not paid when due, such amount shall bear interest at the App1icable Interest Rate from the date on which said payment shall be due until the date on which Landlord shall receive said payment. In addition, Tenant shall pay Landlord a late charge equal to five percent (5%) of the delinquency, to compensate Landlord for the loss of the use of the amount not paid and the administrative costs caused by the delinquency, the parties agreeing that Landlord’s damages by virtue of such delinquencies would be difficult to compute and the amount stated herein represents a fair and reasonable estimate thereof. Interest at the Applicable Interest Rate shall not be payable on late charges to be paid by Tenant under this Lease. This provision shall not relieve Tenant of Tenant’s obligation to pay Rent at the time and in the manner herein specified.</w:t>
      </w:r>
    </w:p>
    <w:p>
      <w:pPr>
        <w:spacing w:after="0" w:line="160"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LANDLORD DEFAULT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Landlord shall be in default under this Lease in the event Landlord has not begun and pursued with reasonable diligence the cure of any failure of Landlord to meet its obligations under this Lease within thirty (30) days of the receipt by Landlord of written notice from Tenant of Landlord’s alleged failure to perform (and an additional reasonable time after such receipt if (i) such failure cannot reasonably be cured within such thirty (30)-day period, and</w:t>
      </w:r>
    </w:p>
    <w:p>
      <w:pPr>
        <w:spacing w:after="0" w:line="2" w:lineRule="exact"/>
        <w:rPr>
          <w:sz w:val="20"/>
          <w:szCs w:val="20"/>
          <w:color w:val="auto"/>
        </w:rPr>
      </w:pPr>
    </w:p>
    <w:p>
      <w:pPr>
        <w:jc w:val="both"/>
        <w:ind w:firstLine="8"/>
        <w:spacing w:after="0" w:line="252" w:lineRule="auto"/>
        <w:tabs>
          <w:tab w:leader="none" w:pos="2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Landlord commences curing such failure within such thirty (30)-day period and thereafter diligently pursues the curing of such failure). In no event shall Tenant have the right to terminate or rescind this Lease as a result of Landlord’s default. Tenant waives such remedies of termination or rescission (except as otherwise specifically provided for in this Lease) and agrees that Tenant’s remedies for default under this Lease and for breach of any promise or inducement are limited to a suit for damages and/or injunction, and are specifically subject to Paragraph 28 below. In addition, Tenant shall prior to the exercise of any such remedies, provide each Landlord’s mortgagee (in each instance, only as to those entities of which Tenant has notice of their interest) with written notice and reasonable time to cure any default by Landlord. In no event shall Landlord be liable to Tenant for any consequential or punitive damages.</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TENANT’S REMEDIES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liabilities of Landlord to Tenant for any default by Landlord under the terms of this Lease are not personal obligations of the individual or other partners, directors, officers and shareholders of Landlord, Landlord’s wholly-owned subsidiaries or Landlord’s agents or operators, and Tenant agrees to look solely to Landlord’s interest in the Project for the recovery of any amount from Landlord, and shall not look to other assets of Landlord, Landlord’s wholly-owned subsidiaries or Landlord’s agents or operators nor seek recourse against the assets of the individual or other partners, directors, officers and shareholders of Landlord, Landlord’s wholly-owned subsidiaries or Landlord’s agents or operators. Any lien obtained to enforce any such judgment and any levy of execution thereon shall be subject and subordinate to any lien, mortgage or deed of trust on the Project.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4" w:name="page205"/>
    <w:bookmarkEnd w:id="204"/>
    <w:p>
      <w:pPr>
        <w:ind w:left="1300" w:hanging="644"/>
        <w:spacing w:after="0"/>
        <w:tabs>
          <w:tab w:leader="none" w:pos="130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BY LANDLORD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of a sale or conveyance by Landlord of the Building or a foreclosure by any creditor of Landlord, the same shall operate to release Landlord from any liability upon any of the covenants or conditions, express or implied, herein contained in favor of Tenant, to the extent required to be performed after the passing of title to Landlord’s successor-in-interest. In such event, Tenant agrees to look solely to the responsibility of the successor-in-interest of Landlord under this Lease with respect to the performance of the covenants and duties of “Landlord” to be performed after the passing of title to Landlord’s successor-in-interest. This Lease shall not be affected by any such sale and Tenant agrees to attorn to the purchaser or assignee. Landlord’s successor(s)-in-interest shall not have liability to Tenant with respect to the failure to perform all of the obligations of “Landlord,” to the extent required to be performed prior to the date such successor(s)-in-interest became the owner of the Building.</w:t>
      </w:r>
    </w:p>
    <w:p>
      <w:pPr>
        <w:spacing w:after="0" w:line="173" w:lineRule="exact"/>
        <w:rPr>
          <w:sz w:val="20"/>
          <w:szCs w:val="20"/>
          <w:color w:val="auto"/>
        </w:rPr>
      </w:pPr>
    </w:p>
    <w:p>
      <w:pPr>
        <w:ind w:left="1300" w:hanging="644"/>
        <w:spacing w:after="0"/>
        <w:tabs>
          <w:tab w:leader="none" w:pos="130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RIGHT OF LANDLORD TO PERFORM TENANT’S COVENANTS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covenants and agreements to be performed by Tenant under any of the terms of this Lease shall be performed by Tenant at Tenant’s sole cost and expense and without any abatement of Rent. If Tenant shall fail to pay any sum of money, other than Base Rent and Basic Operating Cost, required to be paid by Tenant hereunder, or shall fail to perform any other act on Tenant’s part to be performed hereunder (including without limitation, Tenant’s maintenance and repair obligations), and such failure shall continue for five (5) days after notice thereof by Landlord (except that no notice shall be required in case of an emergency), Landlord may, but shall not be obligated to do so, and without waiving or releasing Tenant from any obligation of Tenant, make any such payment or perform any such act on Tenant’s part to be made or performed. All sums so paid or expended by Landlord and all necessary incidental costs, together with interest thereon at the Applicable Interest Rate from the date of such payment or expenditure by Landlord, shall be payable to Landlord on demand, and Tenant covenants to pay such sums, and Landlord shall have, in addition to any other right or remedy of Landlord, the same rights and remedies in the event of the non-payment thereof by Tenant as in the case of default by Tenant in the payment of Base Rent and Basic Operating Cost.</w:t>
      </w:r>
    </w:p>
    <w:p>
      <w:pPr>
        <w:spacing w:after="0" w:line="190" w:lineRule="exact"/>
        <w:rPr>
          <w:sz w:val="20"/>
          <w:szCs w:val="20"/>
          <w:color w:val="auto"/>
        </w:rPr>
      </w:pPr>
    </w:p>
    <w:p>
      <w:pPr>
        <w:ind w:left="1300" w:hanging="644"/>
        <w:spacing w:after="0"/>
        <w:tabs>
          <w:tab w:leader="none" w:pos="130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HAZARDOUS MATERIALS</w:t>
      </w:r>
    </w:p>
    <w:p>
      <w:pPr>
        <w:spacing w:after="0" w:line="225" w:lineRule="exact"/>
        <w:rPr>
          <w:rFonts w:ascii="Arial" w:cs="Arial" w:eastAsia="Arial" w:hAnsi="Arial"/>
          <w:sz w:val="18"/>
          <w:szCs w:val="18"/>
          <w:b w:val="1"/>
          <w:bCs w:val="1"/>
          <w:color w:val="auto"/>
        </w:rPr>
      </w:pPr>
    </w:p>
    <w:p>
      <w:pPr>
        <w:jc w:val="both"/>
        <w:ind w:firstLine="1304"/>
        <w:spacing w:after="0" w:line="294" w:lineRule="auto"/>
        <w:tabs>
          <w:tab w:leader="none" w:pos="1554" w:val="left"/>
        </w:tabs>
        <w:numPr>
          <w:ilvl w:val="1"/>
          <w:numId w:val="180"/>
        </w:numPr>
        <w:rPr>
          <w:rFonts w:ascii="Arial" w:cs="Arial" w:eastAsia="Arial" w:hAnsi="Arial"/>
          <w:sz w:val="16"/>
          <w:szCs w:val="16"/>
          <w:color w:val="auto"/>
        </w:rPr>
      </w:pPr>
      <w:r>
        <w:rPr>
          <w:rFonts w:ascii="Arial" w:cs="Arial" w:eastAsia="Arial" w:hAnsi="Arial"/>
          <w:sz w:val="16"/>
          <w:szCs w:val="16"/>
          <w:b w:val="1"/>
          <w:bCs w:val="1"/>
          <w:color w:val="auto"/>
        </w:rPr>
        <w:t>Questionnaire</w:t>
      </w:r>
      <w:r>
        <w:rPr>
          <w:rFonts w:ascii="Arial" w:cs="Arial" w:eastAsia="Arial" w:hAnsi="Arial"/>
          <w:sz w:val="16"/>
          <w:szCs w:val="16"/>
          <w:color w:val="auto"/>
        </w:rPr>
        <w:t>. Prior to executing this Lease, Tenant has delivered to Landlord Tenant’s executed Questionnaire Regarding Use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Questionnaire</w:t>
      </w:r>
      <w:r>
        <w:rPr>
          <w:rFonts w:ascii="Arial" w:cs="Arial" w:eastAsia="Arial" w:hAnsi="Arial"/>
          <w:sz w:val="16"/>
          <w:szCs w:val="16"/>
          <w:color w:val="auto"/>
        </w:rPr>
        <w:t>”). Tenant covenants, represents and warrants to Landlord that the information in the Questionnaire is true and correct and accurately describes the use(s) of Hazardous Materials (as defined in Paragraph 31(j) below) which will be made and/or used on the Premises by Tenant. Tenant shall, within ten (10) days of Landlord’s request, execute and deliver to Landlord an updated Questionnaire in a similar form describing Tenant’s then present use of Hazardous Materials on the Premises, and any other reasonably necessary documents, charts or information requested by Landlord with respect to Tenant’s use, generation, storage, transportation or disposal of Hazardous Materials.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5" w:name="page206"/>
    <w:bookmarkEnd w:id="205"/>
    <w:p>
      <w:pPr>
        <w:jc w:val="both"/>
        <w:ind w:firstLine="1304"/>
        <w:spacing w:after="0" w:line="273" w:lineRule="auto"/>
        <w:tabs>
          <w:tab w:leader="none" w:pos="1578" w:val="left"/>
        </w:tabs>
        <w:numPr>
          <w:ilvl w:val="1"/>
          <w:numId w:val="181"/>
        </w:numPr>
        <w:rPr>
          <w:rFonts w:ascii="Arial" w:cs="Arial" w:eastAsia="Arial" w:hAnsi="Arial"/>
          <w:sz w:val="17"/>
          <w:szCs w:val="17"/>
          <w:color w:val="auto"/>
        </w:rPr>
      </w:pPr>
      <w:r>
        <w:rPr>
          <w:rFonts w:ascii="Arial" w:cs="Arial" w:eastAsia="Arial" w:hAnsi="Arial"/>
          <w:sz w:val="17"/>
          <w:szCs w:val="17"/>
          <w:b w:val="1"/>
          <w:bCs w:val="1"/>
          <w:color w:val="auto"/>
        </w:rPr>
        <w:t>Compliance with Laws and Permits</w:t>
      </w:r>
      <w:r>
        <w:rPr>
          <w:rFonts w:ascii="Arial" w:cs="Arial" w:eastAsia="Arial" w:hAnsi="Arial"/>
          <w:sz w:val="17"/>
          <w:szCs w:val="17"/>
          <w:color w:val="auto"/>
        </w:rPr>
        <w:t>. During the Term of this Lease, Tenant shall comply with all Environmental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Permits (each as defined in Paragraph 31(j) below) applicable to the operation, use or occupancy of the Premises, will cause all other persons occupying or using the Premises to comply with all such Environmental Laws and Environmental Permits, will immediately pay or cause to be paid all costs and expenses incurred by reason of such compliance, and will obtain and renew all Environmental Permits required for operation or use of the Premises. Without limiting the generality of the foregoing, Tenant shall not cause or permit any violation of Environmental Laws or Environmental Permits, including without limitation with respect to soil and ground water conditions. Tenant shall, at Tenant’s sole cost, make all submissions to, provide all information required by, and comply with all requirements of, all governmental authorities under Environmental Laws.</w:t>
      </w:r>
    </w:p>
    <w:p>
      <w:pPr>
        <w:spacing w:after="0" w:line="171" w:lineRule="exact"/>
        <w:rPr>
          <w:rFonts w:ascii="Arial" w:cs="Arial" w:eastAsia="Arial" w:hAnsi="Arial"/>
          <w:sz w:val="17"/>
          <w:szCs w:val="17"/>
          <w:color w:val="auto"/>
        </w:rPr>
      </w:pPr>
    </w:p>
    <w:p>
      <w:pPr>
        <w:jc w:val="both"/>
        <w:ind w:firstLine="1304"/>
        <w:spacing w:after="0" w:line="289" w:lineRule="auto"/>
        <w:tabs>
          <w:tab w:leader="none" w:pos="1540" w:val="left"/>
        </w:tabs>
        <w:numPr>
          <w:ilvl w:val="1"/>
          <w:numId w:val="181"/>
        </w:numPr>
        <w:rPr>
          <w:rFonts w:ascii="Arial" w:cs="Arial" w:eastAsia="Arial" w:hAnsi="Arial"/>
          <w:sz w:val="16"/>
          <w:szCs w:val="16"/>
          <w:color w:val="auto"/>
        </w:rPr>
      </w:pPr>
      <w:r>
        <w:rPr>
          <w:rFonts w:ascii="Arial" w:cs="Arial" w:eastAsia="Arial" w:hAnsi="Arial"/>
          <w:sz w:val="16"/>
          <w:szCs w:val="16"/>
          <w:b w:val="1"/>
          <w:bCs w:val="1"/>
          <w:color w:val="auto"/>
        </w:rPr>
        <w:t>Limitations on Use</w:t>
      </w:r>
      <w:r>
        <w:rPr>
          <w:rFonts w:ascii="Arial" w:cs="Arial" w:eastAsia="Arial" w:hAnsi="Arial"/>
          <w:sz w:val="16"/>
          <w:szCs w:val="16"/>
          <w:color w:val="auto"/>
        </w:rPr>
        <w:t>. Tenant shall not generate, use, treat, store, handle, manufacture, refine, produce, process, release or dispose of,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the generation, use, treatment, storage, handling, manufacture, refinement, production, processing, release or disposal of, Hazardous Materials on, under or about the Premises or the Project, or transport or permit the transportation of Hazardous Materials to or from the Premises or the Project except for</w:t>
      </w:r>
    </w:p>
    <w:p>
      <w:pPr>
        <w:spacing w:after="0" w:line="1" w:lineRule="exact"/>
        <w:rPr>
          <w:rFonts w:ascii="Arial" w:cs="Arial" w:eastAsia="Arial" w:hAnsi="Arial"/>
          <w:sz w:val="16"/>
          <w:szCs w:val="16"/>
          <w:color w:val="auto"/>
        </w:rPr>
      </w:pPr>
    </w:p>
    <w:p>
      <w:pPr>
        <w:jc w:val="both"/>
        <w:ind w:firstLine="8"/>
        <w:spacing w:after="0" w:line="277" w:lineRule="auto"/>
        <w:tabs>
          <w:tab w:leader="none" w:pos="21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those materials and products identified on the attached </w:t>
      </w:r>
      <w:r>
        <w:rPr>
          <w:rFonts w:ascii="Arial" w:cs="Arial" w:eastAsia="Arial" w:hAnsi="Arial"/>
          <w:sz w:val="17"/>
          <w:szCs w:val="17"/>
          <w:u w:val="single" w:color="auto"/>
          <w:color w:val="auto"/>
        </w:rPr>
        <w:t>Exhibit B-1</w:t>
      </w:r>
      <w:r>
        <w:rPr>
          <w:rFonts w:ascii="Arial" w:cs="Arial" w:eastAsia="Arial" w:hAnsi="Arial"/>
          <w:sz w:val="17"/>
          <w:szCs w:val="17"/>
          <w:color w:val="auto"/>
        </w:rPr>
        <w:t xml:space="preserve"> once approved by Landlord and (ii) limited quantities of household cleaning products and office supplies used or stored at the Premises and required in connection with the routine operation and maintenance of the Premises, and in each case used, stored, transported and disposed of in compliance with all applicable Environmental Laws and Environmental Permits.</w:t>
      </w:r>
    </w:p>
    <w:p>
      <w:pPr>
        <w:spacing w:after="0" w:line="168" w:lineRule="exact"/>
        <w:rPr>
          <w:rFonts w:ascii="Arial" w:cs="Arial" w:eastAsia="Arial" w:hAnsi="Arial"/>
          <w:sz w:val="17"/>
          <w:szCs w:val="17"/>
          <w:color w:val="auto"/>
        </w:rPr>
      </w:pPr>
    </w:p>
    <w:p>
      <w:pPr>
        <w:jc w:val="both"/>
        <w:ind w:firstLine="1304"/>
        <w:spacing w:after="0" w:line="273" w:lineRule="auto"/>
        <w:tabs>
          <w:tab w:leader="none" w:pos="1564" w:val="left"/>
        </w:tabs>
        <w:numPr>
          <w:ilvl w:val="1"/>
          <w:numId w:val="182"/>
        </w:numPr>
        <w:rPr>
          <w:rFonts w:ascii="Arial" w:cs="Arial" w:eastAsia="Arial" w:hAnsi="Arial"/>
          <w:sz w:val="17"/>
          <w:szCs w:val="17"/>
          <w:color w:val="auto"/>
        </w:rPr>
      </w:pPr>
      <w:r>
        <w:rPr>
          <w:rFonts w:ascii="Arial" w:cs="Arial" w:eastAsia="Arial" w:hAnsi="Arial"/>
          <w:sz w:val="17"/>
          <w:szCs w:val="17"/>
          <w:b w:val="1"/>
          <w:bCs w:val="1"/>
          <w:color w:val="auto"/>
        </w:rPr>
        <w:t>Site Assessments</w:t>
      </w:r>
      <w:r>
        <w:rPr>
          <w:rFonts w:ascii="Arial" w:cs="Arial" w:eastAsia="Arial" w:hAnsi="Arial"/>
          <w:sz w:val="17"/>
          <w:szCs w:val="17"/>
          <w:color w:val="auto"/>
        </w:rPr>
        <w:t>. At any time and from time to time during the Term of this Lease, Landlord may perform an environmental site</w:t>
      </w:r>
      <w:r>
        <w:rPr>
          <w:rFonts w:ascii="Arial" w:cs="Arial" w:eastAsia="Arial" w:hAnsi="Arial"/>
          <w:sz w:val="17"/>
          <w:szCs w:val="17"/>
          <w:b w:val="1"/>
          <w:bCs w:val="1"/>
          <w:color w:val="auto"/>
        </w:rPr>
        <w:t xml:space="preserve"> </w:t>
      </w:r>
      <w:r>
        <w:rPr>
          <w:rFonts w:ascii="Arial" w:cs="Arial" w:eastAsia="Arial" w:hAnsi="Arial"/>
          <w:sz w:val="17"/>
          <w:szCs w:val="17"/>
          <w:color w:val="auto"/>
        </w:rPr>
        <w:t>assessment report concerning the Premises, prepared by an environmental consulting firm chosen by Landlord, indicating the presence or absence of Hazardous Materials caused or permitted by Tenant and the potential cost of any compliance, removal or remedial action in connection with any such Hazardous Materials on the Premises. Tenant shall grant and hereby grants to Landlord and its agents access to the Premises and specifically grants Landlord an irrevocable non-exclusive license to undertake such an assessment. If such assessment report indicates the presence of Hazardous Materials caused or permitted by Tenant or any of Tenant’s Parties, then such report shall be at Tenant’s sole cost and expense, and the cost of such assessment shall be due and payable within ten (10) days of receipt of an invoice therefor.</w:t>
      </w:r>
    </w:p>
    <w:p>
      <w:pPr>
        <w:spacing w:after="0" w:line="171" w:lineRule="exact"/>
        <w:rPr>
          <w:rFonts w:ascii="Arial" w:cs="Arial" w:eastAsia="Arial" w:hAnsi="Arial"/>
          <w:sz w:val="17"/>
          <w:szCs w:val="17"/>
          <w:color w:val="auto"/>
        </w:rPr>
      </w:pPr>
    </w:p>
    <w:p>
      <w:pPr>
        <w:jc w:val="both"/>
        <w:ind w:firstLine="1304"/>
        <w:spacing w:after="0" w:line="270" w:lineRule="auto"/>
        <w:tabs>
          <w:tab w:leader="none" w:pos="1554" w:val="left"/>
        </w:tabs>
        <w:numPr>
          <w:ilvl w:val="1"/>
          <w:numId w:val="182"/>
        </w:numPr>
        <w:rPr>
          <w:rFonts w:ascii="Arial" w:cs="Arial" w:eastAsia="Arial" w:hAnsi="Arial"/>
          <w:sz w:val="17"/>
          <w:szCs w:val="17"/>
          <w:color w:val="auto"/>
        </w:rPr>
      </w:pPr>
      <w:r>
        <w:rPr>
          <w:rFonts w:ascii="Arial" w:cs="Arial" w:eastAsia="Arial" w:hAnsi="Arial"/>
          <w:sz w:val="17"/>
          <w:szCs w:val="17"/>
          <w:b w:val="1"/>
          <w:bCs w:val="1"/>
          <w:color w:val="auto"/>
        </w:rPr>
        <w:t>Notices to Landlord</w:t>
      </w:r>
      <w:r>
        <w:rPr>
          <w:rFonts w:ascii="Arial" w:cs="Arial" w:eastAsia="Arial" w:hAnsi="Arial"/>
          <w:sz w:val="17"/>
          <w:szCs w:val="17"/>
          <w:color w:val="auto"/>
        </w:rPr>
        <w:t>. Tenant will immediately advise Landlord in writing of any of the following: (1) any pending or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Environmental Claim (as defined in Paragraph 31(j) below) against Tenant relating to the Premises or the Project; (2) any condition or occurrence on the Premises or the Project that (i) results in noncompliance by Tenant with any applicable Environmental Law, or (ii) could reasonably be anticipated to form the basis of an Environmental Claim against Tenant or Landlord or the Pre1niscs; (3) any condition or occurrence on the Premises that could reasonably be anticipated to cause the Premises to be subject to any restrictions on the ownership, occupancy, use or transferability of the Premises under any Environmental Law; and (4) the actual or anticipated taking of any removal or remedial action by Tenant in response to the actual or alleged presence of any Hazardous Material on the Premises or the Project. All such notices shall describe in reasonable detail the nature of the claim, investigation, condition, occurrence or removal or remedial action and Tenant’s response thereto. In addition, Tenant will provide Landlord with copies of all communications regarding the Premises with any governmental agency relating to Environmental Laws, all such communications with any party relating to Environmental Claims, and such detailed reports of any such Environmental Claim as may reasonably be requested by Landlord.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6" w:name="page207"/>
    <w:bookmarkEnd w:id="206"/>
    <w:p>
      <w:pPr>
        <w:jc w:val="both"/>
        <w:ind w:firstLine="1304"/>
        <w:spacing w:after="0" w:line="281" w:lineRule="auto"/>
        <w:tabs>
          <w:tab w:leader="none" w:pos="1521" w:val="left"/>
        </w:tabs>
        <w:numPr>
          <w:ilvl w:val="0"/>
          <w:numId w:val="183"/>
        </w:numPr>
        <w:rPr>
          <w:rFonts w:ascii="Arial" w:cs="Arial" w:eastAsia="Arial" w:hAnsi="Arial"/>
          <w:sz w:val="17"/>
          <w:szCs w:val="17"/>
          <w:color w:val="auto"/>
        </w:rPr>
      </w:pPr>
      <w:r>
        <w:rPr>
          <w:rFonts w:ascii="Arial" w:cs="Arial" w:eastAsia="Arial" w:hAnsi="Arial"/>
          <w:sz w:val="17"/>
          <w:szCs w:val="17"/>
          <w:b w:val="1"/>
          <w:bCs w:val="1"/>
          <w:color w:val="auto"/>
        </w:rPr>
        <w:t>Cleanup Plan</w:t>
      </w:r>
      <w:r>
        <w:rPr>
          <w:rFonts w:ascii="Arial" w:cs="Arial" w:eastAsia="Arial" w:hAnsi="Arial"/>
          <w:sz w:val="17"/>
          <w:szCs w:val="17"/>
          <w:color w:val="auto"/>
        </w:rPr>
        <w:t>. Should any governmental authority or any third party demand that a cleanup plan be prepared and that a cleanup be</w:t>
      </w:r>
      <w:r>
        <w:rPr>
          <w:rFonts w:ascii="Arial" w:cs="Arial" w:eastAsia="Arial" w:hAnsi="Arial"/>
          <w:sz w:val="17"/>
          <w:szCs w:val="17"/>
          <w:b w:val="1"/>
          <w:bCs w:val="1"/>
          <w:color w:val="auto"/>
        </w:rPr>
        <w:t xml:space="preserve"> </w:t>
      </w:r>
      <w:r>
        <w:rPr>
          <w:rFonts w:ascii="Arial" w:cs="Arial" w:eastAsia="Arial" w:hAnsi="Arial"/>
          <w:sz w:val="17"/>
          <w:szCs w:val="17"/>
          <w:color w:val="auto"/>
        </w:rPr>
        <w:t>undertaken because of any deposit, spill, discharge, or other release of Hazardous Materials that occurs during the Term of this Lease, at or from the Premises, or which arises at any time from Tenant’s use or occupancy of the Premises, then Tenant shall, at Tenant’s sole cost, prepare and submit the required plans and all related bonds and other financial assurances, and Tenant shall cany out all such cleanup plans.</w:t>
      </w:r>
    </w:p>
    <w:p>
      <w:pPr>
        <w:spacing w:after="0" w:line="164" w:lineRule="exact"/>
        <w:rPr>
          <w:rFonts w:ascii="Arial" w:cs="Arial" w:eastAsia="Arial" w:hAnsi="Arial"/>
          <w:sz w:val="17"/>
          <w:szCs w:val="17"/>
          <w:color w:val="auto"/>
        </w:rPr>
      </w:pPr>
    </w:p>
    <w:p>
      <w:pPr>
        <w:jc w:val="both"/>
        <w:ind w:firstLine="1304"/>
        <w:spacing w:after="0" w:line="288" w:lineRule="auto"/>
        <w:tabs>
          <w:tab w:leader="none" w:pos="1578"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Indemnity</w:t>
      </w:r>
      <w:r>
        <w:rPr>
          <w:rFonts w:ascii="Arial" w:cs="Arial" w:eastAsia="Arial" w:hAnsi="Arial"/>
          <w:sz w:val="16"/>
          <w:szCs w:val="16"/>
          <w:color w:val="auto"/>
        </w:rPr>
        <w:t>. Tenant shall indemnify, defend and hold harmless the Landlord Indemnitees and their respective officers,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beneficiaries, shareholders, partners, agents and employees, from and against all obligations (including removal and remedial actions), losses, claims, suits, judgments, actions, procedures, liabilities, penalties, fines, damages (including consequential and punitive damages), costs and expenses (including attorneys’ and consultants’ fees and expenses) of any kind or nature whatsoever that may at any time be incurred by, imposed on or asserted against such Landlord Indemnitees and their respective officers, directors, beneficiaries, shareholders, partners, agents and employees directly or indirectly based on, or arising or resulting from (i) the actual or alleged presence of Hazardous Materials on the Project which is caused or permitted by Tenant or any of Tenant’s Parties, including without limitation any deposit, spill, discharge or other release of Hazardous Materials that occurs during the Term at or from the Premises; (ii) any Environmental Claim relating in any way to Tenant’s operation, use or occupancy of the Premises; or (iii) Tenant’s failure to provide all information, make all submissions, and take all steps required by all governmental authorities under applicable Environmental Laws (the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 Indemnified Matters</w:t>
      </w:r>
      <w:r>
        <w:rPr>
          <w:rFonts w:ascii="Arial" w:cs="Arial" w:eastAsia="Arial" w:hAnsi="Arial"/>
          <w:sz w:val="16"/>
          <w:szCs w:val="16"/>
          <w:color w:val="auto"/>
        </w:rPr>
        <w:t>”). The foregoing indemnity shall not include any Hazardous Materials that were located at the Premises or the Project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Commencement Date, nor any Hazardous Materials placed on the Premises or the Project by Landlord, its employees, agents or contractors.</w:t>
      </w:r>
    </w:p>
    <w:p>
      <w:pPr>
        <w:spacing w:after="0" w:line="163" w:lineRule="exact"/>
        <w:rPr>
          <w:rFonts w:ascii="Arial" w:cs="Arial" w:eastAsia="Arial" w:hAnsi="Arial"/>
          <w:sz w:val="16"/>
          <w:szCs w:val="16"/>
          <w:color w:val="auto"/>
        </w:rPr>
      </w:pPr>
    </w:p>
    <w:p>
      <w:pPr>
        <w:jc w:val="both"/>
        <w:ind w:firstLine="1304"/>
        <w:spacing w:after="0" w:line="258" w:lineRule="auto"/>
        <w:tabs>
          <w:tab w:leader="none" w:pos="1551"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Landlord’s Right to Perform</w:t>
      </w:r>
      <w:r>
        <w:rPr>
          <w:rFonts w:ascii="Arial" w:cs="Arial" w:eastAsia="Arial" w:hAnsi="Arial"/>
          <w:sz w:val="18"/>
          <w:szCs w:val="18"/>
          <w:color w:val="auto"/>
        </w:rPr>
        <w:t>. If Tenant fails to fulfill any duty imposed under this Paragraph 31 within a reasonable time,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may do so; and in such case, Tenant shall cooperate with Landlord in order to prepare all documents Landlord deems necessary or appropriate to determine the applicability of Environmental Laws to the Premises and Tenant’s use thereof, and for compliance therewith, and Tenant shall execute all documents promptly upon Landlord’s request. No such action by Landlord and no attempt made by Landlord to mitigate damages under any Environmental Law shall constitute a waiver of any of Tenant’s obligations under this Paragraph 31.</w:t>
      </w:r>
    </w:p>
    <w:p>
      <w:pPr>
        <w:spacing w:after="0" w:line="183" w:lineRule="exact"/>
        <w:rPr>
          <w:rFonts w:ascii="Arial" w:cs="Arial" w:eastAsia="Arial" w:hAnsi="Arial"/>
          <w:sz w:val="18"/>
          <w:szCs w:val="18"/>
          <w:color w:val="auto"/>
        </w:rPr>
      </w:pPr>
    </w:p>
    <w:p>
      <w:pPr>
        <w:jc w:val="both"/>
        <w:ind w:firstLine="1304"/>
        <w:spacing w:after="0" w:line="266" w:lineRule="auto"/>
        <w:tabs>
          <w:tab w:leader="none" w:pos="1524" w:val="left"/>
        </w:tabs>
        <w:numPr>
          <w:ilvl w:val="0"/>
          <w:numId w:val="183"/>
        </w:numPr>
        <w:rPr>
          <w:rFonts w:ascii="Arial" w:cs="Arial" w:eastAsia="Arial" w:hAnsi="Arial"/>
          <w:sz w:val="18"/>
          <w:szCs w:val="18"/>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 All sums paid and costs incurred by Landlord with respect to any Hazardous Materials Indemnified Matter shall bear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the Applicable Interest Rate from the date so paid or incurred until reimbursed by Tenant, and all such sums and costs shall be due and payable within ten (10) days of receipt of an invoice therefor.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7" w:name="page208"/>
    <w:bookmarkEnd w:id="207"/>
    <w:p>
      <w:pPr>
        <w:jc w:val="both"/>
        <w:ind w:firstLine="1304"/>
        <w:spacing w:after="0" w:line="283" w:lineRule="auto"/>
        <w:tabs>
          <w:tab w:leader="none" w:pos="1511" w:val="left"/>
        </w:tabs>
        <w:numPr>
          <w:ilvl w:val="2"/>
          <w:numId w:val="184"/>
        </w:numPr>
        <w:rPr>
          <w:rFonts w:ascii="Arial" w:cs="Arial" w:eastAsia="Arial" w:hAnsi="Arial"/>
          <w:sz w:val="16"/>
          <w:szCs w:val="16"/>
          <w:color w:val="auto"/>
        </w:rPr>
      </w:pPr>
      <w:r>
        <w:rPr>
          <w:rFonts w:ascii="Arial" w:cs="Arial" w:eastAsia="Arial" w:hAnsi="Arial"/>
          <w:sz w:val="16"/>
          <w:szCs w:val="16"/>
          <w:b w:val="1"/>
          <w:bCs w:val="1"/>
          <w:color w:val="auto"/>
        </w:rPr>
        <w:t>Defined Terms</w:t>
      </w:r>
      <w:r>
        <w:rPr>
          <w:rFonts w:ascii="Arial" w:cs="Arial" w:eastAsia="Arial" w:hAnsi="Arial"/>
          <w:sz w:val="16"/>
          <w:szCs w:val="16"/>
          <w:color w:val="auto"/>
        </w:rPr>
        <w:t>. (a)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(i) petroleum or petroleum products, natural or synthetic gas, asbestos in any form</w:t>
      </w:r>
      <w:r>
        <w:rPr>
          <w:rFonts w:ascii="Arial" w:cs="Arial" w:eastAsia="Arial" w:hAnsi="Arial"/>
          <w:sz w:val="16"/>
          <w:szCs w:val="16"/>
          <w:b w:val="1"/>
          <w:bCs w:val="1"/>
          <w:color w:val="auto"/>
        </w:rPr>
        <w:t xml:space="preserve"> </w:t>
      </w:r>
      <w:r>
        <w:rPr>
          <w:rFonts w:ascii="Arial" w:cs="Arial" w:eastAsia="Arial" w:hAnsi="Arial"/>
          <w:sz w:val="16"/>
          <w:szCs w:val="16"/>
          <w:color w:val="auto"/>
        </w:rPr>
        <w:t>that is or could become friable, urea formaldehyde foam insulation, and radon gas; (ii) any substances defined as or included in the definition of “hazardous substances,” “hazardous wastes,” “hazardous materials,” “extremely hazardous wastes,” “restricted hazardous wastes,” “toxic substances,” “toxic pollutants,” “contaminants” or “pollutants,” or words of similar import, under any applicable Environmental Law; (iii) any substance that is flammable, explosive, radioactive, noxious or otherwise dangerous or potentially dangerous; (iv) any carcinogenic substance; (v) any other substance exposure to which is regulated by any governmental authority; or (vi) any other substance the removal of which is required, or the manufacture, preparation, production, generation, use, maintenance, treatment, storage, transfer, handling or ownership of which is restricted, prohibited, regulated or penalized by any Environmental Law; (b)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federal, state, county or municipal statute, law, rule, regulation, ordinance, code, policy or rule of common law now or hereafter in effect and in each case as amended or supplemented, and any judicial or administrative interpretation thereof, including any judicial or administrative order, consent decree or judgment, relating to the environment, health, safety or Hazardous Materials, including without limitation, Chapter 459 of NRS; the Comprehensive Environmental Response, Compensation, and Liability Act of 1980, 42 U.S.C. §§ 9601 et seq.; the Resource Conservation and Recovery Act, 42 U.S.C. §§ 6901 et seq.; the Hazardous Materials Transportation Act, 49 U.S.C. §§ 1801 et seq.; the Clean Water Act, 33 U.S.C. §§ 1251 et seq.; the Toxic Substances Control Act, 15 U.S.C. §§ 2601 et seq.; the Clean Air Act, 42 U.S.C. §§ 7401 et seq.; the Federal Water Pollution Control Act, 33 U.S.C. §§ 1251 et seq.; the Safe Drinking Water Act, 4.2 U.S.C. §§ 300f et seq.; the Atomic Energy Act, 42 U.S.C.</w:t>
      </w:r>
    </w:p>
    <w:p>
      <w:pPr>
        <w:spacing w:after="0" w:line="5" w:lineRule="exact"/>
        <w:rPr>
          <w:rFonts w:ascii="Arial" w:cs="Arial" w:eastAsia="Arial" w:hAnsi="Arial"/>
          <w:sz w:val="16"/>
          <w:szCs w:val="16"/>
          <w:color w:val="auto"/>
        </w:rPr>
      </w:pPr>
    </w:p>
    <w:p>
      <w:pPr>
        <w:jc w:val="both"/>
        <w:ind w:firstLine="8"/>
        <w:spacing w:after="0" w:line="251" w:lineRule="auto"/>
        <w:tabs>
          <w:tab w:leader="none" w:pos="22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2011 et seq.; the Federal Insecticide, Fungicide and Rodenticide Act, 7 U.S.C. §§ 136 et seq.; the Occupational Safety and Health Act, 29 U.S.C. §§ 651 et seq., as all of the foregoing laws have been amended or supplemented; (c) “</w:t>
      </w:r>
      <w:r>
        <w:rPr>
          <w:rFonts w:ascii="Arial" w:cs="Arial" w:eastAsia="Arial" w:hAnsi="Arial"/>
          <w:sz w:val="18"/>
          <w:szCs w:val="18"/>
          <w:b w:val="1"/>
          <w:bCs w:val="1"/>
          <w:color w:val="auto"/>
        </w:rPr>
        <w:t>Environmental Claims</w:t>
      </w:r>
      <w:r>
        <w:rPr>
          <w:rFonts w:ascii="Arial" w:cs="Arial" w:eastAsia="Arial" w:hAnsi="Arial"/>
          <w:sz w:val="18"/>
          <w:szCs w:val="18"/>
          <w:color w:val="auto"/>
        </w:rPr>
        <w:t>” means any and all administrative, regulatory or judicial actions, suits, demands, demand letters, claims, hens, notices of non-compliance or violation, investigations, proceedings, consent orders or consent agreements relating in any way to any Environmental Law or any Environmental Permit, including without limitation (i) any and all Environmental Claims by governmental or regulatory authorities for enforcement, cleanup, removal, response, remedial or other actions or damages pursuant to any applicable Environmental Law and (ii) any and all Environmental Claims by any third party seeking damages, contribution, indemnification, cost recovery, compensation or injunctive relief resulting from Hazardous Materials or arising from alleged injury or threat of injury to health, safety or the environment; and (d) “</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permits, approvals, identification numbers, licenses and other authorizations required under any applicable Environmental Law.</w:t>
      </w:r>
    </w:p>
    <w:p>
      <w:pPr>
        <w:spacing w:after="0" w:line="193" w:lineRule="exact"/>
        <w:rPr>
          <w:rFonts w:ascii="Arial" w:cs="Arial" w:eastAsia="Arial" w:hAnsi="Arial"/>
          <w:sz w:val="18"/>
          <w:szCs w:val="18"/>
          <w:color w:val="auto"/>
        </w:rPr>
      </w:pPr>
    </w:p>
    <w:p>
      <w:pPr>
        <w:ind w:left="1560" w:hanging="256"/>
        <w:spacing w:after="0"/>
        <w:tabs>
          <w:tab w:leader="none" w:pos="1560" w:val="left"/>
        </w:tabs>
        <w:numPr>
          <w:ilvl w:val="2"/>
          <w:numId w:val="185"/>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The provisions of this Paragraph 31 shall survive the expiration or sooner termination of this Lease.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either Landlord or Tenant waives the performance of any term, covenant or condition contained in this Lease, such waiver shall not be deemed to be a waiver of any subsequent breach of the same or any other term, covenant or condition contained herein. The acceptance of Rent by Landlord shall not constitute a waiver of any preceding breach by Tenant of any term, covenant or condition of this Lease, regardless of Landlord’s knowledge of such preceding breach at the time Landlord accepted such Rent. Failure by Landlord to enforce any of the terms, covenants or conditions of this Lease for any length of time shall not be deemed to waive or to decrease the right of Landlord to insist thereafter upon strict performance by Tenant. Waiver by Landlord of any term, covenant or condition contained in this Lease may only be made by a written document signed by Landlord.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8" w:name="page209"/>
    <w:bookmarkEnd w:id="208"/>
    <w:p>
      <w:pPr>
        <w:ind w:left="1300" w:hanging="644"/>
        <w:spacing w:after="0"/>
        <w:tabs>
          <w:tab w:leader="none" w:pos="130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SURRENDER OF PREMISES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Upon the expiration or sooner termination of this Lease, Tenant shall surrender the Premises to Landlord, broom clean and without debris, with all machinery, equipment, furnishings and personal property removed therefrom, and in the same condition as received by Tenant except for ordinary wear and tear which Tenant was not otherwise obligated to remedy under any provision of this Lease. However, Tenant shall not be obligated to repair any damage which Landlord is required to repair under Paragraphs 22 and 23. In addition, Landlord may require Tenant to remove any Alterations (whether or not made with Landlord’s consent) prior to the termination of the Lease and to restore the Premises to its prior condition, all at Tenant’s expense. All Alterations which Landlord has not required Tenant to remove shall become Landlord’s property and shall be surrendered to Landlord upon the termination of the Lease, except that Tenant may remove (and shall remove if so required by Landlord) any of Tenant’s machinery or equipment which can be removed without material damage to the Premises. Tenant shall repair, at Tenant’s expense, any damage to the Premises or the Project caused by the removal of any such machinery or equipment. In no event, however, shall Tenant remove any of the following materials or equipment without Landlord’s prior written consent: any power wiring or power panels; lighting or lighting fixtures; wall coverings; drapes, blinds or other window coverings; carpets or other floor coverings; heaters, air conditioners or any other HVAC equipment; fencing or security gates; or other similar building operating equipment and decorations. Tenant shall give written notice to Landlord at least thirty (30) days’ prior to vacating the Premises and shall meet with Landlord for a joint inspection of the Premises at the time of vacating. In the event of Tenant’s failure to give such notice or participate in such joint inspection, Landlord’s inspection at or after Tenant’s vacating the Premises shall conclusively be deemed correct for purposes of determining Tenant’s responsibility for repairs and restoration.</w:t>
      </w:r>
    </w:p>
    <w:p>
      <w:pPr>
        <w:spacing w:after="0" w:line="167"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All notices, demands, consents and approvals which may or are required to be given by either party to the other hereunder shall be in writing and either personally delivered, sent by commercial overnight courier, or mailed, certified or registered, postage prepaid, and addressed to the party to be notified at the address(es) for such party as specified in the Basic Lease Information or to such other place as the party to be notified may from time to time designate by at least fifteen (15) days’ notice to the other party. Notices shall be deemed served upon receipt or refusal to accept delivery. Tenant appoints as its agent to receive the service of all default notices and notice of commencement of unlawful detainer proceedings the person in charge of or apparently in charge of occupying the Premises at the time, and if there is no such person, then such service may be made by attaching the same on the main entrance of the Premises.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9" w:name="page210"/>
    <w:bookmarkEnd w:id="209"/>
    <w:p>
      <w:pPr>
        <w:ind w:left="1300" w:hanging="644"/>
        <w:spacing w:after="0"/>
        <w:tabs>
          <w:tab w:leader="none" w:pos="13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ATTORNEYS’ FEES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Landlord places the enforcement of this Lease, or any part thereof, or the collection of any Rent due, or to become due hereunder, or recovery of possession of the Premises in the hands of an attorney, Tenant shall pay to Landlord, upon demand, Landlord’s reasonable attorneys’ fees and court costs. In any action which Landlord or Tenant brings to enforce its respective rights hereunder, the unsuccessful party shall pay all costs incurred by the prevailing party including reasonable attorneys’ fees, to be fixed by the court, and said costs and attorneys’ fees shall be a part of the judgment in said action. Tenant shall pay Landlord’s reasonable attorneys’ fees incurred in connection with Tenant’s request for Landlord’s consent under Paragraph 21 or in connection with any other act which Tenant proposes to do and which requires Landlord’s consent.</w:t>
      </w:r>
    </w:p>
    <w:p>
      <w:pPr>
        <w:spacing w:after="0" w:line="174" w:lineRule="exact"/>
        <w:rPr>
          <w:sz w:val="20"/>
          <w:szCs w:val="20"/>
          <w:color w:val="auto"/>
        </w:rPr>
      </w:pPr>
    </w:p>
    <w:p>
      <w:pPr>
        <w:ind w:left="1300" w:hanging="644"/>
        <w:spacing w:after="0"/>
        <w:tabs>
          <w:tab w:leader="none" w:pos="130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OF PARTIES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Landlord represents and warrants that it has full right and authority to enter into this Lease and to perform all of Landlord’s obligations hereunder.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Tenant represents and warrants that it has full right and authority to enter into this Lease and to perform all of Tenant’s obligations hereunder.</w:t>
      </w:r>
    </w:p>
    <w:p>
      <w:pPr>
        <w:spacing w:after="0" w:line="218"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Lease shall be binding upon and inure to the benefit of Landlord, its successors and assigns, and shall be binding upon and inure to the benefit of Tenant, its heirs, successors, and to the extent assignment is approved by Landlord hereunder, Tenant’s assigns.</w:t>
      </w:r>
    </w:p>
    <w:p>
      <w:pPr>
        <w:spacing w:after="0" w:line="166" w:lineRule="exact"/>
        <w:rPr>
          <w:sz w:val="20"/>
          <w:szCs w:val="20"/>
          <w:color w:val="auto"/>
        </w:rPr>
      </w:pPr>
    </w:p>
    <w:p>
      <w:pPr>
        <w:ind w:left="1300" w:hanging="644"/>
        <w:spacing w:after="0"/>
        <w:tabs>
          <w:tab w:leader="none" w:pos="130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Whenever a period of time is herein prescribed for action to be taken by Landlord, Landlord shall not be liable or responsible for, and there shall be excluded from the computation for any such period of time, any delays due to strikes, riots, acts of God, shortages of labor or materials, war, terrorism, governmental laws, regulations or restrictions or any other causes of any kind whatsoever which are beyond the control of Landlord.</w:t>
      </w:r>
    </w:p>
    <w:p>
      <w:pPr>
        <w:spacing w:after="0" w:line="161"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BROKERAGE COMMISSION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Landlord shall pay a brokerage commission to the Brokers identified in the Basic Lease Information in accordance with a separate agreement between Landlord and such Brokers. Tenant warrants to Landlord that Tenant’s sole contact with Landlord in connection with this transaction has been through such Brokers, and that no other broker or finder can properly claim a right to a commission or a finder’s fee based upon contacts between the claimant and Tenant with respect to the leasing of the Premises. Tenant shall indemnify, defend by counsel acceptable to Landlord, protect and hold Landlord harmless from and against any loss, cost or expense, including, but not limited to attorneys’ fees and costs, resulting from any claim for a fee or commission by any broker or finder in connection with the Premises and this Lease other than the Brokers identified in the Basic Lease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0" w:name="page211"/>
    <w:bookmarkEnd w:id="210"/>
    <w:p>
      <w:pPr>
        <w:ind w:left="1300" w:hanging="644"/>
        <w:spacing w:after="0"/>
        <w:tabs>
          <w:tab w:leader="none" w:pos="130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WAIVER OF TRIAL BY JURY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LANDLORD AND TENANT HEREBY KNOWINGLY, VOLUNTARILY AND INTENTIONALLY WAIVE THE RIGHT TO A TRIAL BY JURY IN RESPECT OF ANY LITIGATION BASED HEREON, ARISING OUT OF, UNDER OR IN CONNECTION WITH THIS LEASE OR ANY DOCUMENTS CONTEMPLATED TO BE EXECUTED IN CONNECTION HEREWITH OR ANY COURSE OF CONDUCT, COURSE OF DEALINGS, STATEMENTS (WHETHER ORAL OR WRITTEN) OR ACTIONS OF EITHER PARTY ARISING OUT OF OR RELATED IN ANY MANNER TO THE PREMISES (INCLUDING WITHOUT LIMITATION, ANY ACTION TO RESCIND OR CANCEL THIS LEASE OR ANY CLAIMS OR DEFENSES ASSERTING THAT THIS LEASE WAS FRAUDULENTLY INDUCED OR IS OTHERWISE VOID OR VOIDABLE). THIS WAIVER IS A MATERIAL INDUCEMENT FOR LANDLORD TO ENTER INTO AND ACCEPT THIS LEASE, AND SHALL SURVIVE THE EXPIRATION OR EARLIER TERMINATION OF THIS LEASE.</w:t>
      </w:r>
    </w:p>
    <w:p>
      <w:pPr>
        <w:spacing w:after="0" w:line="192"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SUBSTITUTION OF PREMISES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any time after execution of this Lease, Landlord may substitute for the Premises other premises in the Project (the “</w:t>
      </w:r>
      <w:r>
        <w:rPr>
          <w:rFonts w:ascii="Arial" w:cs="Arial" w:eastAsia="Arial" w:hAnsi="Arial"/>
          <w:sz w:val="16"/>
          <w:szCs w:val="16"/>
          <w:b w:val="1"/>
          <w:bCs w:val="1"/>
          <w:color w:val="auto"/>
        </w:rPr>
        <w:t>New Premises</w:t>
      </w:r>
      <w:r>
        <w:rPr>
          <w:rFonts w:ascii="Arial" w:cs="Arial" w:eastAsia="Arial" w:hAnsi="Arial"/>
          <w:sz w:val="16"/>
          <w:szCs w:val="16"/>
          <w:color w:val="auto"/>
        </w:rPr>
        <w:t>”) upon not less than sixty (60) days’ prior written notice, in which event the New Premises shall be deemed to be the Premises for all purposes hereunder; provided, however, that (i) the area of the Premises is less than twenty-five (25%) of the area of the Project; (ii) the New Premises shall be similar in area and in appropriateness for Tenant’s purpose; (iii) any such substitution is effected for the purpose of accommodating a tenant who will occupy all or a substantial portion of the Premises; and (iv) if Tenant is occupying the Premises at the time of such substitution, Landlord shall pay the expense of physically moving Tenant, Tenant’s property and equipment to the New Premises and shall, at Landlord’s sole cost, improve the New Premises with improvements substantially similar to those Landlord has committed to provide or has provided in the Premises. At Landlord’s request, Tenant will execute an amendment to this Lease memorializing the leasing of the New Premises and setting forth the correct data regarding the New Premises and the Rent payable therefor.</w:t>
      </w:r>
    </w:p>
    <w:p>
      <w:pPr>
        <w:spacing w:after="0" w:line="159" w:lineRule="exact"/>
        <w:rPr>
          <w:sz w:val="20"/>
          <w:szCs w:val="20"/>
          <w:color w:val="auto"/>
        </w:rPr>
      </w:pPr>
    </w:p>
    <w:p>
      <w:pPr>
        <w:ind w:left="1300" w:hanging="644"/>
        <w:spacing w:after="0"/>
        <w:tabs>
          <w:tab w:leader="none" w:pos="130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rFonts w:ascii="Arial" w:cs="Arial" w:eastAsia="Arial" w:hAnsi="Arial"/>
          <w:sz w:val="18"/>
          <w:szCs w:val="18"/>
          <w:b w:val="1"/>
          <w:bCs w:val="1"/>
          <w:color w:val="auto"/>
        </w:rPr>
      </w:pPr>
    </w:p>
    <w:p>
      <w:pPr>
        <w:jc w:val="both"/>
        <w:ind w:firstLine="1304"/>
        <w:spacing w:after="0" w:line="266" w:lineRule="auto"/>
        <w:tabs>
          <w:tab w:leader="none" w:pos="154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The term “Tenant” or any pronoun used in place thereof shall indicate and include the masculine or feminine, the singular or</w:t>
      </w:r>
      <w:r>
        <w:rPr>
          <w:rFonts w:ascii="Arial" w:cs="Arial" w:eastAsia="Arial" w:hAnsi="Arial"/>
          <w:sz w:val="18"/>
          <w:szCs w:val="18"/>
          <w:b w:val="1"/>
          <w:bCs w:val="1"/>
          <w:color w:val="auto"/>
        </w:rPr>
        <w:t xml:space="preserve"> </w:t>
      </w:r>
      <w:r>
        <w:rPr>
          <w:rFonts w:ascii="Arial" w:cs="Arial" w:eastAsia="Arial" w:hAnsi="Arial"/>
          <w:sz w:val="18"/>
          <w:szCs w:val="18"/>
          <w:color w:val="auto"/>
        </w:rPr>
        <w:t>plural number, individuals, firms or corporations, and their respective successors, heirs, executors, administrators and permitted assigns, according to the context hereof.</w:t>
      </w:r>
    </w:p>
    <w:p>
      <w:pPr>
        <w:spacing w:after="0" w:line="175" w:lineRule="exact"/>
        <w:rPr>
          <w:rFonts w:ascii="Arial" w:cs="Arial" w:eastAsia="Arial" w:hAnsi="Arial"/>
          <w:sz w:val="18"/>
          <w:szCs w:val="18"/>
          <w:color w:val="auto"/>
        </w:rPr>
      </w:pPr>
    </w:p>
    <w:p>
      <w:pPr>
        <w:ind w:left="1560" w:hanging="256"/>
        <w:spacing w:after="0"/>
        <w:tabs>
          <w:tab w:leader="none" w:pos="156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Time</w:t>
      </w:r>
      <w:r>
        <w:rPr>
          <w:rFonts w:ascii="Arial" w:cs="Arial" w:eastAsia="Arial" w:hAnsi="Arial"/>
          <w:sz w:val="18"/>
          <w:szCs w:val="18"/>
          <w:color w:val="auto"/>
        </w:rPr>
        <w:t>. Time is of the essence regarding this Lease and all of its provisions.</w:t>
      </w:r>
    </w:p>
    <w:p>
      <w:pPr>
        <w:spacing w:after="0" w:line="225" w:lineRule="exact"/>
        <w:rPr>
          <w:rFonts w:ascii="Arial" w:cs="Arial" w:eastAsia="Arial" w:hAnsi="Arial"/>
          <w:sz w:val="18"/>
          <w:szCs w:val="18"/>
          <w:color w:val="auto"/>
        </w:rPr>
      </w:pPr>
    </w:p>
    <w:p>
      <w:pPr>
        <w:ind w:left="1540" w:hanging="236"/>
        <w:spacing w:after="0"/>
        <w:tabs>
          <w:tab w:leader="none" w:pos="154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The laws of the State of Nevada shall in all respects govern this Lease.</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 The Exhibits attached hereto are hereby incorporated herein by this reference.</w:t>
      </w:r>
    </w:p>
    <w:p>
      <w:pPr>
        <w:spacing w:after="0" w:line="225" w:lineRule="exact"/>
        <w:rPr>
          <w:rFonts w:ascii="Arial" w:cs="Arial" w:eastAsia="Arial" w:hAnsi="Arial"/>
          <w:sz w:val="18"/>
          <w:szCs w:val="18"/>
          <w:color w:val="auto"/>
        </w:rPr>
      </w:pPr>
    </w:p>
    <w:p>
      <w:pPr>
        <w:jc w:val="both"/>
        <w:ind w:firstLine="1304"/>
        <w:spacing w:after="0" w:line="266" w:lineRule="auto"/>
        <w:tabs>
          <w:tab w:leader="none" w:pos="1567"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Lease, together with its Exhibits, contains all the agreements of the parties hereto and supersedes any</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 negotiations. There have been no representations made by Landlord or understandings made between the parties other than those set forth in this Lease and its Exhibits.</w:t>
      </w:r>
    </w:p>
    <w:p>
      <w:pPr>
        <w:spacing w:after="0" w:line="175" w:lineRule="exact"/>
        <w:rPr>
          <w:rFonts w:ascii="Arial" w:cs="Arial" w:eastAsia="Arial" w:hAnsi="Arial"/>
          <w:sz w:val="18"/>
          <w:szCs w:val="18"/>
          <w:color w:val="auto"/>
        </w:rPr>
      </w:pPr>
    </w:p>
    <w:p>
      <w:pPr>
        <w:ind w:left="1520" w:hanging="216"/>
        <w:spacing w:after="0"/>
        <w:tabs>
          <w:tab w:leader="none" w:pos="1520" w:val="left"/>
        </w:tabs>
        <w:numPr>
          <w:ilvl w:val="1"/>
          <w:numId w:val="196"/>
        </w:numPr>
        <w:rPr>
          <w:rFonts w:ascii="Arial" w:cs="Arial" w:eastAsia="Arial" w:hAnsi="Arial"/>
          <w:sz w:val="18"/>
          <w:szCs w:val="18"/>
          <w:color w:val="auto"/>
        </w:rPr>
      </w:pPr>
      <w:r>
        <w:rPr>
          <w:rFonts w:ascii="Arial" w:cs="Arial" w:eastAsia="Arial" w:hAnsi="Arial"/>
          <w:sz w:val="18"/>
          <w:szCs w:val="18"/>
          <w:b w:val="1"/>
          <w:bCs w:val="1"/>
          <w:color w:val="auto"/>
        </w:rPr>
        <w:t>Modifications</w:t>
      </w:r>
      <w:r>
        <w:rPr>
          <w:rFonts w:ascii="Arial" w:cs="Arial" w:eastAsia="Arial" w:hAnsi="Arial"/>
          <w:sz w:val="18"/>
          <w:szCs w:val="18"/>
          <w:color w:val="auto"/>
        </w:rPr>
        <w:t>. This Lease may not be modified except by a written instrument signed by the parties hereto.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1" w:name="page212"/>
    <w:bookmarkEnd w:id="211"/>
    <w:p>
      <w:pPr>
        <w:ind w:firstLine="1304"/>
        <w:spacing w:after="0" w:line="282" w:lineRule="auto"/>
        <w:tabs>
          <w:tab w:leader="none" w:pos="1578"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for any reason whatsoever, any of the provisions hereof shall be unenforceable or ineffective, all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shall be and remain in full force and effect.</w:t>
      </w:r>
    </w:p>
    <w:p>
      <w:pPr>
        <w:spacing w:after="0" w:line="161" w:lineRule="exact"/>
        <w:rPr>
          <w:rFonts w:ascii="Arial" w:cs="Arial" w:eastAsia="Arial" w:hAnsi="Arial"/>
          <w:sz w:val="18"/>
          <w:szCs w:val="18"/>
          <w:color w:val="auto"/>
        </w:rPr>
      </w:pPr>
    </w:p>
    <w:p>
      <w:pPr>
        <w:ind w:left="1560" w:hanging="256"/>
        <w:spacing w:after="0"/>
        <w:tabs>
          <w:tab w:leader="none" w:pos="1560"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Recordation</w:t>
      </w:r>
      <w:r>
        <w:rPr>
          <w:rFonts w:ascii="Arial" w:cs="Arial" w:eastAsia="Arial" w:hAnsi="Arial"/>
          <w:sz w:val="18"/>
          <w:szCs w:val="18"/>
          <w:color w:val="auto"/>
        </w:rPr>
        <w:t>. Tenant shall not record this Lease or a short form memorandum hereof.</w:t>
      </w:r>
    </w:p>
    <w:p>
      <w:pPr>
        <w:spacing w:after="0" w:line="225" w:lineRule="exact"/>
        <w:rPr>
          <w:rFonts w:ascii="Arial" w:cs="Arial" w:eastAsia="Arial" w:hAnsi="Arial"/>
          <w:sz w:val="18"/>
          <w:szCs w:val="18"/>
          <w:color w:val="auto"/>
        </w:rPr>
      </w:pPr>
    </w:p>
    <w:p>
      <w:pPr>
        <w:ind w:firstLine="1304"/>
        <w:spacing w:after="0" w:line="282" w:lineRule="auto"/>
        <w:tabs>
          <w:tab w:leader="none" w:pos="1538"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Examination of Lease</w:t>
      </w:r>
      <w:r>
        <w:rPr>
          <w:rFonts w:ascii="Arial" w:cs="Arial" w:eastAsia="Arial" w:hAnsi="Arial"/>
          <w:sz w:val="18"/>
          <w:szCs w:val="18"/>
          <w:color w:val="auto"/>
        </w:rPr>
        <w:t>. Submission of this Lease to Tenant does not constitute an option or offer to lease and this Lease is not</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otherwise until execution and delivery by both Landlord and Tenant.</w:t>
      </w:r>
    </w:p>
    <w:p>
      <w:pPr>
        <w:spacing w:after="0" w:line="161" w:lineRule="exact"/>
        <w:rPr>
          <w:rFonts w:ascii="Arial" w:cs="Arial" w:eastAsia="Arial" w:hAnsi="Arial"/>
          <w:sz w:val="18"/>
          <w:szCs w:val="18"/>
          <w:color w:val="auto"/>
        </w:rPr>
      </w:pPr>
    </w:p>
    <w:p>
      <w:pPr>
        <w:jc w:val="both"/>
        <w:ind w:firstLine="1304"/>
        <w:spacing w:after="0" w:line="266" w:lineRule="auto"/>
        <w:tabs>
          <w:tab w:leader="none" w:pos="1524"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Accord and Satisfaction</w:t>
      </w:r>
      <w:r>
        <w:rPr>
          <w:rFonts w:ascii="Arial" w:cs="Arial" w:eastAsia="Arial" w:hAnsi="Arial"/>
          <w:sz w:val="18"/>
          <w:szCs w:val="18"/>
          <w:color w:val="auto"/>
        </w:rPr>
        <w:t>. No payment by Tenant of a lesser amount than the Rent due nor any endorsement on any check or letter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any check or payment of Rent shall be deemed an accord and satisfaction of full payment of Rent, and Landlord may accept such payment without prejudice to Landlord’s right to recover the balance of such Rent or to pursue other remedies.</w:t>
      </w:r>
    </w:p>
    <w:p>
      <w:pPr>
        <w:spacing w:after="0" w:line="175" w:lineRule="exact"/>
        <w:rPr>
          <w:rFonts w:ascii="Arial" w:cs="Arial" w:eastAsia="Arial" w:hAnsi="Arial"/>
          <w:sz w:val="18"/>
          <w:szCs w:val="18"/>
          <w:color w:val="auto"/>
        </w:rPr>
      </w:pPr>
    </w:p>
    <w:p>
      <w:pPr>
        <w:ind w:left="1560" w:hanging="256"/>
        <w:spacing w:after="0"/>
        <w:tabs>
          <w:tab w:leader="none" w:pos="1560"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Joint and Several Liability</w:t>
      </w:r>
      <w:r>
        <w:rPr>
          <w:rFonts w:ascii="Arial" w:cs="Arial" w:eastAsia="Arial" w:hAnsi="Arial"/>
          <w:sz w:val="16"/>
          <w:szCs w:val="16"/>
          <w:color w:val="auto"/>
        </w:rPr>
        <w:t>. All parties signing this Lease as Tenant shall be jointly and severally liable for all obligations of Tenant.</w:t>
      </w:r>
    </w:p>
    <w:p>
      <w:pPr>
        <w:spacing w:after="0" w:line="248" w:lineRule="exact"/>
        <w:rPr>
          <w:rFonts w:ascii="Arial" w:cs="Arial" w:eastAsia="Arial" w:hAnsi="Arial"/>
          <w:sz w:val="16"/>
          <w:szCs w:val="16"/>
          <w:color w:val="auto"/>
        </w:rPr>
      </w:pPr>
    </w:p>
    <w:p>
      <w:pPr>
        <w:jc w:val="both"/>
        <w:ind w:firstLine="1304"/>
        <w:spacing w:after="0" w:line="314" w:lineRule="auto"/>
        <w:tabs>
          <w:tab w:leader="none" w:pos="1511"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Easements</w:t>
      </w:r>
      <w:r>
        <w:rPr>
          <w:rFonts w:ascii="Arial" w:cs="Arial" w:eastAsia="Arial" w:hAnsi="Arial"/>
          <w:sz w:val="16"/>
          <w:szCs w:val="16"/>
          <w:color w:val="auto"/>
        </w:rPr>
        <w:t>. Landlord may grant easements on or over the Project and dedicate for public use portions of the Project without Tenant’s</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provided that no such grant or dedication shall substantially interfere with Tenant’s use of the Premises. Upon Landlord’s demand, Tenant shall execute, acknowledge and deliver to Landlord documents, instruments, maps and plats necessary to effectuate Tenant’s covenants hereunder.</w:t>
      </w:r>
    </w:p>
    <w:p>
      <w:pPr>
        <w:spacing w:after="0" w:line="141" w:lineRule="exact"/>
        <w:rPr>
          <w:rFonts w:ascii="Arial" w:cs="Arial" w:eastAsia="Arial" w:hAnsi="Arial"/>
          <w:sz w:val="16"/>
          <w:szCs w:val="16"/>
          <w:color w:val="auto"/>
        </w:rPr>
      </w:pPr>
    </w:p>
    <w:p>
      <w:pPr>
        <w:jc w:val="both"/>
        <w:ind w:firstLine="1304"/>
        <w:spacing w:after="0" w:line="258" w:lineRule="auto"/>
        <w:tabs>
          <w:tab w:leader="none" w:pos="1601"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Drafting and Determination Presumption</w:t>
      </w:r>
      <w:r>
        <w:rPr>
          <w:rFonts w:ascii="Arial" w:cs="Arial" w:eastAsia="Arial" w:hAnsi="Arial"/>
          <w:sz w:val="18"/>
          <w:szCs w:val="18"/>
          <w:color w:val="auto"/>
        </w:rPr>
        <w:t>. The parties acknowledge that both parties have agreed to this Lease, that both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and Tenant have consulted with attorneys with respect to the terms of this Lease, and that no presumption shall be created against Landlord because Landlord drafted this Lease. Except as otherwise specifically set forth in this Lease, with respect to any consent, determination or estimation of Landlord required in this Lease or requested of Landlord, Landlord’s consent, determination or estimation shall be made in Landlord’s good faith opinion, whether objectively reasonable or unreasonable.</w:t>
      </w:r>
    </w:p>
    <w:p>
      <w:pPr>
        <w:spacing w:after="0" w:line="183" w:lineRule="exact"/>
        <w:rPr>
          <w:rFonts w:ascii="Arial" w:cs="Arial" w:eastAsia="Arial" w:hAnsi="Arial"/>
          <w:sz w:val="18"/>
          <w:szCs w:val="18"/>
          <w:color w:val="auto"/>
        </w:rPr>
      </w:pPr>
    </w:p>
    <w:p>
      <w:pPr>
        <w:jc w:val="both"/>
        <w:ind w:firstLine="1304"/>
        <w:spacing w:after="0" w:line="266" w:lineRule="auto"/>
        <w:tabs>
          <w:tab w:leader="none" w:pos="1564"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Counterparts and Electronic Signatures</w:t>
      </w:r>
      <w:r>
        <w:rPr>
          <w:rFonts w:ascii="Arial" w:cs="Arial" w:eastAsia="Arial" w:hAnsi="Arial"/>
          <w:sz w:val="18"/>
          <w:szCs w:val="18"/>
          <w:color w:val="auto"/>
        </w:rPr>
        <w:t>. This Lease may be executed in any number of counterparts, any or all of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contain the signature of any one of the Parties and all of which will be construed together as a single instrument. Electronic signatures on this Lease (or copies of signatures sent by electronic means) are the equivalent of handwritten signatures.</w:t>
      </w:r>
    </w:p>
    <w:p>
      <w:pPr>
        <w:spacing w:after="0" w:line="175" w:lineRule="exact"/>
        <w:rPr>
          <w:rFonts w:ascii="Arial" w:cs="Arial" w:eastAsia="Arial" w:hAnsi="Arial"/>
          <w:sz w:val="18"/>
          <w:szCs w:val="18"/>
          <w:color w:val="auto"/>
        </w:rPr>
      </w:pPr>
    </w:p>
    <w:p>
      <w:pPr>
        <w:ind w:right="20" w:firstLine="1304"/>
        <w:spacing w:after="0" w:line="282" w:lineRule="auto"/>
        <w:tabs>
          <w:tab w:leader="none" w:pos="1564" w:val="left"/>
        </w:tabs>
        <w:numPr>
          <w:ilvl w:val="0"/>
          <w:numId w:val="197"/>
        </w:numPr>
        <w:rPr>
          <w:rFonts w:ascii="Arial" w:cs="Arial" w:eastAsia="Arial" w:hAnsi="Arial"/>
          <w:sz w:val="18"/>
          <w:szCs w:val="18"/>
          <w:color w:val="auto"/>
        </w:rPr>
      </w:pPr>
      <w:r>
        <w:rPr>
          <w:rFonts w:ascii="Arial" w:cs="Arial" w:eastAsia="Arial" w:hAnsi="Arial"/>
          <w:sz w:val="18"/>
          <w:szCs w:val="18"/>
          <w:b w:val="1"/>
          <w:bCs w:val="1"/>
          <w:color w:val="auto"/>
        </w:rPr>
        <w:t>No Light, Air or View Easement</w:t>
      </w:r>
      <w:r>
        <w:rPr>
          <w:rFonts w:ascii="Arial" w:cs="Arial" w:eastAsia="Arial" w:hAnsi="Arial"/>
          <w:sz w:val="18"/>
          <w:szCs w:val="18"/>
          <w:color w:val="auto"/>
        </w:rPr>
        <w:t>. Any diminution or shutting off of light, air or view by any structure which may be erected on</w:t>
      </w:r>
      <w:r>
        <w:rPr>
          <w:rFonts w:ascii="Arial" w:cs="Arial" w:eastAsia="Arial" w:hAnsi="Arial"/>
          <w:sz w:val="18"/>
          <w:szCs w:val="18"/>
          <w:b w:val="1"/>
          <w:bCs w:val="1"/>
          <w:color w:val="auto"/>
        </w:rPr>
        <w:t xml:space="preserve"> </w:t>
      </w:r>
      <w:r>
        <w:rPr>
          <w:rFonts w:ascii="Arial" w:cs="Arial" w:eastAsia="Arial" w:hAnsi="Arial"/>
          <w:sz w:val="18"/>
          <w:szCs w:val="18"/>
          <w:color w:val="auto"/>
        </w:rPr>
        <w:t>lands adjacent to or in the vicinity of the Building shall in no way affect this Lease or impose any liability on Landlord.</w:t>
      </w:r>
    </w:p>
    <w:p>
      <w:pPr>
        <w:spacing w:after="0" w:line="161" w:lineRule="exact"/>
        <w:rPr>
          <w:rFonts w:ascii="Arial" w:cs="Arial" w:eastAsia="Arial" w:hAnsi="Arial"/>
          <w:sz w:val="18"/>
          <w:szCs w:val="18"/>
          <w:color w:val="auto"/>
        </w:rPr>
      </w:pPr>
    </w:p>
    <w:p>
      <w:pPr>
        <w:ind w:left="1580" w:hanging="276"/>
        <w:spacing w:after="0"/>
        <w:tabs>
          <w:tab w:leader="none" w:pos="1580" w:val="left"/>
        </w:tabs>
        <w:numPr>
          <w:ilvl w:val="0"/>
          <w:numId w:val="197"/>
        </w:numPr>
        <w:rPr>
          <w:rFonts w:ascii="Arial" w:cs="Arial" w:eastAsia="Arial" w:hAnsi="Arial"/>
          <w:sz w:val="16"/>
          <w:szCs w:val="16"/>
          <w:color w:val="auto"/>
        </w:rPr>
      </w:pPr>
      <w:r>
        <w:rPr>
          <w:rFonts w:ascii="Arial" w:cs="Arial" w:eastAsia="Arial" w:hAnsi="Arial"/>
          <w:sz w:val="16"/>
          <w:szCs w:val="16"/>
          <w:b w:val="1"/>
          <w:bCs w:val="1"/>
          <w:color w:val="auto"/>
        </w:rPr>
        <w:t>No Third Party Benefit</w:t>
      </w:r>
      <w:r>
        <w:rPr>
          <w:rFonts w:ascii="Arial" w:cs="Arial" w:eastAsia="Arial" w:hAnsi="Arial"/>
          <w:sz w:val="16"/>
          <w:szCs w:val="16"/>
          <w:color w:val="auto"/>
        </w:rPr>
        <w:t>. This Lease is a contract between Landlord and Tenant and nothing herein is intended to create any third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 benefit.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2" w:name="page213"/>
    <w:bookmarkEnd w:id="212"/>
    <w:p>
      <w:pPr>
        <w:jc w:val="both"/>
        <w:ind w:firstLine="1304"/>
        <w:spacing w:after="0" w:line="266" w:lineRule="auto"/>
        <w:tabs>
          <w:tab w:leader="none" w:pos="1551"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Non-Discrimination</w:t>
      </w:r>
      <w:r>
        <w:rPr>
          <w:rFonts w:ascii="Arial" w:cs="Arial" w:eastAsia="Arial" w:hAnsi="Arial"/>
          <w:sz w:val="18"/>
          <w:szCs w:val="18"/>
          <w:color w:val="auto"/>
        </w:rPr>
        <w:t>. Tenant hereby covenants to Landlord, and it is a condition to the continuance of this Lease, that there will be no</w:t>
      </w:r>
      <w:r>
        <w:rPr>
          <w:rFonts w:ascii="Arial" w:cs="Arial" w:eastAsia="Arial" w:hAnsi="Arial"/>
          <w:sz w:val="18"/>
          <w:szCs w:val="18"/>
          <w:b w:val="1"/>
          <w:bCs w:val="1"/>
          <w:color w:val="auto"/>
        </w:rPr>
        <w:t xml:space="preserve"> </w:t>
      </w:r>
      <w:r>
        <w:rPr>
          <w:rFonts w:ascii="Arial" w:cs="Arial" w:eastAsia="Arial" w:hAnsi="Arial"/>
          <w:sz w:val="18"/>
          <w:szCs w:val="18"/>
          <w:color w:val="auto"/>
        </w:rPr>
        <w:t>discrimination against, or segregation of, any person or group of persons on the basis of race, color, sex, creed, national origin or ancestry in the leasing, subleasing, transferring, occupancy or use of the Premises or any portion thereof.</w:t>
      </w:r>
    </w:p>
    <w:p>
      <w:pPr>
        <w:spacing w:after="0" w:line="175" w:lineRule="exact"/>
        <w:rPr>
          <w:rFonts w:ascii="Arial" w:cs="Arial" w:eastAsia="Arial" w:hAnsi="Arial"/>
          <w:sz w:val="18"/>
          <w:szCs w:val="18"/>
          <w:color w:val="auto"/>
        </w:rPr>
      </w:pPr>
    </w:p>
    <w:p>
      <w:pPr>
        <w:jc w:val="both"/>
        <w:ind w:firstLine="1304"/>
        <w:spacing w:after="0" w:line="256" w:lineRule="auto"/>
        <w:tabs>
          <w:tab w:leader="none" w:pos="1534"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OFAC Restrictions</w:t>
      </w:r>
      <w:r>
        <w:rPr>
          <w:rFonts w:ascii="Arial" w:cs="Arial" w:eastAsia="Arial" w:hAnsi="Arial"/>
          <w:sz w:val="18"/>
          <w:szCs w:val="18"/>
          <w:color w:val="auto"/>
        </w:rPr>
        <w:t>. Tenant warrants and represents to Landlord that Tenant is not, and shall not become, a person or entity with</w:t>
      </w:r>
      <w:r>
        <w:rPr>
          <w:rFonts w:ascii="Arial" w:cs="Arial" w:eastAsia="Arial" w:hAnsi="Arial"/>
          <w:sz w:val="18"/>
          <w:szCs w:val="18"/>
          <w:b w:val="1"/>
          <w:bCs w:val="1"/>
          <w:color w:val="auto"/>
        </w:rPr>
        <w:t xml:space="preserve"> </w:t>
      </w:r>
      <w:r>
        <w:rPr>
          <w:rFonts w:ascii="Arial" w:cs="Arial" w:eastAsia="Arial" w:hAnsi="Arial"/>
          <w:sz w:val="18"/>
          <w:szCs w:val="18"/>
          <w:color w:val="auto"/>
        </w:rPr>
        <w:t>whom Landlord is restricted from doing business under regulations of the Office of Foreign Asset Control (“</w:t>
      </w:r>
      <w:r>
        <w:rPr>
          <w:rFonts w:ascii="Arial" w:cs="Arial" w:eastAsia="Arial" w:hAnsi="Arial"/>
          <w:sz w:val="18"/>
          <w:szCs w:val="18"/>
          <w:b w:val="1"/>
          <w:bCs w:val="1"/>
          <w:color w:val="auto"/>
        </w:rPr>
        <w:t>OFAC</w:t>
      </w:r>
      <w:r>
        <w:rPr>
          <w:rFonts w:ascii="Arial" w:cs="Arial" w:eastAsia="Arial" w:hAnsi="Arial"/>
          <w:sz w:val="18"/>
          <w:szCs w:val="18"/>
          <w:color w:val="auto"/>
        </w:rPr>
        <w:t>”) of the Department of the Treasury (including, but not limited to, those named on OFAC’S Specially Designated and Blocked Persons list) or under any statute, executive order (including, but not limited to, the September 24, 2001 Executive Order Blocking Property and Prohibiting Transactions With Persons Who Commit, Threaten to Commit, or Support Terrorism), or other governmental action, and is not and shall not engage in any dealings or transaction or be otherwise associated with such persons or entities.</w:t>
      </w:r>
    </w:p>
    <w:p>
      <w:pPr>
        <w:spacing w:after="0" w:line="187" w:lineRule="exact"/>
        <w:rPr>
          <w:rFonts w:ascii="Arial" w:cs="Arial" w:eastAsia="Arial" w:hAnsi="Arial"/>
          <w:sz w:val="18"/>
          <w:szCs w:val="18"/>
          <w:color w:val="auto"/>
        </w:rPr>
      </w:pPr>
    </w:p>
    <w:p>
      <w:pPr>
        <w:jc w:val="both"/>
        <w:ind w:firstLine="1304"/>
        <w:spacing w:after="0" w:line="303" w:lineRule="auto"/>
        <w:tabs>
          <w:tab w:leader="none" w:pos="1531" w:val="left"/>
        </w:tabs>
        <w:numPr>
          <w:ilvl w:val="0"/>
          <w:numId w:val="198"/>
        </w:numPr>
        <w:rPr>
          <w:rFonts w:ascii="Arial" w:cs="Arial" w:eastAsia="Arial" w:hAnsi="Arial"/>
          <w:sz w:val="16"/>
          <w:szCs w:val="16"/>
          <w:color w:val="auto"/>
        </w:rPr>
      </w:pPr>
      <w:r>
        <w:rPr>
          <w:rFonts w:ascii="Arial" w:cs="Arial" w:eastAsia="Arial" w:hAnsi="Arial"/>
          <w:sz w:val="16"/>
          <w:szCs w:val="16"/>
          <w:b w:val="1"/>
          <w:bCs w:val="1"/>
          <w:color w:val="auto"/>
        </w:rPr>
        <w:t>Landlord Lien Waiver</w:t>
      </w:r>
      <w:r>
        <w:rPr>
          <w:rFonts w:ascii="Arial" w:cs="Arial" w:eastAsia="Arial" w:hAnsi="Arial"/>
          <w:sz w:val="16"/>
          <w:szCs w:val="16"/>
          <w:color w:val="auto"/>
        </w:rPr>
        <w:t>. Landlord agrees that, upon request of Tenant, Landlord will subordinate its security interest and Landlord’s</w:t>
      </w:r>
      <w:r>
        <w:rPr>
          <w:rFonts w:ascii="Arial" w:cs="Arial" w:eastAsia="Arial" w:hAnsi="Arial"/>
          <w:sz w:val="16"/>
          <w:szCs w:val="16"/>
          <w:b w:val="1"/>
          <w:bCs w:val="1"/>
          <w:color w:val="auto"/>
        </w:rPr>
        <w:t xml:space="preserve"> </w:t>
      </w:r>
      <w:r>
        <w:rPr>
          <w:rFonts w:ascii="Arial" w:cs="Arial" w:eastAsia="Arial" w:hAnsi="Arial"/>
          <w:sz w:val="16"/>
          <w:szCs w:val="16"/>
          <w:color w:val="auto"/>
        </w:rPr>
        <w:t>lien to the security interest of Tenant’s institutional financial source with respect to the specified collateral covered by the security interest, provided that such parties accept Landlord’s standard landlord lien waiver agreement without material modification. Tn the event Tenant or such institutional financial source elects to negotiate Landlord’s form of agreement, Tenant shall reimburse Landlord for all legal fees incurred by Landlord in conjunction therewith.</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GENERAL LEASE TERMS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INDUSTRIAL LEASE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THIS FIRST AMENDMENT TO INDUSTRIAL LEASE dated March 12, 2020 (this “First Amendment”), is entered into by and between </w:t>
      </w:r>
      <w:r>
        <w:rPr>
          <w:rFonts w:ascii="Arial" w:cs="Arial" w:eastAsia="Arial" w:hAnsi="Arial"/>
          <w:sz w:val="18"/>
          <w:szCs w:val="18"/>
          <w:b w:val="1"/>
          <w:bCs w:val="1"/>
          <w:color w:val="auto"/>
        </w:rPr>
        <w:t>BRE</w:t>
      </w:r>
      <w:r>
        <w:rPr>
          <w:rFonts w:ascii="Arial" w:cs="Arial" w:eastAsia="Arial" w:hAnsi="Arial"/>
          <w:sz w:val="18"/>
          <w:szCs w:val="18"/>
          <w:color w:val="auto"/>
        </w:rPr>
        <w:t xml:space="preserve"> </w:t>
      </w:r>
      <w:r>
        <w:rPr>
          <w:rFonts w:ascii="Arial" w:cs="Arial" w:eastAsia="Arial" w:hAnsi="Arial"/>
          <w:sz w:val="18"/>
          <w:szCs w:val="18"/>
          <w:b w:val="1"/>
          <w:bCs w:val="1"/>
          <w:color w:val="auto"/>
        </w:rPr>
        <w:t>RS GREG PARK OWNER LLC</w:t>
      </w:r>
      <w:r>
        <w:rPr>
          <w:rFonts w:ascii="Arial" w:cs="Arial" w:eastAsia="Arial" w:hAnsi="Arial"/>
          <w:sz w:val="18"/>
          <w:szCs w:val="18"/>
          <w:color w:val="auto"/>
        </w:rPr>
        <w:t>, a Delaware limited liability company (“Landlord”), and</w:t>
      </w:r>
      <w:r>
        <w:rPr>
          <w:rFonts w:ascii="Arial" w:cs="Arial" w:eastAsia="Arial" w:hAnsi="Arial"/>
          <w:sz w:val="18"/>
          <w:szCs w:val="18"/>
          <w:b w:val="1"/>
          <w:bCs w:val="1"/>
          <w:color w:val="auto"/>
        </w:rPr>
        <w:t xml:space="preserve"> DRAGONFLY ENERGY CORP.</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(“Tenant”), with reference to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Northwestern Mutual Life Insurance Company, a Wisconsin corporation, dba Sparks Industrial (“Original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entered into that certain Industrial Lease dated April 25, 2019 (the “Lease”), for the lease of certain premises (the “Original Premises”) consisting of approximately 15,200 square feet, commonly known as Suites 101-102 in the building located at 1355 Greg Street, Sparks, Nevada (“Building C”). Landlord is the successor-in-interest to Original Landlord under the Lease. All capitalized terms used herein and not otherwise defined herein shall have the meanings ascribed to such terms in the Lease; and</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Landlord and Tenant desire by this First Amendment to amend the Lease in order to, among other things, (a) expand the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leased by Tenant under the Lease to include certain additional premises (the “Additional Premises”), consisting of approximately 5,025 square feet, commonly known as Suite 103 in the building located at 1335 Greg Street, Sparks, Nevada (“Building D”); (b) provide for the Rent to be paid by Tenant for the Additional Premises during the remainder of the original Term; and (c) further amend, modify and supplement the Lease as set forth herein.</w:t>
      </w:r>
    </w:p>
    <w:p>
      <w:pPr>
        <w:spacing w:after="0" w:line="15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Expanded Premises (as defined below)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Landlord and Tenant hereby agree as follows:</w:t>
      </w:r>
    </w:p>
    <w:p>
      <w:pPr>
        <w:spacing w:after="0" w:line="162" w:lineRule="exact"/>
        <w:rPr>
          <w:sz w:val="20"/>
          <w:szCs w:val="20"/>
          <w:color w:val="auto"/>
        </w:rPr>
      </w:pPr>
    </w:p>
    <w:p>
      <w:pPr>
        <w:ind w:left="840" w:hanging="184"/>
        <w:spacing w:after="0"/>
        <w:tabs>
          <w:tab w:leader="none" w:pos="840" w:val="left"/>
        </w:tabs>
        <w:numPr>
          <w:ilvl w:val="0"/>
          <w:numId w:val="199"/>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The Recitals set forth above are incorporated herein as though set forth in full herein.</w:t>
      </w:r>
    </w:p>
    <w:p>
      <w:pPr>
        <w:spacing w:after="0" w:line="225" w:lineRule="exact"/>
        <w:rPr>
          <w:rFonts w:ascii="Arial" w:cs="Arial" w:eastAsia="Arial" w:hAnsi="Arial"/>
          <w:sz w:val="18"/>
          <w:szCs w:val="18"/>
          <w:color w:val="auto"/>
        </w:rPr>
      </w:pPr>
    </w:p>
    <w:p>
      <w:pPr>
        <w:jc w:val="both"/>
        <w:ind w:firstLine="656"/>
        <w:spacing w:after="0" w:line="291" w:lineRule="auto"/>
        <w:tabs>
          <w:tab w:leader="none" w:pos="828" w:val="left"/>
        </w:tabs>
        <w:numPr>
          <w:ilvl w:val="0"/>
          <w:numId w:val="199"/>
        </w:numPr>
        <w:rPr>
          <w:rFonts w:ascii="Arial" w:cs="Arial" w:eastAsia="Arial" w:hAnsi="Arial"/>
          <w:sz w:val="16"/>
          <w:szCs w:val="16"/>
          <w:color w:val="auto"/>
        </w:rPr>
      </w:pPr>
      <w:r>
        <w:rPr>
          <w:rFonts w:ascii="Arial" w:cs="Arial" w:eastAsia="Arial" w:hAnsi="Arial"/>
          <w:sz w:val="16"/>
          <w:szCs w:val="16"/>
          <w:b w:val="1"/>
          <w:bCs w:val="1"/>
          <w:u w:val="single" w:color="auto"/>
          <w:color w:val="auto"/>
        </w:rPr>
        <w:t>Expansion of the Original Premises</w:t>
      </w:r>
      <w:r>
        <w:rPr>
          <w:rFonts w:ascii="Arial" w:cs="Arial" w:eastAsia="Arial" w:hAnsi="Arial"/>
          <w:sz w:val="16"/>
          <w:szCs w:val="16"/>
          <w:color w:val="auto"/>
        </w:rPr>
        <w:t>. Commencing on May 1, 2020 (the “Expansion Date”), Landlord shall lease to Tenant, and Tenant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lease from Landlord, the Additional Premises, as shown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 by this reference, upon all of the terms and conditions of the Lease except as otherwise set forth herein. The Lease is hereby amended such that, from and after the Expansion Date, all references in the Lease to the “Premises” shall mean and refer to the entirety of the space in the Original Premises and the Additional Premises, which is approximately 20,225 square feet (the entirety of such space is referred to herein as the “Expanded Premises”). From and after the Expansion Date, all references in the Lease to the Building shall mean (a) Building C with respect to the Original Premises, and (b) Building D with respect to the Additional Premises. Notwithstanding anything to the contrary contained herein, Landlord shall not be obligated to deliver possession of the Additional Premises to Tenant until Tenant has provided to Landlord evidence of liability and property insurance coverage covering the Additional Premises pursuant to Section 8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4" w:name="page215"/>
    <w:bookmarkEnd w:id="214"/>
    <w:p>
      <w:pPr>
        <w:jc w:val="both"/>
        <w:ind w:firstLine="656"/>
        <w:spacing w:after="0" w:line="266" w:lineRule="auto"/>
        <w:tabs>
          <w:tab w:leader="none" w:pos="828"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the Additional Premises</w:t>
      </w:r>
      <w:r>
        <w:rPr>
          <w:rFonts w:ascii="Arial" w:cs="Arial" w:eastAsia="Arial" w:hAnsi="Arial"/>
          <w:sz w:val="18"/>
          <w:szCs w:val="18"/>
          <w:color w:val="auto"/>
        </w:rPr>
        <w:t>. Landlord and Tenant agree that in addition to paying all other Rent due under the Lease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Base Rent for the Original Premises), commencing on the Expansion Date and continuing during the remainder of the original Term, Tenant shall pay monthly Base Rent for the Additional Premises in accordance with the following schedule: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Period</w:t>
            </w:r>
          </w:p>
        </w:tc>
        <w:tc>
          <w:tcPr>
            <w:tcW w:w="2140" w:type="dxa"/>
            <w:vAlign w:val="bottom"/>
            <w:gridSpan w:val="4"/>
          </w:tcPr>
          <w:p>
            <w:pPr>
              <w:ind w:left="160"/>
              <w:spacing w:after="0"/>
              <w:rPr>
                <w:sz w:val="20"/>
                <w:szCs w:val="20"/>
                <w:color w:val="auto"/>
              </w:rPr>
            </w:pPr>
            <w:r>
              <w:rPr>
                <w:rFonts w:ascii="Arial" w:cs="Arial" w:eastAsia="Arial" w:hAnsi="Arial"/>
                <w:sz w:val="18"/>
                <w:szCs w:val="18"/>
                <w:color w:val="auto"/>
              </w:rPr>
              <w:t>Monthly Base Rent</w:t>
            </w:r>
          </w:p>
        </w:tc>
      </w:tr>
      <w:tr>
        <w:trPr>
          <w:trHeight w:val="216"/>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 2020 – April 30, 2021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May 1, 2021 – April 30, 2022</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4,140.60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May 1, 2022 – April 30, 2023</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4,264.82</w:t>
            </w:r>
          </w:p>
        </w:tc>
        <w:tc>
          <w:tcPr>
            <w:tcW w:w="80" w:type="dxa"/>
            <w:vAlign w:val="bottom"/>
            <w:shd w:val="clear" w:color="auto" w:fill="CCEEFF"/>
          </w:tcPr>
          <w:p>
            <w:pPr>
              <w:spacing w:after="0"/>
              <w:rPr>
                <w:sz w:val="18"/>
                <w:szCs w:val="18"/>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May 1, 2023 – April 30, 2024</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4,392.76</w:t>
            </w:r>
          </w:p>
        </w:tc>
        <w:tc>
          <w:tcPr>
            <w:tcW w:w="80" w:type="dxa"/>
            <w:vAlign w:val="bottom"/>
          </w:tcPr>
          <w:p>
            <w:pPr>
              <w:spacing w:after="0"/>
              <w:rPr>
                <w:sz w:val="20"/>
                <w:szCs w:val="20"/>
                <w:color w:val="auto"/>
              </w:rPr>
            </w:pPr>
          </w:p>
        </w:tc>
      </w:tr>
    </w:tbl>
    <w:p>
      <w:pPr>
        <w:spacing w:after="0" w:line="183" w:lineRule="exact"/>
        <w:rPr>
          <w:sz w:val="20"/>
          <w:szCs w:val="20"/>
          <w:color w:val="auto"/>
        </w:rPr>
      </w:pPr>
    </w:p>
    <w:p>
      <w:pPr>
        <w:jc w:val="both"/>
        <w:ind w:firstLine="656"/>
        <w:spacing w:after="0" w:line="266" w:lineRule="auto"/>
        <w:tabs>
          <w:tab w:leader="none" w:pos="828" w:val="left"/>
        </w:tabs>
        <w:numPr>
          <w:ilvl w:val="0"/>
          <w:numId w:val="201"/>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Proportionate Share of Building D</w:t>
      </w:r>
      <w:r>
        <w:rPr>
          <w:rFonts w:ascii="Arial" w:cs="Arial" w:eastAsia="Arial" w:hAnsi="Arial"/>
          <w:sz w:val="18"/>
          <w:szCs w:val="18"/>
          <w:color w:val="auto"/>
        </w:rPr>
        <w:t>. For purposes of calculating Tenant’s Proportionate Share of Basic Operating Cost for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D, from and after the Expansion Date, Tenant’s Proportionate Share of Building D shall be 8.28%. Tenant’s Share is based upon Building D containing approximately 60,674 square feet.</w:t>
      </w:r>
    </w:p>
    <w:p>
      <w:pPr>
        <w:spacing w:after="0" w:line="175" w:lineRule="exact"/>
        <w:rPr>
          <w:rFonts w:ascii="Arial" w:cs="Arial" w:eastAsia="Arial" w:hAnsi="Arial"/>
          <w:sz w:val="18"/>
          <w:szCs w:val="18"/>
          <w:color w:val="auto"/>
        </w:rPr>
      </w:pPr>
    </w:p>
    <w:p>
      <w:pPr>
        <w:jc w:val="both"/>
        <w:ind w:firstLine="656"/>
        <w:spacing w:after="0" w:line="284" w:lineRule="auto"/>
        <w:tabs>
          <w:tab w:leader="none" w:pos="841" w:val="left"/>
        </w:tabs>
        <w:numPr>
          <w:ilvl w:val="0"/>
          <w:numId w:val="201"/>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 of the Expanded Premises</w:t>
      </w:r>
      <w:r>
        <w:rPr>
          <w:rFonts w:ascii="Arial" w:cs="Arial" w:eastAsia="Arial" w:hAnsi="Arial"/>
          <w:sz w:val="16"/>
          <w:szCs w:val="16"/>
          <w:color w:val="auto"/>
        </w:rPr>
        <w:t>. Tenant acknowledges that it has been and continues to be in possession of the Original Premises, is</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the condition of the Original Premises and accepts the Original Premises in its presently existing, “as is” condition, with all faults and without representation, warranty or improvements by Landlord of any kind whatsoever. Except as expressly provided in this First Amendment, Tenant hereby agrees that the Additional Premises shall be taken “as is”, “with all faults”, “without any representations or warranties.” Tenant hereby acknowledges that it has had an opportunity to investigate and inspect the condition the Additional Premises and the suitability of same for Tenant’s purposes, and Tenant does hereby waive and disclaim any objection to, cause of action based upon, or claim that its obligations hereunder should be reduced or limited because of the condition of the Additional Premises, the Building or the Project or the suitability of same for Tenant’s purposes. Tenant acknowledges that neither Landlord nor any agent nor any employee of Landlord has made any representations or warranty with respect to the Additional Premises, the Building or the Project or with respect to the suitability of either for the conduct of Tenant’s business and Tenant expressly warrants and represents that Tenant has relied solely on its own investigation and inspection of the Additional Premises, the Building and the Project in its decision to enter into this First Amendment and let the Additional Premises in an “as is” condition. No promise of Landlord to alter, remodel, repair, or improve the Additional Premises, the Original Premises, or the Project, and no representation, express or implied, respecting any matter or thing relating to the Additional Premises, the Original Premises, the Project, or this First Amendment (including, without limitation, the condition of the Additional Premises, the Original Premises or the Project) has been made to Tenant by Landlord or its broker or sales agent other than as may be contained in the Lease or this First Amendment. Notwithstanding the foregoing, Landlord shall deliver the Additional Premises to Tenant broom clean and free of debris on the Expansion Date, with the existing mechanical, plumbing and electrical systems serving the Additional Premises in good operating condition on the Expansion Date and Landlord warrants that all heaters and mechanical systems serving the Additional Premises (the “Heaters and Mechanical Systems”) shall continue to operate in good working order for the period ending on the date sixty (60) days after the Expansion Date (the “Warranty Period”), except to the extent such failure in the Heaters and Mechanical Systems to operate in good working order is caused by Tenant’s use or alterations to the Additional Premises or failure to properly maintain the Heaters and Mechanical Systems as required by this Lease. If a non-compliance with the foregoing warranty exists as of the Expansion Date, Landlord shall, except as otherwise provided in the Lease, promptly after receipt of written notice from Tenant setting forth with specificity the nature and extent of such non-compliance, commence to rectify same at Landlord’s expense. If Tenant does not give Landlord written notice of a non-compliance with this warranty within thirty (30) days after the Expansion Date, correction of that non-compliance shall be the obligation of Tenant at Tenant’s sole cost and expense. If a non- compliance with the Heaters and Mechanical Systems warranty exists at any time prior to the expiration of the Warranty Period, Landlord shall, except as otherwise provided in this Lease, promptly after receipt of written notice from Tenant setting forth with specificity the nature and extent of such non-compliance, commence to rectify same at Landlord’s expense. If Tenant does not give Landlord written notice of a non-compliance on or before the expiration of the Warranty Period, correction of that non-compliance shall be the obligation of Tenant at Tenant’s sole cost and expense. In addition, Landlord shall, at Landlord’s sole cost and expense and using Building standard industrial materials, perform the following improvements to the Additional Premises:</w:t>
      </w:r>
    </w:p>
    <w:p>
      <w:pPr>
        <w:spacing w:after="0" w:line="387" w:lineRule="exact"/>
        <w:rPr>
          <w:rFonts w:ascii="Arial" w:cs="Arial" w:eastAsia="Arial" w:hAnsi="Arial"/>
          <w:sz w:val="16"/>
          <w:szCs w:val="16"/>
          <w:color w:val="auto"/>
        </w:rPr>
      </w:pPr>
    </w:p>
    <w:p>
      <w:pPr>
        <w:jc w:val="both"/>
        <w:ind w:firstLine="1304"/>
        <w:spacing w:after="0" w:line="263" w:lineRule="auto"/>
        <w:tabs>
          <w:tab w:leader="none" w:pos="155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repaint all painted walls in the office portion of the Additional Premises, including restrooms; (b) install new flooring in the office portion of the Additional Premises, including restrooms; (c) install a new water faucet in break area; (d) install a new toilet in the restroom; and (d) repair all warehouse walls and paint the walls white.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5" w:name="page216"/>
    <w:bookmarkEnd w:id="215"/>
    <w:p>
      <w:pPr>
        <w:jc w:val="both"/>
        <w:ind w:firstLine="656"/>
        <w:spacing w:after="0" w:line="281" w:lineRule="auto"/>
        <w:tabs>
          <w:tab w:leader="none" w:pos="828" w:val="left"/>
        </w:tabs>
        <w:numPr>
          <w:ilvl w:val="0"/>
          <w:numId w:val="202"/>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Security Deposit</w:t>
      </w:r>
      <w:r>
        <w:rPr>
          <w:rFonts w:ascii="Arial" w:cs="Arial" w:eastAsia="Arial" w:hAnsi="Arial"/>
          <w:sz w:val="17"/>
          <w:szCs w:val="17"/>
          <w:color w:val="auto"/>
        </w:rPr>
        <w:t>. Concurrently with the execution and delivery of this First Amendment by Tenant, Tenant shall pay to Landlord the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Five Thousand Three Hundred Forty Seven and 51/100 Dollars ($5,347.51) to increase the Security Deposit being held by Landlord under the Lease. Effective as of the date of this First Amendment, the Lease shall be amended by replacing all references to the existing amount of the Security Deposit with the amount of Nineteen Thousand Fifty One and 54/100 Dollars ($19,051.54), the increased amount of the Security Deposit.</w:t>
      </w:r>
    </w:p>
    <w:p>
      <w:pPr>
        <w:spacing w:after="0" w:line="164" w:lineRule="exact"/>
        <w:rPr>
          <w:rFonts w:ascii="Arial" w:cs="Arial" w:eastAsia="Arial" w:hAnsi="Arial"/>
          <w:sz w:val="17"/>
          <w:szCs w:val="17"/>
          <w:color w:val="auto"/>
        </w:rPr>
      </w:pPr>
    </w:p>
    <w:p>
      <w:pPr>
        <w:ind w:firstLine="656"/>
        <w:spacing w:after="0" w:line="282" w:lineRule="auto"/>
        <w:tabs>
          <w:tab w:leader="none" w:pos="828"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to Extend</w:t>
      </w:r>
      <w:r>
        <w:rPr>
          <w:rFonts w:ascii="Arial" w:cs="Arial" w:eastAsia="Arial" w:hAnsi="Arial"/>
          <w:sz w:val="18"/>
          <w:szCs w:val="18"/>
          <w:color w:val="auto"/>
        </w:rPr>
        <w:t>. Tenant shall continue to have the Option to extend the Term set forth in Exhibit D attached to the Lease,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must be exercised for the entire Expanded Premises.</w:t>
      </w:r>
    </w:p>
    <w:p>
      <w:pPr>
        <w:spacing w:after="0" w:line="161" w:lineRule="exact"/>
        <w:rPr>
          <w:rFonts w:ascii="Arial" w:cs="Arial" w:eastAsia="Arial" w:hAnsi="Arial"/>
          <w:sz w:val="18"/>
          <w:szCs w:val="18"/>
          <w:color w:val="auto"/>
        </w:rPr>
      </w:pPr>
    </w:p>
    <w:p>
      <w:pPr>
        <w:jc w:val="both"/>
        <w:ind w:firstLine="656"/>
        <w:spacing w:after="0" w:line="266" w:lineRule="auto"/>
        <w:tabs>
          <w:tab w:leader="none" w:pos="828" w:val="left"/>
        </w:tabs>
        <w:numPr>
          <w:ilvl w:val="0"/>
          <w:numId w:val="202"/>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In addition to the parking spaces allocated to Tenant in connection with Tenant’s lease of the Original Premises, Tenant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use an additional six (6) unreserved parking spaces in the parking area for Building D in connection with Tenant’s lease of the Additional Premises, subject to the terms and conditions of the Lease.</w:t>
      </w:r>
    </w:p>
    <w:p>
      <w:pPr>
        <w:spacing w:after="0" w:line="175" w:lineRule="exact"/>
        <w:rPr>
          <w:rFonts w:ascii="Arial" w:cs="Arial" w:eastAsia="Arial" w:hAnsi="Arial"/>
          <w:sz w:val="18"/>
          <w:szCs w:val="18"/>
          <w:color w:val="auto"/>
        </w:rPr>
      </w:pPr>
    </w:p>
    <w:p>
      <w:pPr>
        <w:jc w:val="both"/>
        <w:ind w:firstLine="656"/>
        <w:spacing w:after="0" w:line="314" w:lineRule="auto"/>
        <w:tabs>
          <w:tab w:leader="none" w:pos="828" w:val="left"/>
        </w:tabs>
        <w:numPr>
          <w:ilvl w:val="0"/>
          <w:numId w:val="202"/>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Insurance Requirements</w:t>
      </w:r>
      <w:r>
        <w:rPr>
          <w:rFonts w:ascii="Arial" w:cs="Arial" w:eastAsia="Arial" w:hAnsi="Arial"/>
          <w:sz w:val="16"/>
          <w:szCs w:val="16"/>
          <w:color w:val="auto"/>
        </w:rPr>
        <w:t>. Notwithstanding anything to the contrary contained in the Lease, the insurance policies required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Lease shall contain an endorsement specifically naming the following as additional insureds: any ground lessor, any holder of a mortgage or deed of trust which affects the Building, any property management company of Landlord for the Building, and any other party designated by Landlord.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6" w:name="page217"/>
    <w:bookmarkEnd w:id="216"/>
    <w:p>
      <w:pPr>
        <w:ind w:left="660"/>
        <w:spacing w:after="0"/>
        <w:rPr>
          <w:sz w:val="20"/>
          <w:szCs w:val="20"/>
          <w:color w:val="auto"/>
        </w:rPr>
      </w:pPr>
      <w:r>
        <w:rPr>
          <w:rFonts w:ascii="Arial" w:cs="Arial" w:eastAsia="Arial" w:hAnsi="Arial"/>
          <w:sz w:val="16"/>
          <w:szCs w:val="16"/>
          <w:color w:val="auto"/>
        </w:rPr>
        <w:t xml:space="preserve">10. </w:t>
      </w:r>
      <w:r>
        <w:rPr>
          <w:rFonts w:ascii="Arial" w:cs="Arial" w:eastAsia="Arial" w:hAnsi="Arial"/>
          <w:sz w:val="16"/>
          <w:szCs w:val="16"/>
          <w:b w:val="1"/>
          <w:bCs w:val="1"/>
          <w:u w:val="single" w:color="auto"/>
          <w:color w:val="auto"/>
        </w:rPr>
        <w:t>Landlord’s Address for Notices</w:t>
      </w:r>
      <w:r>
        <w:rPr>
          <w:rFonts w:ascii="Arial" w:cs="Arial" w:eastAsia="Arial" w:hAnsi="Arial"/>
          <w:sz w:val="16"/>
          <w:szCs w:val="16"/>
          <w:color w:val="auto"/>
        </w:rPr>
        <w:t>. The address for notices to Landlord under the Lease is hereby amended as follows:</w:t>
      </w:r>
    </w:p>
    <w:p>
      <w:pPr>
        <w:sectPr>
          <w:pgSz w:w="11900" w:h="16838" w:orient="portrait"/>
          <w:cols w:equalWidth="0" w:num="1">
            <w:col w:w="11240"/>
          </w:cols>
          <w:pgMar w:left="320" w:top="661" w:right="3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Landlord’s Notice Address: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BRE RS Greg Park Owner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Link Industrial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 Park Avenue, 32nd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1006 Attn: General Counsel</w:t>
      </w:r>
    </w:p>
    <w:p>
      <w:pPr>
        <w:spacing w:after="0" w:line="200" w:lineRule="exact"/>
        <w:rPr>
          <w:sz w:val="20"/>
          <w:szCs w:val="20"/>
          <w:color w:val="auto"/>
        </w:rPr>
      </w:pPr>
    </w:p>
    <w:p>
      <w:pPr>
        <w:sectPr>
          <w:pgSz w:w="11900" w:h="16838" w:orient="portrait"/>
          <w:cols w:equalWidth="0" w:num="2">
            <w:col w:w="2900" w:space="720"/>
            <w:col w:w="7620"/>
          </w:cols>
          <w:pgMar w:left="320" w:top="661" w:right="339" w:bottom="1440" w:gutter="0" w:footer="0" w:header="0"/>
          <w:type w:val="continuous"/>
        </w:sectPr>
      </w:pPr>
    </w:p>
    <w:p>
      <w:pPr>
        <w:spacing w:after="0" w:line="34"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BRE RS Greg Park Owner LLC</w:t>
      </w:r>
    </w:p>
    <w:p>
      <w:pPr>
        <w:spacing w:after="0" w:line="23"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c/o Link Industrial Management LLC</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220 Commerce Drive, 4th Floor</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Fort Washington, PA 19034</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Attn: Lease Administration</w:t>
      </w:r>
    </w:p>
    <w:p>
      <w:pPr>
        <w:spacing w:after="0" w:line="9" w:lineRule="exact"/>
        <w:rPr>
          <w:sz w:val="20"/>
          <w:szCs w:val="20"/>
          <w:color w:val="auto"/>
        </w:rPr>
      </w:pPr>
    </w:p>
    <w:p>
      <w:pPr>
        <w:ind w:left="3620"/>
        <w:spacing w:after="0"/>
        <w:rPr>
          <w:sz w:val="20"/>
          <w:szCs w:val="20"/>
          <w:color w:val="auto"/>
        </w:rPr>
      </w:pPr>
      <w:r>
        <w:rPr>
          <w:rFonts w:ascii="Arial" w:cs="Arial" w:eastAsia="Arial" w:hAnsi="Arial"/>
          <w:sz w:val="16"/>
          <w:szCs w:val="16"/>
          <w:color w:val="auto"/>
        </w:rPr>
        <w:t>Email: leaseadministration@gptreit.com</w:t>
      </w:r>
    </w:p>
    <w:p>
      <w:pPr>
        <w:sectPr>
          <w:pgSz w:w="11900" w:h="16838" w:orient="portrait"/>
          <w:cols w:equalWidth="0" w:num="1">
            <w:col w:w="11240"/>
          </w:cols>
          <w:pgMar w:left="320" w:top="661" w:right="339" w:bottom="1440" w:gutter="0" w:footer="0" w:header="0"/>
          <w:type w:val="continuous"/>
        </w:sectPr>
      </w:pPr>
    </w:p>
    <w:p>
      <w:pPr>
        <w:spacing w:after="0" w:line="230" w:lineRule="exact"/>
        <w:rPr>
          <w:sz w:val="20"/>
          <w:szCs w:val="20"/>
          <w:color w:val="auto"/>
        </w:rPr>
      </w:pPr>
    </w:p>
    <w:p>
      <w:pPr>
        <w:jc w:val="both"/>
        <w:ind w:firstLine="656"/>
        <w:spacing w:after="0" w:line="256" w:lineRule="auto"/>
        <w:tabs>
          <w:tab w:leader="none" w:pos="911"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w:t>
      </w:r>
      <w:r>
        <w:rPr>
          <w:rFonts w:ascii="Arial" w:cs="Arial" w:eastAsia="Arial" w:hAnsi="Arial"/>
          <w:sz w:val="18"/>
          <w:szCs w:val="18"/>
          <w:color w:val="auto"/>
        </w:rPr>
        <w:t>. Tenant hereby certifies and acknowledges, that as of the date hereof (a) Landlord is not in default in any respect under the Lease, (b)</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does not have any defenses to its obligations under the Lease, (c) Landlord is holding a Security Deposit in the amount of $13,704.03, subject to increase as provided in Section 6 above, and (d) there are no offsets against rent payable under the Lease. Tenant acknowledges and agrees that: (i) the representations herein set forth constitute a material consideration to Landlord in entering into this First Amendment; (ii) such representations are being made by Tenant for purposes of inducing Landlord to enter into this First Amendment; and (iii) Landlord is relying on such representations in entering into this First Amendment.</w:t>
      </w:r>
    </w:p>
    <w:p>
      <w:pPr>
        <w:spacing w:after="0" w:line="187" w:lineRule="exact"/>
        <w:rPr>
          <w:rFonts w:ascii="Arial" w:cs="Arial" w:eastAsia="Arial" w:hAnsi="Arial"/>
          <w:sz w:val="18"/>
          <w:szCs w:val="18"/>
          <w:color w:val="auto"/>
        </w:rPr>
      </w:pPr>
    </w:p>
    <w:p>
      <w:pPr>
        <w:jc w:val="both"/>
        <w:ind w:firstLine="656"/>
        <w:spacing w:after="0" w:line="303" w:lineRule="auto"/>
        <w:tabs>
          <w:tab w:leader="none" w:pos="918" w:val="left"/>
        </w:tabs>
        <w:numPr>
          <w:ilvl w:val="0"/>
          <w:numId w:val="203"/>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Tenant hereby represents and warrants to Landlord that Tenant has not entered into any agreement or taken any other action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might result in any obligation on the part of Landlord to pay any brokerage commission, finder’s fee or other compensation with respect to this First Amendment, other than to Kidder Mathews, and Tenant agrees to indemnify and hold Landlord harmless from and against any losses, damages, costs or expenses (including without limitation, attorneys’ fees) incurred by Landlord by reason of any breach or inaccuracy of such representation or warranty.</w:t>
      </w:r>
    </w:p>
    <w:p>
      <w:pPr>
        <w:spacing w:after="0" w:line="150" w:lineRule="exact"/>
        <w:rPr>
          <w:rFonts w:ascii="Arial" w:cs="Arial" w:eastAsia="Arial" w:hAnsi="Arial"/>
          <w:sz w:val="16"/>
          <w:szCs w:val="16"/>
          <w:color w:val="auto"/>
        </w:rPr>
      </w:pPr>
    </w:p>
    <w:p>
      <w:pPr>
        <w:jc w:val="both"/>
        <w:ind w:firstLine="656"/>
        <w:spacing w:after="0" w:line="274" w:lineRule="auto"/>
        <w:tabs>
          <w:tab w:leader="none" w:pos="918" w:val="left"/>
        </w:tabs>
        <w:numPr>
          <w:ilvl w:val="0"/>
          <w:numId w:val="203"/>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Limitation of Liability</w:t>
      </w:r>
      <w:r>
        <w:rPr>
          <w:rFonts w:ascii="Arial" w:cs="Arial" w:eastAsia="Arial" w:hAnsi="Arial"/>
          <w:sz w:val="17"/>
          <w:szCs w:val="17"/>
          <w:color w:val="auto"/>
        </w:rPr>
        <w:t>. It is expressly understood and agreed that notwithstanding anything in the Lease (as hereby amended)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contrary, and notwithstanding any applicable law to the contrary, the liability of Landlord under the Lease, as hereby amended, (including any successor Landlord) and any recourse by Tenant against Landlord shall be limited solely and exclusively to the interest of Landlord in and to the Building C and Building D, and neither Landlord, nor any of its constituent partners or members, shall have any personal liability therefor, and Tenant hereby expressly waives and releases such personal liability on behalf of itself and all persons claiming by, through or under Tenant. Under no circumstances shall Landlord be liable for injury to Tenant’s business or for any loss of income or profit therefrom.</w:t>
      </w:r>
    </w:p>
    <w:p>
      <w:pPr>
        <w:spacing w:after="0" w:line="173" w:lineRule="exact"/>
        <w:rPr>
          <w:rFonts w:ascii="Arial" w:cs="Arial" w:eastAsia="Arial" w:hAnsi="Arial"/>
          <w:sz w:val="17"/>
          <w:szCs w:val="17"/>
          <w:color w:val="auto"/>
        </w:rPr>
      </w:pPr>
    </w:p>
    <w:p>
      <w:pPr>
        <w:jc w:val="both"/>
        <w:ind w:firstLine="656"/>
        <w:spacing w:after="0" w:line="256" w:lineRule="auto"/>
        <w:tabs>
          <w:tab w:leader="none" w:pos="931" w:val="left"/>
        </w:tabs>
        <w:numPr>
          <w:ilvl w:val="0"/>
          <w:numId w:val="203"/>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Exculpation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present or future officer, director, employee, trustee, partner, member, manager or agent of Landlord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personal liability, directly or indirectly, and recourse shall not be had against any such officer, director, employee, trustee, partner, member, manager or agent under or in connection with the Lease, as hereby amended, or any other document or instrument heretofore or hereafter executed in connection with the Lease, as hereby amended. Tenant hereby waives and releases any and all such personal liability and recourse. The limitations of liability provided in this Section are in addition to, and not in limitation of, any limitation on liability applicable to Landlord provided by law or in any other contract, agreement or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17" w:name="page218"/>
    <w:bookmarkEnd w:id="217"/>
    <w:p>
      <w:pPr>
        <w:ind w:right="20" w:firstLine="656"/>
        <w:spacing w:after="0" w:line="282" w:lineRule="auto"/>
        <w:tabs>
          <w:tab w:leader="none" w:pos="918"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 Except as specifically herein amended, the Lease is and shall remain in full force and effect according to the terms thereof.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any conflict between the Lease and this First Amendment, this First Amendment shall control.</w:t>
      </w:r>
    </w:p>
    <w:p>
      <w:pPr>
        <w:spacing w:after="0" w:line="161"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Should either party institute any action or proceeding to enforce or interpret this First Amendment or any provision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for damages by reason of any alleged breach of this First Amendment or of any provision hereof, or for a declaration of rights hereunder, the prevailing party in any such action or proceeding shall be entitled to receive from the other party all cost and expenses, including actual attorneys’ and other fees, reasonably incurred in good faith by the prevailing party in connection with such action or proceeding. The term “attorneys’ and other fees” shall mean and include attorneys’ fees, accountants’ fees, and any and all consultants’ and other similar fees incurred in connection with the action or proceeding and preparations therefore. The term “action or proceeding” shall mean and include actions, proceedings, suits, arbitrations, appeals and other similar proceedings.</w:t>
      </w:r>
    </w:p>
    <w:p>
      <w:pPr>
        <w:spacing w:after="0" w:line="188" w:lineRule="exact"/>
        <w:rPr>
          <w:rFonts w:ascii="Arial" w:cs="Arial" w:eastAsia="Arial" w:hAnsi="Arial"/>
          <w:sz w:val="18"/>
          <w:szCs w:val="18"/>
          <w:color w:val="auto"/>
        </w:rPr>
      </w:pPr>
    </w:p>
    <w:p>
      <w:pPr>
        <w:jc w:val="both"/>
        <w:ind w:firstLine="656"/>
        <w:spacing w:after="0" w:line="281" w:lineRule="auto"/>
        <w:tabs>
          <w:tab w:leader="none" w:pos="931" w:val="left"/>
        </w:tabs>
        <w:numPr>
          <w:ilvl w:val="0"/>
          <w:numId w:val="204"/>
        </w:numPr>
        <w:rPr>
          <w:rFonts w:ascii="Arial" w:cs="Arial" w:eastAsia="Arial" w:hAnsi="Arial"/>
          <w:sz w:val="17"/>
          <w:szCs w:val="17"/>
          <w:color w:val="auto"/>
        </w:rPr>
      </w:pPr>
      <w:r>
        <w:rPr>
          <w:rFonts w:ascii="Arial" w:cs="Arial" w:eastAsia="Arial" w:hAnsi="Arial"/>
          <w:sz w:val="17"/>
          <w:szCs w:val="17"/>
          <w:b w:val="1"/>
          <w:bCs w:val="1"/>
          <w:u w:val="single" w:color="auto"/>
          <w:color w:val="auto"/>
        </w:rPr>
        <w:t>Submission</w:t>
      </w:r>
      <w:r>
        <w:rPr>
          <w:rFonts w:ascii="Arial" w:cs="Arial" w:eastAsia="Arial" w:hAnsi="Arial"/>
          <w:sz w:val="17"/>
          <w:szCs w:val="17"/>
          <w:color w:val="auto"/>
        </w:rPr>
        <w:t>. Submission of this First Amendment by Landlord to Tenant for examination and/or execution shall not in any manner bind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no obligations on Landlord shall arise under this First Amendment unless and until this First Amendment is fully signed and delivered by Landlord and Tenant; provided, however, the execution and delivery by Tenant of this First Amendment to Landlord shall constitute an irrevocable offer by Tenant of the terms and conditions herein contained, which offer may not be revoked for thirty (30) days after such delivery.</w:t>
      </w:r>
    </w:p>
    <w:p>
      <w:pPr>
        <w:spacing w:after="0" w:line="164" w:lineRule="exact"/>
        <w:rPr>
          <w:rFonts w:ascii="Arial" w:cs="Arial" w:eastAsia="Arial" w:hAnsi="Arial"/>
          <w:sz w:val="17"/>
          <w:szCs w:val="17"/>
          <w:color w:val="auto"/>
        </w:rPr>
      </w:pPr>
    </w:p>
    <w:p>
      <w:pPr>
        <w:ind w:firstLine="656"/>
        <w:spacing w:after="0" w:line="282" w:lineRule="auto"/>
        <w:tabs>
          <w:tab w:leader="none" w:pos="918" w:val="left"/>
        </w:tabs>
        <w:numPr>
          <w:ilvl w:val="0"/>
          <w:numId w:val="20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First Amendment may be executed in several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8" w:name="page219"/>
    <w:bookmarkEnd w:id="218"/>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First Amendment has been executed by the parties as of the date first referenced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BRE RS GREG PARK OWNER LLC</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Finnigan</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Joseph Finnigan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DRAGONFLY ENERGY CORP.</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INDUSTRIAL LEASE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SECOND AMENDMENT TO INDUSTRIAL LEASE dated July 27, 2020 (this “</w:t>
      </w:r>
      <w:r>
        <w:rPr>
          <w:rFonts w:ascii="Arial" w:cs="Arial" w:eastAsia="Arial" w:hAnsi="Arial"/>
          <w:sz w:val="18"/>
          <w:szCs w:val="18"/>
          <w:b w:val="1"/>
          <w:bCs w:val="1"/>
          <w:color w:val="auto"/>
        </w:rPr>
        <w:t>Second Amendment</w:t>
      </w:r>
      <w:r>
        <w:rPr>
          <w:rFonts w:ascii="Arial" w:cs="Arial" w:eastAsia="Arial" w:hAnsi="Arial"/>
          <w:sz w:val="18"/>
          <w:szCs w:val="18"/>
          <w:color w:val="auto"/>
        </w:rPr>
        <w:t xml:space="preserve">”), is entered into by and between </w:t>
      </w:r>
      <w:r>
        <w:rPr>
          <w:rFonts w:ascii="Arial" w:cs="Arial" w:eastAsia="Arial" w:hAnsi="Arial"/>
          <w:sz w:val="18"/>
          <w:szCs w:val="18"/>
          <w:b w:val="1"/>
          <w:bCs w:val="1"/>
          <w:color w:val="auto"/>
        </w:rPr>
        <w:t>BRE RS GREG PARK OWNER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DRAGONFLY ENERGY CORP.</w:t>
      </w:r>
      <w:r>
        <w:rPr>
          <w:rFonts w:ascii="Arial" w:cs="Arial" w:eastAsia="Arial" w:hAnsi="Arial"/>
          <w:sz w:val="18"/>
          <w:szCs w:val="18"/>
          <w:color w:val="auto"/>
        </w:rPr>
        <w:t>, a Nevada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 with reference to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 E C I T A L S</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Northwestern Mutual Life Insurance Company, a Wisconsin corporation, dba Sparks Industrial (“</w:t>
      </w:r>
      <w:r>
        <w:rPr>
          <w:rFonts w:ascii="Arial" w:cs="Arial" w:eastAsia="Arial" w:hAnsi="Arial"/>
          <w:sz w:val="16"/>
          <w:szCs w:val="16"/>
          <w:b w:val="1"/>
          <w:bCs w:val="1"/>
          <w:color w:val="auto"/>
        </w:rPr>
        <w:t>Original Landlord</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Tenant entered into that certain Industrial Lease dated April 25, 2019, amended by that First Amendment to Industrial Lease dated March 12, 2020 by and between Landlord and Tenant (collectively the “</w:t>
      </w:r>
      <w:r>
        <w:rPr>
          <w:rFonts w:ascii="Arial" w:cs="Arial" w:eastAsia="Arial" w:hAnsi="Arial"/>
          <w:sz w:val="16"/>
          <w:szCs w:val="16"/>
          <w:b w:val="1"/>
          <w:bCs w:val="1"/>
          <w:color w:val="auto"/>
        </w:rPr>
        <w:t>Lease</w:t>
      </w:r>
      <w:r>
        <w:rPr>
          <w:rFonts w:ascii="Arial" w:cs="Arial" w:eastAsia="Arial" w:hAnsi="Arial"/>
          <w:sz w:val="16"/>
          <w:szCs w:val="16"/>
          <w:color w:val="auto"/>
        </w:rPr>
        <w:t>”), for the lease of certain premises (the “</w:t>
      </w:r>
      <w:r>
        <w:rPr>
          <w:rFonts w:ascii="Arial" w:cs="Arial" w:eastAsia="Arial" w:hAnsi="Arial"/>
          <w:sz w:val="16"/>
          <w:szCs w:val="16"/>
          <w:b w:val="1"/>
          <w:bCs w:val="1"/>
          <w:color w:val="auto"/>
        </w:rPr>
        <w:t>Current Premises</w:t>
      </w:r>
      <w:r>
        <w:rPr>
          <w:rFonts w:ascii="Arial" w:cs="Arial" w:eastAsia="Arial" w:hAnsi="Arial"/>
          <w:sz w:val="16"/>
          <w:szCs w:val="16"/>
          <w:color w:val="auto"/>
        </w:rPr>
        <w:t>”) consisting of approximately 20,225 square feet, commonly known as Suites 101-102 in the building located at 1355 Greg Street, Sparks, Nevada (“</w:t>
      </w:r>
      <w:r>
        <w:rPr>
          <w:rFonts w:ascii="Arial" w:cs="Arial" w:eastAsia="Arial" w:hAnsi="Arial"/>
          <w:sz w:val="16"/>
          <w:szCs w:val="16"/>
          <w:b w:val="1"/>
          <w:bCs w:val="1"/>
          <w:color w:val="auto"/>
        </w:rPr>
        <w:t>Building C</w:t>
      </w:r>
      <w:r>
        <w:rPr>
          <w:rFonts w:ascii="Arial" w:cs="Arial" w:eastAsia="Arial" w:hAnsi="Arial"/>
          <w:sz w:val="16"/>
          <w:szCs w:val="16"/>
          <w:color w:val="auto"/>
        </w:rPr>
        <w:t>”) and Suite 103 in the building located at 1335 Greg Street, Sparks, Nevada (“</w:t>
      </w:r>
      <w:r>
        <w:rPr>
          <w:rFonts w:ascii="Arial" w:cs="Arial" w:eastAsia="Arial" w:hAnsi="Arial"/>
          <w:sz w:val="16"/>
          <w:szCs w:val="16"/>
          <w:b w:val="1"/>
          <w:bCs w:val="1"/>
          <w:color w:val="auto"/>
        </w:rPr>
        <w:t>Building D</w:t>
      </w:r>
      <w:r>
        <w:rPr>
          <w:rFonts w:ascii="Arial" w:cs="Arial" w:eastAsia="Arial" w:hAnsi="Arial"/>
          <w:sz w:val="16"/>
          <w:szCs w:val="16"/>
          <w:color w:val="auto"/>
        </w:rPr>
        <w:t>”). Landlord is the successor-in-interest to Original Landlord under the Lease. All capitalized terms used herein and not otherwise defined herein shall have the meanings ascribed to such terms in the Lease; and</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by this Second Amendment to amend the Lease in order to, among other things, (a) expand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leased by Tenant under the Lease to include certain additional premises consisting of approximately 4,800 square feet, commonly known as Suite 104 (“</w:t>
      </w:r>
      <w:r>
        <w:rPr>
          <w:rFonts w:ascii="Arial" w:cs="Arial" w:eastAsia="Arial" w:hAnsi="Arial"/>
          <w:sz w:val="18"/>
          <w:szCs w:val="18"/>
          <w:b w:val="1"/>
          <w:bCs w:val="1"/>
          <w:color w:val="auto"/>
        </w:rPr>
        <w:t>Suite 104</w:t>
      </w:r>
      <w:r>
        <w:rPr>
          <w:rFonts w:ascii="Arial" w:cs="Arial" w:eastAsia="Arial" w:hAnsi="Arial"/>
          <w:sz w:val="18"/>
          <w:szCs w:val="18"/>
          <w:color w:val="auto"/>
        </w:rPr>
        <w:t>”) in the building located at 1375 Greg Street, Sparks, Nevada (“</w:t>
      </w:r>
      <w:r>
        <w:rPr>
          <w:rFonts w:ascii="Arial" w:cs="Arial" w:eastAsia="Arial" w:hAnsi="Arial"/>
          <w:sz w:val="18"/>
          <w:szCs w:val="18"/>
          <w:b w:val="1"/>
          <w:bCs w:val="1"/>
          <w:color w:val="auto"/>
        </w:rPr>
        <w:t>Building B</w:t>
      </w:r>
      <w:r>
        <w:rPr>
          <w:rFonts w:ascii="Arial" w:cs="Arial" w:eastAsia="Arial" w:hAnsi="Arial"/>
          <w:sz w:val="18"/>
          <w:szCs w:val="18"/>
          <w:color w:val="auto"/>
        </w:rPr>
        <w:t>”); (b) extend the Term with respect to Tenant’s lease of Suite 104 only; (c) provide for the Rent to be paid by Tenant for Suite 104 during the Suite 104 Term (as defined below); and (d) further amend, modify and supplement the Lease as set forth herein.</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Expanded Premises (as defined below)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Landlord and Tenant hereby agree as follows:</w:t>
      </w:r>
    </w:p>
    <w:p>
      <w:pPr>
        <w:spacing w:after="0" w:line="162" w:lineRule="exact"/>
        <w:rPr>
          <w:sz w:val="20"/>
          <w:szCs w:val="20"/>
          <w:color w:val="auto"/>
        </w:rPr>
      </w:pPr>
    </w:p>
    <w:p>
      <w:pPr>
        <w:ind w:left="840" w:hanging="184"/>
        <w:spacing w:after="0"/>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The Recitals set forth above are incorporated herein as though set forth in full herein.</w:t>
      </w:r>
    </w:p>
    <w:p>
      <w:pPr>
        <w:spacing w:after="0" w:line="225" w:lineRule="exact"/>
        <w:rPr>
          <w:rFonts w:ascii="Arial" w:cs="Arial" w:eastAsia="Arial" w:hAnsi="Arial"/>
          <w:sz w:val="18"/>
          <w:szCs w:val="18"/>
          <w:color w:val="auto"/>
        </w:rPr>
      </w:pPr>
    </w:p>
    <w:p>
      <w:pPr>
        <w:jc w:val="both"/>
        <w:ind w:firstLine="656"/>
        <w:spacing w:after="0" w:line="261" w:lineRule="auto"/>
        <w:tabs>
          <w:tab w:leader="none" w:pos="828"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 Precedent</w:t>
      </w:r>
      <w:r>
        <w:rPr>
          <w:rFonts w:ascii="Arial" w:cs="Arial" w:eastAsia="Arial" w:hAnsi="Arial"/>
          <w:sz w:val="18"/>
          <w:szCs w:val="18"/>
          <w:color w:val="auto"/>
        </w:rPr>
        <w:t>. Landlord and Tenant acknowledge that Suite 104 is currently occupied by another tenant (the “</w:t>
      </w:r>
      <w:r>
        <w:rPr>
          <w:rFonts w:ascii="Arial" w:cs="Arial" w:eastAsia="Arial" w:hAnsi="Arial"/>
          <w:sz w:val="18"/>
          <w:szCs w:val="18"/>
          <w:b w:val="1"/>
          <w:bCs w:val="1"/>
          <w:color w:val="auto"/>
        </w:rPr>
        <w:t>Existing Tenant</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Amendment is expressly conditioned upon (a) the execution by Landlord and the Existing Tenant of an agreement terminating the Existing Tenant’s lease of the Suite 104, upon terms and conditions acceptable to Landlord in its sole and absolute discretion, and (b) the Existing Tenant’s vacation and surrender of the Suite 104 to Landlord (collectively, the “</w:t>
      </w:r>
      <w:r>
        <w:rPr>
          <w:rFonts w:ascii="Arial" w:cs="Arial" w:eastAsia="Arial" w:hAnsi="Arial"/>
          <w:sz w:val="18"/>
          <w:szCs w:val="18"/>
          <w:b w:val="1"/>
          <w:bCs w:val="1"/>
          <w:color w:val="auto"/>
        </w:rPr>
        <w:t>Condition Precedent</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205"/>
        </w:numPr>
        <w:rPr>
          <w:rFonts w:ascii="Arial" w:cs="Arial" w:eastAsia="Arial" w:hAnsi="Arial"/>
          <w:sz w:val="17"/>
          <w:szCs w:val="17"/>
          <w:color w:val="auto"/>
        </w:rPr>
      </w:pPr>
      <w:r>
        <w:rPr>
          <w:rFonts w:ascii="Arial" w:cs="Arial" w:eastAsia="Arial" w:hAnsi="Arial"/>
          <w:sz w:val="17"/>
          <w:szCs w:val="17"/>
          <w:b w:val="1"/>
          <w:bCs w:val="1"/>
          <w:u w:val="single" w:color="auto"/>
          <w:color w:val="auto"/>
        </w:rPr>
        <w:t>Expansion of the Current Premises</w:t>
      </w:r>
      <w:r>
        <w:rPr>
          <w:rFonts w:ascii="Arial" w:cs="Arial" w:eastAsia="Arial" w:hAnsi="Arial"/>
          <w:sz w:val="17"/>
          <w:szCs w:val="17"/>
          <w:color w:val="auto"/>
        </w:rPr>
        <w:t>. Notwithstanding anything to the contrary contained in the Lease and subject to the satisfaction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Precedent, commencing on August 1, 2020 (the “</w:t>
      </w:r>
      <w:r>
        <w:rPr>
          <w:rFonts w:ascii="Arial" w:cs="Arial" w:eastAsia="Arial" w:hAnsi="Arial"/>
          <w:sz w:val="17"/>
          <w:szCs w:val="17"/>
          <w:b w:val="1"/>
          <w:bCs w:val="1"/>
          <w:color w:val="auto"/>
        </w:rPr>
        <w:t>Suite 104 Expansion Date</w:t>
      </w:r>
      <w:r>
        <w:rPr>
          <w:rFonts w:ascii="Arial" w:cs="Arial" w:eastAsia="Arial" w:hAnsi="Arial"/>
          <w:sz w:val="17"/>
          <w:szCs w:val="17"/>
          <w:color w:val="auto"/>
        </w:rPr>
        <w:t xml:space="preserve">”), Landlord shall lease to Tenant, and Tenant shall lease from Landlord, Suite 104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and incorporated herein by this reference, upon all of the terms and conditions of the Lease except as otherwise set forth herein. The Lease is hereby amended such that, from the Suite 104 Expansion Date until the Current Premises Expiration Date (as defined below), all references in the Lease to the “Premises” shall mean and refer to the entirety of the space in the Current Premises and Suite 104, which is approximately 25,025 square feet (the entirety of such space is referred to herein as the “</w:t>
      </w:r>
      <w:r>
        <w:rPr>
          <w:rFonts w:ascii="Arial" w:cs="Arial" w:eastAsia="Arial" w:hAnsi="Arial"/>
          <w:sz w:val="17"/>
          <w:szCs w:val="17"/>
          <w:b w:val="1"/>
          <w:bCs w:val="1"/>
          <w:color w:val="auto"/>
        </w:rPr>
        <w:t>Expanded Premises</w:t>
      </w:r>
      <w:r>
        <w:rPr>
          <w:rFonts w:ascii="Arial" w:cs="Arial" w:eastAsia="Arial" w:hAnsi="Arial"/>
          <w:sz w:val="17"/>
          <w:szCs w:val="17"/>
          <w:color w:val="auto"/>
        </w:rPr>
        <w:t>”). From and after the Suite 104 Expansion Date, all references in the Lease to the Building shall mean (a) Building C or Building D, as applicable, with respect to the Current Premises, and (b) Building B with respect to Suite 104. Notwithstanding anything to the contrary contained herein, Landlord shall not be obligated to deliver possession of Suite 104 to Tenant until Tenant has provided to Landlord evidence of liability and property insurance coverage covering Suite 104 pursuant to Section 8 of the Original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0" w:name="page221"/>
    <w:bookmarkEnd w:id="220"/>
    <w:p>
      <w:pPr>
        <w:jc w:val="both"/>
        <w:ind w:firstLine="656"/>
        <w:spacing w:after="0" w:line="270" w:lineRule="auto"/>
        <w:tabs>
          <w:tab w:leader="none" w:pos="868" w:val="left"/>
        </w:tabs>
        <w:numPr>
          <w:ilvl w:val="0"/>
          <w:numId w:val="206"/>
        </w:numPr>
        <w:rPr>
          <w:rFonts w:ascii="Arial" w:cs="Arial" w:eastAsia="Arial" w:hAnsi="Arial"/>
          <w:sz w:val="17"/>
          <w:szCs w:val="17"/>
          <w:color w:val="auto"/>
        </w:rPr>
      </w:pPr>
      <w:r>
        <w:rPr>
          <w:rFonts w:ascii="Arial" w:cs="Arial" w:eastAsia="Arial" w:hAnsi="Arial"/>
          <w:sz w:val="17"/>
          <w:szCs w:val="17"/>
          <w:b w:val="1"/>
          <w:bCs w:val="1"/>
          <w:u w:val="single" w:color="auto"/>
          <w:color w:val="auto"/>
        </w:rPr>
        <w:t>Extension of Term</w:t>
      </w:r>
      <w:r>
        <w:rPr>
          <w:rFonts w:ascii="Arial" w:cs="Arial" w:eastAsia="Arial" w:hAnsi="Arial"/>
          <w:sz w:val="17"/>
          <w:szCs w:val="17"/>
          <w:color w:val="auto"/>
        </w:rPr>
        <w:t>. Landlord and Tenant acknowledge that the Term expires according to the terms of the Lease on April 30, 2024.</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in the Lease, Landlord and Tenant agree that the Term shall be extended such that Tenant’s lease of Suite 104 shall terminate on July 31, 2025 (the “</w:t>
      </w:r>
      <w:r>
        <w:rPr>
          <w:rFonts w:ascii="Arial" w:cs="Arial" w:eastAsia="Arial" w:hAnsi="Arial"/>
          <w:sz w:val="17"/>
          <w:szCs w:val="17"/>
          <w:b w:val="1"/>
          <w:bCs w:val="1"/>
          <w:color w:val="auto"/>
        </w:rPr>
        <w:t>Suite 104 Expiration Date</w:t>
      </w:r>
      <w:r>
        <w:rPr>
          <w:rFonts w:ascii="Arial" w:cs="Arial" w:eastAsia="Arial" w:hAnsi="Arial"/>
          <w:sz w:val="17"/>
          <w:szCs w:val="17"/>
          <w:color w:val="auto"/>
        </w:rPr>
        <w:t>”), unless sooner terminated in accordance with the terms of the Lease. The period from the Suite 104 Expansion Date through the Suite 104 Expiration Date shall be referred to herein as the “</w:t>
      </w:r>
      <w:r>
        <w:rPr>
          <w:rFonts w:ascii="Arial" w:cs="Arial" w:eastAsia="Arial" w:hAnsi="Arial"/>
          <w:sz w:val="17"/>
          <w:szCs w:val="17"/>
          <w:b w:val="1"/>
          <w:bCs w:val="1"/>
          <w:color w:val="auto"/>
        </w:rPr>
        <w:t>Suite 104 Term</w:t>
      </w:r>
      <w:r>
        <w:rPr>
          <w:rFonts w:ascii="Arial" w:cs="Arial" w:eastAsia="Arial" w:hAnsi="Arial"/>
          <w:sz w:val="17"/>
          <w:szCs w:val="17"/>
          <w:color w:val="auto"/>
        </w:rPr>
        <w:t>”. Tenant acknowledges that Tenant’s lease of the Current Premises under the Lease shall expire on April 30, 2024 (the “</w:t>
      </w:r>
      <w:r>
        <w:rPr>
          <w:rFonts w:ascii="Arial" w:cs="Arial" w:eastAsia="Arial" w:hAnsi="Arial"/>
          <w:sz w:val="17"/>
          <w:szCs w:val="17"/>
          <w:b w:val="1"/>
          <w:bCs w:val="1"/>
          <w:color w:val="auto"/>
        </w:rPr>
        <w:t>Current Premises Expiration Date</w:t>
      </w:r>
      <w:r>
        <w:rPr>
          <w:rFonts w:ascii="Arial" w:cs="Arial" w:eastAsia="Arial" w:hAnsi="Arial"/>
          <w:sz w:val="17"/>
          <w:szCs w:val="17"/>
          <w:color w:val="auto"/>
        </w:rPr>
        <w:t>”). Tenant acknowledges that Tenant has no option or right to extend the term of Tenant’s lease of the Expanded Premises beyond the Current Premises Expiration Date, except as expressly provided in Exhibit D attached to the Original Lease (provided that all references in Exhibit D to the Premises shall mean and refer to the Current Premises), and Tenant has no option or right to extend the Suite 104 Term beyond the Suite 104 Expiration Date, except as expressly provided in Exhibit D attached to the Original Lease (provided that all references in Exhibit D to the Term shall mean and refer to the Suite 104 Term and all references in Exhibit D to the Premises shall mean and refer to Suite 104).</w:t>
      </w:r>
    </w:p>
    <w:p>
      <w:pPr>
        <w:spacing w:after="0" w:line="176" w:lineRule="exact"/>
        <w:rPr>
          <w:rFonts w:ascii="Arial" w:cs="Arial" w:eastAsia="Arial" w:hAnsi="Arial"/>
          <w:sz w:val="17"/>
          <w:szCs w:val="17"/>
          <w:color w:val="auto"/>
        </w:rPr>
      </w:pPr>
    </w:p>
    <w:p>
      <w:pPr>
        <w:jc w:val="both"/>
        <w:ind w:firstLine="656"/>
        <w:spacing w:after="0" w:line="266" w:lineRule="auto"/>
        <w:tabs>
          <w:tab w:leader="none" w:pos="828" w:val="left"/>
        </w:tabs>
        <w:numPr>
          <w:ilvl w:val="0"/>
          <w:numId w:val="206"/>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Suite 104</w:t>
      </w:r>
      <w:r>
        <w:rPr>
          <w:rFonts w:ascii="Arial" w:cs="Arial" w:eastAsia="Arial" w:hAnsi="Arial"/>
          <w:sz w:val="18"/>
          <w:szCs w:val="18"/>
          <w:color w:val="auto"/>
        </w:rPr>
        <w:t>. Landlord and Tenant agree that in addition to paying all other Rent due under the Lease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for the Current Premises), Tenant shall pay monthly Base Rent for Suite 104 during the Suite 104 Term in accordance with the following schedule:</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Period</w:t>
            </w:r>
          </w:p>
        </w:tc>
        <w:tc>
          <w:tcPr>
            <w:tcW w:w="2140" w:type="dxa"/>
            <w:vAlign w:val="bottom"/>
            <w:gridSpan w:val="4"/>
          </w:tcPr>
          <w:p>
            <w:pPr>
              <w:ind w:left="160"/>
              <w:spacing w:after="0"/>
              <w:rPr>
                <w:sz w:val="20"/>
                <w:szCs w:val="20"/>
                <w:color w:val="auto"/>
              </w:rPr>
            </w:pPr>
            <w:r>
              <w:rPr>
                <w:rFonts w:ascii="Arial" w:cs="Arial" w:eastAsia="Arial" w:hAnsi="Arial"/>
                <w:sz w:val="18"/>
                <w:szCs w:val="18"/>
                <w:color w:val="auto"/>
              </w:rPr>
              <w:t>Monthly Base Rent</w:t>
            </w:r>
          </w:p>
        </w:tc>
      </w:tr>
      <w:tr>
        <w:trPr>
          <w:trHeight w:val="216"/>
        </w:trPr>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 2020 – July 31, 2021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August 1, 2021 – July 31, 2022</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4,597.92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August 1, 2022 – July 31, 2023</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4,735.86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August 1, 2023 – July 31, 2024</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4,877.93</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August 1, 2024 – July 31, 2025</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5,024.27</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56"/>
        <w:spacing w:after="0" w:line="289" w:lineRule="auto"/>
        <w:tabs>
          <w:tab w:leader="none" w:pos="828" w:val="left"/>
        </w:tabs>
        <w:numPr>
          <w:ilvl w:val="1"/>
          <w:numId w:val="207"/>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Proportionate Share of Building B</w:t>
      </w:r>
      <w:r>
        <w:rPr>
          <w:rFonts w:ascii="Arial" w:cs="Arial" w:eastAsia="Arial" w:hAnsi="Arial"/>
          <w:sz w:val="16"/>
          <w:szCs w:val="16"/>
          <w:color w:val="auto"/>
        </w:rPr>
        <w:t>. For purposes of calculating Tenant’s Proportionate Share of Basic Operating Cost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Suite 104 for Building B, commencing on the Suite 104 Expansion Date and continuing until the expiration of the Suite 104 Term, Tenant’s Proportionate Share of Building B shall be 7.91%. Tenant’s Proportionate Share is based upon Building B containing approximately 60,674 square feet (i.e., 4,800/60,674</w:t>
      </w:r>
    </w:p>
    <w:p>
      <w:pPr>
        <w:spacing w:after="0" w:line="1" w:lineRule="exact"/>
        <w:rPr>
          <w:rFonts w:ascii="Arial" w:cs="Arial" w:eastAsia="Arial" w:hAnsi="Arial"/>
          <w:sz w:val="16"/>
          <w:szCs w:val="16"/>
          <w:color w:val="auto"/>
        </w:rPr>
      </w:pPr>
    </w:p>
    <w:p>
      <w:pPr>
        <w:ind w:left="160" w:hanging="152"/>
        <w:spacing w:after="0"/>
        <w:tabs>
          <w:tab w:leader="none" w:pos="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7.91%).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1" w:name="page222"/>
    <w:bookmarkEnd w:id="221"/>
    <w:p>
      <w:pPr>
        <w:jc w:val="both"/>
        <w:ind w:firstLine="656"/>
        <w:spacing w:after="0" w:line="283" w:lineRule="auto"/>
        <w:tabs>
          <w:tab w:leader="none" w:pos="841" w:val="left"/>
        </w:tabs>
        <w:numPr>
          <w:ilvl w:val="0"/>
          <w:numId w:val="208"/>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 of the Expanded Premises</w:t>
      </w:r>
      <w:r>
        <w:rPr>
          <w:rFonts w:ascii="Arial" w:cs="Arial" w:eastAsia="Arial" w:hAnsi="Arial"/>
          <w:sz w:val="16"/>
          <w:szCs w:val="16"/>
          <w:color w:val="auto"/>
        </w:rPr>
        <w:t>. Tenant acknowledges that it has been and continues to be in possession of the Current Premises, is</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the condition of the Current Premises and accepts the Current Premises in its presently existing, “AS IS” condition, with all faults and without representation, warranty or improvements by Landlord of any kind whatsoever. Except as expressly provided in this Second Amendment, Tenant hereby agrees that Suite 104 shall be taken “AS IS”, “with all faults”, “without any representations or warranties.” Tenant hereby acknowledges that it has had an opportunity to investigate and inspect the condition Suite 104 and the suitability of same for Tenant’s purposes, and Tenant does hereby waive and disclaim any objection to, cause of action based upon, or claim that its obligations hereunder should be reduced or limited because of the condition of Suite 104, the Building or the Project or the suitability of same for Tenant’s purposes. Tenant acknowledges that neither Landlord nor any agent nor any employee of Landlord has made any representations or warranty with respect to Suite 104, the Building or the Project or with respect to the suitability of either for the conduct of Tenant’s business and Tenant expressly warrants and represents that Tenant has relied solely on its own investigation and inspection of Suite 104, the Building and the Project in its decision to enter into this Second Amendment and let Suite 104 in an “As Is” condition. No promise of Landlord to alter, remodel, repair, or improve Suite 104, the Current Premises, or the Project, and no representation, express or implied, respecting any matter or thing relating to Suite 104, the Current Premises, the Project, or this Second Amendment (including, without limitation, the condition of Suite 104, the Current Premises or the Project) has been made to Tenant by Landlord or its broker or sales agent other than as may be contained in the Lease or this Second Amendment. Notwithstanding the foregoing, Landlord shall deliver Suite 104 to Tenant broom clean and free of debris on the Suite 104 Expansion Date, with the existing mechanical, plumbing and electrical systems serving Suite 104 and the emergency and exit signs located in Suite 104 in good operating condition on the Suite 104 Expansion Date and Landlord warrants that all heaters and mechanical systems serving Suite 104 (the “</w:t>
      </w:r>
      <w:r>
        <w:rPr>
          <w:rFonts w:ascii="Arial" w:cs="Arial" w:eastAsia="Arial" w:hAnsi="Arial"/>
          <w:sz w:val="16"/>
          <w:szCs w:val="16"/>
          <w:b w:val="1"/>
          <w:bCs w:val="1"/>
          <w:color w:val="auto"/>
        </w:rPr>
        <w:t>Heaters and</w:t>
      </w:r>
      <w:r>
        <w:rPr>
          <w:rFonts w:ascii="Arial" w:cs="Arial" w:eastAsia="Arial" w:hAnsi="Arial"/>
          <w:sz w:val="16"/>
          <w:szCs w:val="16"/>
          <w:color w:val="auto"/>
        </w:rPr>
        <w:t xml:space="preserve"> </w:t>
      </w:r>
      <w:r>
        <w:rPr>
          <w:rFonts w:ascii="Arial" w:cs="Arial" w:eastAsia="Arial" w:hAnsi="Arial"/>
          <w:sz w:val="16"/>
          <w:szCs w:val="16"/>
          <w:b w:val="1"/>
          <w:bCs w:val="1"/>
          <w:color w:val="auto"/>
        </w:rPr>
        <w:t>Mechanical Systems</w:t>
      </w:r>
      <w:r>
        <w:rPr>
          <w:rFonts w:ascii="Arial" w:cs="Arial" w:eastAsia="Arial" w:hAnsi="Arial"/>
          <w:sz w:val="16"/>
          <w:szCs w:val="16"/>
          <w:color w:val="auto"/>
        </w:rPr>
        <w:t>”) shall continue to operate in good working order for the period ending on the date ninety (90) days after the Suite 104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w:t>
      </w:r>
      <w:r>
        <w:rPr>
          <w:rFonts w:ascii="Arial" w:cs="Arial" w:eastAsia="Arial" w:hAnsi="Arial"/>
          <w:sz w:val="16"/>
          <w:szCs w:val="16"/>
          <w:b w:val="1"/>
          <w:bCs w:val="1"/>
          <w:color w:val="auto"/>
        </w:rPr>
        <w:t>Warranty Period</w:t>
      </w:r>
      <w:r>
        <w:rPr>
          <w:rFonts w:ascii="Arial" w:cs="Arial" w:eastAsia="Arial" w:hAnsi="Arial"/>
          <w:sz w:val="16"/>
          <w:szCs w:val="16"/>
          <w:color w:val="auto"/>
        </w:rPr>
        <w:t>”), except to the extent such failure in the Heaters and Mechanical Systems to operate in good working order is caused by Tenant’s use or alterations to Suite 104 or failure to properly maintain the Heaters and Mechanical Systems as required by the Lease. If a non-compliance with the foregoing exists as of the Suite 104 Expansion Date, Landlord shall, except as otherwise provided in the Lease, promptly after receipt of written notice from Tenant setting forth with specificity the nature and extent of such non-compliance, commence to rectify same at Landlord’s expense. If Tenant does not give Landlord written notice of a non-compliance within thirty (30) days after the Suite 104 Expansion Date, correction of that non-compliance shall be the obligation of Tenant at Tenant’s sole cost and expense. If a non-compliance with the Heaters and Mechanical Systems warranty exists at any time prior to the expiration of the Warranty Period, Landlord shall, except as otherwise provided in this Lease, promptly after receipt of written notice from Tenant setting forth with specificity the nature and extent of such non-compliance, commence to rectify same at Landlord’s expense. If Tenant does not give Landlord written notice of a non-compliance on or before the expiration of the Warranty Period, correction of that non-compliance shall be the obligation of Tenant at Tenant’s sole cost and expense. In addition, Landlord shall, at Landlord’s sole cost and expense and using Building standard industrial materials, perform the following improvements in Suite 104: (a) repaint all painted walls; (b) install new carpet in the carpeted areas of the upstairs office portion of Suite 104, including new sheet vinyl in restrooms, and vinyl composition tile in the downstairs portion of Suite 104; (c) demolish all existing tile and laminate countertops in lab area; (d) replace stained ceiling tiles; (e) remove and replace mercury thermostat with digital thermostat; (f) deep clean lab hoods/ductwork and general office and warehouse areas; and (g) repair all warehouse walls and repaint the walls.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2" w:name="page223"/>
    <w:bookmarkEnd w:id="222"/>
    <w:p>
      <w:pPr>
        <w:jc w:val="both"/>
        <w:ind w:firstLine="656"/>
        <w:spacing w:after="0" w:line="303" w:lineRule="auto"/>
        <w:tabs>
          <w:tab w:leader="none" w:pos="828" w:val="left"/>
        </w:tabs>
        <w:numPr>
          <w:ilvl w:val="0"/>
          <w:numId w:val="209"/>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color w:val="auto"/>
        </w:rPr>
        <w:t>. Concurrently with the execution and delivery of this Second Amendment by Tenant, Tenant shall pay to Landlord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Five Thousand Seven Hundred Forty Four and 27/100 Dollars ($5,744.27) to increase the Security Deposit being held by Landlord under the Lease. Effective as of the date of this Second Amendment, the Lease shall be amended by replacing all references to the existing amount of the Security Deposit with the amount of Twenty Four Thousand Seven Hundred Ninety Five and 81/100 Dollars ($24,795.81), the increased amount of the Security Deposit.</w:t>
      </w:r>
    </w:p>
    <w:p>
      <w:pPr>
        <w:spacing w:after="0" w:line="150" w:lineRule="exact"/>
        <w:rPr>
          <w:rFonts w:ascii="Arial" w:cs="Arial" w:eastAsia="Arial" w:hAnsi="Arial"/>
          <w:sz w:val="16"/>
          <w:szCs w:val="16"/>
          <w:color w:val="auto"/>
        </w:rPr>
      </w:pPr>
    </w:p>
    <w:p>
      <w:pPr>
        <w:jc w:val="both"/>
        <w:ind w:firstLine="656"/>
        <w:spacing w:after="0" w:line="266" w:lineRule="auto"/>
        <w:tabs>
          <w:tab w:leader="none" w:pos="828"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In addition to the parking spaces allocated to Tenant in connection with Tenant’s lease of the Current Premises, Tenant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use an additional five (5) unreserved parking spaces in the parking area for Building B in connection with Tenant’s lease of Suite 104, subject to the terms and conditions of the Lease.</w:t>
      </w:r>
    </w:p>
    <w:p>
      <w:pPr>
        <w:spacing w:after="0" w:line="175" w:lineRule="exact"/>
        <w:rPr>
          <w:rFonts w:ascii="Arial" w:cs="Arial" w:eastAsia="Arial" w:hAnsi="Arial"/>
          <w:sz w:val="18"/>
          <w:szCs w:val="18"/>
          <w:color w:val="auto"/>
        </w:rPr>
      </w:pPr>
    </w:p>
    <w:p>
      <w:pPr>
        <w:jc w:val="both"/>
        <w:ind w:firstLine="656"/>
        <w:spacing w:after="0" w:line="256" w:lineRule="auto"/>
        <w:tabs>
          <w:tab w:leader="none" w:pos="918"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w:t>
      </w:r>
      <w:r>
        <w:rPr>
          <w:rFonts w:ascii="Arial" w:cs="Arial" w:eastAsia="Arial" w:hAnsi="Arial"/>
          <w:sz w:val="18"/>
          <w:szCs w:val="18"/>
          <w:color w:val="auto"/>
        </w:rPr>
        <w:t>. Tenant hereby certifies and acknowledges, that as of the date hereof (a) Landlord is not in default in any respect under the Lease, (b)</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does not have any defenses to its obligations under the Lease, (c) Landlord is holding a Security Deposit in the amount of $19,051.54, subject to increase as provided in Section 8 above, and (d) there are no offsets against rent payable under the Lease. Tenant acknowledges and agrees that: (i) the representations herein set forth constitute a material consideration to Landlord in entering into this Second Amendment; (ii) such representations are being made by Tenant for purposes of inducing Landlord to enter into this Second Amendment; and (iii) Landlord is relying on such representations in entering into this Second Amendment.</w:t>
      </w:r>
    </w:p>
    <w:p>
      <w:pPr>
        <w:spacing w:after="0" w:line="187" w:lineRule="exact"/>
        <w:rPr>
          <w:rFonts w:ascii="Arial" w:cs="Arial" w:eastAsia="Arial" w:hAnsi="Arial"/>
          <w:sz w:val="18"/>
          <w:szCs w:val="18"/>
          <w:color w:val="auto"/>
        </w:rPr>
      </w:pPr>
    </w:p>
    <w:p>
      <w:pPr>
        <w:jc w:val="both"/>
        <w:ind w:firstLine="656"/>
        <w:spacing w:after="0" w:line="303" w:lineRule="auto"/>
        <w:tabs>
          <w:tab w:leader="none" w:pos="911" w:val="left"/>
        </w:tabs>
        <w:numPr>
          <w:ilvl w:val="0"/>
          <w:numId w:val="209"/>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Tenant hereby represents and warrants to Landlord that Tenant has not entered into any agreement or taken any other action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might result in any obligation on the part of Landlord to pay any brokerage commission, finder’s fee or other compensation with respect to this Second Amendment, other than to Kidder Mathews, and Tenant agrees to indemnify and hold Landlord harmless from and against any losses, damages, costs or expenses (including without limitation, attorneys’ fees) incurred by Landlord by reason of any breach or inaccuracy of such representation or warranty.</w:t>
      </w:r>
    </w:p>
    <w:p>
      <w:pPr>
        <w:spacing w:after="0" w:line="150" w:lineRule="exact"/>
        <w:rPr>
          <w:rFonts w:ascii="Arial" w:cs="Arial" w:eastAsia="Arial" w:hAnsi="Arial"/>
          <w:sz w:val="16"/>
          <w:szCs w:val="16"/>
          <w:color w:val="auto"/>
        </w:rPr>
      </w:pPr>
    </w:p>
    <w:p>
      <w:pPr>
        <w:jc w:val="both"/>
        <w:ind w:firstLine="656"/>
        <w:spacing w:after="0" w:line="274" w:lineRule="auto"/>
        <w:tabs>
          <w:tab w:leader="none" w:pos="918" w:val="left"/>
        </w:tabs>
        <w:numPr>
          <w:ilvl w:val="0"/>
          <w:numId w:val="209"/>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Limitation of Liability</w:t>
      </w:r>
      <w:r>
        <w:rPr>
          <w:rFonts w:ascii="Arial" w:cs="Arial" w:eastAsia="Arial" w:hAnsi="Arial"/>
          <w:sz w:val="17"/>
          <w:szCs w:val="17"/>
          <w:color w:val="auto"/>
        </w:rPr>
        <w:t>. It is expressly understood and agreed that notwithstanding anything in the Lease (as hereby amended)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contrary, and notwithstanding any applicable law to the contrary, the liability of Landlord under the Lease, as hereby amended, (including any successor Landlord) and any recourse by Tenant against Landlord shall be limited solely and exclusively to the interest of Landlord in and to the Building C, Building D and Building B, and neither Landlord, nor any of its constituent partners or members, shall have any personal liability therefor, and Tenant hereby expressly waives and releases such personal liability on behalf of itself and all persons claiming by, through or under Tenant. Under no circumstances shall Landlord be liable for injury to Tenant’s business or for any loss of income or profit therefrom.</w:t>
      </w:r>
    </w:p>
    <w:p>
      <w:pPr>
        <w:spacing w:after="0" w:line="173" w:lineRule="exact"/>
        <w:rPr>
          <w:rFonts w:ascii="Arial" w:cs="Arial" w:eastAsia="Arial" w:hAnsi="Arial"/>
          <w:sz w:val="17"/>
          <w:szCs w:val="17"/>
          <w:color w:val="auto"/>
        </w:rPr>
      </w:pPr>
    </w:p>
    <w:p>
      <w:pPr>
        <w:jc w:val="both"/>
        <w:ind w:firstLine="656"/>
        <w:spacing w:after="0" w:line="256" w:lineRule="auto"/>
        <w:tabs>
          <w:tab w:leader="none" w:pos="931" w:val="left"/>
        </w:tabs>
        <w:numPr>
          <w:ilvl w:val="0"/>
          <w:numId w:val="20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Exculpation</w:t>
      </w:r>
      <w:r>
        <w:rPr>
          <w:rFonts w:ascii="Arial" w:cs="Arial" w:eastAsia="Arial" w:hAnsi="Arial"/>
          <w:sz w:val="18"/>
          <w:szCs w:val="18"/>
          <w:color w:val="auto"/>
        </w:rPr>
        <w:t>. No present or future officer, director, employee, trustee, partner, member, manager or agent of Landlord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personal liability, directly or indirectly, and recourse shall not be had against any such officer, director, employee, trustee, partner, member, manager or agent under or in connection with the Lease, as hereby amended, or any other document or instrument heretofore or hereafter executed in connection with the Lease, as hereby amended. Tenant hereby waives and releases any and all such personal liability and recourse. The limitations of liability provided in this Section are in addition to, and not in limitation of, any limitation on liability applicable to Landlord provided by law or in any other contract, agreement or instrument.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3" w:name="page224"/>
    <w:bookmarkEnd w:id="223"/>
    <w:p>
      <w:pPr>
        <w:ind w:right="20" w:firstLine="656"/>
        <w:spacing w:after="0" w:line="282" w:lineRule="auto"/>
        <w:tabs>
          <w:tab w:leader="none" w:pos="918"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 Except as specifically herein amended, the Lease is and shall remain in full force and effect according to the terms thereof.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any conflict between the Lease and this Second Amendment, this Second Amendment shall control.</w:t>
      </w:r>
    </w:p>
    <w:p>
      <w:pPr>
        <w:spacing w:after="0" w:line="161" w:lineRule="exact"/>
        <w:rPr>
          <w:rFonts w:ascii="Arial" w:cs="Arial" w:eastAsia="Arial" w:hAnsi="Arial"/>
          <w:sz w:val="18"/>
          <w:szCs w:val="18"/>
          <w:color w:val="auto"/>
        </w:rPr>
      </w:pPr>
    </w:p>
    <w:p>
      <w:pPr>
        <w:jc w:val="both"/>
        <w:ind w:firstLine="656"/>
        <w:spacing w:after="0" w:line="255" w:lineRule="auto"/>
        <w:tabs>
          <w:tab w:leader="none" w:pos="931"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Should either party institute any action or proceeding to enforce or interpret this Second Amendment or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for damages by reason of any alleged breach of this Second Amendment or of any provision hereof, or for a declaration of rights hereunder, the prevailing party in any such action or proceeding shall be entitled to receive from the other party all cost and expenses, including actual attorneys’ and other fees, reasonably incurred in good faith by the prevailing party in connection with such action or proceeding. The term “attorneys’ and other fees” shall mean and include attorneys’ fees, accountants’ fees, and any and all consultants’ and other similar fees incurred in connection with the action or proceeding and preparations therefore. The term “action or proceeding” shall mean and include actions, proceedings, suits, arbitrations, appeals and other similar proceedings.</w:t>
      </w:r>
    </w:p>
    <w:p>
      <w:pPr>
        <w:spacing w:after="0" w:line="188" w:lineRule="exact"/>
        <w:rPr>
          <w:rFonts w:ascii="Arial" w:cs="Arial" w:eastAsia="Arial" w:hAnsi="Arial"/>
          <w:sz w:val="18"/>
          <w:szCs w:val="18"/>
          <w:color w:val="auto"/>
        </w:rPr>
      </w:pPr>
    </w:p>
    <w:p>
      <w:pPr>
        <w:jc w:val="both"/>
        <w:ind w:firstLine="656"/>
        <w:spacing w:after="0" w:line="281" w:lineRule="auto"/>
        <w:tabs>
          <w:tab w:leader="none" w:pos="931" w:val="left"/>
        </w:tabs>
        <w:numPr>
          <w:ilvl w:val="0"/>
          <w:numId w:val="210"/>
        </w:numPr>
        <w:rPr>
          <w:rFonts w:ascii="Arial" w:cs="Arial" w:eastAsia="Arial" w:hAnsi="Arial"/>
          <w:sz w:val="17"/>
          <w:szCs w:val="17"/>
          <w:color w:val="auto"/>
        </w:rPr>
      </w:pPr>
      <w:r>
        <w:rPr>
          <w:rFonts w:ascii="Arial" w:cs="Arial" w:eastAsia="Arial" w:hAnsi="Arial"/>
          <w:sz w:val="17"/>
          <w:szCs w:val="17"/>
          <w:b w:val="1"/>
          <w:bCs w:val="1"/>
          <w:u w:val="single" w:color="auto"/>
          <w:color w:val="auto"/>
        </w:rPr>
        <w:t>Submission</w:t>
      </w:r>
      <w:r>
        <w:rPr>
          <w:rFonts w:ascii="Arial" w:cs="Arial" w:eastAsia="Arial" w:hAnsi="Arial"/>
          <w:sz w:val="17"/>
          <w:szCs w:val="17"/>
          <w:color w:val="auto"/>
        </w:rPr>
        <w:t>. Submission of this Second Amendment by Landlord to Tenant for examination and/or execution shall not in any manner bind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no obligations on Landlord shall arise under this Second Amendment unless and until this Second Amendment is fully signed and delivered by Landlord and Tenant; provided, however, the execution and delivery by Tenant of this Second Amendment to Landlord shall constitute an irrevocable offer by Tenant of the terms and conditions herein contained, which offer may not be revoked for thirty (30) days after such delivery.</w:t>
      </w:r>
    </w:p>
    <w:p>
      <w:pPr>
        <w:spacing w:after="0" w:line="164" w:lineRule="exact"/>
        <w:rPr>
          <w:rFonts w:ascii="Arial" w:cs="Arial" w:eastAsia="Arial" w:hAnsi="Arial"/>
          <w:sz w:val="17"/>
          <w:szCs w:val="17"/>
          <w:color w:val="auto"/>
        </w:rPr>
      </w:pPr>
    </w:p>
    <w:p>
      <w:pPr>
        <w:jc w:val="both"/>
        <w:ind w:firstLine="656"/>
        <w:spacing w:after="0" w:line="261" w:lineRule="auto"/>
        <w:tabs>
          <w:tab w:leader="none" w:pos="918" w:val="left"/>
        </w:tabs>
        <w:numPr>
          <w:ilvl w:val="0"/>
          <w:numId w:val="21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Facsimile, Electronic and Emailed Signatures</w:t>
      </w:r>
      <w:r>
        <w:rPr>
          <w:rFonts w:ascii="Arial" w:cs="Arial" w:eastAsia="Arial" w:hAnsi="Arial"/>
          <w:sz w:val="18"/>
          <w:szCs w:val="18"/>
          <w:color w:val="auto"/>
        </w:rPr>
        <w:t>. This Second Amendment may be executed in several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but all of which together shall constitute one and the same agreement. A signed copy of this Second Amendment transmitted by facsimile, email, DocuSign or other means of electronic transmission shall be deemed to have the same legal effect as delivery of an original executed copy of this Second Amendment for all purposes.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ON NEXT PAGE]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Second Amendment has been executed by the parties as of the date Second referenced above.</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BRE RS GREG PARK OWNER LLC</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Finnigan</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Joseph Finnigan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DRAGONFLY ENERGY CORP.</w:t>
      </w:r>
      <w:r>
        <w:rPr>
          <w:rFonts w:ascii="Arial" w:cs="Arial" w:eastAsia="Arial" w:hAnsi="Arial"/>
          <w:sz w:val="18"/>
          <w:szCs w:val="18"/>
          <w:color w:val="auto"/>
        </w:rPr>
        <w:t>,</w:t>
      </w:r>
    </w:p>
    <w:p>
      <w:pPr>
        <w:spacing w:after="0" w:line="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INDUSTRIAL LEASE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THIRD AMENDMENT TO INDUSTRIAL LEASE </w:t>
      </w:r>
      <w:r>
        <w:rPr>
          <w:rFonts w:ascii="Arial" w:cs="Arial" w:eastAsia="Arial" w:hAnsi="Arial"/>
          <w:sz w:val="18"/>
          <w:szCs w:val="18"/>
          <w:color w:val="auto"/>
        </w:rPr>
        <w:t>dated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8/26/2020</w:t>
      </w:r>
      <w:r>
        <w:rPr>
          <w:rFonts w:ascii="Arial" w:cs="Arial" w:eastAsia="Arial" w:hAnsi="Arial"/>
          <w:sz w:val="18"/>
          <w:szCs w:val="18"/>
          <w:color w:val="auto"/>
        </w:rPr>
        <w:t>, 2020 (this “</w:t>
      </w:r>
      <w:r>
        <w:rPr>
          <w:rFonts w:ascii="Arial" w:cs="Arial" w:eastAsia="Arial" w:hAnsi="Arial"/>
          <w:sz w:val="18"/>
          <w:szCs w:val="18"/>
          <w:b w:val="1"/>
          <w:bCs w:val="1"/>
          <w:color w:val="auto"/>
        </w:rPr>
        <w:t>Third Amendment</w:t>
      </w:r>
      <w:r>
        <w:rPr>
          <w:rFonts w:ascii="Arial" w:cs="Arial" w:eastAsia="Arial" w:hAnsi="Arial"/>
          <w:sz w:val="18"/>
          <w:szCs w:val="18"/>
          <w:color w:val="auto"/>
        </w:rPr>
        <w:t>”), is entered into by and between</w:t>
      </w:r>
      <w:r>
        <w:rPr>
          <w:rFonts w:ascii="Arial" w:cs="Arial" w:eastAsia="Arial" w:hAnsi="Arial"/>
          <w:sz w:val="18"/>
          <w:szCs w:val="18"/>
          <w:b w:val="1"/>
          <w:bCs w:val="1"/>
          <w:color w:val="auto"/>
        </w:rPr>
        <w:t xml:space="preserve"> BRE RS GREG PARK OWNER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DRAGONFLY ENERGY CORP</w:t>
      </w:r>
      <w:r>
        <w:rPr>
          <w:rFonts w:ascii="Arial" w:cs="Arial" w:eastAsia="Arial" w:hAnsi="Arial"/>
          <w:sz w:val="18"/>
          <w:szCs w:val="18"/>
          <w:color w:val="auto"/>
        </w:rPr>
        <w:t>., a Nevada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color w:val="auto"/>
        </w:rPr>
        <w:t>Tenant</w:t>
      </w:r>
      <w:r>
        <w:rPr>
          <w:rFonts w:ascii="Arial" w:cs="Arial" w:eastAsia="Arial" w:hAnsi="Arial"/>
          <w:sz w:val="18"/>
          <w:szCs w:val="18"/>
          <w:color w:val="auto"/>
        </w:rPr>
        <w:t>”), with reference to the following: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Northwestern Mutual Life Insurance Company, a Wisconsin corporation, dba Sparks Industrial (“</w:t>
      </w:r>
      <w:r>
        <w:rPr>
          <w:rFonts w:ascii="Arial" w:cs="Arial" w:eastAsia="Arial" w:hAnsi="Arial"/>
          <w:sz w:val="17"/>
          <w:szCs w:val="17"/>
          <w:b w:val="1"/>
          <w:bCs w:val="1"/>
          <w:color w:val="auto"/>
        </w:rPr>
        <w:t>Original Landlord</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color w:val="auto"/>
        </w:rPr>
        <w:t>Tenant entered into that certain Industrial Lease dated April 25, 2019, amended by that First Amendment to Industrial Lease dated March 12, 2020 by and between Landlord and Tenant, and that certain Second Amendment to Industrial Lease dated July 17, 2020 (the “</w:t>
      </w:r>
      <w:r>
        <w:rPr>
          <w:rFonts w:ascii="Arial" w:cs="Arial" w:eastAsia="Arial" w:hAnsi="Arial"/>
          <w:sz w:val="17"/>
          <w:szCs w:val="17"/>
          <w:b w:val="1"/>
          <w:bCs w:val="1"/>
          <w:color w:val="auto"/>
        </w:rPr>
        <w:t>Second Amendment</w:t>
      </w:r>
      <w:r>
        <w:rPr>
          <w:rFonts w:ascii="Arial" w:cs="Arial" w:eastAsia="Arial" w:hAnsi="Arial"/>
          <w:sz w:val="17"/>
          <w:szCs w:val="17"/>
          <w:color w:val="auto"/>
        </w:rPr>
        <w:t>”) by and between Landlord and Tenant (collectively the “</w:t>
      </w:r>
      <w:r>
        <w:rPr>
          <w:rFonts w:ascii="Arial" w:cs="Arial" w:eastAsia="Arial" w:hAnsi="Arial"/>
          <w:sz w:val="17"/>
          <w:szCs w:val="17"/>
          <w:b w:val="1"/>
          <w:bCs w:val="1"/>
          <w:color w:val="auto"/>
        </w:rPr>
        <w:t>Lease</w:t>
      </w:r>
      <w:r>
        <w:rPr>
          <w:rFonts w:ascii="Arial" w:cs="Arial" w:eastAsia="Arial" w:hAnsi="Arial"/>
          <w:sz w:val="17"/>
          <w:szCs w:val="17"/>
          <w:color w:val="auto"/>
        </w:rPr>
        <w:t>”), for the lease of certain premises (the “</w:t>
      </w:r>
      <w:r>
        <w:rPr>
          <w:rFonts w:ascii="Arial" w:cs="Arial" w:eastAsia="Arial" w:hAnsi="Arial"/>
          <w:sz w:val="17"/>
          <w:szCs w:val="17"/>
          <w:b w:val="1"/>
          <w:bCs w:val="1"/>
          <w:color w:val="auto"/>
        </w:rPr>
        <w:t>Current Premises</w:t>
      </w:r>
      <w:r>
        <w:rPr>
          <w:rFonts w:ascii="Arial" w:cs="Arial" w:eastAsia="Arial" w:hAnsi="Arial"/>
          <w:sz w:val="17"/>
          <w:szCs w:val="17"/>
          <w:color w:val="auto"/>
        </w:rPr>
        <w:t>”) consisting of approximately 25,025 square feet, commonly known as Suite 104 (“</w:t>
      </w:r>
      <w:r>
        <w:rPr>
          <w:rFonts w:ascii="Arial" w:cs="Arial" w:eastAsia="Arial" w:hAnsi="Arial"/>
          <w:sz w:val="17"/>
          <w:szCs w:val="17"/>
          <w:b w:val="1"/>
          <w:bCs w:val="1"/>
          <w:color w:val="auto"/>
        </w:rPr>
        <w:t>Suite 104</w:t>
      </w:r>
      <w:r>
        <w:rPr>
          <w:rFonts w:ascii="Arial" w:cs="Arial" w:eastAsia="Arial" w:hAnsi="Arial"/>
          <w:sz w:val="17"/>
          <w:szCs w:val="17"/>
          <w:color w:val="auto"/>
        </w:rPr>
        <w:t>”) in the building located at 1375 Greg Street, Sparks, Nevada (“</w:t>
      </w:r>
      <w:r>
        <w:rPr>
          <w:rFonts w:ascii="Arial" w:cs="Arial" w:eastAsia="Arial" w:hAnsi="Arial"/>
          <w:sz w:val="17"/>
          <w:szCs w:val="17"/>
          <w:b w:val="1"/>
          <w:bCs w:val="1"/>
          <w:color w:val="auto"/>
        </w:rPr>
        <w:t>Building B</w:t>
      </w:r>
      <w:r>
        <w:rPr>
          <w:rFonts w:ascii="Arial" w:cs="Arial" w:eastAsia="Arial" w:hAnsi="Arial"/>
          <w:sz w:val="17"/>
          <w:szCs w:val="17"/>
          <w:color w:val="auto"/>
        </w:rPr>
        <w:t>”), Suites 101-102 (“</w:t>
      </w:r>
      <w:r>
        <w:rPr>
          <w:rFonts w:ascii="Arial" w:cs="Arial" w:eastAsia="Arial" w:hAnsi="Arial"/>
          <w:sz w:val="17"/>
          <w:szCs w:val="17"/>
          <w:b w:val="1"/>
          <w:bCs w:val="1"/>
          <w:color w:val="auto"/>
        </w:rPr>
        <w:t>Suites 101-102</w:t>
      </w:r>
      <w:r>
        <w:rPr>
          <w:rFonts w:ascii="Arial" w:cs="Arial" w:eastAsia="Arial" w:hAnsi="Arial"/>
          <w:sz w:val="17"/>
          <w:szCs w:val="17"/>
          <w:color w:val="auto"/>
        </w:rPr>
        <w:t>”) in the building located at 1355 Greg Street, Sparks, Nevada (“</w:t>
      </w:r>
      <w:r>
        <w:rPr>
          <w:rFonts w:ascii="Arial" w:cs="Arial" w:eastAsia="Arial" w:hAnsi="Arial"/>
          <w:sz w:val="17"/>
          <w:szCs w:val="17"/>
          <w:b w:val="1"/>
          <w:bCs w:val="1"/>
          <w:color w:val="auto"/>
        </w:rPr>
        <w:t>Building C</w:t>
      </w:r>
      <w:r>
        <w:rPr>
          <w:rFonts w:ascii="Arial" w:cs="Arial" w:eastAsia="Arial" w:hAnsi="Arial"/>
          <w:sz w:val="17"/>
          <w:szCs w:val="17"/>
          <w:color w:val="auto"/>
        </w:rPr>
        <w:t>”), and Suite 103 (“</w:t>
      </w:r>
      <w:r>
        <w:rPr>
          <w:rFonts w:ascii="Arial" w:cs="Arial" w:eastAsia="Arial" w:hAnsi="Arial"/>
          <w:sz w:val="17"/>
          <w:szCs w:val="17"/>
          <w:b w:val="1"/>
          <w:bCs w:val="1"/>
          <w:color w:val="auto"/>
        </w:rPr>
        <w:t>Suite 103</w:t>
      </w:r>
      <w:r>
        <w:rPr>
          <w:rFonts w:ascii="Arial" w:cs="Arial" w:eastAsia="Arial" w:hAnsi="Arial"/>
          <w:sz w:val="17"/>
          <w:szCs w:val="17"/>
          <w:color w:val="auto"/>
        </w:rPr>
        <w:t>”) in the building located at 1335 Greg Street,</w:t>
      </w:r>
      <w:r>
        <w:rPr>
          <w:rFonts w:ascii="Arial" w:cs="Arial" w:eastAsia="Arial" w:hAnsi="Arial"/>
          <w:sz w:val="17"/>
          <w:szCs w:val="17"/>
          <w:b w:val="1"/>
          <w:bCs w:val="1"/>
          <w:color w:val="auto"/>
        </w:rPr>
        <w:t xml:space="preserve"> </w:t>
      </w:r>
      <w:r>
        <w:rPr>
          <w:rFonts w:ascii="Arial" w:cs="Arial" w:eastAsia="Arial" w:hAnsi="Arial"/>
          <w:sz w:val="17"/>
          <w:szCs w:val="17"/>
          <w:color w:val="auto"/>
        </w:rPr>
        <w:t>Sparks, Nevada (“</w:t>
      </w:r>
      <w:r>
        <w:rPr>
          <w:rFonts w:ascii="Arial" w:cs="Arial" w:eastAsia="Arial" w:hAnsi="Arial"/>
          <w:sz w:val="17"/>
          <w:szCs w:val="17"/>
          <w:b w:val="1"/>
          <w:bCs w:val="1"/>
          <w:color w:val="auto"/>
        </w:rPr>
        <w:t>Building D</w:t>
      </w:r>
      <w:r>
        <w:rPr>
          <w:rFonts w:ascii="Arial" w:cs="Arial" w:eastAsia="Arial" w:hAnsi="Arial"/>
          <w:sz w:val="17"/>
          <w:szCs w:val="17"/>
          <w:color w:val="auto"/>
        </w:rPr>
        <w:t>”). Landlord is the successor-in- interest to Original Landlord under the Lease. All capitalized terms used herein and not otherwise defined herein shall have the meanings ascribed to such terms in the Lease; and</w:t>
      </w:r>
    </w:p>
    <w:p>
      <w:pPr>
        <w:spacing w:after="0" w:line="17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Landlord and Tenant desire by this Third Amendment to amend the Lease in order to, among other things, (a) expand the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leased by Tenant under the Lease to include certain additional premises consisting of approximately 4,800 square feet, commonly known as Suite 107 (“</w:t>
      </w:r>
      <w:r>
        <w:rPr>
          <w:rFonts w:ascii="Arial" w:cs="Arial" w:eastAsia="Arial" w:hAnsi="Arial"/>
          <w:sz w:val="18"/>
          <w:szCs w:val="18"/>
          <w:b w:val="1"/>
          <w:bCs w:val="1"/>
          <w:color w:val="auto"/>
        </w:rPr>
        <w:t>Suite 107</w:t>
      </w:r>
      <w:r>
        <w:rPr>
          <w:rFonts w:ascii="Arial" w:cs="Arial" w:eastAsia="Arial" w:hAnsi="Arial"/>
          <w:sz w:val="18"/>
          <w:szCs w:val="18"/>
          <w:color w:val="auto"/>
        </w:rPr>
        <w:t>”) in Building B; (b) provide for the Rent to be paid by Tenant for Suite 107 during the remainder of the Suite 104 Term (as defined in the Second Amendment); and (c) further amend, modify and supplement the Lease as set forth herein.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Expanded Premises (as defined below) and for other good and valuable consideration, the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and sufficiency of which are hereby acknowledged, Landlord and Tenant hereby agree as follows:</w:t>
      </w:r>
    </w:p>
    <w:p>
      <w:pPr>
        <w:spacing w:after="0" w:line="162" w:lineRule="exact"/>
        <w:rPr>
          <w:sz w:val="20"/>
          <w:szCs w:val="20"/>
          <w:color w:val="auto"/>
        </w:rPr>
      </w:pPr>
    </w:p>
    <w:p>
      <w:pPr>
        <w:ind w:left="840" w:hanging="184"/>
        <w:spacing w:after="0"/>
        <w:tabs>
          <w:tab w:leader="none" w:pos="840" w:val="left"/>
        </w:tabs>
        <w:numPr>
          <w:ilvl w:val="0"/>
          <w:numId w:val="211"/>
        </w:numPr>
        <w:rPr>
          <w:rFonts w:ascii="Arial" w:cs="Arial" w:eastAsia="Arial" w:hAnsi="Arial"/>
          <w:sz w:val="18"/>
          <w:szCs w:val="18"/>
          <w:color w:val="auto"/>
        </w:rPr>
      </w:pPr>
      <w:r>
        <w:rPr>
          <w:rFonts w:ascii="Arial" w:cs="Arial" w:eastAsia="Arial" w:hAnsi="Arial"/>
          <w:sz w:val="18"/>
          <w:szCs w:val="18"/>
          <w:b w:val="1"/>
          <w:bCs w:val="1"/>
          <w:u w:val="single" w:color="auto"/>
          <w:color w:val="auto"/>
        </w:rPr>
        <w:t>Recitals</w:t>
      </w:r>
      <w:r>
        <w:rPr>
          <w:rFonts w:ascii="Arial" w:cs="Arial" w:eastAsia="Arial" w:hAnsi="Arial"/>
          <w:sz w:val="18"/>
          <w:szCs w:val="18"/>
          <w:color w:val="auto"/>
        </w:rPr>
        <w:t>. The Recitals set forth above are incorporated herein as though set forth in full herein.</w:t>
      </w:r>
    </w:p>
    <w:p>
      <w:pPr>
        <w:spacing w:after="0" w:line="225" w:lineRule="exact"/>
        <w:rPr>
          <w:rFonts w:ascii="Arial" w:cs="Arial" w:eastAsia="Arial" w:hAnsi="Arial"/>
          <w:sz w:val="18"/>
          <w:szCs w:val="18"/>
          <w:color w:val="auto"/>
        </w:rPr>
      </w:pPr>
    </w:p>
    <w:p>
      <w:pPr>
        <w:jc w:val="both"/>
        <w:ind w:firstLine="656"/>
        <w:spacing w:after="0" w:line="271" w:lineRule="auto"/>
        <w:tabs>
          <w:tab w:leader="none" w:pos="828" w:val="left"/>
        </w:tabs>
        <w:numPr>
          <w:ilvl w:val="0"/>
          <w:numId w:val="211"/>
        </w:numPr>
        <w:rPr>
          <w:rFonts w:ascii="Arial" w:cs="Arial" w:eastAsia="Arial" w:hAnsi="Arial"/>
          <w:sz w:val="17"/>
          <w:szCs w:val="17"/>
          <w:color w:val="auto"/>
        </w:rPr>
      </w:pPr>
      <w:r>
        <w:rPr>
          <w:rFonts w:ascii="Arial" w:cs="Arial" w:eastAsia="Arial" w:hAnsi="Arial"/>
          <w:sz w:val="17"/>
          <w:szCs w:val="17"/>
          <w:b w:val="1"/>
          <w:bCs w:val="1"/>
          <w:u w:val="single" w:color="auto"/>
          <w:color w:val="auto"/>
        </w:rPr>
        <w:t>Expansion of the Current Premises</w:t>
      </w:r>
      <w:r>
        <w:rPr>
          <w:rFonts w:ascii="Arial" w:cs="Arial" w:eastAsia="Arial" w:hAnsi="Arial"/>
          <w:sz w:val="17"/>
          <w:szCs w:val="17"/>
          <w:color w:val="auto"/>
        </w:rPr>
        <w:t>. Notwithstanding anything to the contrary contained in the Lease, commencing on September 1, 2020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Suite 107 Expansion Date</w:t>
      </w:r>
      <w:r>
        <w:rPr>
          <w:rFonts w:ascii="Arial" w:cs="Arial" w:eastAsia="Arial" w:hAnsi="Arial"/>
          <w:sz w:val="17"/>
          <w:szCs w:val="17"/>
          <w:color w:val="auto"/>
        </w:rPr>
        <w:t xml:space="preserve">”), Landlord shall lease to Tenant, and Tenant shall lease from Landlord, Suite 107 as shown on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attached hereto and incorporated herein by this reference, upon all of the terms and conditions of the Lease except as otherwise set forth herein. The Lease is hereby amended such that, from the Suite 107 Expansion Date until the Suites 101-103 Expiration Date (as defined below), all references in the Lease to the “</w:t>
      </w:r>
      <w:r>
        <w:rPr>
          <w:rFonts w:ascii="Arial" w:cs="Arial" w:eastAsia="Arial" w:hAnsi="Arial"/>
          <w:sz w:val="17"/>
          <w:szCs w:val="17"/>
          <w:b w:val="1"/>
          <w:bCs w:val="1"/>
          <w:color w:val="auto"/>
        </w:rPr>
        <w:t>Premises</w:t>
      </w:r>
      <w:r>
        <w:rPr>
          <w:rFonts w:ascii="Arial" w:cs="Arial" w:eastAsia="Arial" w:hAnsi="Arial"/>
          <w:sz w:val="17"/>
          <w:szCs w:val="17"/>
          <w:color w:val="auto"/>
        </w:rPr>
        <w:t>” shall mean and refer to the entirety of the space in the Current Premises and Suite 107, which is approximately 29,825 square feet (the entirety of such space is referred to herein as the “</w:t>
      </w:r>
      <w:r>
        <w:rPr>
          <w:rFonts w:ascii="Arial" w:cs="Arial" w:eastAsia="Arial" w:hAnsi="Arial"/>
          <w:sz w:val="17"/>
          <w:szCs w:val="17"/>
          <w:b w:val="1"/>
          <w:bCs w:val="1"/>
          <w:color w:val="auto"/>
        </w:rPr>
        <w:t>Expanded Premises</w:t>
      </w:r>
      <w:r>
        <w:rPr>
          <w:rFonts w:ascii="Arial" w:cs="Arial" w:eastAsia="Arial" w:hAnsi="Arial"/>
          <w:sz w:val="17"/>
          <w:szCs w:val="17"/>
          <w:color w:val="auto"/>
        </w:rPr>
        <w:t>”). From and after the Suite 107 Expansion Date, all references in the Lease to the Building shall mean Building B with respect to Suites 104 and 107. Notwithstanding anything to the contrary contained herein, Landlord shall not be obligated to deliver possession of Suite 107 to Tenant until Tenant has provided to Landlord evidence of liability and property insurance coverage covering Suite 107 pursuant to Section 8 of the Original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6" w:name="page227"/>
    <w:bookmarkEnd w:id="226"/>
    <w:p>
      <w:pPr>
        <w:jc w:val="both"/>
        <w:ind w:left="-20" w:firstLine="656"/>
        <w:spacing w:after="0" w:line="271" w:lineRule="auto"/>
        <w:tabs>
          <w:tab w:leader="none" w:pos="808" w:val="left"/>
        </w:tabs>
        <w:numPr>
          <w:ilvl w:val="0"/>
          <w:numId w:val="212"/>
        </w:numPr>
        <w:rPr>
          <w:rFonts w:ascii="Arial" w:cs="Arial" w:eastAsia="Arial" w:hAnsi="Arial"/>
          <w:sz w:val="17"/>
          <w:szCs w:val="17"/>
          <w:color w:val="auto"/>
        </w:rPr>
      </w:pPr>
      <w:r>
        <w:rPr>
          <w:rFonts w:ascii="Arial" w:cs="Arial" w:eastAsia="Arial" w:hAnsi="Arial"/>
          <w:sz w:val="17"/>
          <w:szCs w:val="17"/>
          <w:b w:val="1"/>
          <w:bCs w:val="1"/>
          <w:u w:val="single" w:color="auto"/>
          <w:color w:val="auto"/>
        </w:rPr>
        <w:t>Lease of Suites 104 and 107 are Coterminous; Lease of Suites 101, 102 and 103 are Coterminous</w:t>
      </w:r>
      <w:r>
        <w:rPr>
          <w:rFonts w:ascii="Arial" w:cs="Arial" w:eastAsia="Arial" w:hAnsi="Arial"/>
          <w:sz w:val="17"/>
          <w:szCs w:val="17"/>
          <w:color w:val="auto"/>
        </w:rPr>
        <w:t>. Landlord and Tenant acknowledge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the Term of Tenant’s lease of Suite 104 and Suite 107 shall terminate on July 31, 2025 (the “</w:t>
      </w:r>
      <w:r>
        <w:rPr>
          <w:rFonts w:ascii="Arial" w:cs="Arial" w:eastAsia="Arial" w:hAnsi="Arial"/>
          <w:sz w:val="17"/>
          <w:szCs w:val="17"/>
          <w:b w:val="1"/>
          <w:bCs w:val="1"/>
          <w:color w:val="auto"/>
        </w:rPr>
        <w:t>Suites 104 and 107 Expiration Date</w:t>
      </w:r>
      <w:r>
        <w:rPr>
          <w:rFonts w:ascii="Arial" w:cs="Arial" w:eastAsia="Arial" w:hAnsi="Arial"/>
          <w:sz w:val="17"/>
          <w:szCs w:val="17"/>
          <w:color w:val="auto"/>
        </w:rPr>
        <w:t>”), unless sooner terminated in accordance with the terms of the Lease. Tenant acknowledges that Tenant’s lease of Suites 101-102 and Suite 103 (“</w:t>
      </w:r>
      <w:r>
        <w:rPr>
          <w:rFonts w:ascii="Arial" w:cs="Arial" w:eastAsia="Arial" w:hAnsi="Arial"/>
          <w:sz w:val="17"/>
          <w:szCs w:val="17"/>
          <w:b w:val="1"/>
          <w:bCs w:val="1"/>
          <w:color w:val="auto"/>
        </w:rPr>
        <w:t>Suites 101-103</w:t>
      </w:r>
      <w:r>
        <w:rPr>
          <w:rFonts w:ascii="Arial" w:cs="Arial" w:eastAsia="Arial" w:hAnsi="Arial"/>
          <w:sz w:val="17"/>
          <w:szCs w:val="17"/>
          <w:color w:val="auto"/>
        </w:rPr>
        <w:t>”) under the Lease shall expire on April 30, 2024 (the “</w:t>
      </w:r>
      <w:r>
        <w:rPr>
          <w:rFonts w:ascii="Arial" w:cs="Arial" w:eastAsia="Arial" w:hAnsi="Arial"/>
          <w:sz w:val="17"/>
          <w:szCs w:val="17"/>
          <w:b w:val="1"/>
          <w:bCs w:val="1"/>
          <w:color w:val="auto"/>
        </w:rPr>
        <w:t>Suites 101-103 Expiration Date</w:t>
      </w:r>
      <w:r>
        <w:rPr>
          <w:rFonts w:ascii="Arial" w:cs="Arial" w:eastAsia="Arial" w:hAnsi="Arial"/>
          <w:sz w:val="17"/>
          <w:szCs w:val="17"/>
          <w:color w:val="auto"/>
        </w:rPr>
        <w:t>”). Tenant acknowledges that Tenant has no option or right to extend the term of Tenant’s lease of Suites 101-103 beyond the Suites 101-103 Expiration Date, except as expressly provided in Exhibit D attached to the Original Lease (provided that all references in Exhibit D to the Premises shall mean and refer to Suites 101-103), and Tenant has no option or right to extend the Suite 104 Term (as defined in the Second Amendment) beyond the Suites 104 and 107 Expiration Date, except as expressly provided in Exhibit D attached to the Original Lease (provided that all references in Exhibit D to the Term shall mean and refer to the Suite 104 Term and all references in Exhibit D to the Premises shall mean and refer to Suite 104 and Suite 107).</w:t>
      </w:r>
    </w:p>
    <w:p>
      <w:pPr>
        <w:spacing w:after="0" w:line="173" w:lineRule="exact"/>
        <w:rPr>
          <w:rFonts w:ascii="Arial" w:cs="Arial" w:eastAsia="Arial" w:hAnsi="Arial"/>
          <w:sz w:val="17"/>
          <w:szCs w:val="17"/>
          <w:color w:val="auto"/>
        </w:rPr>
      </w:pPr>
    </w:p>
    <w:p>
      <w:pPr>
        <w:jc w:val="both"/>
        <w:ind w:left="-20" w:firstLine="656"/>
        <w:spacing w:after="0" w:line="266" w:lineRule="auto"/>
        <w:tabs>
          <w:tab w:leader="none" w:pos="808" w:val="left"/>
        </w:tabs>
        <w:numPr>
          <w:ilvl w:val="0"/>
          <w:numId w:val="21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Rent for Suite 107</w:t>
      </w:r>
      <w:r>
        <w:rPr>
          <w:rFonts w:ascii="Arial" w:cs="Arial" w:eastAsia="Arial" w:hAnsi="Arial"/>
          <w:sz w:val="18"/>
          <w:szCs w:val="18"/>
          <w:color w:val="auto"/>
        </w:rPr>
        <w:t>. Landlord and Tenant agree that in addition to paying all other Rent due under the Lease (including, without limitation,</w:t>
      </w:r>
      <w:r>
        <w:rPr>
          <w:rFonts w:ascii="Arial" w:cs="Arial" w:eastAsia="Arial" w:hAnsi="Arial"/>
          <w:sz w:val="18"/>
          <w:szCs w:val="18"/>
          <w:b w:val="1"/>
          <w:bCs w:val="1"/>
          <w:color w:val="auto"/>
        </w:rPr>
        <w:t xml:space="preserve"> </w:t>
      </w:r>
      <w:r>
        <w:rPr>
          <w:rFonts w:ascii="Arial" w:cs="Arial" w:eastAsia="Arial" w:hAnsi="Arial"/>
          <w:sz w:val="18"/>
          <w:szCs w:val="18"/>
          <w:color w:val="auto"/>
        </w:rPr>
        <w:t>Base Rent for Suites 101-103 and Suite 104), Tenant shall pay monthly Base Rent for Suite 107 during the remainder of the Suite 104 Term in accordance with the following schedule:</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237"/>
        </w:trPr>
        <w:tc>
          <w:tcPr>
            <w:tcW w:w="7000" w:type="dxa"/>
            <w:vAlign w:val="bottom"/>
          </w:tcPr>
          <w:p>
            <w:pPr>
              <w:jc w:val="center"/>
              <w:spacing w:after="0"/>
              <w:rPr>
                <w:sz w:val="20"/>
                <w:szCs w:val="20"/>
                <w:color w:val="auto"/>
              </w:rPr>
            </w:pPr>
            <w:r>
              <w:rPr>
                <w:rFonts w:ascii="Arial" w:cs="Arial" w:eastAsia="Arial" w:hAnsi="Arial"/>
                <w:sz w:val="18"/>
                <w:szCs w:val="18"/>
                <w:color w:val="auto"/>
                <w:w w:val="92"/>
              </w:rPr>
              <w:t>Period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Monthly Base Rent</w:t>
            </w:r>
          </w:p>
        </w:tc>
      </w:tr>
      <w:tr>
        <w:trPr>
          <w:trHeight w:val="216"/>
        </w:trPr>
        <w:tc>
          <w:tcPr>
            <w:tcW w:w="7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1, 2020 – August 31, 2021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jc w:val="center"/>
              <w:spacing w:after="0"/>
              <w:rPr>
                <w:sz w:val="20"/>
                <w:szCs w:val="20"/>
                <w:color w:val="auto"/>
              </w:rPr>
            </w:pPr>
            <w:r>
              <w:rPr>
                <w:rFonts w:ascii="Arial" w:cs="Arial" w:eastAsia="Arial" w:hAnsi="Arial"/>
                <w:sz w:val="18"/>
                <w:szCs w:val="18"/>
                <w:color w:val="auto"/>
                <w:w w:val="89"/>
              </w:rPr>
              <w:t>September 1, 2021 – August 31, 2022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4,202.40</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1, 2022 – August 31, 2023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4,328.47</w:t>
            </w:r>
          </w:p>
        </w:tc>
        <w:tc>
          <w:tcPr>
            <w:tcW w:w="80" w:type="dxa"/>
            <w:vAlign w:val="bottom"/>
            <w:shd w:val="clear" w:color="auto" w:fill="CCEEFF"/>
          </w:tcPr>
          <w:p>
            <w:pPr>
              <w:spacing w:after="0"/>
              <w:rPr>
                <w:sz w:val="18"/>
                <w:szCs w:val="18"/>
                <w:color w:val="auto"/>
              </w:rPr>
            </w:pPr>
          </w:p>
        </w:tc>
      </w:tr>
      <w:tr>
        <w:trPr>
          <w:trHeight w:val="216"/>
        </w:trPr>
        <w:tc>
          <w:tcPr>
            <w:tcW w:w="7000" w:type="dxa"/>
            <w:vAlign w:val="bottom"/>
          </w:tcPr>
          <w:p>
            <w:pPr>
              <w:jc w:val="center"/>
              <w:spacing w:after="0"/>
              <w:rPr>
                <w:sz w:val="20"/>
                <w:szCs w:val="20"/>
                <w:color w:val="auto"/>
              </w:rPr>
            </w:pPr>
            <w:r>
              <w:rPr>
                <w:rFonts w:ascii="Arial" w:cs="Arial" w:eastAsia="Arial" w:hAnsi="Arial"/>
                <w:sz w:val="18"/>
                <w:szCs w:val="18"/>
                <w:color w:val="auto"/>
                <w:w w:val="89"/>
              </w:rPr>
              <w:t>September 1, 2023 – August 31, 2024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4,458.33</w:t>
            </w:r>
          </w:p>
        </w:tc>
        <w:tc>
          <w:tcPr>
            <w:tcW w:w="80" w:type="dxa"/>
            <w:vAlign w:val="bottom"/>
          </w:tcPr>
          <w:p>
            <w:pPr>
              <w:spacing w:after="0"/>
              <w:rPr>
                <w:sz w:val="18"/>
                <w:szCs w:val="18"/>
                <w:color w:val="auto"/>
              </w:rPr>
            </w:pPr>
          </w:p>
        </w:tc>
      </w:tr>
      <w:tr>
        <w:trPr>
          <w:trHeight w:val="216"/>
        </w:trPr>
        <w:tc>
          <w:tcPr>
            <w:tcW w:w="7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1, 2024 – July 31, 2025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4,592.08</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left="-20" w:firstLine="656"/>
        <w:spacing w:after="0" w:line="261" w:lineRule="auto"/>
        <w:tabs>
          <w:tab w:leader="none" w:pos="808" w:val="left"/>
        </w:tabs>
        <w:numPr>
          <w:ilvl w:val="0"/>
          <w:numId w:val="213"/>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Tenant’s Proportionate Share of Building B</w:t>
      </w:r>
      <w:r>
        <w:rPr>
          <w:rFonts w:ascii="Arial" w:cs="Arial" w:eastAsia="Arial" w:hAnsi="Arial"/>
          <w:sz w:val="18"/>
          <w:szCs w:val="18"/>
          <w:color w:val="auto"/>
        </w:rPr>
        <w:t>. For purposes of calculating Tenant’s Proportionate Share of Basic Operating Cost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Suite 104 and Suite 107 for Building B, commencing on the Suite 107 Expansion Date and continuing until the expiration of the Suite 104 Term, Tenant’s Proportionate Share of Building B shall be 15.82%. Tenant’s Proportionate Share is based upon Building B containing approximately 60,674 square feet (i.e., 9,600/60,674 = 15.82%).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27" w:name="page228"/>
    <w:bookmarkEnd w:id="227"/>
    <w:p>
      <w:pPr>
        <w:jc w:val="both"/>
        <w:ind w:firstLine="656"/>
        <w:spacing w:after="0" w:line="284" w:lineRule="auto"/>
        <w:tabs>
          <w:tab w:leader="none" w:pos="841" w:val="left"/>
        </w:tabs>
        <w:numPr>
          <w:ilvl w:val="0"/>
          <w:numId w:val="214"/>
        </w:numPr>
        <w:rPr>
          <w:rFonts w:ascii="Arial" w:cs="Arial" w:eastAsia="Arial" w:hAnsi="Arial"/>
          <w:sz w:val="16"/>
          <w:szCs w:val="16"/>
          <w:color w:val="auto"/>
        </w:rPr>
      </w:pPr>
      <w:r>
        <w:rPr>
          <w:rFonts w:ascii="Arial" w:cs="Arial" w:eastAsia="Arial" w:hAnsi="Arial"/>
          <w:sz w:val="16"/>
          <w:szCs w:val="16"/>
          <w:b w:val="1"/>
          <w:bCs w:val="1"/>
          <w:u w:val="single" w:color="auto"/>
          <w:color w:val="auto"/>
        </w:rPr>
        <w:t>Condition of the Expanded Premises</w:t>
      </w:r>
      <w:r>
        <w:rPr>
          <w:rFonts w:ascii="Arial" w:cs="Arial" w:eastAsia="Arial" w:hAnsi="Arial"/>
          <w:sz w:val="16"/>
          <w:szCs w:val="16"/>
          <w:color w:val="auto"/>
        </w:rPr>
        <w:t>. Tenant acknowledges that it has been and continues to be in possession of the Current Premises, is</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the condition of the Current Premises and accepts the Current Premises in its presently existing, “AS IS” condition, with all faults and without representation, warranty or improvements by Landlord of any kind whatsoever. Except as expressly provided in this Third Amendment, Tenant hereby agrees that Suite 107 shall be taken “AS IS”, “with all faults”, “without any representations or warranties.” Tenant hereby acknowledges that it has had an opportunity to investigate and inspect the condition Suite 107 and the suitability of same for Tenant’s purposes, and Tenant does hereby waive and disclaim any objection to, cause of action based upon, or claim that its obligations hereunder should be reduced or limited because of the condition of Suite 107, the Building or the Project or the suitability of same for Tenant’s purposes. Tenant acknowledges that neither Landlord nor any agent nor any employee of Landlord has made any representations or warranty with respect to Suite 107, the Building or the Project or with respect to the suitability of either for the conduct of Tenant’s business and Tenant expressly warrants and represents that Tenant has relied solely on its own investigation and inspection of Suite 107, the Building and the Project in its decision to enter into this Third Amendment and let Suite 107 in an “As Is” condition. No promise of Landlord to alter, remodel, repair, or improve Suite 107, the Current Premises, or the Project, and no representation, express or implied, respecting any matter or thing relating to Suite 107, the Current Premises, the Project, or this Third Amendment (including, without limitation, the condition of Suite 107, the Current Premises or the Project) has been made to Tenant by Landlord or its broker or sales agent other than as may be contained in the Lease or this Third Amendment. Notwithstanding the foregoing, Landlord shall deliver Suite 107 to Tenant broom clean and free of debris on the Suite 107 Expansion Date, with the existing mechanical, plumbing and electrical systems serving Suite 107 and the emergency and exit signs located in Suite 107 in good operating condition on the Suite 107 Expansion Date and Landlord warrants that all heaters and mechanical systems serving Suite 107 (the “</w:t>
      </w:r>
      <w:r>
        <w:rPr>
          <w:rFonts w:ascii="Arial" w:cs="Arial" w:eastAsia="Arial" w:hAnsi="Arial"/>
          <w:sz w:val="16"/>
          <w:szCs w:val="16"/>
          <w:b w:val="1"/>
          <w:bCs w:val="1"/>
          <w:color w:val="auto"/>
        </w:rPr>
        <w:t>Heaters and</w:t>
      </w:r>
      <w:r>
        <w:rPr>
          <w:rFonts w:ascii="Arial" w:cs="Arial" w:eastAsia="Arial" w:hAnsi="Arial"/>
          <w:sz w:val="16"/>
          <w:szCs w:val="16"/>
          <w:color w:val="auto"/>
        </w:rPr>
        <w:t xml:space="preserve"> </w:t>
      </w:r>
      <w:r>
        <w:rPr>
          <w:rFonts w:ascii="Arial" w:cs="Arial" w:eastAsia="Arial" w:hAnsi="Arial"/>
          <w:sz w:val="16"/>
          <w:szCs w:val="16"/>
          <w:b w:val="1"/>
          <w:bCs w:val="1"/>
          <w:color w:val="auto"/>
        </w:rPr>
        <w:t>Mechanical Systems</w:t>
      </w:r>
      <w:r>
        <w:rPr>
          <w:rFonts w:ascii="Arial" w:cs="Arial" w:eastAsia="Arial" w:hAnsi="Arial"/>
          <w:sz w:val="16"/>
          <w:szCs w:val="16"/>
          <w:color w:val="auto"/>
        </w:rPr>
        <w:t>”) shall continue to operate in good working order for the period ending on the date ninety (90) days after the Suite 107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w:t>
      </w:r>
      <w:r>
        <w:rPr>
          <w:rFonts w:ascii="Arial" w:cs="Arial" w:eastAsia="Arial" w:hAnsi="Arial"/>
          <w:sz w:val="16"/>
          <w:szCs w:val="16"/>
          <w:b w:val="1"/>
          <w:bCs w:val="1"/>
          <w:color w:val="auto"/>
        </w:rPr>
        <w:t>Warranty Period</w:t>
      </w:r>
      <w:r>
        <w:rPr>
          <w:rFonts w:ascii="Arial" w:cs="Arial" w:eastAsia="Arial" w:hAnsi="Arial"/>
          <w:sz w:val="16"/>
          <w:szCs w:val="16"/>
          <w:color w:val="auto"/>
        </w:rPr>
        <w:t>”), except to the extent such failure in the Heaters and Mechanical Systems to operate in good working order is caused by Tenant’s use or alterations to Suite 107 or failure to properly maintain the Heaters and Mechanical Systems as required by the Lease. If a non-compliance with the foregoing exists as of the Suite 107 Expansion Date, Landlord shall, except as otherwise provided in the Lease, promptly after receipt of written notice from Tenant setting forth with specificity the nature and extent of such non-compliance, commence to rectify same at Landlord’s expense. If Tenant does not give Landlord written notice of a non-compliance within thirty (30) days after the Suite 107 Expansion Date, correction of that non-compliance shall be the obligation of Tenant at Tenant’s sole cost and expense. If a non-compliance with the Heaters and Mechanical Systems warranty exists at any time prior to the expiration of the Warranty Period, Landlord shall, except as otherwise provided in this Lease, promptly after receipt of written notice from Tenant setting forth with specificity the nature and extent of such non-compliance, commence to rectify same at Landlord’s expense. If Tenant does not give Landlord written notice of a non-compliance on or before the expiration of the Warranty Period, correction of that non-compliance shall be the obligation of Tenant at Tenant’s sole cost and expense.</w:t>
      </w:r>
    </w:p>
    <w:p>
      <w:pPr>
        <w:spacing w:after="0" w:line="387" w:lineRule="exact"/>
        <w:rPr>
          <w:rFonts w:ascii="Arial" w:cs="Arial" w:eastAsia="Arial" w:hAnsi="Arial"/>
          <w:sz w:val="16"/>
          <w:szCs w:val="16"/>
          <w:color w:val="auto"/>
        </w:rPr>
      </w:pPr>
    </w:p>
    <w:p>
      <w:pPr>
        <w:jc w:val="both"/>
        <w:ind w:firstLine="656"/>
        <w:spacing w:after="0" w:line="303" w:lineRule="auto"/>
        <w:tabs>
          <w:tab w:leader="none" w:pos="828" w:val="left"/>
        </w:tabs>
        <w:numPr>
          <w:ilvl w:val="0"/>
          <w:numId w:val="214"/>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color w:val="auto"/>
        </w:rPr>
        <w:t>. Concurrently with the execution and delivery of this Third Amendment by Tenant, Tenant shall pay to Landlord the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of Five Thousand Three Hundred Twelve and 08/100 Dollars ($5,312.08) to increase the Security Deposit being held by Landlord under the Lease. Effective as of the date of this Third Amendment, the Lease shall be amended by replacing all references to the existing amount of the Security Deposit with the amount of Thirty Thousand One Hundred Seven and 89/100 Dollars ($30,107.89), the increased amount of the Security Deposit.</w:t>
      </w:r>
    </w:p>
    <w:p>
      <w:pPr>
        <w:spacing w:after="0" w:line="150" w:lineRule="exact"/>
        <w:rPr>
          <w:rFonts w:ascii="Arial" w:cs="Arial" w:eastAsia="Arial" w:hAnsi="Arial"/>
          <w:sz w:val="16"/>
          <w:szCs w:val="16"/>
          <w:color w:val="auto"/>
        </w:rPr>
      </w:pPr>
    </w:p>
    <w:p>
      <w:pPr>
        <w:jc w:val="both"/>
        <w:ind w:firstLine="656"/>
        <w:spacing w:after="0" w:line="266" w:lineRule="auto"/>
        <w:tabs>
          <w:tab w:leader="none" w:pos="828"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Parking</w:t>
      </w:r>
      <w:r>
        <w:rPr>
          <w:rFonts w:ascii="Arial" w:cs="Arial" w:eastAsia="Arial" w:hAnsi="Arial"/>
          <w:sz w:val="18"/>
          <w:szCs w:val="18"/>
          <w:color w:val="auto"/>
        </w:rPr>
        <w:t>. In addition to the parking spaces allocated to Tenant in connection with Tenant’s lease of the Current Premises, Tenant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use an additional five (5) unreserved parking spaces in the parking area for Building B in connection with Tenant’s lease of Suite 107, subject to the terms and conditions of the Lease.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8" w:name="page229"/>
    <w:bookmarkEnd w:id="228"/>
    <w:p>
      <w:pPr>
        <w:jc w:val="both"/>
        <w:ind w:firstLine="656"/>
        <w:spacing w:after="0" w:line="256" w:lineRule="auto"/>
        <w:tabs>
          <w:tab w:leader="none" w:pos="828"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w:t>
      </w:r>
      <w:r>
        <w:rPr>
          <w:rFonts w:ascii="Arial" w:cs="Arial" w:eastAsia="Arial" w:hAnsi="Arial"/>
          <w:sz w:val="18"/>
          <w:szCs w:val="18"/>
          <w:color w:val="auto"/>
        </w:rPr>
        <w:t>. Tenant hereby certifies and acknowledges, that as of the date hereof (a) Landlord is not in default in any respect under the Lease, (b)</w:t>
      </w:r>
      <w:r>
        <w:rPr>
          <w:rFonts w:ascii="Arial" w:cs="Arial" w:eastAsia="Arial" w:hAnsi="Arial"/>
          <w:sz w:val="18"/>
          <w:szCs w:val="18"/>
          <w:b w:val="1"/>
          <w:bCs w:val="1"/>
          <w:color w:val="auto"/>
        </w:rPr>
        <w:t xml:space="preserve"> </w:t>
      </w:r>
      <w:r>
        <w:rPr>
          <w:rFonts w:ascii="Arial" w:cs="Arial" w:eastAsia="Arial" w:hAnsi="Arial"/>
          <w:sz w:val="18"/>
          <w:szCs w:val="18"/>
          <w:color w:val="auto"/>
        </w:rPr>
        <w:t>Tenant does not have any defenses to its obligations under the Lease, (c) Landlord is holding a Security Deposit in the amount of $24,795.81, subject to increase as provided in Section 7 above, and (d) there are no offsets against rent payable under the Lease. Tenant acknowledges and agrees that: (i) the representations herein set forth constitute a material consideration to Landlord in entering into this Third Amendment; (ii) such representations are being made by Tenant for purposes of inducing Landlord to enter into this Third Amendment; and (iii) Landlord is relying on such representations in entering into this Third Amendment.</w:t>
      </w:r>
    </w:p>
    <w:p>
      <w:pPr>
        <w:spacing w:after="0" w:line="187" w:lineRule="exact"/>
        <w:rPr>
          <w:rFonts w:ascii="Arial" w:cs="Arial" w:eastAsia="Arial" w:hAnsi="Arial"/>
          <w:sz w:val="18"/>
          <w:szCs w:val="18"/>
          <w:color w:val="auto"/>
        </w:rPr>
      </w:pPr>
    </w:p>
    <w:p>
      <w:pPr>
        <w:jc w:val="both"/>
        <w:ind w:firstLine="656"/>
        <w:spacing w:after="0" w:line="303" w:lineRule="auto"/>
        <w:tabs>
          <w:tab w:leader="none" w:pos="918" w:val="left"/>
        </w:tabs>
        <w:numPr>
          <w:ilvl w:val="0"/>
          <w:numId w:val="215"/>
        </w:numPr>
        <w:rPr>
          <w:rFonts w:ascii="Arial" w:cs="Arial" w:eastAsia="Arial" w:hAnsi="Arial"/>
          <w:sz w:val="16"/>
          <w:szCs w:val="16"/>
          <w:color w:val="auto"/>
        </w:rPr>
      </w:pP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Tenant hereby represents and warrants to Landlord that Tenant has not entered into any agreement or taken any other action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might result in any obligation on the part of Landlord to pay any brokerage commission, finder’s fee or other compensation with respect to this Third Amendment, other than to Kidder Mathews, and Tenant agrees to indemnify and hold Landlord harmless from and against any losses, damages, costs or expenses (including without limitation, attorneys’ fees) incurred by Landlord by reason of any breach or inaccuracy of such representation or warranty.</w:t>
      </w:r>
    </w:p>
    <w:p>
      <w:pPr>
        <w:spacing w:after="0" w:line="150" w:lineRule="exact"/>
        <w:rPr>
          <w:rFonts w:ascii="Arial" w:cs="Arial" w:eastAsia="Arial" w:hAnsi="Arial"/>
          <w:sz w:val="16"/>
          <w:szCs w:val="16"/>
          <w:color w:val="auto"/>
        </w:rPr>
      </w:pPr>
    </w:p>
    <w:p>
      <w:pPr>
        <w:jc w:val="both"/>
        <w:ind w:firstLine="656"/>
        <w:spacing w:after="0" w:line="274" w:lineRule="auto"/>
        <w:tabs>
          <w:tab w:leader="none" w:pos="911" w:val="left"/>
        </w:tabs>
        <w:numPr>
          <w:ilvl w:val="0"/>
          <w:numId w:val="215"/>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Limitation of Liability</w:t>
      </w:r>
      <w:r>
        <w:rPr>
          <w:rFonts w:ascii="Arial" w:cs="Arial" w:eastAsia="Arial" w:hAnsi="Arial"/>
          <w:sz w:val="17"/>
          <w:szCs w:val="17"/>
          <w:color w:val="auto"/>
        </w:rPr>
        <w:t>. It is expressly understood and agreed that notwithstanding anything in the Lease (as hereby amended)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contrary, and notwithstanding any applicable law to the contrary, the liability of Landlord under the Lease, as hereby amended, (including any successor Landlord) and any recourse by Tenant against Landlord shall be limited solely and exclusively to the interest of Landlord in and to the Building C, Building D and Building B, and neither Landlord, nor any of its constituent partners or members, shall have any personal liability therefor, and Tenant hereby expressly waives and releases such personal liability on behalf of itself and all persons claiming by, through or under Tenant. Under no circumstances shall Landlord be liable for injury to Tenant’s business or for any loss of income or profit therefrom.</w:t>
      </w:r>
    </w:p>
    <w:p>
      <w:pPr>
        <w:spacing w:after="0" w:line="173" w:lineRule="exact"/>
        <w:rPr>
          <w:rFonts w:ascii="Arial" w:cs="Arial" w:eastAsia="Arial" w:hAnsi="Arial"/>
          <w:sz w:val="17"/>
          <w:szCs w:val="17"/>
          <w:color w:val="auto"/>
        </w:rPr>
      </w:pPr>
    </w:p>
    <w:p>
      <w:pPr>
        <w:jc w:val="both"/>
        <w:ind w:firstLine="656"/>
        <w:spacing w:after="0" w:line="256" w:lineRule="auto"/>
        <w:tabs>
          <w:tab w:leader="none" w:pos="931"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Exculpation</w:t>
      </w:r>
      <w:r>
        <w:rPr>
          <w:rFonts w:ascii="Arial" w:cs="Arial" w:eastAsia="Arial" w:hAnsi="Arial"/>
          <w:sz w:val="18"/>
          <w:szCs w:val="18"/>
          <w:color w:val="auto"/>
        </w:rPr>
        <w:t>. No present or future officer, director, employee, trustee, partner, member, manager or agent of Landlord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personal liability, directly or indirectly, and recourse shall not be had against any such officer, director, employee, trustee, partner, member, manager or agent under or in connection with the Lease, as hereby amended, or any other document or instrument heretofore or hereafter executed in connection with the Lease, as hereby amended. Tenant hereby waives and releases any and all such personal liability and recourse. The limitations of liability provided in this Section are in addition to, and not in limitation of, any limitation on liability applicable to Landlord provided by law or in any other contract, agreement or instrument.</w:t>
      </w:r>
    </w:p>
    <w:p>
      <w:pPr>
        <w:spacing w:after="0" w:line="187" w:lineRule="exact"/>
        <w:rPr>
          <w:rFonts w:ascii="Arial" w:cs="Arial" w:eastAsia="Arial" w:hAnsi="Arial"/>
          <w:sz w:val="18"/>
          <w:szCs w:val="18"/>
          <w:color w:val="auto"/>
        </w:rPr>
      </w:pPr>
    </w:p>
    <w:p>
      <w:pPr>
        <w:ind w:right="20" w:firstLine="656"/>
        <w:spacing w:after="0" w:line="282" w:lineRule="auto"/>
        <w:tabs>
          <w:tab w:leader="none" w:pos="918"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 Except as specifically herein amended, the Lease is and shall remain in full force and effect according to the terms thereof.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of any conflict between the Lease and this Third Amendment, this Third Amendment shall control.</w:t>
      </w:r>
    </w:p>
    <w:p>
      <w:pPr>
        <w:spacing w:after="0" w:line="161" w:lineRule="exact"/>
        <w:rPr>
          <w:rFonts w:ascii="Arial" w:cs="Arial" w:eastAsia="Arial" w:hAnsi="Arial"/>
          <w:sz w:val="18"/>
          <w:szCs w:val="18"/>
          <w:color w:val="auto"/>
        </w:rPr>
      </w:pPr>
    </w:p>
    <w:p>
      <w:pPr>
        <w:jc w:val="both"/>
        <w:ind w:firstLine="656"/>
        <w:spacing w:after="0" w:line="255" w:lineRule="auto"/>
        <w:tabs>
          <w:tab w:leader="none" w:pos="918" w:val="left"/>
        </w:tabs>
        <w:numPr>
          <w:ilvl w:val="0"/>
          <w:numId w:val="215"/>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Should either party institute any action or proceeding to enforce or interpret this Third Amendment or any provision thereof,</w:t>
      </w:r>
      <w:r>
        <w:rPr>
          <w:rFonts w:ascii="Arial" w:cs="Arial" w:eastAsia="Arial" w:hAnsi="Arial"/>
          <w:sz w:val="18"/>
          <w:szCs w:val="18"/>
          <w:b w:val="1"/>
          <w:bCs w:val="1"/>
          <w:color w:val="auto"/>
        </w:rPr>
        <w:t xml:space="preserve"> </w:t>
      </w:r>
      <w:r>
        <w:rPr>
          <w:rFonts w:ascii="Arial" w:cs="Arial" w:eastAsia="Arial" w:hAnsi="Arial"/>
          <w:sz w:val="18"/>
          <w:szCs w:val="18"/>
          <w:color w:val="auto"/>
        </w:rPr>
        <w:t>for damages by reason of any alleged breach of this Third Amendment or of any provision hereof, or for a declaration of rights hereunder, the prevailing party in any such action or proceeding shall be entitled to receive from the other party all cost and expenses, including actual attorneys’ and other fees, reasonably incurred in good faith by the prevailing party in connection with such action or proceeding. The term “attorneys’ and other fees” shall mean and include attorneys’ fees, accountants’ fees, and any and all consultants’ and other similar fees incurred in connection with the action or proceeding and preparations therefore. The term “action or proceeding” shall mean and include actions, proceedings, suits, arbitrations, appeals and other similar proceedings.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9" w:name="page230"/>
    <w:bookmarkEnd w:id="229"/>
    <w:p>
      <w:pPr>
        <w:jc w:val="both"/>
        <w:ind w:firstLine="656"/>
        <w:spacing w:after="0" w:line="281" w:lineRule="auto"/>
        <w:tabs>
          <w:tab w:leader="none" w:pos="931" w:val="left"/>
        </w:tabs>
        <w:numPr>
          <w:ilvl w:val="0"/>
          <w:numId w:val="216"/>
        </w:numPr>
        <w:rPr>
          <w:rFonts w:ascii="Arial" w:cs="Arial" w:eastAsia="Arial" w:hAnsi="Arial"/>
          <w:sz w:val="17"/>
          <w:szCs w:val="17"/>
          <w:color w:val="auto"/>
        </w:rPr>
      </w:pPr>
      <w:r>
        <w:rPr>
          <w:rFonts w:ascii="Arial" w:cs="Arial" w:eastAsia="Arial" w:hAnsi="Arial"/>
          <w:sz w:val="17"/>
          <w:szCs w:val="17"/>
          <w:b w:val="1"/>
          <w:bCs w:val="1"/>
          <w:u w:val="single" w:color="auto"/>
          <w:color w:val="auto"/>
        </w:rPr>
        <w:t>Submission</w:t>
      </w:r>
      <w:r>
        <w:rPr>
          <w:rFonts w:ascii="Arial" w:cs="Arial" w:eastAsia="Arial" w:hAnsi="Arial"/>
          <w:sz w:val="17"/>
          <w:szCs w:val="17"/>
          <w:color w:val="auto"/>
        </w:rPr>
        <w:t>. Submission of this Third Amendment by Landlord to Tenant for examination and/or execution shall not in any manner bind</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and no obligations on Landlord shall arise under this Third Amendment unless and until this Third Amendment is fully signed and delivered by Landlord and Tenant; provided, however, the execution and delivery by Tenant of this Third Amendment to Landlord shall constitute an irrevocable offer by Tenant of the terms and conditions herein contained, which offer may not be revoked for thirty (30) days after such delivery.</w:t>
      </w:r>
    </w:p>
    <w:p>
      <w:pPr>
        <w:spacing w:after="0" w:line="164" w:lineRule="exact"/>
        <w:rPr>
          <w:rFonts w:ascii="Arial" w:cs="Arial" w:eastAsia="Arial" w:hAnsi="Arial"/>
          <w:sz w:val="17"/>
          <w:szCs w:val="17"/>
          <w:color w:val="auto"/>
        </w:rPr>
      </w:pPr>
    </w:p>
    <w:p>
      <w:pPr>
        <w:jc w:val="both"/>
        <w:ind w:firstLine="656"/>
        <w:spacing w:after="0" w:line="261" w:lineRule="auto"/>
        <w:tabs>
          <w:tab w:leader="none" w:pos="931" w:val="left"/>
        </w:tabs>
        <w:numPr>
          <w:ilvl w:val="0"/>
          <w:numId w:val="21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Facsimile, Electronic and Emailed Signatures</w:t>
      </w:r>
      <w:r>
        <w:rPr>
          <w:rFonts w:ascii="Arial" w:cs="Arial" w:eastAsia="Arial" w:hAnsi="Arial"/>
          <w:sz w:val="18"/>
          <w:szCs w:val="18"/>
          <w:color w:val="auto"/>
        </w:rPr>
        <w:t>. This Third Amendment may be executed in several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but all of which together shall constitute one and the same agreement. A signed copy of this Third Amendment transmitted by facsimile, email, DocuSign or other means of electronic transmission shall be deemed to have the same legal effect as delivery of an original executed copy of this Third Amendment for all purposes.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Third Amendment has been executed by the parties as of the date Second referenced above.</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BRE RS GREG PARK OWNER LLC</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Joseph Finnigan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Joseph Finnigan</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CORP.,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10.37</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040" w:type="dxa"/>
            <w:vAlign w:val="bottom"/>
          </w:tcPr>
          <w:p>
            <w:pPr>
              <w:jc w:val="right"/>
              <w:ind w:right="450"/>
              <w:spacing w:after="0"/>
              <w:rPr>
                <w:sz w:val="20"/>
                <w:szCs w:val="20"/>
                <w:color w:val="auto"/>
              </w:rPr>
            </w:pPr>
            <w:r>
              <w:rPr>
                <w:rFonts w:ascii="Arial" w:cs="Arial" w:eastAsia="Arial" w:hAnsi="Arial"/>
                <w:sz w:val="18"/>
                <w:szCs w:val="18"/>
                <w:color w:val="auto"/>
                <w:w w:val="96"/>
              </w:rPr>
              <w:t>Property:   br40428</w:t>
            </w:r>
          </w:p>
        </w:tc>
        <w:tc>
          <w:tcPr>
            <w:tcW w:w="920" w:type="dxa"/>
            <w:vAlign w:val="bottom"/>
          </w:tcPr>
          <w:p>
            <w:pPr>
              <w:jc w:val="right"/>
              <w:spacing w:after="0"/>
              <w:rPr>
                <w:sz w:val="20"/>
                <w:szCs w:val="20"/>
                <w:color w:val="auto"/>
              </w:rPr>
            </w:pPr>
            <w:r>
              <w:rPr>
                <w:rFonts w:ascii="Arial" w:cs="Arial" w:eastAsia="Arial" w:hAnsi="Arial"/>
                <w:sz w:val="18"/>
                <w:szCs w:val="18"/>
                <w:color w:val="auto"/>
              </w:rPr>
              <w:t>1355</w:t>
            </w:r>
          </w:p>
        </w:tc>
        <w:tc>
          <w:tcPr>
            <w:tcW w:w="2880" w:type="dxa"/>
            <w:vAlign w:val="bottom"/>
          </w:tcPr>
          <w:p>
            <w:pPr>
              <w:ind w:left="20"/>
              <w:spacing w:after="0"/>
              <w:rPr>
                <w:sz w:val="20"/>
                <w:szCs w:val="20"/>
                <w:color w:val="auto"/>
              </w:rPr>
            </w:pPr>
            <w:r>
              <w:rPr>
                <w:rFonts w:ascii="Arial" w:cs="Arial" w:eastAsia="Arial" w:hAnsi="Arial"/>
                <w:sz w:val="18"/>
                <w:szCs w:val="18"/>
                <w:color w:val="auto"/>
                <w:w w:val="89"/>
              </w:rPr>
              <w:t>Greg Street, Suite 101-102, Sparks, NV</w:t>
            </w:r>
          </w:p>
        </w:tc>
      </w:tr>
      <w:tr>
        <w:trPr>
          <w:trHeight w:val="216"/>
        </w:trPr>
        <w:tc>
          <w:tcPr>
            <w:tcW w:w="2040" w:type="dxa"/>
            <w:vAlign w:val="bottom"/>
          </w:tcPr>
          <w:p>
            <w:pPr>
              <w:jc w:val="right"/>
              <w:ind w:right="450"/>
              <w:spacing w:after="0"/>
              <w:rPr>
                <w:sz w:val="20"/>
                <w:szCs w:val="20"/>
                <w:color w:val="auto"/>
              </w:rPr>
            </w:pPr>
            <w:r>
              <w:rPr>
                <w:rFonts w:ascii="Arial" w:cs="Arial" w:eastAsia="Arial" w:hAnsi="Arial"/>
                <w:sz w:val="18"/>
                <w:szCs w:val="18"/>
                <w:color w:val="auto"/>
              </w:rPr>
              <w:t>br40429</w:t>
            </w:r>
          </w:p>
        </w:tc>
        <w:tc>
          <w:tcPr>
            <w:tcW w:w="920" w:type="dxa"/>
            <w:vAlign w:val="bottom"/>
          </w:tcPr>
          <w:p>
            <w:pPr>
              <w:jc w:val="right"/>
              <w:spacing w:after="0"/>
              <w:rPr>
                <w:sz w:val="20"/>
                <w:szCs w:val="20"/>
                <w:color w:val="auto"/>
              </w:rPr>
            </w:pPr>
            <w:r>
              <w:rPr>
                <w:rFonts w:ascii="Arial" w:cs="Arial" w:eastAsia="Arial" w:hAnsi="Arial"/>
                <w:sz w:val="18"/>
                <w:szCs w:val="18"/>
                <w:color w:val="auto"/>
              </w:rPr>
              <w:t>1335</w:t>
            </w:r>
          </w:p>
        </w:tc>
        <w:tc>
          <w:tcPr>
            <w:tcW w:w="2880" w:type="dxa"/>
            <w:vAlign w:val="bottom"/>
          </w:tcPr>
          <w:p>
            <w:pPr>
              <w:ind w:left="20"/>
              <w:spacing w:after="0"/>
              <w:rPr>
                <w:sz w:val="20"/>
                <w:szCs w:val="20"/>
                <w:color w:val="auto"/>
              </w:rPr>
            </w:pPr>
            <w:r>
              <w:rPr>
                <w:rFonts w:ascii="Arial" w:cs="Arial" w:eastAsia="Arial" w:hAnsi="Arial"/>
                <w:sz w:val="18"/>
                <w:szCs w:val="18"/>
                <w:color w:val="auto"/>
              </w:rPr>
              <w:t>Greg Street, Suite 103, Sparks, NV</w:t>
            </w:r>
          </w:p>
        </w:tc>
      </w:tr>
      <w:tr>
        <w:trPr>
          <w:trHeight w:val="216"/>
        </w:trPr>
        <w:tc>
          <w:tcPr>
            <w:tcW w:w="2040" w:type="dxa"/>
            <w:vAlign w:val="bottom"/>
          </w:tcPr>
          <w:p>
            <w:pPr>
              <w:jc w:val="right"/>
              <w:ind w:right="450"/>
              <w:spacing w:after="0"/>
              <w:rPr>
                <w:sz w:val="20"/>
                <w:szCs w:val="20"/>
                <w:color w:val="auto"/>
              </w:rPr>
            </w:pPr>
            <w:r>
              <w:rPr>
                <w:rFonts w:ascii="Arial" w:cs="Arial" w:eastAsia="Arial" w:hAnsi="Arial"/>
                <w:sz w:val="18"/>
                <w:szCs w:val="18"/>
                <w:color w:val="auto"/>
              </w:rPr>
              <w:t>br40427</w:t>
            </w:r>
          </w:p>
        </w:tc>
        <w:tc>
          <w:tcPr>
            <w:tcW w:w="920" w:type="dxa"/>
            <w:vAlign w:val="bottom"/>
          </w:tcPr>
          <w:p>
            <w:pPr>
              <w:jc w:val="right"/>
              <w:spacing w:after="0"/>
              <w:rPr>
                <w:sz w:val="20"/>
                <w:szCs w:val="20"/>
                <w:color w:val="auto"/>
              </w:rPr>
            </w:pPr>
            <w:r>
              <w:rPr>
                <w:rFonts w:ascii="Arial" w:cs="Arial" w:eastAsia="Arial" w:hAnsi="Arial"/>
                <w:sz w:val="18"/>
                <w:szCs w:val="18"/>
                <w:color w:val="auto"/>
              </w:rPr>
              <w:t>1375</w:t>
            </w:r>
          </w:p>
        </w:tc>
        <w:tc>
          <w:tcPr>
            <w:tcW w:w="2880" w:type="dxa"/>
            <w:vAlign w:val="bottom"/>
          </w:tcPr>
          <w:p>
            <w:pPr>
              <w:ind w:left="20"/>
              <w:spacing w:after="0"/>
              <w:rPr>
                <w:sz w:val="20"/>
                <w:szCs w:val="20"/>
                <w:color w:val="auto"/>
              </w:rPr>
            </w:pPr>
            <w:r>
              <w:rPr>
                <w:rFonts w:ascii="Arial" w:cs="Arial" w:eastAsia="Arial" w:hAnsi="Arial"/>
                <w:sz w:val="18"/>
                <w:szCs w:val="18"/>
                <w:color w:val="auto"/>
              </w:rPr>
              <w:t>Greg Street, Suite 104, Sparks, NV</w:t>
            </w:r>
          </w:p>
        </w:tc>
      </w:tr>
      <w:tr>
        <w:trPr>
          <w:trHeight w:val="230"/>
        </w:trPr>
        <w:tc>
          <w:tcPr>
            <w:tcW w:w="2040" w:type="dxa"/>
            <w:vAlign w:val="bottom"/>
          </w:tcPr>
          <w:p>
            <w:pPr>
              <w:jc w:val="right"/>
              <w:ind w:right="450"/>
              <w:spacing w:after="0"/>
              <w:rPr>
                <w:sz w:val="20"/>
                <w:szCs w:val="20"/>
                <w:color w:val="auto"/>
              </w:rPr>
            </w:pPr>
            <w:r>
              <w:rPr>
                <w:rFonts w:ascii="Arial" w:cs="Arial" w:eastAsia="Arial" w:hAnsi="Arial"/>
                <w:sz w:val="18"/>
                <w:szCs w:val="18"/>
                <w:color w:val="auto"/>
              </w:rPr>
              <w:t>br40427</w:t>
            </w:r>
          </w:p>
        </w:tc>
        <w:tc>
          <w:tcPr>
            <w:tcW w:w="920" w:type="dxa"/>
            <w:vAlign w:val="bottom"/>
          </w:tcPr>
          <w:p>
            <w:pPr>
              <w:jc w:val="right"/>
              <w:spacing w:after="0"/>
              <w:rPr>
                <w:sz w:val="20"/>
                <w:szCs w:val="20"/>
                <w:color w:val="auto"/>
              </w:rPr>
            </w:pPr>
            <w:r>
              <w:rPr>
                <w:rFonts w:ascii="Arial" w:cs="Arial" w:eastAsia="Arial" w:hAnsi="Arial"/>
                <w:sz w:val="18"/>
                <w:szCs w:val="18"/>
                <w:color w:val="auto"/>
              </w:rPr>
              <w:t>1375</w:t>
            </w:r>
          </w:p>
        </w:tc>
        <w:tc>
          <w:tcPr>
            <w:tcW w:w="2880" w:type="dxa"/>
            <w:vAlign w:val="bottom"/>
          </w:tcPr>
          <w:p>
            <w:pPr>
              <w:ind w:left="20"/>
              <w:spacing w:after="0"/>
              <w:rPr>
                <w:sz w:val="20"/>
                <w:szCs w:val="20"/>
                <w:color w:val="auto"/>
              </w:rPr>
            </w:pPr>
            <w:r>
              <w:rPr>
                <w:rFonts w:ascii="Arial" w:cs="Arial" w:eastAsia="Arial" w:hAnsi="Arial"/>
                <w:sz w:val="18"/>
                <w:szCs w:val="18"/>
                <w:color w:val="auto"/>
              </w:rPr>
              <w:t>Greg Street, Suite 107, Sparks, NV</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INDUSTRIAL LEASE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FOURTH AMENDMENT TO INDUSTRIAL LEASE (this “</w:t>
      </w:r>
      <w:r>
        <w:rPr>
          <w:rFonts w:ascii="Arial" w:cs="Arial" w:eastAsia="Arial" w:hAnsi="Arial"/>
          <w:sz w:val="18"/>
          <w:szCs w:val="18"/>
          <w:u w:val="single" w:color="auto"/>
          <w:color w:val="auto"/>
        </w:rPr>
        <w:t>Fourth Amendment</w:t>
      </w:r>
      <w:r>
        <w:rPr>
          <w:rFonts w:ascii="Arial" w:cs="Arial" w:eastAsia="Arial" w:hAnsi="Arial"/>
          <w:sz w:val="18"/>
          <w:szCs w:val="18"/>
          <w:color w:val="auto"/>
        </w:rPr>
        <w:t>”) is made and entered into as of the 16th day of December, 2020, by and between BRE RS GREG PARK OWNER LLC, a Delaware limited liability company, successor-in-interest to The Northwestern Mutual Life Insurance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DRAGONFLY ENERGY CORP., a Nevada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Landlord and Tenant are parties to that certain Industrial Lease, dated April 25, 2019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amended by that certain First Amendment to Industrial Lease dated March 12, 2020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as amended by that certain Second Amendment to Industrial Lease dated July 27, 2020 (the “</w:t>
      </w:r>
      <w:r>
        <w:rPr>
          <w:rFonts w:ascii="Arial" w:cs="Arial" w:eastAsia="Arial" w:hAnsi="Arial"/>
          <w:sz w:val="17"/>
          <w:szCs w:val="17"/>
          <w:u w:val="single" w:color="auto"/>
          <w:color w:val="auto"/>
        </w:rPr>
        <w:t>Second Amendment</w:t>
      </w:r>
      <w:r>
        <w:rPr>
          <w:rFonts w:ascii="Arial" w:cs="Arial" w:eastAsia="Arial" w:hAnsi="Arial"/>
          <w:sz w:val="17"/>
          <w:szCs w:val="17"/>
          <w:color w:val="auto"/>
        </w:rPr>
        <w:t>”), and as amended by that certain Third Amendment to Industrial Lease dated August 26, 2020 (the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and, together with the Original Lease, First Amendment and Second Amendment, collectively, the “</w:t>
      </w:r>
      <w:r>
        <w:rPr>
          <w:rFonts w:ascii="Arial" w:cs="Arial" w:eastAsia="Arial" w:hAnsi="Arial"/>
          <w:sz w:val="17"/>
          <w:szCs w:val="17"/>
          <w:u w:val="single" w:color="auto"/>
          <w:color w:val="auto"/>
        </w:rPr>
        <w:t>Lease</w:t>
      </w:r>
      <w:r>
        <w:rPr>
          <w:rFonts w:ascii="Arial" w:cs="Arial" w:eastAsia="Arial" w:hAnsi="Arial"/>
          <w:sz w:val="17"/>
          <w:szCs w:val="17"/>
          <w:color w:val="auto"/>
        </w:rPr>
        <w:t>”), covering certain premises containing approximately 29,825 rentable square feet known as Suites 101-102, 103 and 104, located at 1355 Greg Street, Sparks, NV, 1335 Greg Street, Sparks, NV and 1375 Sparks Street, Sparks, NV (collectively, the “</w:t>
      </w:r>
      <w:r>
        <w:rPr>
          <w:rFonts w:ascii="Arial" w:cs="Arial" w:eastAsia="Arial" w:hAnsi="Arial"/>
          <w:sz w:val="17"/>
          <w:szCs w:val="17"/>
          <w:u w:val="single" w:color="auto"/>
          <w:color w:val="auto"/>
        </w:rPr>
        <w:t>Premises</w:t>
      </w:r>
      <w:r>
        <w:rPr>
          <w:rFonts w:ascii="Arial" w:cs="Arial" w:eastAsia="Arial" w:hAnsi="Arial"/>
          <w:sz w:val="17"/>
          <w:szCs w:val="17"/>
          <w:color w:val="auto"/>
        </w:rPr>
        <w:t>”), as more fully described in the Lease.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 The Premises consists of the following: (i) approximately 15,200 rentable square feet known as Suites 101-102 located at 1355 Greg Street, Sparks, NV (the “</w:t>
      </w:r>
      <w:r>
        <w:rPr>
          <w:rFonts w:ascii="Arial" w:cs="Arial" w:eastAsia="Arial" w:hAnsi="Arial"/>
          <w:sz w:val="18"/>
          <w:szCs w:val="18"/>
          <w:u w:val="single" w:color="auto"/>
          <w:color w:val="auto"/>
        </w:rPr>
        <w:t>Original Premises</w:t>
      </w:r>
      <w:r>
        <w:rPr>
          <w:rFonts w:ascii="Arial" w:cs="Arial" w:eastAsia="Arial" w:hAnsi="Arial"/>
          <w:sz w:val="18"/>
          <w:szCs w:val="18"/>
          <w:color w:val="auto"/>
        </w:rPr>
        <w:t>”); (ii) approximately 5,025 rentable square feet known as Suite 103 located at 1335 Greg Street, Sparks, NV (the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Expansion Premises</w:t>
      </w:r>
      <w:r>
        <w:rPr>
          <w:rFonts w:ascii="Arial" w:cs="Arial" w:eastAsia="Arial" w:hAnsi="Arial"/>
          <w:sz w:val="18"/>
          <w:szCs w:val="18"/>
          <w:color w:val="auto"/>
        </w:rPr>
        <w:t>”); (iii) approximately 4,800 rentable square feet known as Suite 104 located at 1375 Greg Street, Sparks, NV (the “</w:t>
      </w:r>
      <w:r>
        <w:rPr>
          <w:rFonts w:ascii="Arial" w:cs="Arial" w:eastAsia="Arial" w:hAnsi="Arial"/>
          <w:sz w:val="18"/>
          <w:szCs w:val="18"/>
          <w:u w:val="single" w:color="auto"/>
          <w:color w:val="auto"/>
        </w:rPr>
        <w:t>Second Expansion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Premises</w:t>
      </w:r>
      <w:r>
        <w:rPr>
          <w:rFonts w:ascii="Arial" w:cs="Arial" w:eastAsia="Arial" w:hAnsi="Arial"/>
          <w:sz w:val="18"/>
          <w:szCs w:val="18"/>
          <w:color w:val="auto"/>
        </w:rPr>
        <w:t>”); and (iv) approximately 4,800 rentable square feet known as Suite 107 located at 1375 Greg Street, Sparks, NV (the “</w:t>
      </w:r>
      <w:r>
        <w:rPr>
          <w:rFonts w:ascii="Arial" w:cs="Arial" w:eastAsia="Arial" w:hAnsi="Arial"/>
          <w:sz w:val="18"/>
          <w:szCs w:val="18"/>
          <w:u w:val="single" w:color="auto"/>
          <w:color w:val="auto"/>
        </w:rPr>
        <w:t>Third Expansion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Premises</w:t>
      </w:r>
      <w:r>
        <w:rPr>
          <w:rFonts w:ascii="Arial" w:cs="Arial" w:eastAsia="Arial" w:hAnsi="Arial"/>
          <w:sz w:val="18"/>
          <w:szCs w:val="18"/>
          <w:color w:val="auto"/>
        </w:rPr>
        <w:t>”). As used herein, “Premises” shall refer to the Original Premises, First Expansion Premises, Second Expansion Premises and Third Expansion Premises.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Landlord and Tenant desire to amend the Lease as set forth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mutual promises and covenants contained herein and in the Lease, and intending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agree that the Lease is amended as follows:</w:t>
      </w:r>
    </w:p>
    <w:p>
      <w:pPr>
        <w:spacing w:after="0" w:line="166" w:lineRule="exact"/>
        <w:rPr>
          <w:sz w:val="20"/>
          <w:szCs w:val="20"/>
          <w:color w:val="auto"/>
        </w:rPr>
      </w:pPr>
    </w:p>
    <w:p>
      <w:pPr>
        <w:ind w:right="20" w:firstLine="656"/>
        <w:spacing w:after="0" w:line="277" w:lineRule="auto"/>
        <w:tabs>
          <w:tab w:leader="none" w:pos="841"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Except as specifically defined in this Fourth Amendment, capitalized terms shall have the same meanings given to such terms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1" w:name="page232"/>
    <w:bookmarkEnd w:id="231"/>
    <w:p>
      <w:pPr>
        <w:ind w:left="820" w:hanging="184"/>
        <w:spacing w:after="0"/>
        <w:tabs>
          <w:tab w:leader="none" w:pos="82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4"/>
        <w:spacing w:after="0" w:line="254" w:lineRule="auto"/>
        <w:tabs>
          <w:tab w:leader="none" w:pos="1526" w:val="left"/>
        </w:tabs>
        <w:numPr>
          <w:ilvl w:val="1"/>
          <w:numId w:val="218"/>
        </w:numPr>
        <w:rPr>
          <w:rFonts w:ascii="Arial" w:cs="Arial" w:eastAsia="Arial" w:hAnsi="Arial"/>
          <w:sz w:val="18"/>
          <w:szCs w:val="18"/>
          <w:color w:val="auto"/>
        </w:rPr>
      </w:pPr>
      <w:r>
        <w:rPr>
          <w:rFonts w:ascii="Arial" w:cs="Arial" w:eastAsia="Arial" w:hAnsi="Arial"/>
          <w:sz w:val="18"/>
          <w:szCs w:val="18"/>
          <w:color w:val="auto"/>
        </w:rPr>
        <w:t>Effective at 11:59 P.M. local time on April 30, 2021 (the “</w:t>
      </w:r>
      <w:r>
        <w:rPr>
          <w:rFonts w:ascii="Arial" w:cs="Arial" w:eastAsia="Arial" w:hAnsi="Arial"/>
          <w:sz w:val="18"/>
          <w:szCs w:val="18"/>
          <w:u w:val="single" w:color="auto"/>
          <w:color w:val="auto"/>
        </w:rPr>
        <w:t>Surrender Space Effective Date</w:t>
      </w:r>
      <w:r>
        <w:rPr>
          <w:rFonts w:ascii="Arial" w:cs="Arial" w:eastAsia="Arial" w:hAnsi="Arial"/>
          <w:sz w:val="18"/>
          <w:szCs w:val="18"/>
          <w:color w:val="auto"/>
        </w:rPr>
        <w:t>”), the Lease shall be amended by reducing the approximate rentable square feet of the Premises from 29,825 rentable square feet to 9,600 rentable square feet. The Original Premises and the First Expansion Premises consisting of a total of approximately 20,225 rentable square feet (the “</w:t>
      </w:r>
      <w:r>
        <w:rPr>
          <w:rFonts w:ascii="Arial" w:cs="Arial" w:eastAsia="Arial" w:hAnsi="Arial"/>
          <w:sz w:val="18"/>
          <w:szCs w:val="18"/>
          <w:u w:val="single" w:color="auto"/>
          <w:color w:val="auto"/>
        </w:rPr>
        <w:t>Surrender Space</w:t>
      </w:r>
      <w:r>
        <w:rPr>
          <w:rFonts w:ascii="Arial" w:cs="Arial" w:eastAsia="Arial" w:hAnsi="Arial"/>
          <w:sz w:val="18"/>
          <w:szCs w:val="18"/>
          <w:color w:val="auto"/>
        </w:rPr>
        <w:t xml:space="preserve">”),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hereto, shall be surrendered by Tenant pursuant to this Fourth Amendment. Accordingly, effective on the Surrender Space Effective Date, (i) the Surrender Space shall no longer be deemed to be a part of the Premises under the Lease, as hereby amended, and (ii) the Premises shall only consist of that certain space referred to as the Second Expansion Premises and the Third Expansion Premises containing approximately 9,600 rentable square feet, as shown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 </w:t>
      </w:r>
      <w:r>
        <w:rPr>
          <w:rFonts w:ascii="Arial" w:cs="Arial" w:eastAsia="Arial" w:hAnsi="Arial"/>
          <w:sz w:val="18"/>
          <w:szCs w:val="18"/>
          <w:color w:val="auto"/>
        </w:rPr>
        <w:t>attached hereto.</w:t>
      </w:r>
    </w:p>
    <w:p>
      <w:pPr>
        <w:spacing w:after="0" w:line="194" w:lineRule="exact"/>
        <w:rPr>
          <w:rFonts w:ascii="Arial" w:cs="Arial" w:eastAsia="Arial" w:hAnsi="Arial"/>
          <w:sz w:val="18"/>
          <w:szCs w:val="18"/>
          <w:color w:val="auto"/>
        </w:rPr>
      </w:pPr>
    </w:p>
    <w:p>
      <w:pPr>
        <w:ind w:left="-20" w:right="20" w:firstLine="1304"/>
        <w:spacing w:after="0" w:line="308" w:lineRule="auto"/>
        <w:tabs>
          <w:tab w:leader="none" w:pos="155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On or before the Surrender Space Effective Date, such time to be of the essence, Tenant shall vacate and surrender the Surrender Space to Landlord, leaving same in the condition the Premises is required to be surrendered under the Lease, as hereby amended.</w:t>
      </w:r>
    </w:p>
    <w:p>
      <w:pPr>
        <w:spacing w:after="0" w:line="146" w:lineRule="exact"/>
        <w:rPr>
          <w:rFonts w:ascii="Arial" w:cs="Arial" w:eastAsia="Arial" w:hAnsi="Arial"/>
          <w:sz w:val="17"/>
          <w:szCs w:val="17"/>
          <w:color w:val="auto"/>
        </w:rPr>
      </w:pPr>
    </w:p>
    <w:p>
      <w:pPr>
        <w:jc w:val="both"/>
        <w:ind w:left="-20" w:firstLine="656"/>
        <w:spacing w:after="0" w:line="263" w:lineRule="auto"/>
        <w:tabs>
          <w:tab w:leader="none" w:pos="80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Base Rent</w:t>
      </w:r>
      <w:r>
        <w:rPr>
          <w:rFonts w:ascii="Arial" w:cs="Arial" w:eastAsia="Arial" w:hAnsi="Arial"/>
          <w:sz w:val="18"/>
          <w:szCs w:val="18"/>
          <w:color w:val="auto"/>
        </w:rPr>
        <w:t>: Notwithstanding anything contained herein to the contrary, Tenant shall continue to pay all Base Rent, Basic Operating Costs and all other sums payable under the Lease through and including the Surrender Space Effective Date. For the avoidance of doubt, following the Surrender Space Effective Date, Tenant shall not be responsible for Rent for the Surrender Space.</w:t>
      </w:r>
    </w:p>
    <w:p>
      <w:pPr>
        <w:spacing w:after="0" w:line="183" w:lineRule="exact"/>
        <w:rPr>
          <w:rFonts w:ascii="Arial" w:cs="Arial" w:eastAsia="Arial" w:hAnsi="Arial"/>
          <w:sz w:val="18"/>
          <w:szCs w:val="18"/>
          <w:color w:val="auto"/>
        </w:rPr>
      </w:pPr>
    </w:p>
    <w:p>
      <w:pPr>
        <w:ind w:left="-20" w:firstLine="656"/>
        <w:spacing w:after="0" w:line="277" w:lineRule="auto"/>
        <w:tabs>
          <w:tab w:leader="none" w:pos="80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Effective on the Surrender Space Effective Date, the Proportionate Share of the Premises shall equal 15.82% for the Second Expansion Premises and the Third Expansion Premises.</w:t>
      </w:r>
    </w:p>
    <w:p>
      <w:pPr>
        <w:spacing w:after="0" w:line="170" w:lineRule="exact"/>
        <w:rPr>
          <w:rFonts w:ascii="Arial" w:cs="Arial" w:eastAsia="Arial" w:hAnsi="Arial"/>
          <w:sz w:val="18"/>
          <w:szCs w:val="18"/>
          <w:color w:val="auto"/>
        </w:rPr>
      </w:pPr>
    </w:p>
    <w:p>
      <w:pPr>
        <w:jc w:val="both"/>
        <w:ind w:left="-20" w:firstLine="656"/>
        <w:spacing w:after="0" w:line="311" w:lineRule="auto"/>
        <w:tabs>
          <w:tab w:leader="none" w:pos="80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Basic Operating Cost</w:t>
      </w:r>
      <w:r>
        <w:rPr>
          <w:rFonts w:ascii="Arial" w:cs="Arial" w:eastAsia="Arial" w:hAnsi="Arial"/>
          <w:sz w:val="16"/>
          <w:szCs w:val="16"/>
          <w:color w:val="auto"/>
        </w:rPr>
        <w:t>. Following the Surrender Space Effective Date, neither party shall have any further rights or obligations under the Lease as it relates to the Surrender Space, other than any obligations of Tenant which by their terms survive the expiration or earlier termination of the Lease, including, without limitation, Tenant’s obligation to pay any deficiency as required under Section 7 of the Lease entitled “Basic Operating Cost”.</w:t>
      </w:r>
    </w:p>
    <w:p>
      <w:pPr>
        <w:spacing w:after="0" w:line="148" w:lineRule="exact"/>
        <w:rPr>
          <w:rFonts w:ascii="Arial" w:cs="Arial" w:eastAsia="Arial" w:hAnsi="Arial"/>
          <w:sz w:val="16"/>
          <w:szCs w:val="16"/>
          <w:color w:val="auto"/>
        </w:rPr>
      </w:pPr>
    </w:p>
    <w:p>
      <w:pPr>
        <w:jc w:val="both"/>
        <w:ind w:left="-20" w:firstLine="656"/>
        <w:spacing w:after="0" w:line="257" w:lineRule="auto"/>
        <w:tabs>
          <w:tab w:leader="none" w:pos="80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Contingency</w:t>
      </w:r>
      <w:r>
        <w:rPr>
          <w:rFonts w:ascii="Arial" w:cs="Arial" w:eastAsia="Arial" w:hAnsi="Arial"/>
          <w:sz w:val="18"/>
          <w:szCs w:val="18"/>
          <w:color w:val="auto"/>
        </w:rPr>
        <w:t>. This Fourth Amendment and the obligations of the parties hereunder are contingent upon the execution of a lease agreement for the Surrender Space, in form and substance satisfactory to Landlord, by and between Landlord and another tenant. Tenant acknowledges and agrees that Landlord is not making any representation or warranty as to whether the foregoing contingency will be satisfied. Tenant hereby waives and releases Landlord from and against, any and all claims for recovery against Landlord for any loss or damage to Tenant arising out of or in connection with the foregoing contingency not being satisfied.</w:t>
      </w:r>
    </w:p>
    <w:p>
      <w:pPr>
        <w:spacing w:after="0" w:line="187" w:lineRule="exact"/>
        <w:rPr>
          <w:rFonts w:ascii="Arial" w:cs="Arial" w:eastAsia="Arial" w:hAnsi="Arial"/>
          <w:sz w:val="18"/>
          <w:szCs w:val="18"/>
          <w:color w:val="auto"/>
        </w:rPr>
      </w:pPr>
    </w:p>
    <w:p>
      <w:pPr>
        <w:jc w:val="both"/>
        <w:ind w:left="-20" w:firstLine="656"/>
        <w:spacing w:after="0" w:line="263" w:lineRule="auto"/>
        <w:tabs>
          <w:tab w:leader="none" w:pos="808"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Tenant shall continue to accept the Premises, as so decreased, in their “AS-IS” “WHERE-IS” condition and Landlord shall not be required to perform any tenant finish or other work to the Premises, the base Building or Building systems, nor to provide Tenant any tenant finish allowance or other allowance or inducement in connection with the execution of this Fourth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32" w:name="page233"/>
    <w:bookmarkEnd w:id="232"/>
    <w:p>
      <w:pPr>
        <w:ind w:left="820" w:hanging="184"/>
        <w:spacing w:after="0"/>
        <w:tabs>
          <w:tab w:leader="none" w:pos="8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to Landlord shall be addressed to:</w:t>
      </w:r>
    </w:p>
    <w:p>
      <w:pPr>
        <w:spacing w:after="0" w:line="225" w:lineRule="exact"/>
        <w:rPr>
          <w:rFonts w:ascii="Arial" w:cs="Arial" w:eastAsia="Arial" w:hAnsi="Arial"/>
          <w:sz w:val="18"/>
          <w:szCs w:val="18"/>
          <w:color w:val="auto"/>
        </w:rPr>
      </w:pPr>
    </w:p>
    <w:p>
      <w:pPr>
        <w:ind w:left="2100" w:right="6380"/>
        <w:spacing w:after="0" w:line="500" w:lineRule="auto"/>
        <w:rPr>
          <w:rFonts w:ascii="Arial" w:cs="Arial" w:eastAsia="Arial" w:hAnsi="Arial"/>
          <w:sz w:val="18"/>
          <w:szCs w:val="18"/>
          <w:color w:val="auto"/>
        </w:rPr>
      </w:pPr>
      <w:r>
        <w:rPr>
          <w:rFonts w:ascii="Arial" w:cs="Arial" w:eastAsia="Arial" w:hAnsi="Arial"/>
          <w:sz w:val="18"/>
          <w:szCs w:val="18"/>
          <w:color w:val="auto"/>
        </w:rPr>
        <w:t>BRE RS GREG PARK OWNER LLC Attention:</w:t>
      </w:r>
    </w:p>
    <w:p>
      <w:pPr>
        <w:spacing w:after="0" w:line="1" w:lineRule="exact"/>
        <w:rPr>
          <w:rFonts w:ascii="Arial" w:cs="Arial" w:eastAsia="Arial" w:hAnsi="Arial"/>
          <w:sz w:val="18"/>
          <w:szCs w:val="18"/>
          <w:color w:val="auto"/>
        </w:rPr>
      </w:pPr>
    </w:p>
    <w:p>
      <w:pPr>
        <w:ind w:left="3220"/>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225" w:lineRule="exact"/>
        <w:rPr>
          <w:rFonts w:ascii="Arial" w:cs="Arial" w:eastAsia="Arial" w:hAnsi="Arial"/>
          <w:sz w:val="18"/>
          <w:szCs w:val="18"/>
          <w:color w:val="auto"/>
        </w:rPr>
      </w:pPr>
    </w:p>
    <w:p>
      <w:pPr>
        <w:ind w:left="2100" w:right="6380"/>
        <w:spacing w:after="0" w:line="500" w:lineRule="auto"/>
        <w:rPr>
          <w:rFonts w:ascii="Arial" w:cs="Arial" w:eastAsia="Arial" w:hAnsi="Arial"/>
          <w:sz w:val="18"/>
          <w:szCs w:val="18"/>
          <w:color w:val="auto"/>
        </w:rPr>
      </w:pPr>
      <w:r>
        <w:rPr>
          <w:rFonts w:ascii="Arial" w:cs="Arial" w:eastAsia="Arial" w:hAnsi="Arial"/>
          <w:sz w:val="18"/>
          <w:szCs w:val="18"/>
          <w:color w:val="auto"/>
        </w:rPr>
        <w:t>BRE RS GREG PARK OWNER LLC Attention:</w:t>
      </w:r>
    </w:p>
    <w:p>
      <w:pPr>
        <w:spacing w:after="0" w:line="1" w:lineRule="exact"/>
        <w:rPr>
          <w:rFonts w:ascii="Arial" w:cs="Arial" w:eastAsia="Arial" w:hAnsi="Arial"/>
          <w:sz w:val="18"/>
          <w:szCs w:val="18"/>
          <w:color w:val="auto"/>
        </w:rPr>
      </w:pPr>
    </w:p>
    <w:p>
      <w:pPr>
        <w:ind w:left="210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225" w:lineRule="exact"/>
        <w:rPr>
          <w:rFonts w:ascii="Arial" w:cs="Arial" w:eastAsia="Arial" w:hAnsi="Arial"/>
          <w:sz w:val="18"/>
          <w:szCs w:val="18"/>
          <w:color w:val="auto"/>
        </w:rPr>
      </w:pPr>
    </w:p>
    <w:p>
      <w:pPr>
        <w:ind w:left="2100" w:right="6280"/>
        <w:spacing w:after="0" w:line="500" w:lineRule="auto"/>
        <w:rPr>
          <w:rFonts w:ascii="Arial" w:cs="Arial" w:eastAsia="Arial" w:hAnsi="Arial"/>
          <w:sz w:val="18"/>
          <w:szCs w:val="18"/>
          <w:color w:val="auto"/>
        </w:rPr>
      </w:pPr>
      <w:r>
        <w:rPr>
          <w:rFonts w:ascii="Arial" w:cs="Arial" w:eastAsia="Arial" w:hAnsi="Arial"/>
          <w:sz w:val="18"/>
          <w:szCs w:val="18"/>
          <w:color w:val="auto"/>
        </w:rPr>
        <w:t>With a copy, with respect to certificates of insurance, to</w:t>
      </w:r>
    </w:p>
    <w:p>
      <w:pPr>
        <w:spacing w:after="0" w:line="1" w:lineRule="exact"/>
        <w:rPr>
          <w:rFonts w:ascii="Arial" w:cs="Arial" w:eastAsia="Arial" w:hAnsi="Arial"/>
          <w:sz w:val="18"/>
          <w:szCs w:val="18"/>
          <w:color w:val="auto"/>
        </w:rPr>
      </w:pPr>
    </w:p>
    <w:p>
      <w:pPr>
        <w:jc w:val="both"/>
        <w:ind w:left="-20" w:firstLine="656"/>
        <w:spacing w:after="0" w:line="254" w:lineRule="auto"/>
        <w:tabs>
          <w:tab w:leader="none" w:pos="80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 The Security Deposit currently being held by Landlord under the Lease, shall continue to be retained by Landlord as security for the obligations of Tenant hereunder, or applied to any deficiency with respect to the Surrender Space. If Tenant complies fully and faithfully with all of the provisions of the Lease, as amended hereby, then Landlord shall return a portion of the Security Deposit equal to $19,051.54, which amount represents the security held by Landlord with respect to the Surrender Space (the “</w:t>
      </w:r>
      <w:r>
        <w:rPr>
          <w:rFonts w:ascii="Arial" w:cs="Arial" w:eastAsia="Arial" w:hAnsi="Arial"/>
          <w:sz w:val="18"/>
          <w:szCs w:val="18"/>
          <w:u w:val="single" w:color="auto"/>
          <w:color w:val="auto"/>
        </w:rPr>
        <w:t>Surrender Space Security Deposit</w:t>
      </w:r>
      <w:r>
        <w:rPr>
          <w:rFonts w:ascii="Arial" w:cs="Arial" w:eastAsia="Arial" w:hAnsi="Arial"/>
          <w:sz w:val="18"/>
          <w:szCs w:val="18"/>
          <w:color w:val="auto"/>
        </w:rPr>
        <w:t>”), to Tenant after the Surrender Space Effective Date and surrender of the Surrender Space to Landlord. Thereafter, upon return or application of the Surrender Space Security Deposit, Landlord shall continue to retain the remaining portion of the Security Deposit in the amount of $11,056.35 as security for the obligations of Tenant under the Lease, as amended hereby.</w:t>
      </w:r>
    </w:p>
    <w:p>
      <w:pPr>
        <w:spacing w:after="0" w:line="194" w:lineRule="exact"/>
        <w:rPr>
          <w:rFonts w:ascii="Arial" w:cs="Arial" w:eastAsia="Arial" w:hAnsi="Arial"/>
          <w:sz w:val="18"/>
          <w:szCs w:val="18"/>
          <w:color w:val="auto"/>
        </w:rPr>
      </w:pPr>
    </w:p>
    <w:p>
      <w:pPr>
        <w:jc w:val="both"/>
        <w:ind w:left="-20" w:firstLine="656"/>
        <w:spacing w:after="0" w:line="257" w:lineRule="auto"/>
        <w:tabs>
          <w:tab w:leader="none" w:pos="89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Broker Indemnification</w:t>
      </w:r>
      <w:r>
        <w:rPr>
          <w:rFonts w:ascii="Arial" w:cs="Arial" w:eastAsia="Arial" w:hAnsi="Arial"/>
          <w:sz w:val="18"/>
          <w:szCs w:val="18"/>
          <w:color w:val="auto"/>
        </w:rPr>
        <w:t>. The parties hereto represent and warrant to one another that no broker or agent engaged or contacted by Landlord or Tenant either negotiated or was instrumental in negotiating or consummating this Fourth Amendment. Landlord and Tenant each hereby agree to indemnify one another against any loss, expense (including reasonable attorneys’ fees and costs), cost or liability incurred by a party as a result of a claim by any broker or finder, claiming by or through such indemnifying party that such broker or finder was instrumental in negotiating this Fourth Amendment and is due and owing a commission, fee or other payment as a direct result thereof.</w:t>
      </w:r>
    </w:p>
    <w:p>
      <w:pPr>
        <w:spacing w:after="0" w:line="187" w:lineRule="exact"/>
        <w:rPr>
          <w:rFonts w:ascii="Arial" w:cs="Arial" w:eastAsia="Arial" w:hAnsi="Arial"/>
          <w:sz w:val="18"/>
          <w:szCs w:val="18"/>
          <w:color w:val="auto"/>
        </w:rPr>
      </w:pPr>
    </w:p>
    <w:p>
      <w:pPr>
        <w:jc w:val="both"/>
        <w:ind w:left="-20" w:firstLine="656"/>
        <w:spacing w:after="0" w:line="263" w:lineRule="auto"/>
        <w:tabs>
          <w:tab w:leader="none" w:pos="891"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Fourth Amendment sets forth all covenants, agreements and understandings between Landlord and Tenant with respect to the subject matter hereof, and there are no other covenants, conditions or understandings, either written or oral, between the parties hereto except as set forth in the Lease, as further modified by this Fourth Amendment.</w:t>
      </w:r>
    </w:p>
    <w:p>
      <w:pPr>
        <w:spacing w:after="0" w:line="183" w:lineRule="exact"/>
        <w:rPr>
          <w:rFonts w:ascii="Arial" w:cs="Arial" w:eastAsia="Arial" w:hAnsi="Arial"/>
          <w:sz w:val="18"/>
          <w:szCs w:val="18"/>
          <w:color w:val="auto"/>
        </w:rPr>
      </w:pPr>
    </w:p>
    <w:p>
      <w:pPr>
        <w:ind w:left="-20" w:firstLine="656"/>
        <w:spacing w:after="0" w:line="277" w:lineRule="auto"/>
        <w:tabs>
          <w:tab w:leader="none" w:pos="898"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amended hereby, all other terms and provisions of the Lease remain unchanged and continue to be in full force and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233" w:name="page234"/>
    <w:bookmarkEnd w:id="233"/>
    <w:p>
      <w:pPr>
        <w:jc w:val="both"/>
        <w:ind w:firstLine="656"/>
        <w:spacing w:after="0" w:line="263" w:lineRule="auto"/>
        <w:tabs>
          <w:tab w:leader="none" w:pos="91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Compliance with Warranties, No Default</w:t>
      </w:r>
      <w:r>
        <w:rPr>
          <w:rFonts w:ascii="Arial" w:cs="Arial" w:eastAsia="Arial" w:hAnsi="Arial"/>
          <w:sz w:val="18"/>
          <w:szCs w:val="18"/>
          <w:color w:val="auto"/>
        </w:rPr>
        <w:t>. The representations and warranties set forth in the Lease as amended hereby shall be true and correct with the same effect as if made on the date of this Fourth Amendment, and no uncured default under the Lease has occurred or is continuing on the date of this Fourth Amendment.</w:t>
      </w:r>
    </w:p>
    <w:p>
      <w:pPr>
        <w:spacing w:after="0" w:line="183" w:lineRule="exact"/>
        <w:rPr>
          <w:rFonts w:ascii="Arial" w:cs="Arial" w:eastAsia="Arial" w:hAnsi="Arial"/>
          <w:sz w:val="18"/>
          <w:szCs w:val="18"/>
          <w:color w:val="auto"/>
        </w:rPr>
      </w:pPr>
    </w:p>
    <w:p>
      <w:pPr>
        <w:ind w:right="20" w:firstLine="656"/>
        <w:spacing w:after="0" w:line="277" w:lineRule="auto"/>
        <w:tabs>
          <w:tab w:leader="none" w:pos="93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The terms of this Fourth Amendment shall control over any conflict between the terms of the Lease and the terms of this Fourth Amendment.</w:t>
      </w:r>
    </w:p>
    <w:p>
      <w:pPr>
        <w:spacing w:after="0" w:line="170" w:lineRule="exact"/>
        <w:rPr>
          <w:rFonts w:ascii="Arial" w:cs="Arial" w:eastAsia="Arial" w:hAnsi="Arial"/>
          <w:sz w:val="18"/>
          <w:szCs w:val="18"/>
          <w:color w:val="auto"/>
        </w:rPr>
      </w:pPr>
    </w:p>
    <w:p>
      <w:pPr>
        <w:ind w:firstLine="656"/>
        <w:spacing w:after="0" w:line="277" w:lineRule="auto"/>
        <w:tabs>
          <w:tab w:leader="none" w:pos="93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Fourth Amendment shall be binding upon and inure to the benefit of the parties hereto and their respective successors and assigns.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Fourth Amendment may be executed in multiple counterparts, and each counterpart when fully executed and delivered shall constitute an original instrument, and all such multiple counterparts shall constitute but one and the same instrument. Any counterpart of this Fourth Amendment may be executed and delivered by electronic transmission (including, without limitation, e-mail) or by portable document format (pdf) and shall have the same force and effect as an original.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4" w:name="page235"/>
    <w:bookmarkEnd w:id="234"/>
    <w:p>
      <w:pPr>
        <w:ind w:left="660"/>
        <w:spacing w:after="0"/>
        <w:rPr>
          <w:sz w:val="20"/>
          <w:szCs w:val="20"/>
          <w:color w:val="auto"/>
        </w:rPr>
      </w:pPr>
      <w:r>
        <w:rPr>
          <w:rFonts w:ascii="Arial" w:cs="Arial" w:eastAsia="Arial" w:hAnsi="Arial"/>
          <w:sz w:val="16"/>
          <w:szCs w:val="16"/>
          <w:color w:val="auto"/>
        </w:rPr>
        <w:t>IN WITNESS WHEREOF, Landlord and Tenant cause this Fourth Amendment to be duly executed as of the date and year first above written.</w:t>
      </w:r>
    </w:p>
    <w:p>
      <w:pPr>
        <w:spacing w:after="0" w:line="244"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BRE RS GREG PARK OWNER LLC,</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tbl>
      <w:tblPr>
        <w:tblLayout w:type="fixed"/>
        <w:tblInd w:w="5480" w:type="dxa"/>
        <w:tblCellMar>
          <w:top w:w="0" w:type="dxa"/>
          <w:left w:w="0" w:type="dxa"/>
          <w:bottom w:w="0" w:type="dxa"/>
          <w:right w:w="0" w:type="dxa"/>
        </w:tblCellMar>
      </w:tblPr>
      <w:tr>
        <w:trPr>
          <w:trHeight w:val="251"/>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Joseph W. Finnigan</w:t>
            </w:r>
          </w:p>
        </w:tc>
      </w:tr>
      <w:tr>
        <w:trPr>
          <w:trHeight w:val="202"/>
        </w:trPr>
        <w:tc>
          <w:tcPr>
            <w:tcW w:w="8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Joseph W. Finnigan</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ind w:left="548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Denis Phares</w:t>
            </w:r>
          </w:p>
        </w:tc>
      </w:tr>
      <w:tr>
        <w:trPr>
          <w:trHeight w:val="202"/>
        </w:trPr>
        <w:tc>
          <w:tcPr>
            <w:tcW w:w="6280" w:type="dxa"/>
            <w:vAlign w:val="bottom"/>
          </w:tcPr>
          <w:p>
            <w:pPr>
              <w:ind w:left="5480"/>
              <w:spacing w:after="0" w:line="201" w:lineRule="exact"/>
              <w:rPr>
                <w:sz w:val="20"/>
                <w:szCs w:val="20"/>
                <w:color w:val="auto"/>
              </w:rPr>
            </w:pPr>
            <w:r>
              <w:rPr>
                <w:rFonts w:ascii="Arial" w:cs="Arial" w:eastAsia="Arial" w:hAnsi="Arial"/>
                <w:sz w:val="18"/>
                <w:szCs w:val="18"/>
                <w:color w:val="auto"/>
              </w:rPr>
              <w:t>Title:</w:t>
            </w:r>
          </w:p>
        </w:tc>
        <w:tc>
          <w:tcPr>
            <w:tcW w:w="4960" w:type="dxa"/>
            <w:vAlign w:val="bottom"/>
          </w:tcPr>
          <w:p>
            <w:pPr>
              <w:spacing w:after="0" w:line="201" w:lineRule="exact"/>
              <w:rPr>
                <w:sz w:val="20"/>
                <w:szCs w:val="20"/>
                <w:color w:val="auto"/>
              </w:rPr>
            </w:pPr>
            <w:r>
              <w:rPr>
                <w:rFonts w:ascii="Arial" w:cs="Arial" w:eastAsia="Arial" w:hAnsi="Arial"/>
                <w:sz w:val="18"/>
                <w:szCs w:val="18"/>
                <w:color w:val="auto"/>
              </w:rPr>
              <w:t>CEO</w:t>
            </w:r>
          </w:p>
        </w:tc>
      </w:tr>
      <w:tr>
        <w:trPr>
          <w:trHeight w:val="230"/>
        </w:trPr>
        <w:tc>
          <w:tcPr>
            <w:tcW w:w="6280" w:type="dxa"/>
            <w:vAlign w:val="bottom"/>
          </w:tcPr>
          <w:p>
            <w:pPr>
              <w:ind w:left="5480"/>
              <w:spacing w:after="0"/>
              <w:rPr>
                <w:sz w:val="20"/>
                <w:szCs w:val="20"/>
                <w:color w:val="auto"/>
              </w:rPr>
            </w:pPr>
            <w:r>
              <w:rPr>
                <w:rFonts w:ascii="Arial" w:cs="Arial" w:eastAsia="Arial" w:hAnsi="Arial"/>
                <w:sz w:val="18"/>
                <w:szCs w:val="18"/>
                <w:color w:val="auto"/>
              </w:rPr>
              <w:t>Name:</w:t>
            </w:r>
          </w:p>
        </w:tc>
        <w:tc>
          <w:tcPr>
            <w:tcW w:w="4960" w:type="dxa"/>
            <w:vAlign w:val="bottom"/>
          </w:tcPr>
          <w:p>
            <w:pPr>
              <w:spacing w:after="0"/>
              <w:rPr>
                <w:sz w:val="20"/>
                <w:szCs w:val="20"/>
                <w:color w:val="auto"/>
              </w:rPr>
            </w:pPr>
            <w:r>
              <w:rPr>
                <w:rFonts w:ascii="Arial" w:cs="Arial" w:eastAsia="Arial" w:hAnsi="Arial"/>
                <w:sz w:val="18"/>
                <w:szCs w:val="18"/>
                <w:color w:val="auto"/>
              </w:rPr>
              <w:t>Denis Phares</w:t>
            </w:r>
          </w:p>
        </w:tc>
      </w:tr>
      <w:tr>
        <w:trPr>
          <w:trHeight w:val="439"/>
        </w:trPr>
        <w:tc>
          <w:tcPr>
            <w:tcW w:w="6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-5-</w:t>
            </w: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b w:val="1"/>
          <w:bCs w:val="1"/>
          <w:color w:val="auto"/>
        </w:rPr>
        <w:t>Exhibit 10.38</w:t>
      </w:r>
    </w:p>
    <w:p>
      <w:pPr>
        <w:spacing w:after="0" w:line="229" w:lineRule="exact"/>
        <w:rPr>
          <w:sz w:val="20"/>
          <w:szCs w:val="20"/>
          <w:color w:val="auto"/>
        </w:rPr>
      </w:pPr>
    </w:p>
    <w:p>
      <w:pPr>
        <w:ind w:left="340"/>
        <w:spacing w:after="0"/>
        <w:tabs>
          <w:tab w:leader="none" w:pos="1340" w:val="left"/>
          <w:tab w:leader="none" w:pos="3020" w:val="left"/>
        </w:tabs>
        <w:rPr>
          <w:sz w:val="20"/>
          <w:szCs w:val="20"/>
          <w:color w:val="auto"/>
        </w:rPr>
      </w:pPr>
      <w:r>
        <w:rPr>
          <w:rFonts w:ascii="Arial" w:cs="Arial" w:eastAsia="Arial" w:hAnsi="Arial"/>
          <w:sz w:val="18"/>
          <w:szCs w:val="18"/>
          <w:color w:val="auto"/>
        </w:rPr>
        <w:t>Property:</w:t>
      </w:r>
      <w:r>
        <w:rPr>
          <w:sz w:val="20"/>
          <w:szCs w:val="20"/>
          <w:color w:val="auto"/>
        </w:rPr>
        <w:tab/>
      </w:r>
      <w:r>
        <w:rPr>
          <w:rFonts w:ascii="Arial" w:cs="Arial" w:eastAsia="Arial" w:hAnsi="Arial"/>
          <w:sz w:val="18"/>
          <w:szCs w:val="18"/>
          <w:color w:val="auto"/>
        </w:rPr>
        <w:t>br40427</w:t>
      </w:r>
      <w:r>
        <w:rPr>
          <w:sz w:val="20"/>
          <w:szCs w:val="20"/>
          <w:color w:val="auto"/>
        </w:rPr>
        <w:tab/>
      </w:r>
      <w:r>
        <w:rPr>
          <w:rFonts w:ascii="Arial" w:cs="Arial" w:eastAsia="Arial" w:hAnsi="Arial"/>
          <w:sz w:val="16"/>
          <w:szCs w:val="16"/>
          <w:color w:val="auto"/>
        </w:rPr>
        <w:t>1375 Greg Street, Suite 107, Sparks, NV</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FIFTH AMENDMENT TO INDUSTRIAL LEASE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FIFTH AMENDMENT TO INDUSTRIAL LEASE (this “</w:t>
      </w:r>
      <w:r>
        <w:rPr>
          <w:rFonts w:ascii="Arial" w:cs="Arial" w:eastAsia="Arial" w:hAnsi="Arial"/>
          <w:sz w:val="18"/>
          <w:szCs w:val="18"/>
          <w:u w:val="single" w:color="auto"/>
          <w:color w:val="auto"/>
        </w:rPr>
        <w:t>Fifth Amendment</w:t>
      </w:r>
      <w:r>
        <w:rPr>
          <w:rFonts w:ascii="Arial" w:cs="Arial" w:eastAsia="Arial" w:hAnsi="Arial"/>
          <w:sz w:val="18"/>
          <w:szCs w:val="18"/>
          <w:color w:val="auto"/>
        </w:rPr>
        <w:t>”) is made and entered into as of the 28th day of January, 2022 by and between BRE RS GREG PARK OWNER LLC, a Delaware limited liability company, successor-in-interest to The Northwestern Mutual Life Insurance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DRAGONFLY ENERGY CORP., a Nevada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Landlord and Tenant are parties to that certain Industrial Lease, dated April 25, 2019 (the “</w:t>
      </w:r>
      <w:r>
        <w:rPr>
          <w:rFonts w:ascii="Arial" w:cs="Arial" w:eastAsia="Arial" w:hAnsi="Arial"/>
          <w:sz w:val="16"/>
          <w:szCs w:val="16"/>
          <w:u w:val="single" w:color="auto"/>
          <w:color w:val="auto"/>
        </w:rPr>
        <w:t>Original Lease</w:t>
      </w:r>
      <w:r>
        <w:rPr>
          <w:rFonts w:ascii="Arial" w:cs="Arial" w:eastAsia="Arial" w:hAnsi="Arial"/>
          <w:sz w:val="16"/>
          <w:szCs w:val="16"/>
          <w:color w:val="auto"/>
        </w:rPr>
        <w:t>”), as amended by that certain First Amendment to Industrial Lease dated March 12, 2020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that certain Second Amendment to Industrial Lease dated July 27, 2020 (the “</w:t>
      </w:r>
      <w:r>
        <w:rPr>
          <w:rFonts w:ascii="Arial" w:cs="Arial" w:eastAsia="Arial" w:hAnsi="Arial"/>
          <w:sz w:val="16"/>
          <w:szCs w:val="16"/>
          <w:u w:val="single" w:color="auto"/>
          <w:color w:val="auto"/>
        </w:rPr>
        <w:t>Second Amendment</w:t>
      </w:r>
      <w:r>
        <w:rPr>
          <w:rFonts w:ascii="Arial" w:cs="Arial" w:eastAsia="Arial" w:hAnsi="Arial"/>
          <w:sz w:val="16"/>
          <w:szCs w:val="16"/>
          <w:color w:val="auto"/>
        </w:rPr>
        <w:t>”), that certain Third Amendment to Industrial Lease dated August 26, 2020 (the “</w:t>
      </w:r>
      <w:r>
        <w:rPr>
          <w:rFonts w:ascii="Arial" w:cs="Arial" w:eastAsia="Arial" w:hAnsi="Arial"/>
          <w:sz w:val="16"/>
          <w:szCs w:val="16"/>
          <w:u w:val="single" w:color="auto"/>
          <w:color w:val="auto"/>
        </w:rPr>
        <w:t>Third Amendment</w:t>
      </w:r>
      <w:r>
        <w:rPr>
          <w:rFonts w:ascii="Arial" w:cs="Arial" w:eastAsia="Arial" w:hAnsi="Arial"/>
          <w:sz w:val="16"/>
          <w:szCs w:val="16"/>
          <w:color w:val="auto"/>
        </w:rPr>
        <w:t>”), and that certain Fourth Amendment to Industrial Lease dated December 22, 2020 (the “</w:t>
      </w:r>
      <w:r>
        <w:rPr>
          <w:rFonts w:ascii="Arial" w:cs="Arial" w:eastAsia="Arial" w:hAnsi="Arial"/>
          <w:sz w:val="16"/>
          <w:szCs w:val="16"/>
          <w:u w:val="single" w:color="auto"/>
          <w:color w:val="auto"/>
        </w:rPr>
        <w:t>Fourth Amendment</w:t>
      </w:r>
      <w:r>
        <w:rPr>
          <w:rFonts w:ascii="Arial" w:cs="Arial" w:eastAsia="Arial" w:hAnsi="Arial"/>
          <w:sz w:val="16"/>
          <w:szCs w:val="16"/>
          <w:color w:val="auto"/>
        </w:rPr>
        <w:t>”, together with the Original Lease, the First Amendment, the Second Amendment and the Third Amendment, collectively, the “</w:t>
      </w:r>
      <w:r>
        <w:rPr>
          <w:rFonts w:ascii="Arial" w:cs="Arial" w:eastAsia="Arial" w:hAnsi="Arial"/>
          <w:sz w:val="16"/>
          <w:szCs w:val="16"/>
          <w:u w:val="single" w:color="auto"/>
          <w:color w:val="auto"/>
        </w:rPr>
        <w:t>Lease</w:t>
      </w:r>
      <w:r>
        <w:rPr>
          <w:rFonts w:ascii="Arial" w:cs="Arial" w:eastAsia="Arial" w:hAnsi="Arial"/>
          <w:sz w:val="16"/>
          <w:szCs w:val="16"/>
          <w:color w:val="auto"/>
        </w:rPr>
        <w:t>”), covering certain premises containing approximately 9,600 rentable square feet known as Suites 104 and 107, located at 1375 Sparks Street, Sparks, NV (collectively, the “Premises”), as more fully described in the Lease.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Landlord and Tenant desire to amend the Lease as set forth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in consideration of the mutual promises and covenants contained herein and in the Lease, and intending</w:t>
      </w:r>
      <w:r>
        <w:rPr>
          <w:rFonts w:ascii="Arial" w:cs="Arial" w:eastAsia="Arial" w:hAnsi="Arial"/>
          <w:sz w:val="18"/>
          <w:szCs w:val="18"/>
          <w:b w:val="1"/>
          <w:bCs w:val="1"/>
          <w:color w:val="auto"/>
        </w:rPr>
        <w:t xml:space="preserve"> </w:t>
      </w:r>
      <w:r>
        <w:rPr>
          <w:rFonts w:ascii="Arial" w:cs="Arial" w:eastAsia="Arial" w:hAnsi="Arial"/>
          <w:sz w:val="18"/>
          <w:szCs w:val="18"/>
          <w:color w:val="auto"/>
        </w:rPr>
        <w:t>to be legally bound, hereby agree that the Lease is amended as follows:</w:t>
      </w:r>
    </w:p>
    <w:p>
      <w:pPr>
        <w:spacing w:after="0" w:line="166" w:lineRule="exact"/>
        <w:rPr>
          <w:sz w:val="20"/>
          <w:szCs w:val="20"/>
          <w:color w:val="auto"/>
        </w:rPr>
      </w:pPr>
    </w:p>
    <w:p>
      <w:pPr>
        <w:ind w:firstLine="656"/>
        <w:spacing w:after="0" w:line="277" w:lineRule="auto"/>
        <w:tabs>
          <w:tab w:leader="none" w:pos="82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Except as specifically defined in this Fifth Amendment, capitalized terms shall have the same meanings given to such terms in the Lease.</w:t>
      </w:r>
    </w:p>
    <w:p>
      <w:pPr>
        <w:spacing w:after="0" w:line="170" w:lineRule="exact"/>
        <w:rPr>
          <w:rFonts w:ascii="Arial" w:cs="Arial" w:eastAsia="Arial" w:hAnsi="Arial"/>
          <w:sz w:val="18"/>
          <w:szCs w:val="18"/>
          <w:color w:val="auto"/>
        </w:rPr>
      </w:pPr>
    </w:p>
    <w:p>
      <w:pPr>
        <w:ind w:firstLine="656"/>
        <w:spacing w:after="0" w:line="277" w:lineRule="auto"/>
        <w:tabs>
          <w:tab w:leader="none" w:pos="828"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Notice Address</w:t>
      </w:r>
      <w:r>
        <w:rPr>
          <w:rFonts w:ascii="Arial" w:cs="Arial" w:eastAsia="Arial" w:hAnsi="Arial"/>
          <w:sz w:val="18"/>
          <w:szCs w:val="18"/>
          <w:color w:val="auto"/>
        </w:rPr>
        <w:t>. Any written notice required to be provided to Tenant under the Lease, as amended hereby, shall be delivered to the Tenant at the following addresses:</w:t>
      </w:r>
    </w:p>
    <w:p>
      <w:pPr>
        <w:spacing w:after="0" w:line="17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Dragonfly Energy Corp.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Denis Phares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6" w:name="page237"/>
    <w:bookmarkEnd w:id="236"/>
    <w:p>
      <w:pPr>
        <w:ind w:left="1960"/>
        <w:spacing w:after="0"/>
        <w:rPr>
          <w:sz w:val="20"/>
          <w:szCs w:val="20"/>
          <w:color w:val="auto"/>
        </w:rPr>
      </w:pPr>
      <w:r>
        <w:rPr>
          <w:rFonts w:ascii="Arial" w:cs="Arial" w:eastAsia="Arial" w:hAnsi="Arial"/>
          <w:sz w:val="18"/>
          <w:szCs w:val="18"/>
          <w:color w:val="auto"/>
        </w:rPr>
        <w:t>Newlight Capital LLC</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both"/>
        <w:ind w:firstLine="656"/>
        <w:spacing w:after="0" w:line="263" w:lineRule="auto"/>
        <w:tabs>
          <w:tab w:leader="none" w:pos="82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Fifth Amendment sets forth all covenants, agreements and understandings between Landlord and Tenant with respect to the subject matter hereof, and there are no other covenants, conditions or understandings, either written or oral, between the parties hereto except as set forth in the Lease, as further modified by this Fifth Amendment.</w:t>
      </w:r>
    </w:p>
    <w:p>
      <w:pPr>
        <w:spacing w:after="0" w:line="183" w:lineRule="exact"/>
        <w:rPr>
          <w:rFonts w:ascii="Arial" w:cs="Arial" w:eastAsia="Arial" w:hAnsi="Arial"/>
          <w:sz w:val="18"/>
          <w:szCs w:val="18"/>
          <w:color w:val="auto"/>
        </w:rPr>
      </w:pPr>
    </w:p>
    <w:p>
      <w:pPr>
        <w:ind w:firstLine="656"/>
        <w:spacing w:after="0" w:line="277" w:lineRule="auto"/>
        <w:tabs>
          <w:tab w:leader="none" w:pos="82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Full Force and Effect</w:t>
      </w:r>
      <w:r>
        <w:rPr>
          <w:rFonts w:ascii="Arial" w:cs="Arial" w:eastAsia="Arial" w:hAnsi="Arial"/>
          <w:sz w:val="18"/>
          <w:szCs w:val="18"/>
          <w:color w:val="auto"/>
        </w:rPr>
        <w:t>. Except as expressly amended hereby, all other terms and provisions of the Lease remain unchanged and continue to be in full force and effect.</w:t>
      </w:r>
    </w:p>
    <w:p>
      <w:pPr>
        <w:spacing w:after="0" w:line="170" w:lineRule="exact"/>
        <w:rPr>
          <w:rFonts w:ascii="Arial" w:cs="Arial" w:eastAsia="Arial" w:hAnsi="Arial"/>
          <w:sz w:val="18"/>
          <w:szCs w:val="18"/>
          <w:color w:val="auto"/>
        </w:rPr>
      </w:pPr>
    </w:p>
    <w:p>
      <w:pPr>
        <w:jc w:val="both"/>
        <w:ind w:firstLine="656"/>
        <w:spacing w:after="0" w:line="263" w:lineRule="auto"/>
        <w:tabs>
          <w:tab w:leader="none" w:pos="82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Compliance with Warranties, No Default</w:t>
      </w:r>
      <w:r>
        <w:rPr>
          <w:rFonts w:ascii="Arial" w:cs="Arial" w:eastAsia="Arial" w:hAnsi="Arial"/>
          <w:sz w:val="18"/>
          <w:szCs w:val="18"/>
          <w:color w:val="auto"/>
        </w:rPr>
        <w:t>. The representations and warranties set forth in the Lease as amended hereby shall be true and correct with the same effect as if made on the date of this Fifth Amendment, and no uncured default under the Lease has occurred or is continuing on the date of this Fifth Amendment.</w:t>
      </w:r>
    </w:p>
    <w:p>
      <w:pPr>
        <w:spacing w:after="0" w:line="183" w:lineRule="exact"/>
        <w:rPr>
          <w:rFonts w:ascii="Arial" w:cs="Arial" w:eastAsia="Arial" w:hAnsi="Arial"/>
          <w:sz w:val="18"/>
          <w:szCs w:val="18"/>
          <w:color w:val="auto"/>
        </w:rPr>
      </w:pPr>
    </w:p>
    <w:p>
      <w:pPr>
        <w:ind w:right="20" w:firstLine="656"/>
        <w:spacing w:after="0" w:line="277" w:lineRule="auto"/>
        <w:tabs>
          <w:tab w:leader="none" w:pos="855"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Conflicts</w:t>
      </w:r>
      <w:r>
        <w:rPr>
          <w:rFonts w:ascii="Arial" w:cs="Arial" w:eastAsia="Arial" w:hAnsi="Arial"/>
          <w:sz w:val="18"/>
          <w:szCs w:val="18"/>
          <w:color w:val="auto"/>
        </w:rPr>
        <w:t>. The terms of this Fifth Amendment shall control over any conflict between the terms of the Lease and the terms of this Fifth Amendment.</w:t>
      </w:r>
    </w:p>
    <w:p>
      <w:pPr>
        <w:spacing w:after="0" w:line="170" w:lineRule="exact"/>
        <w:rPr>
          <w:rFonts w:ascii="Arial" w:cs="Arial" w:eastAsia="Arial" w:hAnsi="Arial"/>
          <w:sz w:val="18"/>
          <w:szCs w:val="18"/>
          <w:color w:val="auto"/>
        </w:rPr>
      </w:pPr>
    </w:p>
    <w:p>
      <w:pPr>
        <w:ind w:firstLine="656"/>
        <w:spacing w:after="0" w:line="277" w:lineRule="auto"/>
        <w:tabs>
          <w:tab w:leader="none" w:pos="855"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Fifth Amendment shall be binding upon and inure to the benefit of the parties hereto and their respective successors and assigns.</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18"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Fifth Amendment may be executed in multiple counterparts, and each counterpart when fully executed and delivered shall constitute an original instrument, and all such multiple counterparts shall constitute but one and the same instrument. Any counterpart of this Fifth Amendment may be executed and delivered by electronic transmission (including, without limitation, e-mail) or by portable document format (pdf) and shall have the same force and effect as an original.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37" w:name="page238"/>
    <w:bookmarkEnd w:id="237"/>
    <w:p>
      <w:pPr>
        <w:spacing w:after="0"/>
        <w:rPr>
          <w:sz w:val="20"/>
          <w:szCs w:val="20"/>
          <w:color w:val="auto"/>
        </w:rPr>
      </w:pPr>
      <w:r>
        <w:rPr>
          <w:rFonts w:ascii="Arial" w:cs="Arial" w:eastAsia="Arial" w:hAnsi="Arial"/>
          <w:sz w:val="16"/>
          <w:szCs w:val="16"/>
          <w:color w:val="auto"/>
        </w:rPr>
        <w:t>IN WITNESS WHEREOF, Landlord and Tenant cause this Fourth Amendment to be duly executed as of the date and year first above written.</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LANDLORD:</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BRE RS GREG PARK OWNER LLC,</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McKrell</w:t>
      </w:r>
    </w:p>
    <w:p>
      <w:pPr>
        <w:spacing w:after="0" w:line="3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Bryan McKrell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TENANT:</w:t>
      </w: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DRAGONFLY ENERGY CORP.,</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-130175</wp:posOffset>
            </wp:positionV>
            <wp:extent cx="320611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Denis Phares</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980" w:top="692" w:right="69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333-268784) of Dragonfly Energy Holdings Corp. of our report dated April 17, 2023, relating to the consolidated financial statements which appears in this Form 10-K. Our report contains an explanatory paragraph regarding the Company’s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17,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Marchetti, certify that:</w:t>
      </w:r>
    </w:p>
    <w:p>
      <w:pPr>
        <w:spacing w:after="0" w:line="225" w:lineRule="exact"/>
        <w:rPr>
          <w:sz w:val="20"/>
          <w:szCs w:val="20"/>
          <w:color w:val="auto"/>
        </w:rPr>
      </w:pPr>
    </w:p>
    <w:p>
      <w:pPr>
        <w:ind w:left="660" w:hanging="328"/>
        <w:spacing w:after="0"/>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period ended December 31, 2022 of Dragonfly Energy Holdings Corp.;</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2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April 17,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Marchetti</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Dragonfly Energy Holdings Corp. (the “Company”) for the year ended December 31, 2022 (the “Annual Report”), each of Denis Phares, as Chief Executive Officer, and John Marchetti, as Chief Financial Officer, certifies in his or her capacity as such officer of the Company, that to such officer’s knowledge:</w:t>
      </w:r>
    </w:p>
    <w:p>
      <w:pPr>
        <w:spacing w:after="0" w:line="188" w:lineRule="exact"/>
        <w:rPr>
          <w:sz w:val="20"/>
          <w:szCs w:val="20"/>
          <w:color w:val="auto"/>
        </w:rPr>
      </w:pPr>
    </w:p>
    <w:p>
      <w:pPr>
        <w:ind w:left="660" w:hanging="328"/>
        <w:spacing w:after="0"/>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Annual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17, 2023</w:t>
      </w:r>
      <w:r>
        <w:rPr>
          <w:sz w:val="20"/>
          <w:szCs w:val="20"/>
          <w:color w:val="auto"/>
        </w:rPr>
        <w:tab/>
      </w:r>
      <w:r>
        <w:rPr>
          <w:rFonts w:ascii="Arial" w:cs="Arial" w:eastAsia="Arial" w:hAnsi="Arial"/>
          <w:sz w:val="16"/>
          <w:szCs w:val="16"/>
          <w:color w:val="auto"/>
        </w:rPr>
        <w:t xml:space="preserve">By: /s/ </w:t>
      </w:r>
      <w:r>
        <w:rPr>
          <w:rFonts w:ascii="Arial" w:cs="Arial" w:eastAsia="Arial" w:hAnsi="Arial"/>
          <w:sz w:val="16"/>
          <w:szCs w:val="16"/>
          <w:i w:val="1"/>
          <w:iCs w:val="1"/>
          <w:color w:val="auto"/>
        </w:rPr>
        <w:t>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17, 2023</w:t>
      </w:r>
      <w:r>
        <w:rPr>
          <w:sz w:val="20"/>
          <w:szCs w:val="20"/>
          <w:color w:val="auto"/>
        </w:rPr>
        <w:tab/>
      </w:r>
      <w:r>
        <w:rPr>
          <w:rFonts w:ascii="Arial" w:cs="Arial" w:eastAsia="Arial" w:hAnsi="Arial"/>
          <w:sz w:val="17"/>
          <w:szCs w:val="17"/>
          <w:color w:val="auto"/>
        </w:rPr>
        <w:t xml:space="preserve">By: /s/ </w:t>
      </w:r>
      <w:r>
        <w:rPr>
          <w:rFonts w:ascii="Arial" w:cs="Arial" w:eastAsia="Arial" w:hAnsi="Arial"/>
          <w:sz w:val="17"/>
          <w:szCs w:val="17"/>
          <w:i w:val="1"/>
          <w:iCs w:val="1"/>
          <w:color w:val="auto"/>
        </w:rPr>
        <w:t>John Marchetti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John Marchetti</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E6D486"/>
    <w:multiLevelType w:val="hybridMultilevel"/>
    <w:lvl w:ilvl="0">
      <w:lvlJc w:val="left"/>
      <w:lvlText w:val="☒"/>
      <w:numFmt w:val="bullet"/>
      <w:start w:val="1"/>
    </w:lvl>
  </w:abstractNum>
  <w:abstractNum w:abstractNumId="1">
    <w:nsid w:val="5C10FE21"/>
    <w:multiLevelType w:val="hybridMultilevel"/>
    <w:lvl w:ilvl="0">
      <w:lvlJc w:val="left"/>
      <w:lvlText w:val="☐"/>
      <w:numFmt w:val="bullet"/>
      <w:start w:val="1"/>
    </w:lvl>
  </w:abstractNum>
  <w:abstractNum w:abstractNumId="2">
    <w:nsid w:val="E7FFA2B"/>
    <w:multiLevelType w:val="hybridMultilevel"/>
    <w:lvl w:ilvl="0">
      <w:lvlJc w:val="left"/>
      <w:lvlText w:val="●"/>
      <w:numFmt w:val="bullet"/>
      <w:start w:val="1"/>
    </w:lvl>
  </w:abstractNum>
  <w:abstractNum w:abstractNumId="3">
    <w:nsid w:val="3C5991AA"/>
    <w:multiLevelType w:val="hybridMultilevel"/>
    <w:lvl w:ilvl="0">
      <w:lvlJc w:val="left"/>
      <w:lvlText w:val="●"/>
      <w:numFmt w:val="bullet"/>
      <w:start w:val="1"/>
    </w:lvl>
  </w:abstractNum>
  <w:abstractNum w:abstractNumId="4">
    <w:nsid w:val="4BD8591A"/>
    <w:multiLevelType w:val="hybridMultilevel"/>
    <w:lvl w:ilvl="0">
      <w:lvlJc w:val="left"/>
      <w:lvlText w:val="●"/>
      <w:numFmt w:val="bullet"/>
      <w:start w:val="1"/>
    </w:lvl>
  </w:abstractNum>
  <w:abstractNum w:abstractNumId="5">
    <w:nsid w:val="78DF6A55"/>
    <w:multiLevelType w:val="hybridMultilevel"/>
    <w:lvl w:ilvl="0">
      <w:lvlJc w:val="left"/>
      <w:lvlText w:val="●"/>
      <w:numFmt w:val="bullet"/>
      <w:start w:val="1"/>
    </w:lvl>
  </w:abstractNum>
  <w:abstractNum w:abstractNumId="6">
    <w:nsid w:val="39B7AAA2"/>
    <w:multiLevelType w:val="hybridMultilevel"/>
    <w:lvl w:ilvl="0">
      <w:lvlJc w:val="left"/>
      <w:lvlText w:val="●"/>
      <w:numFmt w:val="bullet"/>
      <w:start w:val="1"/>
    </w:lvl>
  </w:abstractNum>
  <w:abstractNum w:abstractNumId="7">
    <w:nsid w:val="2B0D8DBE"/>
    <w:multiLevelType w:val="hybridMultilevel"/>
    <w:lvl w:ilvl="0">
      <w:lvlJc w:val="left"/>
      <w:lvlText w:val="●"/>
      <w:numFmt w:val="bullet"/>
      <w:start w:val="1"/>
    </w:lvl>
  </w:abstractNum>
  <w:abstractNum w:abstractNumId="8">
    <w:nsid w:val="6C80EC70"/>
    <w:multiLevelType w:val="hybridMultilevel"/>
    <w:lvl w:ilvl="0">
      <w:lvlJc w:val="left"/>
      <w:lvlText w:val="●"/>
      <w:numFmt w:val="bullet"/>
      <w:start w:val="1"/>
    </w:lvl>
  </w:abstractNum>
  <w:abstractNum w:abstractNumId="9">
    <w:nsid w:val="379E21B5"/>
    <w:multiLevelType w:val="hybridMultilevel"/>
    <w:lvl w:ilvl="0">
      <w:lvlJc w:val="left"/>
      <w:lvlText w:val="●"/>
      <w:numFmt w:val="bullet"/>
      <w:start w:val="1"/>
    </w:lvl>
  </w:abstractNum>
  <w:abstractNum w:abstractNumId="10">
    <w:nsid w:val="69E373"/>
    <w:multiLevelType w:val="hybridMultilevel"/>
    <w:lvl w:ilvl="0">
      <w:lvlJc w:val="left"/>
      <w:lvlText w:val="●"/>
      <w:numFmt w:val="bullet"/>
      <w:start w:val="1"/>
    </w:lvl>
  </w:abstractNum>
  <w:abstractNum w:abstractNumId="11">
    <w:nsid w:val="2C27173B"/>
    <w:multiLevelType w:val="hybridMultilevel"/>
    <w:lvl w:ilvl="0">
      <w:lvlJc w:val="left"/>
      <w:lvlText w:val="●"/>
      <w:numFmt w:val="bullet"/>
      <w:start w:val="1"/>
    </w:lvl>
  </w:abstractNum>
  <w:abstractNum w:abstractNumId="12">
    <w:nsid w:val="4C9B0904"/>
    <w:multiLevelType w:val="hybridMultilevel"/>
    <w:lvl w:ilvl="0">
      <w:lvlJc w:val="left"/>
      <w:lvlText w:val="●"/>
      <w:numFmt w:val="bullet"/>
      <w:start w:val="1"/>
    </w:lvl>
    <w:lvl w:ilvl="1">
      <w:lvlJc w:val="left"/>
      <w:lvlText w:val="●"/>
      <w:numFmt w:val="bullet"/>
      <w:start w:val="1"/>
    </w:lvl>
  </w:abstractNum>
  <w:abstractNum w:abstractNumId="13">
    <w:nsid w:val="6AA7B75C"/>
    <w:multiLevelType w:val="hybridMultilevel"/>
    <w:lvl w:ilvl="0">
      <w:lvlJc w:val="left"/>
      <w:lvlText w:val="(%1)"/>
      <w:numFmt w:val="lowerRoman"/>
      <w:start w:val="2"/>
    </w:lvl>
  </w:abstractNum>
  <w:abstractNum w:abstractNumId="14">
    <w:nsid w:val="1DF029D3"/>
    <w:multiLevelType w:val="hybridMultilevel"/>
    <w:lvl w:ilvl="0">
      <w:lvlJc w:val="left"/>
      <w:lvlText w:val="●"/>
      <w:numFmt w:val="bullet"/>
      <w:start w:val="1"/>
    </w:lvl>
  </w:abstractNum>
  <w:abstractNum w:abstractNumId="15">
    <w:nsid w:val="5675FF36"/>
    <w:multiLevelType w:val="hybridMultilevel"/>
    <w:lvl w:ilvl="0">
      <w:lvlJc w:val="left"/>
      <w:lvlText w:val="(%1)"/>
      <w:numFmt w:val="lowerLetter"/>
      <w:start w:val="1"/>
    </w:lvl>
  </w:abstractNum>
  <w:abstractNum w:abstractNumId="16">
    <w:nsid w:val="3DD15094"/>
    <w:multiLevelType w:val="hybridMultilevel"/>
    <w:lvl w:ilvl="0">
      <w:lvlJc w:val="left"/>
      <w:lvlText w:val="(%1)"/>
      <w:numFmt w:val="lowerLetter"/>
      <w:start w:val="3"/>
    </w:lvl>
  </w:abstractNum>
  <w:abstractNum w:abstractNumId="17">
    <w:nsid w:val="3DB012B3"/>
    <w:multiLevelType w:val="hybridMultilevel"/>
    <w:lvl w:ilvl="0">
      <w:lvlJc w:val="left"/>
      <w:lvlText w:val="(%1)"/>
      <w:numFmt w:val="lowerRoman"/>
      <w:start w:val="1"/>
    </w:lvl>
  </w:abstractNum>
  <w:abstractNum w:abstractNumId="18">
    <w:nsid w:val="2708C9AF"/>
    <w:multiLevelType w:val="hybridMultilevel"/>
    <w:lvl w:ilvl="0">
      <w:lvlJc w:val="left"/>
      <w:lvlText w:val="●"/>
      <w:numFmt w:val="bullet"/>
      <w:start w:val="1"/>
    </w:lvl>
  </w:abstractNum>
  <w:abstractNum w:abstractNumId="19">
    <w:nsid w:val="5B25ACE2"/>
    <w:multiLevelType w:val="hybridMultilevel"/>
    <w:lvl w:ilvl="0">
      <w:lvlJc w:val="left"/>
      <w:lvlText w:val="●"/>
      <w:numFmt w:val="bullet"/>
      <w:start w:val="1"/>
    </w:lvl>
  </w:abstractNum>
  <w:abstractNum w:abstractNumId="20">
    <w:nsid w:val="175DFCF0"/>
    <w:multiLevelType w:val="hybridMultilevel"/>
    <w:lvl w:ilvl="0">
      <w:lvlJc w:val="left"/>
      <w:lvlText w:val="●"/>
      <w:numFmt w:val="bullet"/>
      <w:start w:val="1"/>
    </w:lvl>
  </w:abstractNum>
  <w:abstractNum w:abstractNumId="21">
    <w:nsid w:val="4F97E3E4"/>
    <w:multiLevelType w:val="hybridMultilevel"/>
    <w:lvl w:ilvl="0">
      <w:lvlJc w:val="left"/>
      <w:lvlText w:val="●"/>
      <w:numFmt w:val="bullet"/>
      <w:start w:val="1"/>
    </w:lvl>
  </w:abstractNum>
  <w:abstractNum w:abstractNumId="22">
    <w:nsid w:val="53B0A9E"/>
    <w:multiLevelType w:val="hybridMultilevel"/>
    <w:lvl w:ilvl="0">
      <w:lvlJc w:val="left"/>
      <w:lvlText w:val="●"/>
      <w:numFmt w:val="bullet"/>
      <w:start w:val="1"/>
    </w:lvl>
  </w:abstractNum>
  <w:abstractNum w:abstractNumId="23">
    <w:nsid w:val="34FD6B4F"/>
    <w:multiLevelType w:val="hybridMultilevel"/>
    <w:lvl w:ilvl="0">
      <w:lvlJc w:val="left"/>
      <w:lvlText w:val="●"/>
      <w:numFmt w:val="bullet"/>
      <w:start w:val="1"/>
    </w:lvl>
  </w:abstractNum>
  <w:abstractNum w:abstractNumId="24">
    <w:nsid w:val="5915FF32"/>
    <w:multiLevelType w:val="hybridMultilevel"/>
    <w:lvl w:ilvl="0">
      <w:lvlJc w:val="left"/>
      <w:lvlText w:val="●"/>
      <w:numFmt w:val="bullet"/>
      <w:start w:val="1"/>
    </w:lvl>
  </w:abstractNum>
  <w:abstractNum w:abstractNumId="25">
    <w:nsid w:val="56438D15"/>
    <w:multiLevelType w:val="hybridMultilevel"/>
    <w:lvl w:ilvl="0">
      <w:lvlJc w:val="left"/>
      <w:lvlText w:val="●"/>
      <w:numFmt w:val="bullet"/>
      <w:start w:val="1"/>
    </w:lvl>
  </w:abstractNum>
  <w:abstractNum w:abstractNumId="26">
    <w:nsid w:val="519E3149"/>
    <w:multiLevelType w:val="hybridMultilevel"/>
    <w:lvl w:ilvl="0">
      <w:lvlJc w:val="left"/>
      <w:lvlText w:val="●"/>
      <w:numFmt w:val="bullet"/>
      <w:start w:val="1"/>
    </w:lvl>
  </w:abstractNum>
  <w:abstractNum w:abstractNumId="27">
    <w:nsid w:val="2C6E4AFD"/>
    <w:multiLevelType w:val="hybridMultilevel"/>
    <w:lvl w:ilvl="0">
      <w:lvlJc w:val="left"/>
      <w:lvlText w:val="●"/>
      <w:numFmt w:val="bullet"/>
      <w:start w:val="1"/>
    </w:lvl>
  </w:abstractNum>
  <w:abstractNum w:abstractNumId="28">
    <w:nsid w:val="17A1B582"/>
    <w:multiLevelType w:val="hybridMultilevel"/>
    <w:lvl w:ilvl="0">
      <w:lvlJc w:val="left"/>
      <w:lvlText w:val="●"/>
      <w:numFmt w:val="bullet"/>
      <w:start w:val="1"/>
    </w:lvl>
  </w:abstractNum>
  <w:abstractNum w:abstractNumId="29">
    <w:nsid w:val="4DF72E4E"/>
    <w:multiLevelType w:val="hybridMultilevel"/>
    <w:lvl w:ilvl="0">
      <w:lvlJc w:val="left"/>
      <w:lvlText w:val="●"/>
      <w:numFmt w:val="bullet"/>
      <w:start w:val="1"/>
    </w:lvl>
  </w:abstractNum>
  <w:abstractNum w:abstractNumId="30">
    <w:nsid w:val="5046B5A9"/>
    <w:multiLevelType w:val="hybridMultilevel"/>
    <w:lvl w:ilvl="0">
      <w:lvlJc w:val="left"/>
      <w:lvlText w:val="●"/>
      <w:numFmt w:val="bullet"/>
      <w:start w:val="1"/>
    </w:lvl>
  </w:abstractNum>
  <w:abstractNum w:abstractNumId="31">
    <w:nsid w:val="5D888A08"/>
    <w:multiLevelType w:val="hybridMultilevel"/>
    <w:lvl w:ilvl="0">
      <w:lvlJc w:val="left"/>
      <w:lvlText w:val="●"/>
      <w:numFmt w:val="bullet"/>
      <w:start w:val="1"/>
    </w:lvl>
  </w:abstractNum>
  <w:abstractNum w:abstractNumId="32">
    <w:nsid w:val="2A082C70"/>
    <w:multiLevelType w:val="hybridMultilevel"/>
    <w:lvl w:ilvl="0">
      <w:lvlJc w:val="left"/>
      <w:lvlText w:val="●"/>
      <w:numFmt w:val="bullet"/>
      <w:start w:val="1"/>
    </w:lvl>
  </w:abstractNum>
  <w:abstractNum w:abstractNumId="33">
    <w:nsid w:val="5EC6AFD4"/>
    <w:multiLevelType w:val="hybridMultilevel"/>
    <w:lvl w:ilvl="0">
      <w:lvlJc w:val="left"/>
      <w:lvlText w:val="●"/>
      <w:numFmt w:val="bullet"/>
      <w:start w:val="1"/>
    </w:lvl>
  </w:abstractNum>
  <w:abstractNum w:abstractNumId="34">
    <w:nsid w:val="19E21BB2"/>
    <w:multiLevelType w:val="hybridMultilevel"/>
    <w:lvl w:ilvl="0">
      <w:lvlJc w:val="left"/>
      <w:lvlText w:val="●"/>
      <w:numFmt w:val="bullet"/>
      <w:start w:val="1"/>
    </w:lvl>
  </w:abstractNum>
  <w:abstractNum w:abstractNumId="35">
    <w:nsid w:val="75E0858A"/>
    <w:multiLevelType w:val="hybridMultilevel"/>
    <w:lvl w:ilvl="0">
      <w:lvlJc w:val="left"/>
      <w:lvlText w:val="●"/>
      <w:numFmt w:val="bullet"/>
      <w:start w:val="1"/>
    </w:lvl>
  </w:abstractNum>
  <w:abstractNum w:abstractNumId="36">
    <w:nsid w:val="57A61A29"/>
    <w:multiLevelType w:val="hybridMultilevel"/>
    <w:lvl w:ilvl="0">
      <w:lvlJc w:val="left"/>
      <w:lvlText w:val="(%1)"/>
      <w:numFmt w:val="decimal"/>
      <w:start w:val="1"/>
    </w:lvl>
  </w:abstractNum>
  <w:abstractNum w:abstractNumId="37">
    <w:nsid w:val="5399C654"/>
    <w:multiLevelType w:val="hybridMultilevel"/>
    <w:lvl w:ilvl="0">
      <w:lvlJc w:val="left"/>
      <w:lvlText w:val="(%1)"/>
      <w:numFmt w:val="lowerRoman"/>
      <w:start w:val="3"/>
    </w:lvl>
  </w:abstractNum>
  <w:abstractNum w:abstractNumId="38">
    <w:nsid w:val="20EE1348"/>
    <w:multiLevelType w:val="hybridMultilevel"/>
    <w:lvl w:ilvl="0">
      <w:lvlJc w:val="left"/>
      <w:lvlText w:val="(%1)"/>
      <w:numFmt w:val="lowerRoman"/>
      <w:start w:val="1"/>
    </w:lvl>
  </w:abstractNum>
  <w:abstractNum w:abstractNumId="39">
    <w:nsid w:val="4427069A"/>
    <w:multiLevelType w:val="hybridMultilevel"/>
    <w:lvl w:ilvl="0">
      <w:lvlJc w:val="left"/>
      <w:lvlText w:val="●"/>
      <w:numFmt w:val="bullet"/>
      <w:start w:val="1"/>
    </w:lvl>
  </w:abstractNum>
  <w:abstractNum w:abstractNumId="40">
    <w:nsid w:val="B37E80A"/>
    <w:multiLevelType w:val="hybridMultilevel"/>
    <w:lvl w:ilvl="0">
      <w:lvlJc w:val="left"/>
      <w:lvlText w:val="●"/>
      <w:numFmt w:val="bullet"/>
      <w:start w:val="1"/>
    </w:lvl>
  </w:abstractNum>
  <w:abstractNum w:abstractNumId="41">
    <w:nsid w:val="2157F6BC"/>
    <w:multiLevelType w:val="hybridMultilevel"/>
    <w:lvl w:ilvl="0">
      <w:lvlJc w:val="left"/>
      <w:lvlText w:val="%1."/>
      <w:numFmt w:val="decimal"/>
      <w:start w:val="1"/>
    </w:lvl>
  </w:abstractNum>
  <w:abstractNum w:abstractNumId="42">
    <w:nsid w:val="704E1DD5"/>
    <w:multiLevelType w:val="hybridMultilevel"/>
    <w:lvl w:ilvl="0">
      <w:lvlJc w:val="left"/>
      <w:lvlText w:val="%1."/>
      <w:numFmt w:val="decimal"/>
      <w:start w:val="2"/>
    </w:lvl>
  </w:abstractNum>
  <w:abstractNum w:abstractNumId="43">
    <w:nsid w:val="57D2F10E"/>
    <w:multiLevelType w:val="hybridMultilevel"/>
    <w:lvl w:ilvl="0">
      <w:lvlJc w:val="left"/>
      <w:lvlText w:val="*"/>
      <w:numFmt w:val="bullet"/>
      <w:start w:val="1"/>
    </w:lvl>
  </w:abstractNum>
  <w:abstractNum w:abstractNumId="44">
    <w:nsid w:val="BFFAE18"/>
    <w:multiLevelType w:val="hybridMultilevel"/>
    <w:lvl w:ilvl="0">
      <w:lvlJc w:val="left"/>
      <w:lvlText w:val="#"/>
      <w:numFmt w:val="bullet"/>
      <w:start w:val="1"/>
    </w:lvl>
  </w:abstractNum>
  <w:abstractNum w:abstractNumId="45">
    <w:nsid w:val="E3E47A8"/>
    <w:multiLevelType w:val="hybridMultilevel"/>
    <w:lvl w:ilvl="0">
      <w:lvlJc w:val="left"/>
      <w:lvlText w:val="●"/>
      <w:numFmt w:val="bullet"/>
      <w:start w:val="1"/>
    </w:lvl>
  </w:abstractNum>
  <w:abstractNum w:abstractNumId="46">
    <w:nsid w:val="2E48F044"/>
    <w:multiLevelType w:val="hybridMultilevel"/>
    <w:lvl w:ilvl="0">
      <w:lvlJc w:val="left"/>
      <w:lvlText w:val="$"/>
      <w:numFmt w:val="bullet"/>
      <w:start w:val="1"/>
    </w:lvl>
  </w:abstractNum>
  <w:abstractNum w:abstractNumId="47">
    <w:nsid w:val="49D0FEAC"/>
    <w:multiLevelType w:val="hybridMultilevel"/>
    <w:lvl w:ilvl="0">
      <w:lvlJc w:val="left"/>
      <w:lvlText w:val="$"/>
      <w:numFmt w:val="bullet"/>
      <w:start w:val="1"/>
    </w:lvl>
  </w:abstractNum>
  <w:abstractNum w:abstractNumId="48">
    <w:nsid w:val="4BEE5A5B"/>
    <w:multiLevelType w:val="hybridMultilevel"/>
    <w:lvl w:ilvl="0">
      <w:lvlJc w:val="left"/>
      <w:lvlText w:val="$"/>
      <w:numFmt w:val="bullet"/>
      <w:start w:val="1"/>
    </w:lvl>
  </w:abstractNum>
  <w:abstractNum w:abstractNumId="49">
    <w:nsid w:val="5551B9F3"/>
    <w:multiLevelType w:val="hybridMultilevel"/>
    <w:lvl w:ilvl="0">
      <w:lvlJc w:val="left"/>
      <w:lvlText w:val="$"/>
      <w:numFmt w:val="bullet"/>
      <w:start w:val="1"/>
    </w:lvl>
  </w:abstractNum>
  <w:abstractNum w:abstractNumId="50">
    <w:nsid w:val="24F6AB8E"/>
    <w:multiLevelType w:val="hybridMultilevel"/>
    <w:lvl w:ilvl="0">
      <w:lvlJc w:val="left"/>
      <w:lvlText w:val="$"/>
      <w:numFmt w:val="bullet"/>
      <w:start w:val="1"/>
    </w:lvl>
  </w:abstractNum>
  <w:abstractNum w:abstractNumId="51">
    <w:nsid w:val="634C574C"/>
    <w:multiLevelType w:val="hybridMultilevel"/>
    <w:lvl w:ilvl="0">
      <w:lvlJc w:val="left"/>
      <w:lvlText w:val="(%1)"/>
      <w:numFmt w:val="decimal"/>
      <w:start w:val="1"/>
    </w:lvl>
  </w:abstractNum>
  <w:abstractNum w:abstractNumId="52">
    <w:nsid w:val="24E99DD7"/>
    <w:multiLevelType w:val="hybridMultilevel"/>
    <w:lvl w:ilvl="0">
      <w:lvlJc w:val="left"/>
      <w:lvlText w:val="(%1)"/>
      <w:numFmt w:val="decimal"/>
      <w:start w:val="1"/>
    </w:lvl>
  </w:abstractNum>
  <w:abstractNum w:abstractNumId="53">
    <w:nsid w:val="2A31B62D"/>
    <w:multiLevelType w:val="hybridMultilevel"/>
    <w:lvl w:ilvl="0">
      <w:lvlJc w:val="left"/>
      <w:lvlText w:val="☐"/>
      <w:numFmt w:val="bullet"/>
      <w:start w:val="1"/>
    </w:lvl>
  </w:abstractNum>
  <w:abstractNum w:abstractNumId="54">
    <w:nsid w:val="1849C29B"/>
    <w:multiLevelType w:val="hybridMultilevel"/>
    <w:lvl w:ilvl="0">
      <w:lvlJc w:val="left"/>
      <w:lvlText w:val="●"/>
      <w:numFmt w:val="bullet"/>
      <w:start w:val="1"/>
    </w:lvl>
  </w:abstractNum>
  <w:abstractNum w:abstractNumId="55">
    <w:nsid w:val="7DFF9D09"/>
    <w:multiLevelType w:val="hybridMultilevel"/>
    <w:lvl w:ilvl="0">
      <w:lvlJc w:val="left"/>
      <w:lvlText w:val="●"/>
      <w:numFmt w:val="bullet"/>
      <w:start w:val="1"/>
    </w:lvl>
  </w:abstractNum>
  <w:abstractNum w:abstractNumId="56">
    <w:nsid w:val="754342"/>
    <w:multiLevelType w:val="hybridMultilevel"/>
    <w:lvl w:ilvl="0">
      <w:lvlJc w:val="left"/>
      <w:lvlText w:val="●"/>
      <w:numFmt w:val="bullet"/>
      <w:start w:val="1"/>
    </w:lvl>
  </w:abstractNum>
  <w:abstractNum w:abstractNumId="57">
    <w:nsid w:val="69E7F3E5"/>
    <w:multiLevelType w:val="hybridMultilevel"/>
    <w:lvl w:ilvl="0">
      <w:lvlJc w:val="left"/>
      <w:lvlText w:val="%1."/>
      <w:numFmt w:val="decimal"/>
      <w:start w:val="1"/>
    </w:lvl>
    <w:lvl w:ilvl="1">
      <w:lvlJc w:val="left"/>
      <w:lvlText w:val="%2."/>
      <w:numFmt w:val="lowerLetter"/>
      <w:start w:val="1"/>
    </w:lvl>
  </w:abstractNum>
  <w:abstractNum w:abstractNumId="58">
    <w:nsid w:val="2A6DE806"/>
    <w:multiLevelType w:val="hybridMultilevel"/>
    <w:lvl w:ilvl="0">
      <w:lvlJc w:val="left"/>
      <w:lvlText w:val="%1."/>
      <w:numFmt w:val="decimal"/>
      <w:start w:val="2"/>
    </w:lvl>
  </w:abstractNum>
  <w:abstractNum w:abstractNumId="59">
    <w:nsid w:val="1816F8C4"/>
    <w:multiLevelType w:val="hybridMultilevel"/>
    <w:lvl w:ilvl="0">
      <w:lvlJc w:val="left"/>
      <w:lvlText w:val="%1."/>
      <w:numFmt w:val="decimal"/>
      <w:start w:val="1"/>
    </w:lvl>
    <w:lvl w:ilvl="1">
      <w:lvlJc w:val="left"/>
      <w:lvlText w:val="%2."/>
      <w:numFmt w:val="lowerLetter"/>
      <w:start w:val="1"/>
    </w:lvl>
  </w:abstractNum>
  <w:abstractNum w:abstractNumId="60">
    <w:nsid w:val="37DF223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61">
    <w:nsid w:val="7AB49DAF"/>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62">
    <w:nsid w:val="759F82CD"/>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63">
    <w:nsid w:val="61E74EA3"/>
    <w:multiLevelType w:val="hybridMultilevel"/>
    <w:lvl w:ilvl="0">
      <w:lvlJc w:val="left"/>
      <w:lvlText w:val="%1."/>
      <w:numFmt w:val="decimal"/>
      <w:start w:val="6"/>
    </w:lvl>
    <w:lvl w:ilvl="1">
      <w:lvlJc w:val="left"/>
      <w:lvlText w:val="%2."/>
      <w:numFmt w:val="lowerLetter"/>
      <w:start w:val="1"/>
    </w:lvl>
  </w:abstractNum>
  <w:abstractNum w:abstractNumId="64">
    <w:nsid w:val="597B4D84"/>
    <w:multiLevelType w:val="hybridMultilevel"/>
    <w:lvl w:ilvl="0">
      <w:lvlJc w:val="left"/>
      <w:lvlText w:val="%1."/>
      <w:numFmt w:val="lowerRoman"/>
      <w:start w:val="2"/>
    </w:lvl>
  </w:abstractNum>
  <w:abstractNum w:abstractNumId="65">
    <w:nsid w:val="F819E7F"/>
    <w:multiLevelType w:val="hybridMultilevel"/>
    <w:lvl w:ilvl="0">
      <w:lvlJc w:val="left"/>
      <w:lvlText w:val="%1."/>
      <w:numFmt w:val="lowerRoman"/>
      <w:start w:val="2"/>
    </w:lvl>
  </w:abstractNum>
  <w:abstractNum w:abstractNumId="66">
    <w:nsid w:val="57C7D42D"/>
    <w:multiLevelType w:val="hybridMultilevel"/>
    <w:lvl w:ilvl="0">
      <w:lvlJc w:val="left"/>
      <w:lvlText w:val="%1"/>
      <w:numFmt w:val="lowerLetter"/>
      <w:start w:val="1"/>
    </w:lvl>
    <w:lvl w:ilvl="1">
      <w:lvlJc w:val="left"/>
      <w:lvlText w:val="%2."/>
      <w:numFmt w:val="lowerRoman"/>
      <w:start w:val="7"/>
    </w:lvl>
  </w:abstractNum>
  <w:abstractNum w:abstractNumId="67">
    <w:nsid w:val="312167AD"/>
    <w:multiLevelType w:val="hybridMultilevel"/>
    <w:lvl w:ilvl="0">
      <w:lvlJc w:val="left"/>
      <w:lvlText w:val="%1."/>
      <w:numFmt w:val="lowerLetter"/>
      <w:start w:val="3"/>
    </w:lvl>
    <w:lvl w:ilvl="1">
      <w:lvlJc w:val="left"/>
      <w:lvlText w:val="%2"/>
      <w:numFmt w:val="lowerRoman"/>
      <w:start w:val="1"/>
    </w:lvl>
  </w:abstractNum>
  <w:abstractNum w:abstractNumId="68">
    <w:nsid w:val="631B64D4"/>
    <w:multiLevelType w:val="hybridMultilevel"/>
    <w:lvl w:ilvl="0">
      <w:lvlJc w:val="left"/>
      <w:lvlText w:val="%1."/>
      <w:numFmt w:val="decimal"/>
      <w:start w:val="8"/>
    </w:lvl>
    <w:lvl w:ilvl="1">
      <w:lvlJc w:val="left"/>
      <w:lvlText w:val="%2."/>
      <w:numFmt w:val="lowerLetter"/>
      <w:start w:val="1"/>
    </w:lvl>
  </w:abstractNum>
  <w:abstractNum w:abstractNumId="69">
    <w:nsid w:val="78B5E776"/>
    <w:multiLevelType w:val="hybridMultilevel"/>
    <w:lvl w:ilvl="0">
      <w:lvlJc w:val="left"/>
      <w:lvlText w:val="%1."/>
      <w:numFmt w:val="decimal"/>
      <w:start w:val="9"/>
    </w:lvl>
  </w:abstractNum>
  <w:abstractNum w:abstractNumId="70">
    <w:nsid w:val="75486E47"/>
    <w:multiLevelType w:val="hybridMultilevel"/>
    <w:lvl w:ilvl="0">
      <w:lvlJc w:val="left"/>
      <w:lvlText w:val="%1."/>
      <w:numFmt w:val="decimal"/>
      <w:start w:val="11"/>
    </w:lvl>
  </w:abstractNum>
  <w:abstractNum w:abstractNumId="71">
    <w:nsid w:val="6E534CDE"/>
    <w:multiLevelType w:val="hybridMultilevel"/>
    <w:lvl w:ilvl="0">
      <w:lvlJc w:val="left"/>
      <w:lvlText w:val="%1."/>
      <w:numFmt w:val="decimal"/>
      <w:start w:val="13"/>
    </w:lvl>
  </w:abstractNum>
  <w:abstractNum w:abstractNumId="72">
    <w:nsid w:val="1A0DDE32"/>
    <w:multiLevelType w:val="hybridMultilevel"/>
    <w:lvl w:ilvl="0">
      <w:lvlJc w:val="left"/>
      <w:lvlText w:val="%1."/>
      <w:numFmt w:val="decimal"/>
      <w:start w:val="15"/>
    </w:lvl>
  </w:abstractNum>
  <w:abstractNum w:abstractNumId="73">
    <w:nsid w:val="65968C1C"/>
    <w:multiLevelType w:val="hybridMultilevel"/>
    <w:lvl w:ilvl="0">
      <w:lvlJc w:val="left"/>
      <w:lvlText w:val="%1."/>
      <w:numFmt w:val="decimal"/>
      <w:start w:val="17"/>
    </w:lvl>
  </w:abstractNum>
  <w:abstractNum w:abstractNumId="74">
    <w:nsid w:val="46263DEC"/>
    <w:multiLevelType w:val="hybridMultilevel"/>
    <w:lvl w:ilvl="0">
      <w:lvlJc w:val="left"/>
      <w:lvlText w:val="%1."/>
      <w:numFmt w:val="decimal"/>
      <w:start w:val="20"/>
    </w:lvl>
  </w:abstractNum>
  <w:abstractNum w:abstractNumId="75">
    <w:nsid w:val="260D8C4A"/>
    <w:multiLevelType w:val="hybridMultilevel"/>
    <w:lvl w:ilvl="0">
      <w:lvlJc w:val="left"/>
      <w:lvlText w:val="%1."/>
      <w:numFmt w:val="decimal"/>
      <w:start w:val="21"/>
    </w:lvl>
  </w:abstractNum>
  <w:abstractNum w:abstractNumId="76">
    <w:nsid w:val="73D4D3C4"/>
    <w:multiLevelType w:val="hybridMultilevel"/>
    <w:lvl w:ilvl="0">
      <w:lvlJc w:val="left"/>
      <w:lvlText w:val="%1."/>
      <w:numFmt w:val="decimal"/>
      <w:start w:val="1"/>
    </w:lvl>
  </w:abstractNum>
  <w:abstractNum w:abstractNumId="77">
    <w:nsid w:val="746F2E30"/>
    <w:multiLevelType w:val="hybridMultilevel"/>
    <w:lvl w:ilvl="0">
      <w:lvlJc w:val="left"/>
      <w:lvlText w:val="%1"/>
      <w:numFmt w:val="decimal"/>
      <w:start w:val="1"/>
    </w:lvl>
    <w:lvl w:ilvl="1">
      <w:lvlJc w:val="left"/>
      <w:lvlText w:val="(%2)"/>
      <w:numFmt w:val="lowerLetter"/>
      <w:start w:val="1"/>
    </w:lvl>
  </w:abstractNum>
  <w:abstractNum w:abstractNumId="78">
    <w:nsid w:val="6FDE8AF6"/>
    <w:multiLevelType w:val="hybridMultilevel"/>
    <w:lvl w:ilvl="0">
      <w:lvlJc w:val="left"/>
      <w:lvlText w:val="%1."/>
      <w:numFmt w:val="decimal"/>
      <w:start w:val="3"/>
    </w:lvl>
    <w:lvl w:ilvl="1">
      <w:lvlJc w:val="left"/>
      <w:lvlText w:val="%2"/>
      <w:numFmt w:val="lowerLetter"/>
      <w:start w:val="1"/>
    </w:lvl>
  </w:abstractNum>
  <w:abstractNum w:abstractNumId="79">
    <w:nsid w:val="3FC32E20"/>
    <w:multiLevelType w:val="hybridMultilevel"/>
    <w:lvl w:ilvl="0">
      <w:lvlJc w:val="left"/>
      <w:lvlText w:val="%1."/>
      <w:numFmt w:val="decimal"/>
      <w:start w:val="5"/>
    </w:lvl>
    <w:lvl w:ilvl="1">
      <w:lvlJc w:val="left"/>
      <w:lvlText w:val="(%2)"/>
      <w:numFmt w:val="lowerLetter"/>
      <w:start w:val="1"/>
    </w:lvl>
  </w:abstractNum>
  <w:abstractNum w:abstractNumId="80">
    <w:nsid w:val="49C0E823"/>
    <w:multiLevelType w:val="hybridMultilevel"/>
    <w:lvl w:ilvl="0">
      <w:lvlJc w:val="left"/>
      <w:lvlText w:val="(%1)"/>
      <w:numFmt w:val="lowerLetter"/>
      <w:start w:val="1"/>
    </w:lvl>
    <w:lvl w:ilvl="1">
      <w:lvlJc w:val="left"/>
      <w:lvlText w:val="(%2)"/>
      <w:numFmt w:val="lowerLetter"/>
      <w:start w:val="9"/>
    </w:lvl>
  </w:abstractNum>
  <w:abstractNum w:abstractNumId="81">
    <w:nsid w:val="14D53685"/>
    <w:multiLevelType w:val="hybridMultilevel"/>
    <w:lvl w:ilvl="0">
      <w:lvlJc w:val="left"/>
      <w:lvlText w:val="(%1)"/>
      <w:numFmt w:val="lowerRoman"/>
      <w:start w:val="2"/>
    </w:lvl>
  </w:abstractNum>
  <w:abstractNum w:abstractNumId="82">
    <w:nsid w:val="230F856C"/>
    <w:multiLevelType w:val="hybridMultilevel"/>
    <w:lvl w:ilvl="0">
      <w:lvlJc w:val="left"/>
      <w:lvlText w:val="%1"/>
      <w:numFmt w:val="lowerLetter"/>
      <w:start w:val="1"/>
    </w:lvl>
    <w:lvl w:ilvl="1">
      <w:lvlJc w:val="left"/>
      <w:lvlText w:val="(%2)"/>
      <w:numFmt w:val="lowerRoman"/>
      <w:start w:val="3"/>
    </w:lvl>
  </w:abstractNum>
  <w:abstractNum w:abstractNumId="83">
    <w:nsid w:val="6EAA85FB"/>
    <w:multiLevelType w:val="hybridMultilevel"/>
    <w:lvl w:ilvl="0">
      <w:lvlJc w:val="left"/>
      <w:lvlText w:val="(%1)"/>
      <w:numFmt w:val="lowerLetter"/>
      <w:start w:val="2"/>
    </w:lvl>
    <w:lvl w:ilvl="1">
      <w:lvlJc w:val="left"/>
      <w:lvlText w:val="(%2)"/>
      <w:numFmt w:val="lowerRoman"/>
      <w:start w:val="1"/>
    </w:lvl>
  </w:abstractNum>
  <w:abstractNum w:abstractNumId="84">
    <w:nsid w:val="3F06ECB2"/>
    <w:multiLevelType w:val="hybridMultilevel"/>
    <w:lvl w:ilvl="0">
      <w:lvlJc w:val="left"/>
      <w:lvlText w:val="(%1)"/>
      <w:numFmt w:val="lowerLetter"/>
      <w:start w:val="1"/>
    </w:lvl>
  </w:abstractNum>
  <w:abstractNum w:abstractNumId="85">
    <w:nsid w:val="3B594807"/>
    <w:multiLevelType w:val="hybridMultilevel"/>
    <w:lvl w:ilvl="0">
      <w:lvlJc w:val="left"/>
      <w:lvlText w:val="(%1)"/>
      <w:numFmt w:val="lowerLetter"/>
      <w:start w:val="2"/>
    </w:lvl>
  </w:abstractNum>
  <w:abstractNum w:abstractNumId="86">
    <w:nsid w:val="6CAA2304"/>
    <w:multiLevelType w:val="hybridMultilevel"/>
    <w:lvl w:ilvl="0">
      <w:lvlJc w:val="left"/>
      <w:lvlText w:val="(%1)"/>
      <w:numFmt w:val="lowerLetter"/>
      <w:start w:val="1"/>
    </w:lvl>
  </w:abstractNum>
  <w:abstractNum w:abstractNumId="87">
    <w:nsid w:val="3F7C2FF4"/>
    <w:multiLevelType w:val="hybridMultilevel"/>
    <w:lvl w:ilvl="0">
      <w:lvlJc w:val="left"/>
      <w:lvlText w:val="(%1)"/>
      <w:numFmt w:val="lowerLetter"/>
      <w:start w:val="10"/>
    </w:lvl>
  </w:abstractNum>
  <w:abstractNum w:abstractNumId="88">
    <w:nsid w:val="25413BEC"/>
    <w:multiLevelType w:val="hybridMultilevel"/>
    <w:lvl w:ilvl="0">
      <w:lvlJc w:val="left"/>
      <w:lvlText w:val="(%1)"/>
      <w:numFmt w:val="lowerLetter"/>
      <w:start w:val="1"/>
    </w:lvl>
  </w:abstractNum>
  <w:abstractNum w:abstractNumId="89">
    <w:nsid w:val="17180B0B"/>
    <w:multiLevelType w:val="hybridMultilevel"/>
    <w:lvl w:ilvl="0">
      <w:lvlJc w:val="left"/>
      <w:lvlText w:val="(%1)"/>
      <w:numFmt w:val="lowerLetter"/>
      <w:start w:val="1"/>
    </w:lvl>
  </w:abstractNum>
  <w:abstractNum w:abstractNumId="90">
    <w:nsid w:val="579328B9"/>
    <w:multiLevelType w:val="hybridMultilevel"/>
    <w:lvl w:ilvl="0">
      <w:lvlJc w:val="left"/>
      <w:lvlText w:val="(%1)"/>
      <w:numFmt w:val="lowerLetter"/>
      <w:start w:val="1"/>
    </w:lvl>
  </w:abstractNum>
  <w:abstractNum w:abstractNumId="91">
    <w:nsid w:val="5D205E20"/>
    <w:multiLevelType w:val="hybridMultilevel"/>
    <w:lvl w:ilvl="0">
      <w:lvlJc w:val="left"/>
      <w:lvlText w:val="(%1)"/>
      <w:numFmt w:val="lowerLetter"/>
      <w:start w:val="5"/>
    </w:lvl>
  </w:abstractNum>
  <w:abstractNum w:abstractNumId="92">
    <w:nsid w:val="11CCA8BA"/>
    <w:multiLevelType w:val="hybridMultilevel"/>
    <w:lvl w:ilvl="0">
      <w:lvlJc w:val="left"/>
      <w:lvlText w:val="(%1)"/>
      <w:numFmt w:val="lowerLetter"/>
      <w:start w:val="1"/>
    </w:lvl>
  </w:abstractNum>
  <w:abstractNum w:abstractNumId="93">
    <w:nsid w:val="4D32AB86"/>
    <w:multiLevelType w:val="hybridMultilevel"/>
    <w:lvl w:ilvl="0">
      <w:lvlJc w:val="left"/>
      <w:lvlText w:val="%1."/>
      <w:numFmt w:val="decimal"/>
      <w:start w:val="2"/>
    </w:lvl>
  </w:abstractNum>
  <w:abstractNum w:abstractNumId="94">
    <w:nsid w:val="3F07ACC3"/>
    <w:multiLevelType w:val="hybridMultilevel"/>
    <w:lvl w:ilvl="0">
      <w:lvlJc w:val="left"/>
      <w:lvlText w:val="%1."/>
      <w:numFmt w:val="decimal"/>
      <w:start w:val="3"/>
    </w:lvl>
  </w:abstractNum>
  <w:abstractNum w:abstractNumId="95">
    <w:nsid w:val="6B47F63E"/>
    <w:multiLevelType w:val="hybridMultilevel"/>
    <w:lvl w:ilvl="0">
      <w:lvlJc w:val="left"/>
      <w:lvlText w:val="(%1)"/>
      <w:numFmt w:val="lowerLetter"/>
      <w:start w:val="1"/>
    </w:lvl>
  </w:abstractNum>
  <w:abstractNum w:abstractNumId="96">
    <w:nsid w:val="5CB44A05"/>
    <w:multiLevelType w:val="hybridMultilevel"/>
    <w:lvl w:ilvl="0">
      <w:lvlJc w:val="left"/>
      <w:lvlText w:val="%1."/>
      <w:numFmt w:val="decimal"/>
      <w:start w:val="4"/>
    </w:lvl>
  </w:abstractNum>
  <w:abstractNum w:abstractNumId="97">
    <w:nsid w:val="16CF80F1"/>
    <w:multiLevelType w:val="hybridMultilevel"/>
    <w:lvl w:ilvl="0">
      <w:lvlJc w:val="left"/>
      <w:lvlText w:val="%1."/>
      <w:numFmt w:val="decimal"/>
      <w:start w:val="5"/>
    </w:lvl>
  </w:abstractNum>
  <w:abstractNum w:abstractNumId="98">
    <w:nsid w:val="1C695DEC"/>
    <w:multiLevelType w:val="hybridMultilevel"/>
    <w:lvl w:ilvl="0">
      <w:lvlJc w:val="left"/>
      <w:lvlText w:val="%1."/>
      <w:numFmt w:val="decimal"/>
      <w:start w:val="6"/>
    </w:lvl>
  </w:abstractNum>
  <w:abstractNum w:abstractNumId="99">
    <w:nsid w:val="3FCFAED9"/>
    <w:multiLevelType w:val="hybridMultilevel"/>
    <w:lvl w:ilvl="0">
      <w:lvlJc w:val="left"/>
      <w:lvlText w:val="(%1)"/>
      <w:numFmt w:val="lowerLetter"/>
      <w:start w:val="1"/>
    </w:lvl>
  </w:abstractNum>
  <w:abstractNum w:abstractNumId="100">
    <w:nsid w:val="F856867"/>
    <w:multiLevelType w:val="hybridMultilevel"/>
    <w:lvl w:ilvl="0">
      <w:lvlJc w:val="left"/>
      <w:lvlText w:val="(%1)"/>
      <w:numFmt w:val="lowerLetter"/>
      <w:start w:val="1"/>
    </w:lvl>
    <w:lvl w:ilvl="1">
      <w:lvlJc w:val="left"/>
      <w:lvlText w:val="(%2)"/>
      <w:numFmt w:val="lowerRoman"/>
      <w:start w:val="1"/>
    </w:lvl>
  </w:abstractNum>
  <w:abstractNum w:abstractNumId="101">
    <w:nsid w:val="11B1CC33"/>
    <w:multiLevelType w:val="hybridMultilevel"/>
    <w:lvl w:ilvl="0">
      <w:lvlJc w:val="left"/>
      <w:lvlText w:val="%1."/>
      <w:numFmt w:val="decimal"/>
      <w:start w:val="7"/>
    </w:lvl>
  </w:abstractNum>
  <w:abstractNum w:abstractNumId="102">
    <w:nsid w:val="2E22FBB7"/>
    <w:multiLevelType w:val="hybridMultilevel"/>
    <w:lvl w:ilvl="0">
      <w:lvlJc w:val="left"/>
      <w:lvlText w:val="(%1)"/>
      <w:numFmt w:val="lowerLetter"/>
      <w:start w:val="1"/>
    </w:lvl>
    <w:lvl w:ilvl="1">
      <w:lvlJc w:val="left"/>
      <w:lvlText w:val="(%2)"/>
      <w:numFmt w:val="lowerRoman"/>
      <w:start w:val="1"/>
    </w:lvl>
  </w:abstractNum>
  <w:abstractNum w:abstractNumId="103">
    <w:nsid w:val="29934699"/>
    <w:multiLevelType w:val="hybridMultilevel"/>
    <w:lvl w:ilvl="0">
      <w:lvlJc w:val="left"/>
      <w:lvlText w:val="%1."/>
      <w:numFmt w:val="decimal"/>
      <w:start w:val="8"/>
    </w:lvl>
  </w:abstractNum>
  <w:abstractNum w:abstractNumId="104">
    <w:nsid w:val="77485850"/>
    <w:multiLevelType w:val="hybridMultilevel"/>
    <w:lvl w:ilvl="0">
      <w:lvlJc w:val="left"/>
      <w:lvlText w:val="%1."/>
      <w:numFmt w:val="decimal"/>
      <w:start w:val="9"/>
    </w:lvl>
  </w:abstractNum>
  <w:abstractNum w:abstractNumId="105">
    <w:nsid w:val="744939A3"/>
    <w:multiLevelType w:val="hybridMultilevel"/>
    <w:lvl w:ilvl="0">
      <w:lvlJc w:val="left"/>
      <w:lvlText w:val="(%1)"/>
      <w:numFmt w:val="lowerLetter"/>
      <w:start w:val="1"/>
    </w:lvl>
  </w:abstractNum>
  <w:abstractNum w:abstractNumId="106">
    <w:nsid w:val="4FA0D2E3"/>
    <w:multiLevelType w:val="hybridMultilevel"/>
    <w:lvl w:ilvl="0">
      <w:lvlJc w:val="left"/>
      <w:lvlText w:val="(%1)"/>
      <w:numFmt w:val="lowerLetter"/>
      <w:start w:val="1"/>
    </w:lvl>
  </w:abstractNum>
  <w:abstractNum w:abstractNumId="107">
    <w:nsid w:val="6B1D2C14"/>
    <w:multiLevelType w:val="hybridMultilevel"/>
    <w:lvl w:ilvl="0">
      <w:lvlJc w:val="left"/>
      <w:lvlText w:val="(%1)"/>
      <w:numFmt w:val="upperLetter"/>
      <w:start w:val="2"/>
    </w:lvl>
  </w:abstractNum>
  <w:abstractNum w:abstractNumId="108">
    <w:nsid w:val="68B867D3"/>
    <w:multiLevelType w:val="hybridMultilevel"/>
    <w:lvl w:ilvl="0">
      <w:lvlJc w:val="left"/>
      <w:lvlText w:val="%1."/>
      <w:numFmt w:val="decimal"/>
      <w:start w:val="10"/>
    </w:lvl>
    <w:lvl w:ilvl="1">
      <w:lvlJc w:val="left"/>
      <w:lvlText w:val="(%2)"/>
      <w:numFmt w:val="lowerLetter"/>
      <w:start w:val="1"/>
    </w:lvl>
  </w:abstractNum>
  <w:abstractNum w:abstractNumId="109">
    <w:nsid w:val="3F7F5DD9"/>
    <w:multiLevelType w:val="hybridMultilevel"/>
    <w:lvl w:ilvl="0">
      <w:lvlJc w:val="left"/>
      <w:lvlText w:val="%1."/>
      <w:numFmt w:val="decimal"/>
      <w:start w:val="11"/>
    </w:lvl>
  </w:abstractNum>
  <w:abstractNum w:abstractNumId="110">
    <w:nsid w:val="2AE05A34"/>
    <w:multiLevelType w:val="hybridMultilevel"/>
    <w:lvl w:ilvl="0">
      <w:lvlJc w:val="left"/>
      <w:lvlText w:val="%1."/>
      <w:numFmt w:val="decimal"/>
      <w:start w:val="12"/>
    </w:lvl>
  </w:abstractNum>
  <w:abstractNum w:abstractNumId="111">
    <w:nsid w:val="32794FF7"/>
    <w:multiLevelType w:val="hybridMultilevel"/>
    <w:lvl w:ilvl="0">
      <w:lvlJc w:val="left"/>
      <w:lvlText w:val="(%1)"/>
      <w:numFmt w:val="lowerLetter"/>
      <w:start w:val="1"/>
    </w:lvl>
  </w:abstractNum>
  <w:abstractNum w:abstractNumId="112">
    <w:nsid w:val="5454945E"/>
    <w:multiLevelType w:val="hybridMultilevel"/>
    <w:lvl w:ilvl="0">
      <w:lvlJc w:val="left"/>
      <w:lvlText w:val="(%1)"/>
      <w:numFmt w:val="lowerLetter"/>
      <w:start w:val="1"/>
    </w:lvl>
  </w:abstractNum>
  <w:abstractNum w:abstractNumId="113">
    <w:nsid w:val="4DEFDFA0"/>
    <w:multiLevelType w:val="hybridMultilevel"/>
    <w:lvl w:ilvl="0">
      <w:lvlJc w:val="left"/>
      <w:lvlText w:val="%1."/>
      <w:numFmt w:val="decimal"/>
      <w:start w:val="13"/>
    </w:lvl>
  </w:abstractNum>
  <w:abstractNum w:abstractNumId="114">
    <w:nsid w:val="2123D5F2"/>
    <w:multiLevelType w:val="hybridMultilevel"/>
    <w:lvl w:ilvl="0">
      <w:lvlJc w:val="left"/>
      <w:lvlText w:val="(%1)"/>
      <w:numFmt w:val="lowerLetter"/>
      <w:start w:val="1"/>
    </w:lvl>
  </w:abstractNum>
  <w:abstractNum w:abstractNumId="115">
    <w:nsid w:val="135B8110"/>
    <w:multiLevelType w:val="hybridMultilevel"/>
    <w:lvl w:ilvl="0">
      <w:lvlJc w:val="left"/>
      <w:lvlText w:val="(%1)"/>
      <w:numFmt w:val="lowerLetter"/>
      <w:start w:val="1"/>
    </w:lvl>
  </w:abstractNum>
  <w:abstractNum w:abstractNumId="116">
    <w:nsid w:val="94927A8"/>
    <w:multiLevelType w:val="hybridMultilevel"/>
    <w:lvl w:ilvl="0">
      <w:lvlJc w:val="left"/>
      <w:lvlText w:val="%1."/>
      <w:numFmt w:val="decimal"/>
      <w:start w:val="14"/>
    </w:lvl>
  </w:abstractNum>
  <w:abstractNum w:abstractNumId="117">
    <w:nsid w:val="DCDF8F6"/>
    <w:multiLevelType w:val="hybridMultilevel"/>
    <w:lvl w:ilvl="0">
      <w:lvlJc w:val="left"/>
      <w:lvlText w:val="%1."/>
      <w:numFmt w:val="decimal"/>
      <w:start w:val="15"/>
    </w:lvl>
  </w:abstractNum>
  <w:abstractNum w:abstractNumId="118">
    <w:nsid w:val="52D7B105"/>
    <w:multiLevelType w:val="hybridMultilevel"/>
    <w:lvl w:ilvl="0">
      <w:lvlJc w:val="left"/>
      <w:lvlText w:val="(%1)"/>
      <w:numFmt w:val="lowerLetter"/>
      <w:start w:val="1"/>
    </w:lvl>
  </w:abstractNum>
  <w:abstractNum w:abstractNumId="119">
    <w:nsid w:val="2E8A6394"/>
    <w:multiLevelType w:val="hybridMultilevel"/>
    <w:lvl w:ilvl="0">
      <w:lvlJc w:val="left"/>
      <w:lvlText w:val="(%1)"/>
      <w:numFmt w:val="lowerLetter"/>
      <w:start w:val="2"/>
    </w:lvl>
    <w:lvl w:ilvl="1">
      <w:lvlJc w:val="left"/>
      <w:lvlText w:val="(%2)"/>
      <w:numFmt w:val="lowerRoman"/>
      <w:start w:val="1"/>
    </w:lvl>
  </w:abstractNum>
  <w:abstractNum w:abstractNumId="120">
    <w:nsid w:val="24E60401"/>
    <w:multiLevelType w:val="hybridMultilevel"/>
    <w:lvl w:ilvl="0">
      <w:lvlJc w:val="left"/>
      <w:lvlText w:val="(%1)"/>
      <w:numFmt w:val="lowerLetter"/>
      <w:start w:val="1"/>
    </w:lvl>
    <w:lvl w:ilvl="1">
      <w:lvlJc w:val="left"/>
      <w:lvlText w:val="(%2)"/>
      <w:numFmt w:val="lowerRoman"/>
      <w:start w:val="1"/>
    </w:lvl>
  </w:abstractNum>
  <w:abstractNum w:abstractNumId="121">
    <w:nsid w:val="2A6AD9BE"/>
    <w:multiLevelType w:val="hybridMultilevel"/>
    <w:lvl w:ilvl="0">
      <w:lvlJc w:val="left"/>
      <w:lvlText w:val="(%1)"/>
      <w:numFmt w:val="lowerLetter"/>
      <w:start w:val="1"/>
    </w:lvl>
    <w:lvl w:ilvl="1">
      <w:lvlJc w:val="left"/>
      <w:lvlText w:val="(%2)"/>
      <w:numFmt w:val="lowerLetter"/>
      <w:start w:val="9"/>
    </w:lvl>
  </w:abstractNum>
  <w:abstractNum w:abstractNumId="122">
    <w:nsid w:val="BAAC1B4"/>
    <w:multiLevelType w:val="hybridMultilevel"/>
    <w:lvl w:ilvl="0">
      <w:lvlJc w:val="left"/>
      <w:lvlText w:val="%1"/>
      <w:numFmt w:val="lowerLetter"/>
      <w:start w:val="1"/>
    </w:lvl>
    <w:lvl w:ilvl="1">
      <w:lvlJc w:val="left"/>
      <w:lvlText w:val="(%2)"/>
      <w:numFmt w:val="lowerRoman"/>
      <w:start w:val="2"/>
    </w:lvl>
  </w:abstractNum>
  <w:abstractNum w:abstractNumId="123">
    <w:nsid w:val="36B2ACBC"/>
    <w:multiLevelType w:val="hybridMultilevel"/>
    <w:lvl w:ilvl="0">
      <w:lvlJc w:val="left"/>
      <w:lvlText w:val="(%1)"/>
      <w:numFmt w:val="lowerLetter"/>
      <w:start w:val="2"/>
    </w:lvl>
    <w:lvl w:ilvl="1">
      <w:lvlJc w:val="left"/>
      <w:lvlText w:val="(%2)"/>
      <w:numFmt w:val="lowerRoman"/>
      <w:start w:val="1"/>
    </w:lvl>
  </w:abstractNum>
  <w:abstractNum w:abstractNumId="124">
    <w:nsid w:val="779D8544"/>
    <w:multiLevelType w:val="hybridMultilevel"/>
    <w:lvl w:ilvl="0">
      <w:lvlJc w:val="left"/>
      <w:lvlText w:val="(%1)"/>
      <w:numFmt w:val="lowerLetter"/>
      <w:start w:val="1"/>
    </w:lvl>
  </w:abstractNum>
  <w:abstractNum w:abstractNumId="125">
    <w:nsid w:val="4AB26E78"/>
    <w:multiLevelType w:val="hybridMultilevel"/>
    <w:lvl w:ilvl="0">
      <w:lvlJc w:val="left"/>
      <w:lvlText w:val="%1."/>
      <w:numFmt w:val="decimal"/>
      <w:start w:val="1"/>
    </w:lvl>
  </w:abstractNum>
  <w:abstractNum w:abstractNumId="126">
    <w:nsid w:val="21FAA2FA"/>
    <w:multiLevelType w:val="hybridMultilevel"/>
    <w:lvl w:ilvl="0">
      <w:lvlJc w:val="left"/>
      <w:lvlText w:val="%1."/>
      <w:numFmt w:val="decimal"/>
      <w:start w:val="1"/>
    </w:lvl>
  </w:abstractNum>
  <w:abstractNum w:abstractNumId="127">
    <w:nsid w:val="5451CF49"/>
    <w:multiLevelType w:val="hybridMultilevel"/>
    <w:lvl w:ilvl="0">
      <w:lvlJc w:val="left"/>
      <w:lvlText w:val="%1."/>
      <w:numFmt w:val="decimal"/>
      <w:start w:val="2"/>
    </w:lvl>
    <w:lvl w:ilvl="1">
      <w:lvlJc w:val="left"/>
      <w:lvlText w:val="(%2)"/>
      <w:numFmt w:val="lowerLetter"/>
      <w:start w:val="1"/>
    </w:lvl>
  </w:abstractNum>
  <w:abstractNum w:abstractNumId="128">
    <w:nsid w:val="6181EF69"/>
    <w:multiLevelType w:val="hybridMultilevel"/>
    <w:lvl w:ilvl="0">
      <w:lvlJc w:val="left"/>
      <w:lvlText w:val="%1"/>
      <w:numFmt w:val="decimal"/>
      <w:start w:val="1"/>
    </w:lvl>
    <w:lvl w:ilvl="1">
      <w:lvlJc w:val="left"/>
      <w:lvlText w:val="(%2)"/>
      <w:numFmt w:val="lowerLetter"/>
      <w:start w:val="3"/>
    </w:lvl>
  </w:abstractNum>
  <w:abstractNum w:abstractNumId="129">
    <w:nsid w:val="3E6400E6"/>
    <w:multiLevelType w:val="hybridMultilevel"/>
    <w:lvl w:ilvl="0">
      <w:lvlJc w:val="left"/>
      <w:lvlText w:val="%1."/>
      <w:numFmt w:val="decimal"/>
      <w:start w:val="3"/>
    </w:lvl>
    <w:lvl w:ilvl="1">
      <w:lvlJc w:val="left"/>
      <w:lvlText w:val="%2"/>
      <w:numFmt w:val="lowerLetter"/>
      <w:start w:val="1"/>
    </w:lvl>
  </w:abstractNum>
  <w:abstractNum w:abstractNumId="130">
    <w:nsid w:val="14217E23"/>
    <w:multiLevelType w:val="hybridMultilevel"/>
    <w:lvl w:ilvl="0">
      <w:lvlJc w:val="left"/>
      <w:lvlText w:val="%1."/>
      <w:numFmt w:val="decimal"/>
      <w:start w:val="4"/>
    </w:lvl>
    <w:lvl w:ilvl="1">
      <w:lvlJc w:val="left"/>
      <w:lvlText w:val="(%2)"/>
      <w:numFmt w:val="lowerLetter"/>
      <w:start w:val="1"/>
    </w:lvl>
  </w:abstractNum>
  <w:abstractNum w:abstractNumId="131">
    <w:nsid w:val="710757D0"/>
    <w:multiLevelType w:val="hybridMultilevel"/>
    <w:lvl w:ilvl="0">
      <w:lvlJc w:val="left"/>
      <w:lvlText w:val="%1"/>
      <w:numFmt w:val="decimal"/>
      <w:start w:val="1"/>
    </w:lvl>
    <w:lvl w:ilvl="1">
      <w:lvlJc w:val="left"/>
      <w:lvlText w:val="(%2)"/>
      <w:numFmt w:val="lowerLetter"/>
      <w:start w:val="3"/>
    </w:lvl>
  </w:abstractNum>
  <w:abstractNum w:abstractNumId="132">
    <w:nsid w:val="5015CD1A"/>
    <w:multiLevelType w:val="hybridMultilevel"/>
    <w:lvl w:ilvl="0">
      <w:lvlJc w:val="left"/>
      <w:lvlText w:val="%1."/>
      <w:numFmt w:val="decimal"/>
      <w:start w:val="5"/>
    </w:lvl>
    <w:lvl w:ilvl="1">
      <w:lvlJc w:val="left"/>
      <w:lvlText w:val="%2"/>
      <w:numFmt w:val="lowerLetter"/>
      <w:start w:val="1"/>
    </w:lvl>
  </w:abstractNum>
  <w:abstractNum w:abstractNumId="133">
    <w:nsid w:val="424479DA"/>
    <w:multiLevelType w:val="hybridMultilevel"/>
    <w:lvl w:ilvl="0">
      <w:lvlJc w:val="left"/>
      <w:lvlText w:val="%1."/>
      <w:numFmt w:val="decimal"/>
      <w:start w:val="6"/>
    </w:lvl>
    <w:lvl w:ilvl="1">
      <w:lvlJc w:val="left"/>
      <w:lvlText w:val="(%2)"/>
      <w:numFmt w:val="lowerLetter"/>
      <w:start w:val="1"/>
    </w:lvl>
  </w:abstractNum>
  <w:abstractNum w:abstractNumId="134">
    <w:nsid w:val="1A9A9E6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35">
    <w:nsid w:val="475E256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36">
    <w:nsid w:val="368DB37E"/>
    <w:multiLevelType w:val="hybridMultilevel"/>
    <w:lvl w:ilvl="0">
      <w:lvlJc w:val="left"/>
      <w:lvlText w:val="(%1)"/>
      <w:numFmt w:val="lowerRoman"/>
      <w:start w:val="2"/>
    </w:lvl>
  </w:abstractNum>
  <w:abstractNum w:abstractNumId="137">
    <w:nsid w:val="6A3B714C"/>
    <w:multiLevelType w:val="hybridMultilevel"/>
    <w:lvl w:ilvl="0">
      <w:lvlJc w:val="left"/>
      <w:lvlText w:val="(%1)"/>
      <w:numFmt w:val="lowerLetter"/>
      <w:start w:val="2"/>
    </w:lvl>
  </w:abstractNum>
  <w:abstractNum w:abstractNumId="138">
    <w:nsid w:val="327B517E"/>
    <w:multiLevelType w:val="hybridMultilevel"/>
    <w:lvl w:ilvl="0">
      <w:lvlJc w:val="left"/>
      <w:lvlText w:val="(%1)"/>
      <w:numFmt w:val="lowerLetter"/>
      <w:start w:val="3"/>
    </w:lvl>
  </w:abstractNum>
  <w:abstractNum w:abstractNumId="139">
    <w:nsid w:val="1F461B51"/>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140">
    <w:nsid w:val="29BACF25"/>
    <w:multiLevelType w:val="hybridMultilevel"/>
    <w:lvl w:ilvl="0">
      <w:lvlJc w:val="left"/>
      <w:lvlText w:val="(%1)"/>
      <w:numFmt w:val="decimal"/>
      <w:start w:val="2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1">
    <w:nsid w:val="5D5BABB3"/>
    <w:multiLevelType w:val="hybridMultilevel"/>
    <w:lvl w:ilvl="0">
      <w:lvlJc w:val="left"/>
      <w:lvlText w:val="(%1)"/>
      <w:numFmt w:val="decimal"/>
      <w:start w:val="20"/>
    </w:lvl>
    <w:lvl w:ilvl="1">
      <w:lvlJc w:val="left"/>
      <w:lvlText w:val="%2."/>
      <w:numFmt w:val="decimal"/>
      <w:start w:val="7"/>
    </w:lvl>
    <w:lvl w:ilvl="2">
      <w:lvlJc w:val="left"/>
      <w:lvlText w:val="(%3)"/>
      <w:numFmt w:val="lowerLetter"/>
      <w:start w:val="6"/>
    </w:lvl>
    <w:lvl w:ilvl="3">
      <w:lvlJc w:val="left"/>
      <w:lvlText w:val="%4"/>
      <w:numFmt w:val="lowerRoman"/>
      <w:start w:val="1"/>
    </w:lvl>
  </w:abstractNum>
  <w:abstractNum w:abstractNumId="142">
    <w:nsid w:val="51BF6B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43">
    <w:nsid w:val="7E0F6384"/>
    <w:multiLevelType w:val="hybridMultilevel"/>
    <w:lvl w:ilvl="0">
      <w:lvlJc w:val="left"/>
      <w:lvlText w:val="%1"/>
      <w:numFmt w:val="lowerLetter"/>
      <w:start w:val="1"/>
    </w:lvl>
    <w:lvl w:ilvl="1">
      <w:lvlJc w:val="left"/>
      <w:lvlText w:val="(%2)"/>
      <w:numFmt w:val="lowerRoman"/>
      <w:start w:val="4"/>
    </w:lvl>
  </w:abstractNum>
  <w:abstractNum w:abstractNumId="144">
    <w:nsid w:val="2B4B8B53"/>
    <w:multiLevelType w:val="hybridMultilevel"/>
    <w:lvl w:ilvl="0">
      <w:lvlJc w:val="left"/>
      <w:lvlText w:val="(%1)"/>
      <w:numFmt w:val="lowerLetter"/>
      <w:start w:val="2"/>
    </w:lvl>
    <w:lvl w:ilvl="1">
      <w:lvlJc w:val="left"/>
      <w:lvlText w:val="(%2)"/>
      <w:numFmt w:val="lowerRoman"/>
      <w:start w:val="1"/>
    </w:lvl>
  </w:abstractNum>
  <w:abstractNum w:abstractNumId="145">
    <w:nsid w:val="72E3413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6">
    <w:nsid w:val="116AE49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7">
    <w:nsid w:val="3494B2FB"/>
    <w:multiLevelType w:val="hybridMultilevel"/>
    <w:lvl w:ilvl="0">
      <w:lvlJc w:val="left"/>
      <w:lvlText w:val="(%1)"/>
      <w:numFmt w:val="lowerRoman"/>
      <w:start w:val="3"/>
    </w:lvl>
  </w:abstractNum>
  <w:abstractNum w:abstractNumId="148">
    <w:nsid w:val="B13A31"/>
    <w:multiLevelType w:val="hybridMultilevel"/>
    <w:lvl w:ilvl="0">
      <w:lvlJc w:val="left"/>
      <w:lvlText w:val="%1"/>
      <w:numFmt w:val="decimal"/>
      <w:start w:val="1"/>
    </w:lvl>
    <w:lvl w:ilvl="1">
      <w:lvlJc w:val="left"/>
      <w:lvlText w:val="(%2)"/>
      <w:numFmt w:val="lowerLetter"/>
      <w:start w:val="2"/>
    </w:lvl>
  </w:abstractNum>
  <w:abstractNum w:abstractNumId="149">
    <w:nsid w:val="64429599"/>
    <w:multiLevelType w:val="hybridMultilevel"/>
    <w:lvl w:ilvl="0">
      <w:lvlJc w:val="left"/>
      <w:lvlText w:val="%1."/>
      <w:numFmt w:val="decimal"/>
      <w:start w:val="10"/>
    </w:lvl>
    <w:lvl w:ilvl="1">
      <w:lvlJc w:val="left"/>
      <w:lvlText w:val="(%2)"/>
      <w:numFmt w:val="lowerLetter"/>
      <w:start w:val="1"/>
    </w:lvl>
  </w:abstractNum>
  <w:abstractNum w:abstractNumId="150">
    <w:nsid w:val="631F1690"/>
    <w:multiLevelType w:val="hybridMultilevel"/>
    <w:lvl w:ilvl="0">
      <w:lvlJc w:val="left"/>
      <w:lvlText w:val="%1"/>
      <w:numFmt w:val="decimal"/>
      <w:start w:val="1"/>
    </w:lvl>
    <w:lvl w:ilvl="1">
      <w:lvlJc w:val="left"/>
      <w:lvlText w:val="(%2)"/>
      <w:numFmt w:val="lowerLetter"/>
      <w:start w:val="2"/>
    </w:lvl>
  </w:abstractNum>
  <w:abstractNum w:abstractNumId="151">
    <w:nsid w:val="25973E32"/>
    <w:multiLevelType w:val="hybridMultilevel"/>
    <w:lvl w:ilvl="0">
      <w:lvlJc w:val="left"/>
      <w:lvlText w:val="%1."/>
      <w:numFmt w:val="decimal"/>
      <w:start w:val="11"/>
    </w:lvl>
    <w:lvl w:ilvl="1">
      <w:lvlJc w:val="left"/>
      <w:lvlText w:val="(%2)"/>
      <w:numFmt w:val="lowerLetter"/>
      <w:start w:val="1"/>
    </w:lvl>
  </w:abstractNum>
  <w:abstractNum w:abstractNumId="152">
    <w:nsid w:val="EAD6F57"/>
    <w:multiLevelType w:val="hybridMultilevel"/>
    <w:lvl w:ilvl="0">
      <w:lvlJc w:val="left"/>
      <w:lvlText w:val="%1."/>
      <w:numFmt w:val="decimal"/>
      <w:start w:val="12"/>
    </w:lvl>
  </w:abstractNum>
  <w:abstractNum w:abstractNumId="153">
    <w:nsid w:val="6EC9D844"/>
    <w:multiLevelType w:val="hybridMultilevel"/>
    <w:lvl w:ilvl="0">
      <w:lvlJc w:val="left"/>
      <w:lvlText w:val="%1."/>
      <w:numFmt w:val="decimal"/>
      <w:start w:val="13"/>
    </w:lvl>
  </w:abstractNum>
  <w:abstractNum w:abstractNumId="154">
    <w:nsid w:val="5C49EAEE"/>
    <w:multiLevelType w:val="hybridMultilevel"/>
    <w:lvl w:ilvl="0">
      <w:lvlJc w:val="left"/>
      <w:lvlText w:val="%1."/>
      <w:numFmt w:val="decimal"/>
      <w:start w:val="14"/>
    </w:lvl>
  </w:abstractNum>
  <w:abstractNum w:abstractNumId="155">
    <w:nsid w:val="64AF49B"/>
    <w:multiLevelType w:val="hybridMultilevel"/>
    <w:lvl w:ilvl="0">
      <w:lvlJc w:val="left"/>
      <w:lvlText w:val="%1."/>
      <w:numFmt w:val="decimal"/>
      <w:start w:val="15"/>
    </w:lvl>
    <w:lvl w:ilvl="1">
      <w:lvlJc w:val="left"/>
      <w:lvlText w:val="(%2)"/>
      <w:numFmt w:val="lowerLetter"/>
      <w:start w:val="1"/>
    </w:lvl>
  </w:abstractNum>
  <w:abstractNum w:abstractNumId="156">
    <w:nsid w:val="397C46BC"/>
    <w:multiLevelType w:val="hybridMultilevel"/>
    <w:lvl w:ilvl="0">
      <w:lvlJc w:val="left"/>
      <w:lvlText w:val="%1."/>
      <w:numFmt w:val="decimal"/>
      <w:start w:val="16"/>
    </w:lvl>
  </w:abstractNum>
  <w:abstractNum w:abstractNumId="157">
    <w:nsid w:val="7E448DE9"/>
    <w:multiLevelType w:val="hybridMultilevel"/>
    <w:lvl w:ilvl="0">
      <w:lvlJc w:val="left"/>
      <w:lvlText w:val="%1."/>
      <w:numFmt w:val="decimal"/>
      <w:start w:val="17"/>
    </w:lvl>
  </w:abstractNum>
  <w:abstractNum w:abstractNumId="158">
    <w:nsid w:val="5A9CC3E5"/>
    <w:multiLevelType w:val="hybridMultilevel"/>
    <w:lvl w:ilvl="0">
      <w:lvlJc w:val="left"/>
      <w:lvlText w:val="%1."/>
      <w:numFmt w:val="decimal"/>
      <w:start w:val="18"/>
    </w:lvl>
  </w:abstractNum>
  <w:abstractNum w:abstractNumId="159">
    <w:nsid w:val="1AFE3625"/>
    <w:multiLevelType w:val="hybridMultilevel"/>
    <w:lvl w:ilvl="0">
      <w:lvlJc w:val="left"/>
      <w:lvlText w:val="%1."/>
      <w:numFmt w:val="decimal"/>
      <w:start w:val="19"/>
    </w:lvl>
  </w:abstractNum>
  <w:abstractNum w:abstractNumId="160">
    <w:nsid w:val="3CA88ECF"/>
    <w:multiLevelType w:val="hybridMultilevel"/>
    <w:lvl w:ilvl="0">
      <w:lvlJc w:val="left"/>
      <w:lvlText w:val="%1."/>
      <w:numFmt w:val="decimal"/>
      <w:start w:val="20"/>
    </w:lvl>
  </w:abstractNum>
  <w:abstractNum w:abstractNumId="161">
    <w:nsid w:val="6EBE4208"/>
    <w:multiLevelType w:val="hybridMultilevel"/>
    <w:lvl w:ilvl="0">
      <w:lvlJc w:val="left"/>
      <w:lvlText w:val="%1."/>
      <w:numFmt w:val="decimal"/>
      <w:start w:val="21"/>
    </w:lvl>
    <w:lvl w:ilvl="1">
      <w:lvlJc w:val="left"/>
      <w:lvlText w:val="(%2)"/>
      <w:numFmt w:val="lowerLetter"/>
      <w:start w:val="1"/>
    </w:lvl>
  </w:abstractNum>
  <w:abstractNum w:abstractNumId="162">
    <w:nsid w:val="C058DF5"/>
    <w:multiLevelType w:val="hybridMultilevel"/>
    <w:lvl w:ilvl="0">
      <w:lvlJc w:val="left"/>
      <w:lvlText w:val="%1"/>
      <w:numFmt w:val="decimal"/>
      <w:start w:val="1"/>
    </w:lvl>
    <w:lvl w:ilvl="1">
      <w:lvlJc w:val="left"/>
      <w:lvlText w:val="(%2)"/>
      <w:numFmt w:val="lowerLetter"/>
      <w:start w:val="4"/>
    </w:lvl>
  </w:abstractNum>
  <w:abstractNum w:abstractNumId="163">
    <w:nsid w:val="CBE5BE9"/>
    <w:multiLevelType w:val="hybridMultilevel"/>
    <w:lvl w:ilvl="0">
      <w:lvlJc w:val="left"/>
      <w:lvlText w:val="%1."/>
      <w:numFmt w:val="decimal"/>
      <w:start w:val="22"/>
    </w:lvl>
    <w:lvl w:ilvl="1">
      <w:lvlJc w:val="left"/>
      <w:lvlText w:val="(%2)"/>
      <w:numFmt w:val="lowerLetter"/>
      <w:start w:val="1"/>
    </w:lvl>
  </w:abstractNum>
  <w:abstractNum w:abstractNumId="164">
    <w:nsid w:val="3102BBE2"/>
    <w:multiLevelType w:val="hybridMultilevel"/>
    <w:lvl w:ilvl="0">
      <w:lvlJc w:val="left"/>
      <w:lvlText w:val="%1"/>
      <w:numFmt w:val="decimal"/>
      <w:start w:val="1"/>
    </w:lvl>
    <w:lvl w:ilvl="1">
      <w:lvlJc w:val="left"/>
      <w:lvlText w:val="(%2)"/>
      <w:numFmt w:val="lowerLetter"/>
      <w:start w:val="3"/>
    </w:lvl>
  </w:abstractNum>
  <w:abstractNum w:abstractNumId="165">
    <w:nsid w:val="26A02C5E"/>
    <w:multiLevelType w:val="hybridMultilevel"/>
    <w:lvl w:ilvl="0">
      <w:lvlJc w:val="left"/>
      <w:lvlText w:val="%1."/>
      <w:numFmt w:val="decimal"/>
      <w:start w:val="23"/>
    </w:lvl>
    <w:lvl w:ilvl="1">
      <w:lvlJc w:val="left"/>
      <w:lvlText w:val="(%2)"/>
      <w:numFmt w:val="lowerLetter"/>
      <w:start w:val="1"/>
    </w:lvl>
  </w:abstractNum>
  <w:abstractNum w:abstractNumId="166">
    <w:nsid w:val="541C8153"/>
    <w:multiLevelType w:val="hybridMultilevel"/>
    <w:lvl w:ilvl="0">
      <w:lvlJc w:val="left"/>
      <w:lvlText w:val="(%1)"/>
      <w:numFmt w:val="lowerLetter"/>
      <w:start w:val="4"/>
    </w:lvl>
  </w:abstractNum>
  <w:abstractNum w:abstractNumId="167">
    <w:nsid w:val="67906F60"/>
    <w:multiLevelType w:val="hybridMultilevel"/>
    <w:lvl w:ilvl="0">
      <w:lvlJc w:val="left"/>
      <w:lvlText w:val="%1"/>
      <w:numFmt w:val="decimal"/>
      <w:start w:val="1"/>
    </w:lvl>
    <w:lvl w:ilvl="1">
      <w:lvlJc w:val="left"/>
      <w:lvlText w:val="(%2)"/>
      <w:numFmt w:val="lowerLetter"/>
      <w:start w:val="5"/>
    </w:lvl>
  </w:abstractNum>
  <w:abstractNum w:abstractNumId="168">
    <w:nsid w:val="10DB9DAA"/>
    <w:multiLevelType w:val="hybridMultilevel"/>
    <w:lvl w:ilvl="0">
      <w:lvlJc w:val="left"/>
      <w:lvlText w:val="%1."/>
      <w:numFmt w:val="decimal"/>
      <w:start w:val="24"/>
    </w:lvl>
    <w:lvl w:ilvl="1">
      <w:lvlJc w:val="left"/>
      <w:lvlText w:val="%2"/>
      <w:numFmt w:val="lowerLetter"/>
      <w:start w:val="1"/>
    </w:lvl>
  </w:abstractNum>
  <w:abstractNum w:abstractNumId="169">
    <w:nsid w:val="697D2D2"/>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70">
    <w:nsid w:val="6D68AB2"/>
    <w:multiLevelType w:val="hybridMultilevel"/>
    <w:lvl w:ilvl="0">
      <w:lvlJc w:val="left"/>
      <w:lvlText w:val="%1"/>
      <w:numFmt w:val="lowerLetter"/>
      <w:start w:val="1"/>
    </w:lvl>
    <w:lvl w:ilvl="1">
      <w:lvlJc w:val="left"/>
      <w:lvlText w:val="(%2)"/>
      <w:numFmt w:val="lowerRoman"/>
      <w:start w:val="4"/>
    </w:lvl>
  </w:abstractNum>
  <w:abstractNum w:abstractNumId="171">
    <w:nsid w:val="3A966CD0"/>
    <w:multiLevelType w:val="hybridMultilevel"/>
    <w:lvl w:ilvl="0">
      <w:lvlJc w:val="left"/>
      <w:lvlText w:val="(%1)"/>
      <w:numFmt w:val="lowerLetter"/>
      <w:start w:val="2"/>
    </w:lvl>
    <w:lvl w:ilvl="1">
      <w:lvlJc w:val="left"/>
      <w:lvlText w:val="(%2)"/>
      <w:numFmt w:val="lowerRoman"/>
      <w:start w:val="1"/>
    </w:lvl>
  </w:abstractNum>
  <w:abstractNum w:abstractNumId="172">
    <w:nsid w:val="63F37E85"/>
    <w:multiLevelType w:val="hybridMultilevel"/>
    <w:lvl w:ilvl="0">
      <w:lvlJc w:val="left"/>
      <w:lvlText w:val="%1"/>
      <w:numFmt w:val="lowerLetter"/>
      <w:start w:val="1"/>
    </w:lvl>
    <w:lvl w:ilvl="1">
      <w:lvlJc w:val="left"/>
      <w:lvlText w:val="(%2)"/>
      <w:numFmt w:val="lowerRoman"/>
      <w:start w:val="2"/>
    </w:lvl>
  </w:abstractNum>
  <w:abstractNum w:abstractNumId="173">
    <w:nsid w:val="5895F5FA"/>
    <w:multiLevelType w:val="hybridMultilevel"/>
    <w:lvl w:ilvl="0">
      <w:lvlJc w:val="left"/>
      <w:lvlText w:val="(%1)"/>
      <w:numFmt w:val="lowerLetter"/>
      <w:start w:val="3"/>
    </w:lvl>
    <w:lvl w:ilvl="1">
      <w:lvlJc w:val="left"/>
      <w:lvlText w:val="%2"/>
      <w:numFmt w:val="lowerRoman"/>
      <w:start w:val="1"/>
    </w:lvl>
  </w:abstractNum>
  <w:abstractNum w:abstractNumId="174">
    <w:nsid w:val="38A5D054"/>
    <w:multiLevelType w:val="hybridMultilevel"/>
    <w:lvl w:ilvl="0">
      <w:lvlJc w:val="left"/>
      <w:lvlText w:val="%1."/>
      <w:numFmt w:val="decimal"/>
      <w:start w:val="26"/>
    </w:lvl>
  </w:abstractNum>
  <w:abstractNum w:abstractNumId="175">
    <w:nsid w:val="F3F09D8"/>
    <w:multiLevelType w:val="hybridMultilevel"/>
    <w:lvl w:ilvl="0">
      <w:lvlJc w:val="left"/>
      <w:lvlText w:val="%1."/>
      <w:numFmt w:val="decimal"/>
      <w:start w:val="27"/>
    </w:lvl>
  </w:abstractNum>
  <w:abstractNum w:abstractNumId="176">
    <w:nsid w:val="4B793735"/>
    <w:multiLevelType w:val="hybridMultilevel"/>
    <w:lvl w:ilvl="0">
      <w:lvlJc w:val="left"/>
      <w:lvlText w:val="(%1)"/>
      <w:numFmt w:val="lowerRoman"/>
      <w:start w:val="2"/>
    </w:lvl>
    <w:lvl w:ilvl="1">
      <w:lvlJc w:val="left"/>
      <w:lvlText w:val="%2."/>
      <w:numFmt w:val="decimal"/>
      <w:start w:val="28"/>
    </w:lvl>
  </w:abstractNum>
  <w:abstractNum w:abstractNumId="177">
    <w:nsid w:val="4A10B4E8"/>
    <w:multiLevelType w:val="hybridMultilevel"/>
    <w:lvl w:ilvl="0">
      <w:lvlJc w:val="left"/>
      <w:lvlText w:val="%1."/>
      <w:numFmt w:val="decimal"/>
      <w:start w:val="29"/>
    </w:lvl>
  </w:abstractNum>
  <w:abstractNum w:abstractNumId="178">
    <w:nsid w:val="43D3BCD4"/>
    <w:multiLevelType w:val="hybridMultilevel"/>
    <w:lvl w:ilvl="0">
      <w:lvlJc w:val="left"/>
      <w:lvlText w:val="%1."/>
      <w:numFmt w:val="decimal"/>
      <w:start w:val="30"/>
    </w:lvl>
  </w:abstractNum>
  <w:abstractNum w:abstractNumId="179">
    <w:nsid w:val="4C2A7166"/>
    <w:multiLevelType w:val="hybridMultilevel"/>
    <w:lvl w:ilvl="0">
      <w:lvlJc w:val="left"/>
      <w:lvlText w:val="%1."/>
      <w:numFmt w:val="decimal"/>
      <w:start w:val="31"/>
    </w:lvl>
    <w:lvl w:ilvl="1">
      <w:lvlJc w:val="left"/>
      <w:lvlText w:val="(%2)"/>
      <w:numFmt w:val="lowerLetter"/>
      <w:start w:val="1"/>
    </w:lvl>
  </w:abstractNum>
  <w:abstractNum w:abstractNumId="180">
    <w:nsid w:val="2E534A82"/>
    <w:multiLevelType w:val="hybridMultilevel"/>
    <w:lvl w:ilvl="0">
      <w:lvlJc w:val="left"/>
      <w:lvlText w:val="%1"/>
      <w:numFmt w:val="lowerLetter"/>
      <w:start w:val="1"/>
    </w:lvl>
    <w:lvl w:ilvl="1">
      <w:lvlJc w:val="left"/>
      <w:lvlText w:val="(%2)"/>
      <w:numFmt w:val="lowerLetter"/>
      <w:start w:val="2"/>
    </w:lvl>
  </w:abstractNum>
  <w:abstractNum w:abstractNumId="181">
    <w:nsid w:val="26F2D364"/>
    <w:multiLevelType w:val="hybridMultilevel"/>
    <w:lvl w:ilvl="0">
      <w:lvlJc w:val="left"/>
      <w:lvlText w:val="(%1)"/>
      <w:numFmt w:val="lowerLetter"/>
      <w:start w:val="9"/>
    </w:lvl>
    <w:lvl w:ilvl="1">
      <w:lvlJc w:val="left"/>
      <w:lvlText w:val="(%2)"/>
      <w:numFmt w:val="lowerLetter"/>
      <w:start w:val="4"/>
    </w:lvl>
  </w:abstractNum>
  <w:abstractNum w:abstractNumId="182">
    <w:nsid w:val="71C1AF98"/>
    <w:multiLevelType w:val="hybridMultilevel"/>
    <w:lvl w:ilvl="0">
      <w:lvlJc w:val="left"/>
      <w:lvlText w:val="(%1)"/>
      <w:numFmt w:val="lowerLetter"/>
      <w:start w:val="6"/>
    </w:lvl>
  </w:abstractNum>
  <w:abstractNum w:abstractNumId="183">
    <w:nsid w:val="3D00B9D9"/>
    <w:multiLevelType w:val="hybridMultilevel"/>
    <w:lvl w:ilvl="0">
      <w:lvlJc w:val="left"/>
      <w:lvlText w:val="§§"/>
      <w:numFmt w:val="bullet"/>
      <w:start w:val="1"/>
    </w:lvl>
    <w:lvl w:ilvl="1">
      <w:lvlJc w:val="left"/>
      <w:lvlText w:val="%2"/>
      <w:numFmt w:val="decimal"/>
      <w:start w:val="1"/>
    </w:lvl>
    <w:lvl w:ilvl="2">
      <w:lvlJc w:val="left"/>
      <w:lvlText w:val="(%3)"/>
      <w:numFmt w:val="lowerLetter"/>
      <w:start w:val="10"/>
    </w:lvl>
  </w:abstractNum>
  <w:abstractNum w:abstractNumId="184">
    <w:nsid w:val="15BCABA8"/>
    <w:multiLevelType w:val="hybridMultilevel"/>
    <w:lvl w:ilvl="0">
      <w:lvlJc w:val="left"/>
      <w:lvlText w:val="§§"/>
      <w:numFmt w:val="bullet"/>
      <w:start w:val="1"/>
    </w:lvl>
    <w:lvl w:ilvl="1">
      <w:lvlJc w:val="left"/>
      <w:lvlText w:val="%2"/>
      <w:numFmt w:val="decimal"/>
      <w:start w:val="1"/>
    </w:lvl>
    <w:lvl w:ilvl="2">
      <w:lvlJc w:val="left"/>
      <w:lvlText w:val="(%3)"/>
      <w:numFmt w:val="lowerLetter"/>
      <w:start w:val="11"/>
    </w:lvl>
  </w:abstractNum>
  <w:abstractNum w:abstractNumId="185">
    <w:nsid w:val="4E0B9A87"/>
    <w:multiLevelType w:val="hybridMultilevel"/>
    <w:lvl w:ilvl="0">
      <w:lvlJc w:val="left"/>
      <w:lvlText w:val="§§"/>
      <w:numFmt w:val="bullet"/>
      <w:start w:val="1"/>
    </w:lvl>
    <w:lvl w:ilvl="1">
      <w:lvlJc w:val="left"/>
      <w:lvlText w:val="%2."/>
      <w:numFmt w:val="decimal"/>
      <w:start w:val="32"/>
    </w:lvl>
    <w:lvl w:ilvl="2">
      <w:lvlJc w:val="left"/>
      <w:lvlText w:val="%3"/>
      <w:numFmt w:val="lowerLetter"/>
      <w:start w:val="1"/>
    </w:lvl>
  </w:abstractNum>
  <w:abstractNum w:abstractNumId="186">
    <w:nsid w:val="434BAE75"/>
    <w:multiLevelType w:val="hybridMultilevel"/>
    <w:lvl w:ilvl="0">
      <w:lvlJc w:val="left"/>
      <w:lvlText w:val="%1."/>
      <w:numFmt w:val="decimal"/>
      <w:start w:val="33"/>
    </w:lvl>
  </w:abstractNum>
  <w:abstractNum w:abstractNumId="187">
    <w:nsid w:val="4F38F265"/>
    <w:multiLevelType w:val="hybridMultilevel"/>
    <w:lvl w:ilvl="0">
      <w:lvlJc w:val="left"/>
      <w:lvlText w:val="%1."/>
      <w:numFmt w:val="decimal"/>
      <w:start w:val="34"/>
    </w:lvl>
  </w:abstractNum>
  <w:abstractNum w:abstractNumId="188">
    <w:nsid w:val="4C502870"/>
    <w:multiLevelType w:val="hybridMultilevel"/>
    <w:lvl w:ilvl="0">
      <w:lvlJc w:val="left"/>
      <w:lvlText w:val="%1."/>
      <w:numFmt w:val="decimal"/>
      <w:start w:val="35"/>
    </w:lvl>
  </w:abstractNum>
  <w:abstractNum w:abstractNumId="189">
    <w:nsid w:val="1DE8725A"/>
    <w:multiLevelType w:val="hybridMultilevel"/>
    <w:lvl w:ilvl="0">
      <w:lvlJc w:val="left"/>
      <w:lvlText w:val="%1."/>
      <w:numFmt w:val="decimal"/>
      <w:start w:val="36"/>
    </w:lvl>
  </w:abstractNum>
  <w:abstractNum w:abstractNumId="190">
    <w:nsid w:val="6A37288A"/>
    <w:multiLevelType w:val="hybridMultilevel"/>
    <w:lvl w:ilvl="0">
      <w:lvlJc w:val="left"/>
      <w:lvlText w:val="%1."/>
      <w:numFmt w:val="decimal"/>
      <w:start w:val="37"/>
    </w:lvl>
  </w:abstractNum>
  <w:abstractNum w:abstractNumId="191">
    <w:nsid w:val="8F8B73F"/>
    <w:multiLevelType w:val="hybridMultilevel"/>
    <w:lvl w:ilvl="0">
      <w:lvlJc w:val="left"/>
      <w:lvlText w:val="%1."/>
      <w:numFmt w:val="decimal"/>
      <w:start w:val="38"/>
    </w:lvl>
  </w:abstractNum>
  <w:abstractNum w:abstractNumId="192">
    <w:nsid w:val="CA6B462"/>
    <w:multiLevelType w:val="hybridMultilevel"/>
    <w:lvl w:ilvl="0">
      <w:lvlJc w:val="left"/>
      <w:lvlText w:val="%1."/>
      <w:numFmt w:val="decimal"/>
      <w:start w:val="39"/>
    </w:lvl>
  </w:abstractNum>
  <w:abstractNum w:abstractNumId="193">
    <w:nsid w:val="763CB680"/>
    <w:multiLevelType w:val="hybridMultilevel"/>
    <w:lvl w:ilvl="0">
      <w:lvlJc w:val="left"/>
      <w:lvlText w:val="%1."/>
      <w:numFmt w:val="decimal"/>
      <w:start w:val="40"/>
    </w:lvl>
  </w:abstractNum>
  <w:abstractNum w:abstractNumId="194">
    <w:nsid w:val="15B71329"/>
    <w:multiLevelType w:val="hybridMultilevel"/>
    <w:lvl w:ilvl="0">
      <w:lvlJc w:val="left"/>
      <w:lvlText w:val="%1."/>
      <w:numFmt w:val="decimal"/>
      <w:start w:val="41"/>
    </w:lvl>
  </w:abstractNum>
  <w:abstractNum w:abstractNumId="195">
    <w:nsid w:val="3DA97044"/>
    <w:multiLevelType w:val="hybridMultilevel"/>
    <w:lvl w:ilvl="0">
      <w:lvlJc w:val="left"/>
      <w:lvlText w:val="%1."/>
      <w:numFmt w:val="decimal"/>
      <w:start w:val="42"/>
    </w:lvl>
    <w:lvl w:ilvl="1">
      <w:lvlJc w:val="left"/>
      <w:lvlText w:val="(%2)"/>
      <w:numFmt w:val="lowerLetter"/>
      <w:start w:val="1"/>
    </w:lvl>
  </w:abstractNum>
  <w:abstractNum w:abstractNumId="196">
    <w:nsid w:val="1CDCE2DE"/>
    <w:multiLevelType w:val="hybridMultilevel"/>
    <w:lvl w:ilvl="0">
      <w:lvlJc w:val="left"/>
      <w:lvlText w:val="(%1)"/>
      <w:numFmt w:val="lowerLetter"/>
      <w:start w:val="7"/>
    </w:lvl>
  </w:abstractNum>
  <w:abstractNum w:abstractNumId="197">
    <w:nsid w:val="69D3947C"/>
    <w:multiLevelType w:val="hybridMultilevel"/>
    <w:lvl w:ilvl="0">
      <w:lvlJc w:val="left"/>
      <w:lvlText w:val="(%1)"/>
      <w:numFmt w:val="lowerLetter"/>
      <w:start w:val="17"/>
    </w:lvl>
  </w:abstractNum>
  <w:abstractNum w:abstractNumId="198">
    <w:nsid w:val="2539DFA5"/>
    <w:multiLevelType w:val="hybridMultilevel"/>
    <w:lvl w:ilvl="0">
      <w:lvlJc w:val="left"/>
      <w:lvlText w:val="%1."/>
      <w:numFmt w:val="decimal"/>
      <w:start w:val="1"/>
    </w:lvl>
  </w:abstractNum>
  <w:abstractNum w:abstractNumId="199">
    <w:nsid w:val="2DB88089"/>
    <w:multiLevelType w:val="hybridMultilevel"/>
    <w:lvl w:ilvl="0">
      <w:lvlJc w:val="left"/>
      <w:lvlText w:val="%1."/>
      <w:numFmt w:val="decimal"/>
      <w:start w:val="3"/>
    </w:lvl>
  </w:abstractNum>
  <w:abstractNum w:abstractNumId="200">
    <w:nsid w:val="706B674E"/>
    <w:multiLevelType w:val="hybridMultilevel"/>
    <w:lvl w:ilvl="0">
      <w:lvlJc w:val="left"/>
      <w:lvlText w:val="%1."/>
      <w:numFmt w:val="decimal"/>
      <w:start w:val="4"/>
    </w:lvl>
    <w:lvl w:ilvl="1">
      <w:lvlJc w:val="left"/>
      <w:lvlText w:val="(%2)"/>
      <w:numFmt w:val="lowerLetter"/>
      <w:start w:val="1"/>
    </w:lvl>
  </w:abstractNum>
  <w:abstractNum w:abstractNumId="201">
    <w:nsid w:val="2C106A57"/>
    <w:multiLevelType w:val="hybridMultilevel"/>
    <w:lvl w:ilvl="0">
      <w:lvlJc w:val="left"/>
      <w:lvlText w:val="%1."/>
      <w:numFmt w:val="decimal"/>
      <w:start w:val="6"/>
    </w:lvl>
  </w:abstractNum>
  <w:abstractNum w:abstractNumId="202">
    <w:nsid w:val="684EED59"/>
    <w:multiLevelType w:val="hybridMultilevel"/>
    <w:lvl w:ilvl="0">
      <w:lvlJc w:val="left"/>
      <w:lvlText w:val="%1."/>
      <w:numFmt w:val="decimal"/>
      <w:start w:val="11"/>
    </w:lvl>
  </w:abstractNum>
  <w:abstractNum w:abstractNumId="203">
    <w:nsid w:val="545EE5D3"/>
    <w:multiLevelType w:val="hybridMultilevel"/>
    <w:lvl w:ilvl="0">
      <w:lvlJc w:val="left"/>
      <w:lvlText w:val="%1."/>
      <w:numFmt w:val="decimal"/>
      <w:start w:val="15"/>
    </w:lvl>
  </w:abstractNum>
  <w:abstractNum w:abstractNumId="204">
    <w:nsid w:val="4A66051"/>
    <w:multiLevelType w:val="hybridMultilevel"/>
    <w:lvl w:ilvl="0">
      <w:lvlJc w:val="left"/>
      <w:lvlText w:val="%1."/>
      <w:numFmt w:val="decimal"/>
      <w:start w:val="1"/>
    </w:lvl>
  </w:abstractNum>
  <w:abstractNum w:abstractNumId="205">
    <w:nsid w:val="20F4BDAD"/>
    <w:multiLevelType w:val="hybridMultilevel"/>
    <w:lvl w:ilvl="0">
      <w:lvlJc w:val="left"/>
      <w:lvlText w:val="%1."/>
      <w:numFmt w:val="decimal"/>
      <w:start w:val="4"/>
    </w:lvl>
  </w:abstractNum>
  <w:abstractNum w:abstractNumId="206">
    <w:nsid w:val="639DEFAC"/>
    <w:multiLevelType w:val="hybridMultilevel"/>
    <w:lvl w:ilvl="0">
      <w:lvlJc w:val="left"/>
      <w:lvlText w:val="="/>
      <w:numFmt w:val="bullet"/>
      <w:start w:val="1"/>
    </w:lvl>
    <w:lvl w:ilvl="1">
      <w:lvlJc w:val="left"/>
      <w:lvlText w:val="%2."/>
      <w:numFmt w:val="decimal"/>
      <w:start w:val="6"/>
    </w:lvl>
  </w:abstractNum>
  <w:abstractNum w:abstractNumId="207">
    <w:nsid w:val="501F9786"/>
    <w:multiLevelType w:val="hybridMultilevel"/>
    <w:lvl w:ilvl="0">
      <w:lvlJc w:val="left"/>
      <w:lvlText w:val="%1."/>
      <w:numFmt w:val="decimal"/>
      <w:start w:val="7"/>
    </w:lvl>
  </w:abstractNum>
  <w:abstractNum w:abstractNumId="208">
    <w:nsid w:val="6B057295"/>
    <w:multiLevelType w:val="hybridMultilevel"/>
    <w:lvl w:ilvl="0">
      <w:lvlJc w:val="left"/>
      <w:lvlText w:val="%1."/>
      <w:numFmt w:val="decimal"/>
      <w:start w:val="8"/>
    </w:lvl>
  </w:abstractNum>
  <w:abstractNum w:abstractNumId="209">
    <w:nsid w:val="2771AC80"/>
    <w:multiLevelType w:val="hybridMultilevel"/>
    <w:lvl w:ilvl="0">
      <w:lvlJc w:val="left"/>
      <w:lvlText w:val="%1."/>
      <w:numFmt w:val="decimal"/>
      <w:start w:val="14"/>
    </w:lvl>
  </w:abstractNum>
  <w:abstractNum w:abstractNumId="210">
    <w:nsid w:val="1C4A08EC"/>
    <w:multiLevelType w:val="hybridMultilevel"/>
    <w:lvl w:ilvl="0">
      <w:lvlJc w:val="left"/>
      <w:lvlText w:val="%1."/>
      <w:numFmt w:val="decimal"/>
      <w:start w:val="1"/>
    </w:lvl>
  </w:abstractNum>
  <w:abstractNum w:abstractNumId="211">
    <w:nsid w:val="1958BD17"/>
    <w:multiLevelType w:val="hybridMultilevel"/>
    <w:lvl w:ilvl="0">
      <w:lvlJc w:val="left"/>
      <w:lvlText w:val="%1."/>
      <w:numFmt w:val="decimal"/>
      <w:start w:val="3"/>
    </w:lvl>
  </w:abstractNum>
  <w:abstractNum w:abstractNumId="212">
    <w:nsid w:val="4E647FE4"/>
    <w:multiLevelType w:val="hybridMultilevel"/>
    <w:lvl w:ilvl="0">
      <w:lvlJc w:val="left"/>
      <w:lvlText w:val="%1."/>
      <w:numFmt w:val="decimal"/>
      <w:start w:val="5"/>
    </w:lvl>
  </w:abstractNum>
  <w:abstractNum w:abstractNumId="213">
    <w:nsid w:val="E0BB885"/>
    <w:multiLevelType w:val="hybridMultilevel"/>
    <w:lvl w:ilvl="0">
      <w:lvlJc w:val="left"/>
      <w:lvlText w:val="%1."/>
      <w:numFmt w:val="decimal"/>
      <w:start w:val="6"/>
    </w:lvl>
  </w:abstractNum>
  <w:abstractNum w:abstractNumId="214">
    <w:nsid w:val="565976F1"/>
    <w:multiLevelType w:val="hybridMultilevel"/>
    <w:lvl w:ilvl="0">
      <w:lvlJc w:val="left"/>
      <w:lvlText w:val="%1."/>
      <w:numFmt w:val="decimal"/>
      <w:start w:val="9"/>
    </w:lvl>
  </w:abstractNum>
  <w:abstractNum w:abstractNumId="215">
    <w:nsid w:val="64212B8C"/>
    <w:multiLevelType w:val="hybridMultilevel"/>
    <w:lvl w:ilvl="0">
      <w:lvlJc w:val="left"/>
      <w:lvlText w:val="%1."/>
      <w:numFmt w:val="decimal"/>
      <w:start w:val="15"/>
    </w:lvl>
  </w:abstractNum>
  <w:abstractNum w:abstractNumId="216">
    <w:nsid w:val="5C17530C"/>
    <w:multiLevelType w:val="hybridMultilevel"/>
    <w:lvl w:ilvl="0">
      <w:lvlJc w:val="left"/>
      <w:lvlText w:val="%1."/>
      <w:numFmt w:val="decimal"/>
      <w:start w:val="1"/>
    </w:lvl>
  </w:abstractNum>
  <w:abstractNum w:abstractNumId="217">
    <w:nsid w:val="19A52566"/>
    <w:multiLevelType w:val="hybridMultilevel"/>
    <w:lvl w:ilvl="0">
      <w:lvlJc w:val="left"/>
      <w:lvlText w:val="%1."/>
      <w:numFmt w:val="decimal"/>
      <w:start w:val="2"/>
    </w:lvl>
    <w:lvl w:ilvl="1">
      <w:lvlJc w:val="left"/>
      <w:lvlText w:val="(%2)"/>
      <w:numFmt w:val="lowerLetter"/>
      <w:start w:val="1"/>
    </w:lvl>
  </w:abstractNum>
  <w:abstractNum w:abstractNumId="218">
    <w:nsid w:val="335A1DF1"/>
    <w:multiLevelType w:val="hybridMultilevel"/>
    <w:lvl w:ilvl="0">
      <w:lvlJc w:val="left"/>
      <w:lvlText w:val="%1."/>
      <w:numFmt w:val="decimal"/>
      <w:start w:val="8"/>
    </w:lvl>
  </w:abstractNum>
  <w:abstractNum w:abstractNumId="219">
    <w:nsid w:val="28677B7C"/>
    <w:multiLevelType w:val="hybridMultilevel"/>
    <w:lvl w:ilvl="0">
      <w:lvlJc w:val="left"/>
      <w:lvlText w:val="%1."/>
      <w:numFmt w:val="decimal"/>
      <w:start w:val="13"/>
    </w:lvl>
  </w:abstractNum>
  <w:abstractNum w:abstractNumId="220">
    <w:nsid w:val="378D97C0"/>
    <w:multiLevelType w:val="hybridMultilevel"/>
    <w:lvl w:ilvl="0">
      <w:lvlJc w:val="left"/>
      <w:lvlText w:val="%1."/>
      <w:numFmt w:val="decimal"/>
      <w:start w:val="1"/>
    </w:lvl>
  </w:abstractNum>
  <w:abstractNum w:abstractNumId="221">
    <w:nsid w:val="1D91467C"/>
    <w:multiLevelType w:val="hybridMultilevel"/>
    <w:lvl w:ilvl="0">
      <w:lvlJc w:val="left"/>
      <w:lvlText w:val="%1."/>
      <w:numFmt w:val="decimal"/>
      <w:start w:val="5"/>
    </w:lvl>
  </w:abstractNum>
  <w:abstractNum w:abstractNumId="222">
    <w:nsid w:val="316032BB"/>
    <w:multiLevelType w:val="hybridMultilevel"/>
    <w:lvl w:ilvl="0">
      <w:lvlJc w:val="left"/>
      <w:lvlText w:val="%1."/>
      <w:numFmt w:val="decimal"/>
      <w:start w:val="1"/>
    </w:lvl>
    <w:lvl w:ilvl="1">
      <w:lvlJc w:val="left"/>
      <w:lvlText w:val="%2)"/>
      <w:numFmt w:val="lowerLetter"/>
      <w:start w:val="1"/>
    </w:lvl>
  </w:abstractNum>
  <w:abstractNum w:abstractNumId="223">
    <w:nsid w:val="44344C22"/>
    <w:multiLevelType w:val="hybridMultilevel"/>
    <w:lvl w:ilvl="0">
      <w:lvlJc w:val="left"/>
      <w:lvlText w:val="%1."/>
      <w:numFmt w:val="decimal"/>
      <w:start w:val="1"/>
    </w:lvl>
    <w:lvl w:ilvl="1">
      <w:lvlJc w:val="left"/>
      <w:lvlText w:val="%2)"/>
      <w:numFmt w:val="lowerLetter"/>
      <w:start w:val="1"/>
    </w:lvl>
  </w:abstractNum>
  <w:abstractNum w:abstractNumId="224">
    <w:nsid w:val="13CDFCF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84" Type="http://schemas.openxmlformats.org/officeDocument/2006/relationships/hyperlink" Target="https://www.sec.gov/Archives/edgar/data/1847986/000110465922081684/cntq-20210630xs4.htm#AnnexA_676037" TargetMode="External"/><Relationship Id="rId85" Type="http://schemas.openxmlformats.org/officeDocument/2006/relationships/hyperlink" Target="https://www.sec.gov/Archives/edgar/data/1847986/000110465922081684/cntq-20210630xex2d1a.htm" TargetMode="External"/><Relationship Id="rId86" Type="http://schemas.openxmlformats.org/officeDocument/2006/relationships/hyperlink" Target="https://www.sec.gov/Archives/edgar/data/1847986/000149315223010262/ex2-1.htm" TargetMode="External"/><Relationship Id="rId87" Type="http://schemas.openxmlformats.org/officeDocument/2006/relationships/hyperlink" Target="https://www.sec.gov/Archives/edgar/data/1847986/000149315223010262/ex3-1.htm" TargetMode="External"/><Relationship Id="rId88" Type="http://schemas.openxmlformats.org/officeDocument/2006/relationships/hyperlink" Target="https://www.sec.gov/Archives/edgar/data/1847986/000149315223010262/ex3-2.htm" TargetMode="External"/><Relationship Id="rId89" Type="http://schemas.openxmlformats.org/officeDocument/2006/relationships/hyperlink" Target="https://www.sec.gov/Archives/edgar/data/1847986/000110465922107212/tm2222125d3_ex4-1.htm" TargetMode="External"/><Relationship Id="rId90" Type="http://schemas.openxmlformats.org/officeDocument/2006/relationships/hyperlink" Target="https://www.sec.gov/Archives/edgar/data/1847986/000110465922107212/tm2222125d3_ex4-2.htm" TargetMode="External"/><Relationship Id="rId91" Type="http://schemas.openxmlformats.org/officeDocument/2006/relationships/hyperlink" Target="https://www.sec.gov/Archives/edgar/data/1847986/000110465922107212/tm2222125d3_ex4-3.htm" TargetMode="External"/><Relationship Id="rId92" Type="http://schemas.openxmlformats.org/officeDocument/2006/relationships/hyperlink" Target="https://www.sec.gov/Archives/edgar/data/1847986/000110465922110688/dfli-20220630xex4d4.htm" TargetMode="External"/><Relationship Id="rId93" Type="http://schemas.openxmlformats.org/officeDocument/2006/relationships/hyperlink" Target="https://www.sec.gov/Archives/edgar/data/1847986/000149315223007147/ex4-1.htm" TargetMode="External"/><Relationship Id="rId94" Type="http://schemas.openxmlformats.org/officeDocument/2006/relationships/hyperlink" Target="https://www.sec.gov/Archives/edgar/data/1847986/000110465922081684/cntq-20210630xs4.htm#AnnexE_715156" TargetMode="External"/><Relationship Id="rId95" Type="http://schemas.openxmlformats.org/officeDocument/2006/relationships/hyperlink" Target="https://www.sec.gov/Archives/edgar/data/1847986/000110465922081684/cntq-20210630xs4.htm#AnnexJ_927754" TargetMode="External"/><Relationship Id="rId96" Type="http://schemas.openxmlformats.org/officeDocument/2006/relationships/hyperlink" Target="https://www.sec.gov/Archives/edgar/data/1847986/000110465922081684/cntq-20210630xs4.htm#AnnexK_797313" TargetMode="External"/><Relationship Id="rId97" Type="http://schemas.openxmlformats.org/officeDocument/2006/relationships/hyperlink" Target="https://www.sec.gov/Archives/edgar/data/1847986/000110465922081684/cntq-20210630xs4.htm#AnnexF_345954" TargetMode="External"/><Relationship Id="rId98" Type="http://schemas.openxmlformats.org/officeDocument/2006/relationships/hyperlink" Target="https://www.sec.gov/Archives/edgar/data/1847986/000110465922107212/tm2222125d3_ex10-5.htm" TargetMode="External"/><Relationship Id="rId99" Type="http://schemas.openxmlformats.org/officeDocument/2006/relationships/hyperlink" Target="https://www.sec.gov/Archives/edgar/data/1847986/000110465922107212/tm2222125d3_ex10-6.htm" TargetMode="External"/><Relationship Id="rId100" Type="http://schemas.openxmlformats.org/officeDocument/2006/relationships/hyperlink" Target="https://www.sec.gov/Archives/edgar/data/1847986/000110465922099731/tm2218377d21_ex10-10.htm" TargetMode="External"/><Relationship Id="rId101" Type="http://schemas.openxmlformats.org/officeDocument/2006/relationships/hyperlink" Target="https://www.sec.gov/Archives/edgar/data/1847986/000110465922081684/cntq-20210630xex10d11.htm" TargetMode="External"/><Relationship Id="rId102" Type="http://schemas.openxmlformats.org/officeDocument/2006/relationships/hyperlink" Target="https://www.sec.gov/Archives/edgar/data/1847986/000110465922081684/cntq-20210630xex10d12.htm" TargetMode="External"/><Relationship Id="rId103" Type="http://schemas.openxmlformats.org/officeDocument/2006/relationships/hyperlink" Target="https://www.sec.gov/Archives/edgar/data/1847986/000110465922107212/tm2222125d3_ex10-10.htm" TargetMode="External"/><Relationship Id="rId104" Type="http://schemas.openxmlformats.org/officeDocument/2006/relationships/hyperlink" Target="https://www.sec.gov/Archives/edgar/data/1847986/000110465922107212/tm2222125d3_ex10-11.htm" TargetMode="External"/><Relationship Id="rId105" Type="http://schemas.openxmlformats.org/officeDocument/2006/relationships/hyperlink" Target="https://www.sec.gov/Archives/edgar/data/1847986/000110465922107212/tm2222125d3_ex10-12.htm" TargetMode="External"/><Relationship Id="rId106" Type="http://schemas.openxmlformats.org/officeDocument/2006/relationships/hyperlink" Target="https://www.sec.gov/Archives/edgar/data/1847986/000110465922107212/tm2222125d3_ex10-13.htm" TargetMode="External"/><Relationship Id="rId107" Type="http://schemas.openxmlformats.org/officeDocument/2006/relationships/hyperlink" Target="https://www.sec.gov/Archives/edgar/data/1847986/000110465922107212/tm2222125d3_ex10-14.htm" TargetMode="External"/><Relationship Id="rId108" Type="http://schemas.openxmlformats.org/officeDocument/2006/relationships/hyperlink" Target="https://www.sec.gov/Archives/edgar/data/1847986/000110465922107212/tm2222125d3_ex10-15.htm" TargetMode="External"/><Relationship Id="rId109" Type="http://schemas.openxmlformats.org/officeDocument/2006/relationships/hyperlink" Target="https://www.sec.gov/Archives/edgar/data/1847986/000110465922107212/tm2222125d3_ex10-16.htm" TargetMode="External"/><Relationship Id="rId110" Type="http://schemas.openxmlformats.org/officeDocument/2006/relationships/hyperlink" Target="https://www.sec.gov/Archives/edgar/data/1847986/000110465922107212/tm2222125d3_ex10-17.htm" TargetMode="External"/><Relationship Id="rId111" Type="http://schemas.openxmlformats.org/officeDocument/2006/relationships/hyperlink" Target="https://www.sec.gov/Archives/edgar/data/1847986/000110465922107212/tm2222125d3_ex10-18.htm" TargetMode="External"/><Relationship Id="rId112" Type="http://schemas.openxmlformats.org/officeDocument/2006/relationships/hyperlink" Target="https://www.sec.gov/Archives/edgar/data/1847986/000110465922107212/tm2222125d3_ex10-19.htm" TargetMode="External"/><Relationship Id="rId113" Type="http://schemas.openxmlformats.org/officeDocument/2006/relationships/hyperlink" Target="https://www.sec.gov/Archives/edgar/data/1847986/000110465922107212/tm2222125d3_ex10-20.htm" TargetMode="External"/><Relationship Id="rId114" Type="http://schemas.openxmlformats.org/officeDocument/2006/relationships/hyperlink" Target="https://www.sec.gov/Archives/edgar/data/1847986/000110465922107212/tm2222125d3_ex10-21.htm" TargetMode="External"/><Relationship Id="rId115" Type="http://schemas.openxmlformats.org/officeDocument/2006/relationships/hyperlink" Target="https://www.sec.gov/Archives/edgar/data/1847986/000110465922114961/dfli-20220630xex10d22.htm" TargetMode="External"/><Relationship Id="rId116" Type="http://schemas.openxmlformats.org/officeDocument/2006/relationships/hyperlink" Target="https://www.sec.gov/Archives/edgar/data/1847986/000110465922114961/dfli-20220630xex10d23.htm" TargetMode="External"/><Relationship Id="rId117" Type="http://schemas.openxmlformats.org/officeDocument/2006/relationships/hyperlink" Target="https://www.sec.gov/Archives/edgar/data/1847986/000110465922114961/dfli-20220630xex10d24.htm" TargetMode="External"/><Relationship Id="rId118" Type="http://schemas.openxmlformats.org/officeDocument/2006/relationships/hyperlink" Target="https://www.sec.gov/Archives/edgar/data/1847986/000149315223006564/ex10-1.htm" TargetMode="External"/><Relationship Id="rId119" Type="http://schemas.openxmlformats.org/officeDocument/2006/relationships/hyperlink" Target="https://www.sec.gov/Archives/edgar/data/1847986/000149315223009479/ex10-1.htm" TargetMode="External"/><Relationship Id="rId120" Type="http://schemas.openxmlformats.org/officeDocument/2006/relationships/hyperlink" Target="https://www.sec.gov/Archives/edgar/data/1847986/000110465922107212/tm2222125d3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2023-04-17T16:07:00Z</dcterms:created>
  <dcterms:modified xsi:type="dcterms:W3CDTF">2023-04-17T16:07:00Z</dcterms:modified>
</cp:coreProperties>
</file>