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29, 2022 ( September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Chardan NexTech Acquisition 2 Corp.</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sectPr>
      </w:pPr>
    </w:p>
    <w:p>
      <w:pPr>
        <w:spacing w:after="0" w:line="200" w:lineRule="exact"/>
        <w:rPr>
          <w:sz w:val="24"/>
          <w:szCs w:val="24"/>
          <w:color w:val="auto"/>
        </w:rPr>
      </w:pPr>
    </w:p>
    <w:p>
      <w:pPr>
        <w:spacing w:after="0" w:line="30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001-40730</w:t>
      </w:r>
    </w:p>
    <w:p>
      <w:pPr>
        <w:spacing w:after="0" w:line="3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85-1873463</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4400" w:space="720"/>
            <w:col w:w="2840" w:space="720"/>
            <w:col w:w="2560"/>
          </w:cols>
          <w:pgMar w:left="320" w:top="583" w:right="339" w:bottom="1440" w:gutter="0" w:footer="0" w:header="0"/>
          <w:type w:val="continuous"/>
        </w:sectPr>
      </w:pPr>
    </w:p>
    <w:p>
      <w:pPr>
        <w:spacing w:after="0" w:line="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17 State Street, 21st Floor</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9"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10004</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583"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(646) 465-9000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c>
          <w:tcPr>
            <w:tcW w:w="0" w:type="dxa"/>
            <w:vAlign w:val="bottom"/>
          </w:tcPr>
          <w:p>
            <w:pPr>
              <w:spacing w:after="0"/>
              <w:rPr>
                <w:sz w:val="1"/>
                <w:szCs w:val="1"/>
                <w:color w:val="auto"/>
              </w:rPr>
            </w:pPr>
          </w:p>
        </w:tc>
      </w:tr>
      <w:tr>
        <w:trPr>
          <w:trHeight w:val="238"/>
        </w:trPr>
        <w:tc>
          <w:tcPr>
            <w:tcW w:w="6280" w:type="dxa"/>
            <w:vAlign w:val="bottom"/>
            <w:gridSpan w:val="2"/>
            <w:vMerge w:val="continue"/>
          </w:tcPr>
          <w:p>
            <w:pPr>
              <w:spacing w:after="0"/>
              <w:rPr>
                <w:sz w:val="20"/>
                <w:szCs w:val="20"/>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c>
          <w:tcPr>
            <w:tcW w:w="0" w:type="dxa"/>
            <w:vAlign w:val="bottom"/>
          </w:tcPr>
          <w:p>
            <w:pPr>
              <w:spacing w:after="0"/>
              <w:rPr>
                <w:sz w:val="1"/>
                <w:szCs w:val="1"/>
                <w:color w:val="auto"/>
              </w:rPr>
            </w:pPr>
          </w:p>
        </w:tc>
      </w:tr>
      <w:tr>
        <w:trPr>
          <w:trHeight w:val="191"/>
        </w:trPr>
        <w:tc>
          <w:tcPr>
            <w:tcW w:w="61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Units, each consisting of one share of Common Stock, $0.0001 par value, and three-</w:t>
            </w:r>
          </w:p>
        </w:tc>
        <w:tc>
          <w:tcPr>
            <w:tcW w:w="120" w:type="dxa"/>
            <w:vAlign w:val="bottom"/>
          </w:tcPr>
          <w:p>
            <w:pPr>
              <w:spacing w:after="0"/>
              <w:rPr>
                <w:sz w:val="16"/>
                <w:szCs w:val="16"/>
                <w:color w:val="auto"/>
              </w:rPr>
            </w:pPr>
          </w:p>
        </w:tc>
        <w:tc>
          <w:tcPr>
            <w:tcW w:w="14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CNTQU</w:t>
            </w:r>
          </w:p>
        </w:tc>
        <w:tc>
          <w:tcPr>
            <w:tcW w:w="100" w:type="dxa"/>
            <w:vAlign w:val="bottom"/>
          </w:tcPr>
          <w:p>
            <w:pPr>
              <w:spacing w:after="0"/>
              <w:rPr>
                <w:sz w:val="16"/>
                <w:szCs w:val="16"/>
                <w:color w:val="auto"/>
              </w:rPr>
            </w:pPr>
          </w:p>
        </w:tc>
        <w:tc>
          <w:tcPr>
            <w:tcW w:w="34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NASDAQ Capital Market</w:t>
            </w:r>
          </w:p>
        </w:tc>
        <w:tc>
          <w:tcPr>
            <w:tcW w:w="0" w:type="dxa"/>
            <w:vAlign w:val="bottom"/>
          </w:tcPr>
          <w:p>
            <w:pPr>
              <w:spacing w:after="0"/>
              <w:rPr>
                <w:sz w:val="1"/>
                <w:szCs w:val="1"/>
                <w:color w:val="auto"/>
              </w:rPr>
            </w:pPr>
          </w:p>
        </w:tc>
      </w:tr>
      <w:tr>
        <w:trPr>
          <w:trHeight w:val="216"/>
        </w:trPr>
        <w:tc>
          <w:tcPr>
            <w:tcW w:w="6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quarters of one Redeemable Warrant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Common Stock, par value $0.0001 per share, included as part of the Units</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CNTQ</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c>
          <w:tcPr>
            <w:tcW w:w="0" w:type="dxa"/>
            <w:vAlign w:val="bottom"/>
          </w:tcPr>
          <w:p>
            <w:pPr>
              <w:spacing w:after="0"/>
              <w:rPr>
                <w:sz w:val="1"/>
                <w:szCs w:val="1"/>
                <w:color w:val="auto"/>
              </w:rPr>
            </w:pPr>
          </w:p>
        </w:tc>
      </w:tr>
      <w:tr>
        <w:trPr>
          <w:trHeight w:val="216"/>
        </w:trPr>
        <w:tc>
          <w:tcPr>
            <w:tcW w:w="6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Redeemable Warrants included as part of the Units, each exercisable for one share of</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CNTQW</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c>
          <w:tcPr>
            <w:tcW w:w="0" w:type="dxa"/>
            <w:vAlign w:val="bottom"/>
          </w:tcPr>
          <w:p>
            <w:pPr>
              <w:spacing w:after="0"/>
              <w:rPr>
                <w:sz w:val="1"/>
                <w:szCs w:val="1"/>
                <w:color w:val="auto"/>
              </w:rPr>
            </w:pPr>
          </w:p>
        </w:tc>
      </w:tr>
      <w:tr>
        <w:trPr>
          <w:trHeight w:val="234"/>
        </w:trPr>
        <w:tc>
          <w:tcPr>
            <w:tcW w:w="6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for $11.50 per share</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Agreement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As previously disclosed in our Current Report on Form 8-K, dated May 16, 2022, concurrently with the execution of the Business Combination Agreement, dated May 15, 2022, and as amended by the Amendment to the Business Combination Agreement, dated July 12, 2022 (as so amended,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by and among Chardan NexTech Acquisition 2 Corp., which will change its name to Dragonfly Energy Holdings Corp. upon closing (“</w:t>
      </w:r>
      <w:r>
        <w:rPr>
          <w:rFonts w:ascii="Times New Roman" w:cs="Times New Roman" w:eastAsia="Times New Roman" w:hAnsi="Times New Roman"/>
          <w:sz w:val="18"/>
          <w:szCs w:val="18"/>
          <w:u w:val="single" w:color="auto"/>
          <w:color w:val="auto"/>
        </w:rPr>
        <w:t>Chardan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Bronco Merger Sub, Inc., a Nevada corporation and a wholly owned subsidiary of Chardan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w:t>
      </w:r>
      <w:r>
        <w:rPr>
          <w:rFonts w:ascii="Times New Roman" w:cs="Times New Roman" w:eastAsia="Times New Roman" w:hAnsi="Times New Roman"/>
          <w:sz w:val="18"/>
          <w:szCs w:val="18"/>
          <w:color w:val="auto"/>
        </w:rPr>
        <w:t>”), and Dragonfly Energy Corp., a Nevada corporation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Chardan and Borrower entered into a commitment letter (the “</w:t>
      </w:r>
      <w:r>
        <w:rPr>
          <w:rFonts w:ascii="Times New Roman" w:cs="Times New Roman" w:eastAsia="Times New Roman" w:hAnsi="Times New Roman"/>
          <w:sz w:val="18"/>
          <w:szCs w:val="18"/>
          <w:u w:val="single" w:color="auto"/>
          <w:color w:val="auto"/>
        </w:rPr>
        <w:t>Debt Commitment Letter</w:t>
      </w:r>
      <w:r>
        <w:rPr>
          <w:rFonts w:ascii="Times New Roman" w:cs="Times New Roman" w:eastAsia="Times New Roman" w:hAnsi="Times New Roman"/>
          <w:sz w:val="18"/>
          <w:szCs w:val="18"/>
          <w:color w:val="auto"/>
        </w:rPr>
        <w:t>”) with CCM Investments 5 LLC, an affiliate of Chardan Capital Markets (“</w:t>
      </w:r>
      <w:r>
        <w:rPr>
          <w:rFonts w:ascii="Times New Roman" w:cs="Times New Roman" w:eastAsia="Times New Roman" w:hAnsi="Times New Roman"/>
          <w:sz w:val="18"/>
          <w:szCs w:val="18"/>
          <w:u w:val="single" w:color="auto"/>
          <w:color w:val="auto"/>
        </w:rPr>
        <w:t>CCM 5</w:t>
      </w:r>
      <w:r>
        <w:rPr>
          <w:rFonts w:ascii="Times New Roman" w:cs="Times New Roman" w:eastAsia="Times New Roman" w:hAnsi="Times New Roman"/>
          <w:sz w:val="18"/>
          <w:szCs w:val="18"/>
          <w:color w:val="auto"/>
        </w:rPr>
        <w:t>”, and in connection with the Term Loan, the “</w:t>
      </w:r>
      <w:r>
        <w:rPr>
          <w:rFonts w:ascii="Times New Roman" w:cs="Times New Roman" w:eastAsia="Times New Roman" w:hAnsi="Times New Roman"/>
          <w:sz w:val="18"/>
          <w:szCs w:val="18"/>
          <w:u w:val="single" w:color="auto"/>
          <w:color w:val="auto"/>
        </w:rPr>
        <w:t>Chardan Lender</w:t>
      </w:r>
      <w:r>
        <w:rPr>
          <w:rFonts w:ascii="Times New Roman" w:cs="Times New Roman" w:eastAsia="Times New Roman" w:hAnsi="Times New Roman"/>
          <w:sz w:val="18"/>
          <w:szCs w:val="18"/>
          <w:color w:val="auto"/>
        </w:rPr>
        <w:t>”), and EICF Agent LLC (“</w:t>
      </w:r>
      <w:r>
        <w:rPr>
          <w:rFonts w:ascii="Times New Roman" w:cs="Times New Roman" w:eastAsia="Times New Roman" w:hAnsi="Times New Roman"/>
          <w:sz w:val="18"/>
          <w:szCs w:val="18"/>
          <w:u w:val="single" w:color="auto"/>
          <w:color w:val="auto"/>
        </w:rPr>
        <w:t>EIP</w:t>
      </w:r>
      <w:r>
        <w:rPr>
          <w:rFonts w:ascii="Times New Roman" w:cs="Times New Roman" w:eastAsia="Times New Roman" w:hAnsi="Times New Roman"/>
          <w:sz w:val="18"/>
          <w:szCs w:val="18"/>
          <w:color w:val="auto"/>
        </w:rPr>
        <w:t>” and, collectively with the Chardan Lender, the “</w:t>
      </w:r>
      <w:r>
        <w:rPr>
          <w:rFonts w:ascii="Times New Roman" w:cs="Times New Roman" w:eastAsia="Times New Roman" w:hAnsi="Times New Roman"/>
          <w:sz w:val="18"/>
          <w:szCs w:val="18"/>
          <w:u w:val="single" w:color="auto"/>
          <w:color w:val="auto"/>
        </w:rPr>
        <w:t>Initial Term Loan Lenders</w:t>
      </w:r>
      <w:r>
        <w:rPr>
          <w:rFonts w:ascii="Times New Roman" w:cs="Times New Roman" w:eastAsia="Times New Roman" w:hAnsi="Times New Roman"/>
          <w:sz w:val="18"/>
          <w:szCs w:val="18"/>
          <w:color w:val="auto"/>
        </w:rPr>
        <w:t>”), pursuant to which the Initial Term Loan Lenders committed to provide Borrower with a senior secured term loan facility in an aggregate principal amount of $75 million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concurrently with the closing under the Business Combination Agreement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Chardan Lender has backstopped its commitment under the Debt Commitment Letter by entering into a backstop commitment letter, dated as of May 20, 2022 (the “</w:t>
      </w:r>
      <w:r>
        <w:rPr>
          <w:rFonts w:ascii="Times New Roman" w:cs="Times New Roman" w:eastAsia="Times New Roman" w:hAnsi="Times New Roman"/>
          <w:sz w:val="18"/>
          <w:szCs w:val="18"/>
          <w:i w:val="1"/>
          <w:iCs w:val="1"/>
          <w:color w:val="auto"/>
        </w:rPr>
        <w:t>Backstop Commitment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Letter</w:t>
      </w:r>
      <w:r>
        <w:rPr>
          <w:rFonts w:ascii="Times New Roman" w:cs="Times New Roman" w:eastAsia="Times New Roman" w:hAnsi="Times New Roman"/>
          <w:sz w:val="18"/>
          <w:szCs w:val="18"/>
          <w:color w:val="auto"/>
        </w:rPr>
        <w:t>”), with a certain third-party financing source (the “</w:t>
      </w:r>
      <w:r>
        <w:rPr>
          <w:rFonts w:ascii="Times New Roman" w:cs="Times New Roman" w:eastAsia="Times New Roman" w:hAnsi="Times New Roman"/>
          <w:sz w:val="18"/>
          <w:szCs w:val="18"/>
          <w:i w:val="1"/>
          <w:iCs w:val="1"/>
          <w:color w:val="auto"/>
        </w:rPr>
        <w:t>Backstop Lender</w:t>
      </w:r>
      <w:r>
        <w:rPr>
          <w:rFonts w:ascii="Times New Roman" w:cs="Times New Roman" w:eastAsia="Times New Roman" w:hAnsi="Times New Roman"/>
          <w:sz w:val="18"/>
          <w:szCs w:val="18"/>
          <w:color w:val="auto"/>
        </w:rPr>
        <w:t>”), pursuant to which the Backstop Lender has committed to purchase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Chardan Lender the aggregate amount of the Term Loan held by the Chardan Lender (the “</w:t>
      </w:r>
      <w:r>
        <w:rPr>
          <w:rFonts w:ascii="Times New Roman" w:cs="Times New Roman" w:eastAsia="Times New Roman" w:hAnsi="Times New Roman"/>
          <w:sz w:val="18"/>
          <w:szCs w:val="18"/>
          <w:i w:val="1"/>
          <w:iCs w:val="1"/>
          <w:color w:val="auto"/>
        </w:rPr>
        <w:t>Backstopped Loans</w:t>
      </w:r>
      <w:r>
        <w:rPr>
          <w:rFonts w:ascii="Times New Roman" w:cs="Times New Roman" w:eastAsia="Times New Roman" w:hAnsi="Times New Roman"/>
          <w:sz w:val="18"/>
          <w:szCs w:val="18"/>
          <w:color w:val="auto"/>
        </w:rPr>
        <w:t>”) immediately following the issuance of the Term Loan on the Closing Date subject only to final documentation that is consistent in all material respects with the Debt Commitment Letter and the Summary of Terms and Conditions attached thereto. The proceeds of the Term Loan will be used (i) to refinance on the Closing Date, prior indebtedness,</w:t>
      </w:r>
    </w:p>
    <w:p>
      <w:pPr>
        <w:spacing w:after="0" w:line="12" w:lineRule="exact"/>
        <w:rPr>
          <w:sz w:val="20"/>
          <w:szCs w:val="20"/>
          <w:color w:val="auto"/>
        </w:rPr>
      </w:pPr>
    </w:p>
    <w:p>
      <w:pPr>
        <w:jc w:val="both"/>
        <w:ind w:firstLine="8"/>
        <w:spacing w:after="0" w:line="255" w:lineRule="auto"/>
        <w:tabs>
          <w:tab w:leader="none" w:pos="26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support the combination under the Business Combination Agreement, (iii) for working capital purposes and other corporate purposes, and (iv) to pay any fees associated with transactions contemplated under the definitive agreement for the Term Loan and the other loan documents entered into in connection therewith, including the transactions described in the foregoing clauses (i) and (ii) and fees and expenses related to the business combination.</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In connection with the Debt Commitment Letter, Holdings and Borrower have negotiated the terms of a Term Loan, Guarantee and Security Agreement (the “</w:t>
      </w:r>
      <w:r>
        <w:rPr>
          <w:rFonts w:ascii="Times New Roman" w:cs="Times New Roman" w:eastAsia="Times New Roman" w:hAnsi="Times New Roman"/>
          <w:sz w:val="17"/>
          <w:szCs w:val="17"/>
          <w:u w:val="single" w:color="auto"/>
          <w:color w:val="auto"/>
        </w:rPr>
        <w:t>Term Loan Agreement</w:t>
      </w:r>
      <w:r>
        <w:rPr>
          <w:rFonts w:ascii="Times New Roman" w:cs="Times New Roman" w:eastAsia="Times New Roman" w:hAnsi="Times New Roman"/>
          <w:sz w:val="17"/>
          <w:szCs w:val="17"/>
          <w:color w:val="auto"/>
        </w:rPr>
        <w:t>”) setting forth the terms of the Term Loan. Pursuant to the terms of the Term Loan Agreement, the Term Loan will be advanced in one tranche on the Closing Date. The Term Loan will amortize in the amount of 5% per annum beginning 24 months after closing and mature on the fourth anniversary of the Closing Date (“</w:t>
      </w:r>
      <w:r>
        <w:rPr>
          <w:rFonts w:ascii="Times New Roman" w:cs="Times New Roman" w:eastAsia="Times New Roman" w:hAnsi="Times New Roman"/>
          <w:sz w:val="17"/>
          <w:szCs w:val="17"/>
          <w:u w:val="single" w:color="auto"/>
          <w:color w:val="auto"/>
        </w:rPr>
        <w:t>Maturity Date</w:t>
      </w:r>
      <w:r>
        <w:rPr>
          <w:rFonts w:ascii="Times New Roman" w:cs="Times New Roman" w:eastAsia="Times New Roman" w:hAnsi="Times New Roman"/>
          <w:sz w:val="17"/>
          <w:szCs w:val="17"/>
          <w:color w:val="auto"/>
        </w:rPr>
        <w:t>”). The Term Loan will accrue interest (i) until April 1, 2023 at a per annum rate equal to adjusted Secured Overnight Financing Rate (“</w:t>
      </w:r>
      <w:r>
        <w:rPr>
          <w:rFonts w:ascii="Times New Roman" w:cs="Times New Roman" w:eastAsia="Times New Roman" w:hAnsi="Times New Roman"/>
          <w:sz w:val="17"/>
          <w:szCs w:val="17"/>
          <w:u w:val="single" w:color="auto"/>
          <w:color w:val="auto"/>
        </w:rPr>
        <w:t>SOFR</w:t>
      </w:r>
      <w:r>
        <w:rPr>
          <w:rFonts w:ascii="Times New Roman" w:cs="Times New Roman" w:eastAsia="Times New Roman" w:hAnsi="Times New Roman"/>
          <w:sz w:val="17"/>
          <w:szCs w:val="17"/>
          <w:color w:val="auto"/>
        </w:rPr>
        <w:t>”) plus a margin equal to 13.5%, of which 7% will be payable in cash and 6.5% will be paid in-kind,</w:t>
      </w:r>
    </w:p>
    <w:p>
      <w:pPr>
        <w:spacing w:after="0" w:line="3" w:lineRule="exact"/>
        <w:rPr>
          <w:sz w:val="20"/>
          <w:szCs w:val="20"/>
          <w:color w:val="auto"/>
        </w:rPr>
      </w:pPr>
    </w:p>
    <w:p>
      <w:pPr>
        <w:jc w:val="both"/>
        <w:ind w:firstLine="8"/>
        <w:spacing w:after="0" w:line="253" w:lineRule="auto"/>
        <w:tabs>
          <w:tab w:leader="none" w:pos="28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may elect to prepay all or any portion of the amounts owed prior to the Maturity Date, provided that the Company provides notice to the Administrative Agent and the amount is accompanied by the applicable prepayment premium, if any. Prepayments of the Term Loan will be required</w:t>
      </w:r>
    </w:p>
    <w:p>
      <w:pPr>
        <w:jc w:val="both"/>
        <w:spacing w:after="0" w:line="185" w:lineRule="auto"/>
        <w:rPr>
          <w:sz w:val="20"/>
          <w:szCs w:val="20"/>
          <w:color w:val="auto"/>
        </w:rPr>
      </w:pPr>
      <w:r>
        <w:rPr>
          <w:rFonts w:ascii="Times New Roman" w:cs="Times New Roman" w:eastAsia="Times New Roman" w:hAnsi="Times New Roman"/>
          <w:sz w:val="18"/>
          <w:szCs w:val="18"/>
          <w:color w:val="auto"/>
        </w:rPr>
        <w:t>to be accompanied by a premium of 5% of the principal amount so prepaid if made prior to the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anniversary of the Closing Date, 3% if made on and after the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anniversary but prior to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anniversary of the Closing Date, 1% if made after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anniversary of the Closing Date but prior to the 3</w:t>
      </w:r>
      <w:r>
        <w:rPr>
          <w:rFonts w:ascii="Times New Roman" w:cs="Times New Roman" w:eastAsia="Times New Roman" w:hAnsi="Times New Roman"/>
          <w:sz w:val="29"/>
          <w:szCs w:val="29"/>
          <w:color w:val="auto"/>
          <w:vertAlign w:val="superscript"/>
        </w:rPr>
        <w:t>rd</w:t>
      </w:r>
    </w:p>
    <w:p>
      <w:pPr>
        <w:jc w:val="both"/>
        <w:spacing w:after="0" w:line="220" w:lineRule="auto"/>
        <w:rPr>
          <w:sz w:val="20"/>
          <w:szCs w:val="20"/>
          <w:color w:val="auto"/>
        </w:rPr>
      </w:pPr>
      <w:r>
        <w:rPr>
          <w:rFonts w:ascii="Times New Roman" w:cs="Times New Roman" w:eastAsia="Times New Roman" w:hAnsi="Times New Roman"/>
          <w:sz w:val="18"/>
          <w:szCs w:val="18"/>
          <w:color w:val="auto"/>
        </w:rPr>
        <w:t>anniversary of the Closing Date, and 0% if made on or after the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anniversary of the Closing Date. If the Term Loan is accelerated following the occurrence of an event of default, the Borrower will be required to immediately pay to lenders the sum of all obligations for principal, accrued interest, and the applicable prepayment premium.</w:t>
      </w:r>
    </w:p>
    <w:p>
      <w:pPr>
        <w:spacing w:after="0" w:line="20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foregoing, Borrower will be required to prepay the Term Loan with the net cash proceeds of certain asset sales and casualty events (subject to certain customary exceptions), with the net cash proceeds of the issuance of indebtedness that is not otherwise permitted to be incurred under the Term Loan Agreement, upon the receipt of net cash proceeds from an equity issuance in an amount equal to 25% of such net cash proceeds, and commencing with the fiscal year ending December 31, 2023, with the excess cash flow for each such fiscal year in an amount equal to either 25% or 50% of such excess cash flow, depending on the senior leverage ratio of the consolidated company, less the amount of any voluntary prepayments made during such fiscal year.</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Term Loan Agreement, the obligations of Borrower will be guaranteed by Holdings and Borrower’s subsidiaries that are party thereto from time to time as guarantors. Pursuant to the Term Loan Agreement, each of Holdings, Borrower and its subsidiaries party thereto from time to time will grant Alter Domus (US) LLC, as administrative agent for the lenders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a security interest in substantially all of its personal property, rights and assets to secure the payment of all amounts owed to lenders under the Term Loan Agreement. In addition, Holdings will be required to enter into a Pledge Agreement (the “</w:t>
      </w:r>
      <w:r>
        <w:rPr>
          <w:rFonts w:ascii="Times New Roman" w:cs="Times New Roman" w:eastAsia="Times New Roman" w:hAnsi="Times New Roman"/>
          <w:sz w:val="18"/>
          <w:szCs w:val="18"/>
          <w:u w:val="single" w:color="auto"/>
          <w:color w:val="auto"/>
        </w:rPr>
        <w:t>Pledge Agreement</w:t>
      </w:r>
      <w:r>
        <w:rPr>
          <w:rFonts w:ascii="Times New Roman" w:cs="Times New Roman" w:eastAsia="Times New Roman" w:hAnsi="Times New Roman"/>
          <w:sz w:val="18"/>
          <w:szCs w:val="18"/>
          <w:color w:val="auto"/>
        </w:rPr>
        <w:t>”) pursuant to which Holdings would pledge to the Administrative Agent its equity interests in the Borrower as further collateral security for the obligations under the Term Loan Agreement.</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Term Loan Agreement contains affirmative and restrictive covenants and representations and warranties. The Company and its subsidiaries will be bound by certain affirmative covenants setting forth actions that are required during the term of the Term Loan Agreement, including, without limitation, certain information delivery requirements, obligations to maintain certain insurance, and certain notice requirements. Additionally, Holdings, Borrower and each of its subsidiaries that are guarantors from time to time will be bound by certain restrictive covenants setting forth actions that are not permitted to be taken during the term of the Term Loan Agreement without prior written consent, including, without limitation, incurring certain additional indebtedness, consummating certain mergers, acquisitions or other business combination transactions, and incurring any non-permitted lien or other encumbrance on assets. The Term Loan Agreement will also contain other customary provisions, such as confidentiality obligations and indemnification rights for the benefit of the administrative agent and lenders. The Term Loan Agreement will contain financial covenants requiring the credit parties to (a) maintain minimum liquidity (generally, the balance of unrestricted cash and cash equivalents in the Company’s account that is subject to a control agreement in favor of the Administrative Agent) of at least $10,000,000 as of the last day of each fiscal month commencing with the fiscal month ending December 31, 2022, (b) if the daily average liquidity for any fiscal quarter ending on December 31, 2022, March 31, 2023, June 30, 2023, or September 30, 2023 is less than $17,500,000 and for each fiscal quarter thereafter (commencing with the fiscal quarter ending December 31, 2023), maintain a senior leverage ratio (generally, aggregate debt divided by consolidated EBITDA) of not more than 6.75 to 1.00 for fiscal quarters ending December 31, 2022 to March 31, 2023, 6.00 to 1.00 for fiscal quarters ending June 30, 2023 to September 30, 2023, 5.00 to 1.00 for fiscal quarters ending December 1, 2023 to March 31, 2024, 4.00 to 1.00 for fiscal quarters ending June 30, 2024 to September 30, 2024, 3.25 to 1.00 for fiscal quarters ending December 31, 2024 to March 31, 2025, and 3.00 to 1.00 for fiscal quarters ending June 30, 2025 and thereafter, (c) if liquidity is less than $15,000,000 as of the last day of any fiscal quarter (commencing with the fiscal quarter ending December 31, 2022), maintain a fixed charge coverage ratio for the trailing four fiscal quarter period of no less than 1.15:1.00 as of the last day of such fiscal quarter, and (d) if consolidated EBITDA is less than $15,000,000 for any trailing twelve month period ending on the last day of the most recently completed fiscal quarter, cause capital expenditures to not exceed $500,000 for the immediately succeeding fiscal quarter (subject to certain exceptions set forth in the Term Loan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Agreements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entry into the Term Loan Agreement, and as a required term and condition thereof, Holdings shall enter into (i) the Penny Warrant to issue penny warrants to the Initial Term Loan Lenders under the Term Loan exercisable to purchase an aggregate number of shares equal to 5.6% of Holding’s common stock on a fully diluted basis (the “</w:t>
      </w:r>
      <w:r>
        <w:rPr>
          <w:rFonts w:ascii="Times New Roman" w:cs="Times New Roman" w:eastAsia="Times New Roman" w:hAnsi="Times New Roman"/>
          <w:sz w:val="18"/>
          <w:szCs w:val="18"/>
          <w:u w:val="single" w:color="auto"/>
          <w:color w:val="auto"/>
        </w:rPr>
        <w:t>Penny Warrants</w:t>
      </w:r>
      <w:r>
        <w:rPr>
          <w:rFonts w:ascii="Times New Roman" w:cs="Times New Roman" w:eastAsia="Times New Roman" w:hAnsi="Times New Roman"/>
          <w:sz w:val="18"/>
          <w:szCs w:val="18"/>
          <w:color w:val="auto"/>
        </w:rPr>
        <w:t>”) and (ii) the $10 Warrant to issue warrants to the Initial Term Loan Lenders under the Term Loan exercisable to purchase 1.6 million shares of Holding’s common stock at $10 per share (the “</w:t>
      </w:r>
      <w:r>
        <w:rPr>
          <w:rFonts w:ascii="Times New Roman" w:cs="Times New Roman" w:eastAsia="Times New Roman" w:hAnsi="Times New Roman"/>
          <w:sz w:val="18"/>
          <w:szCs w:val="18"/>
          <w:u w:val="single" w:color="auto"/>
          <w:color w:val="auto"/>
        </w:rPr>
        <w:t>$10 Warrants</w:t>
      </w:r>
      <w:r>
        <w:rPr>
          <w:rFonts w:ascii="Times New Roman" w:cs="Times New Roman" w:eastAsia="Times New Roman" w:hAnsi="Times New Roman"/>
          <w:sz w:val="18"/>
          <w:szCs w:val="18"/>
          <w:color w:val="auto"/>
        </w:rPr>
        <w:t>” and, together with the Penny Warrants,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The amount of Penny Warrants was increased from 3.6% (as previously disclosed) to 5.6% of Holding’s common stock on a fully basis as of the Closing Date. The additional shares of common stock will dilute the pro forma ownership of the other Holdings stockholders proportionately.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Penny Warrants will have an exercise period of 10 years from the date of issuance. In addition, the calculation of ownership of common stock “on a fully diluted basis” will include (i) all outstanding common stock, (ii) shares of common stock issuable upon conversion of outstanding convertible bonds, preferred stock and other securities convertible to common stock on an as-converted to common stock basis, and (iii) all shares of common stock subject to outstanding options.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$10 Warrants will have an exercise period of 5 years from the date of issuance and will have customary cashless exercise provisions. In addition, in the event the registration statement registering the shares of common stock related to Holdings’ planned $150 million equity line of credit has not been declared effective by the Securities and Exchange Commission on or before the date that is 121 days after the issuance date, the number of shares of common stock to be issued pursuant to the $10 Warrants shall increase by an additional 200,000 shares on such date and at the beginning of each subsequent 30 day period, until such registration statement is declared effective.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Warrants will have specified weighted average anti-dilution protection against subsequent equity sales or distributions, subject to customary exclusions including for issuances upon conversion exercise or exchange of securities outstanding as of the Closing Date, issuances pursuant to agreements in effect as of the Closing Date (provided such issuances are taken into account in the calculation of “on a fully diluted basis” as provided above), issuances pursuant to employee benefit plans and similar arrangements, issuances in joint ventures, strategic arrangements or other non-financing type transactions, issuances in debt financings as equity kickers, issuances in public offerings and similar transactions. In addition, no anti-dilution adjustment will be made with respect to issuances of Holdings common stock pursuant to Holdings’ planned $150 million equity line of credit (or replacement thereof) sold at a per share price above $5.00. The shares issuable upon exercise of the Warrants shall have customary registration rights requiring Holdings to file and keep effective a resale registration statement registering the resale of the shares of common stock underlying the Warrants.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Penny Warrants and $10 Warrants, does not purport to be complete and is qualified in its entirety by reference to the full text of such Penny Warrant Agreement and $10 Warrant Agreement, which are filed as Exhibits 4.1 and 4.2, respectively, to this Current Report on Form 8-K and are incorporated herein by reference.</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Current Report on Form 8-K,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CNTQ) which could cause actual results to differ materially from those expressed or implied by such forward-looking statements. All forward-looking statements are based upon estimates, forecasts and assumptions that, while considered reasonable by CNTQ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CNTQ, the combined company or others following the announcement of the business combination and the transactions contemplated thereby; 3) the inability to complete the business combination due to the failure to obtain approval of the stockholders of CNTQ,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CNTQ’s securities; 20) the risk that the transaction may not be completed by CNTQ’s business combination deadline (as may be extended pursuant to CNTQ’s governing documents); 21) the impact of the novel coronavirus disease pandemic, including any mutations or variants thereof and the Russian/Ukrainian conflict, and any resulting effect on business and financial conditions; 22) inability to complete the PIPE investment, the term loan and equity line (ChEF) in connection with the business combination; 23) the potential for events or circumstances that result in Dragonfly’s failure to timely achieve the anticipated benefits of Dragonfly’s customer arrangements with Thor; and 24) other risks and uncertainties set forth in the sections entitled “Risk Factors” and “Cautionary Note Regarding Forward-Looking Statements” in CNTQ’s Form S-1 (File Nos. 333-252449 and 333-253016), Annual Report on Form 10-K for the year ended December 31, 2021, Quarterly Report on Form 10-Q for the three months ended June 30, 2022 and registration statement on Form S-4 (File No. 333-266273) filed with the SEC on July 22, 2022, as amended, which is subject to change and will include a document that serves as a prospectus and proxy statement of CNTQ, referred to as a proxy statement/prospectus and other documents filed by CNTQ from time to time with the SEC. These filings identify and address other important risks and uncertainties that could cause actual events and results to differ materially from those contained in the forward-looking statements. Nothing in this Current Report on Form 8-K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CNTQ nor Dragonfly gives any assurance that either CNTQ or Dragonfly or the combined company will achieve its expected results. Neither CNTQ nor Dragonfly undertakes any duty to update these forward-looking statements, except as otherwise required by law. For additional information, see “Risk Considerations” in the investor presentation, filed on a Current Report on Form 8-K by CNTQ with the SEC and available at www.sec.gov.</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Current Report on Form 8-K relates to a proposed transaction between CNTQ and Dragonfly. CNTQ has filed a registration statement on Form S-4 (File No. 333-266273) with the SEC on July 22, 2022, as amended, which is subject to change and includes a document that serves as a prospectus and proxy statement of CNTQ, referred to as a proxy statement/prospectus. The definitive proxy statement/prospectus has been sent to all CNTQ stockholders of record as of August 11, 2022. CNTQ has also filed other documents regarding the proposed transaction with the SEC. Before making any voting decision, investors and security holders of CNTQ are urged to read the registration statement, the proxy statement/prospectus and all other relevant documents filed or that will be filed with the SEC in connection with the proposed transaction because they contain important information about the proposed transaction.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documents filed by CNTQ with the SEC also may be obtained by contacting Chardan NexTech Acquisition 2 Corp. at 17 State Street, 21st Floor, New York, New York 10004, or by calling (646) 465-9001.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THE TRANSACTIONS DESCRIBED IN THIS CURRENT REPORT ON FORM 8-K, PASSED UPON THE MERITS OR FAIRNESS OF THE BUSINESS COMBINATION OR RELATED TRANSACTIONS OR PASSED UPON THE ADEQUACY OR ACCURACY OF THE DISCLOSURE IN THIS CURRENT REPORT ON FORM 8-K. ANY REPRESENTATION TO THE CONTRARY CONSTITUTES A CRIMINAL OFFENSE.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Dragonfly, CNTQ and certain of their respective directors, executive officers and other members of management and employees may, under SEC rules, be deemed to be participants in the solicitation of proxies from CNTQ’s stockholders in connection with the proposed business combination. A list of the names of such persons and information regarding their interests in the proposed business combination are contained in the definitive proxy statement/prospectus. You may obtain free copies of these documents free of charge by directing a written request to CNTQ or Dragonfly. The definitive proxy statement will be mailed to CNTQ’s stockholders as of a record date to be established for voting on the proposed business combination when it becomes available.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This Current Report on Form 8-K and the information contained therein are not intended to and do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44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ind w:left="460"/>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4.1</w:t>
      </w:r>
      <w:r>
        <w:rPr>
          <w:sz w:val="20"/>
          <w:szCs w:val="20"/>
          <w:color w:val="auto"/>
        </w:rPr>
        <w:tab/>
      </w:r>
      <w:r>
        <w:rPr>
          <w:rFonts w:ascii="Times New Roman" w:cs="Times New Roman" w:eastAsia="Times New Roman" w:hAnsi="Times New Roman"/>
          <w:sz w:val="17"/>
          <w:szCs w:val="17"/>
          <w:u w:val="single" w:color="auto"/>
          <w:color w:val="0000EE"/>
        </w:rPr>
        <w:t>Form of Penny Warrants</w:t>
      </w:r>
    </w:p>
    <w:p>
      <w:pPr>
        <w:spacing w:after="0" w:line="27" w:lineRule="exact"/>
        <w:rPr>
          <w:sz w:val="20"/>
          <w:szCs w:val="20"/>
          <w:color w:val="auto"/>
        </w:rPr>
      </w:pPr>
    </w:p>
    <w:p>
      <w:pPr>
        <w:ind w:left="460"/>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4.2</w:t>
      </w:r>
      <w:r>
        <w:rPr>
          <w:sz w:val="20"/>
          <w:szCs w:val="20"/>
          <w:color w:val="auto"/>
        </w:rPr>
        <w:tab/>
      </w:r>
      <w:r>
        <w:rPr>
          <w:rFonts w:ascii="Times New Roman" w:cs="Times New Roman" w:eastAsia="Times New Roman" w:hAnsi="Times New Roman"/>
          <w:sz w:val="17"/>
          <w:szCs w:val="17"/>
          <w:u w:val="single" w:color="auto"/>
          <w:color w:val="0000EE"/>
        </w:rPr>
        <w:t>Form of $10 Warrants</w:t>
      </w:r>
    </w:p>
    <w:p>
      <w:pPr>
        <w:spacing w:after="0" w:line="9" w:lineRule="exact"/>
        <w:rPr>
          <w:sz w:val="20"/>
          <w:szCs w:val="20"/>
          <w:color w:val="auto"/>
        </w:rPr>
      </w:pPr>
    </w:p>
    <w:p>
      <w:pPr>
        <w:ind w:left="5560" w:right="4220" w:hanging="5120"/>
        <w:spacing w:after="0" w:line="761" w:lineRule="auto"/>
        <w:tabs>
          <w:tab w:leader="none" w:pos="12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Chardan NexTech Acquisition 2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29, 2022</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21342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Jonas Grossman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left="10240"/>
        <w:spacing w:after="0"/>
        <w:rPr>
          <w:sz w:val="20"/>
          <w:szCs w:val="20"/>
          <w:color w:val="auto"/>
        </w:rPr>
      </w:pPr>
      <w:r>
        <w:rPr>
          <w:rFonts w:ascii="Times New Roman" w:cs="Times New Roman" w:eastAsia="Times New Roman" w:hAnsi="Times New Roman"/>
          <w:sz w:val="21"/>
          <w:szCs w:val="21"/>
          <w:b w:val="1"/>
          <w:bCs w:val="1"/>
          <w:color w:val="auto"/>
        </w:rPr>
        <w:t>Exhibit 4.1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PENNY WARRANT</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THIS WARRANT HAS NOT BEEN REGISTERED UNDER THE SECURITIES ACT OF 1933, AS AMENDED (THE “SECURITIES ACT”), OR ANY STATE SECURITIES LAWS, AND MAY NOT BE OFFERED, SOLD, TRANSFERRED OR OTHERWISE DISPOSED OF UNLESS REGISTERED UNDER THE ACT, AND ANY APPLICABLE STATE SECURITIES LAWS OR AN EXEMPTION FROM REGISTRATION IS AVAILABLE. THIS WARRANT MUST BE SURRENDERED TO THE COMPANY OR ITS TRANSFER AGENT AS A CONDITION PRECEDENT TO THE SALE, TRANSFER, PLEDGE OR HYPOTHECATION OF ANY INTEREST IN ANY OF THE SECURITIES REPRESENTED HEREBY.</w:t>
      </w:r>
    </w:p>
    <w:p>
      <w:pPr>
        <w:spacing w:after="0" w:line="182" w:lineRule="exact"/>
        <w:rPr>
          <w:sz w:val="20"/>
          <w:szCs w:val="20"/>
          <w:color w:val="auto"/>
        </w:rPr>
      </w:pPr>
    </w:p>
    <w:p>
      <w:pPr>
        <w:ind w:left="180"/>
        <w:spacing w:after="0"/>
        <w:tabs>
          <w:tab w:leader="none" w:pos="9380" w:val="left"/>
        </w:tabs>
        <w:rPr>
          <w:sz w:val="20"/>
          <w:szCs w:val="20"/>
          <w:color w:val="auto"/>
        </w:rPr>
      </w:pPr>
      <w:r>
        <w:rPr>
          <w:rFonts w:ascii="Times New Roman" w:cs="Times New Roman" w:eastAsia="Times New Roman" w:hAnsi="Times New Roman"/>
          <w:sz w:val="18"/>
          <w:szCs w:val="18"/>
          <w:b w:val="1"/>
          <w:bCs w:val="1"/>
          <w:color w:val="auto"/>
        </w:rPr>
        <w:t>NUMBER W-_______-</w:t>
      </w:r>
      <w:r>
        <w:rPr>
          <w:sz w:val="20"/>
          <w:szCs w:val="20"/>
          <w:color w:val="auto"/>
        </w:rPr>
        <w:tab/>
      </w:r>
      <w:r>
        <w:rPr>
          <w:rFonts w:ascii="Times New Roman" w:cs="Times New Roman" w:eastAsia="Times New Roman" w:hAnsi="Times New Roman"/>
          <w:sz w:val="17"/>
          <w:szCs w:val="17"/>
          <w:b w:val="1"/>
          <w:bCs w:val="1"/>
          <w:color w:val="auto"/>
        </w:rPr>
        <w:t>_______WARRANTS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WARRANT WILL BE VOID IF NOT EXERCISED PRIOR TO THE EXPIRATION DATE (DEFINED BELOW)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WARRANT CERTIFIES THAT, for value received ____________, is the registered holder (the “</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of a warrant or warrants (the “</w:t>
      </w:r>
      <w:r>
        <w:rPr>
          <w:rFonts w:ascii="Times New Roman" w:cs="Times New Roman" w:eastAsia="Times New Roman" w:hAnsi="Times New Roman"/>
          <w:sz w:val="17"/>
          <w:szCs w:val="17"/>
          <w:u w:val="single" w:color="auto"/>
          <w:color w:val="auto"/>
        </w:rPr>
        <w:t>Warrant(s)</w:t>
      </w:r>
      <w:r>
        <w:rPr>
          <w:rFonts w:ascii="Times New Roman" w:cs="Times New Roman" w:eastAsia="Times New Roman" w:hAnsi="Times New Roman"/>
          <w:sz w:val="17"/>
          <w:szCs w:val="17"/>
          <w:color w:val="auto"/>
        </w:rPr>
        <w:t>”)</w:t>
      </w:r>
    </w:p>
    <w:p>
      <w:pPr>
        <w:spacing w:after="0" w:line="213" w:lineRule="auto"/>
        <w:rPr>
          <w:sz w:val="20"/>
          <w:szCs w:val="20"/>
          <w:color w:val="auto"/>
        </w:rPr>
      </w:pPr>
      <w:r>
        <w:rPr>
          <w:rFonts w:ascii="Times New Roman" w:cs="Times New Roman" w:eastAsia="Times New Roman" w:hAnsi="Times New Roman"/>
          <w:sz w:val="18"/>
          <w:szCs w:val="18"/>
          <w:color w:val="auto"/>
        </w:rPr>
        <w:t>and is entitled to purchase up to ____________</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fully paid and non-assessable shares of common stock, par value $0.0001 per share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Dragonfly Energy Holdings Corp.,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at a purchase price per Share (the “</w:t>
      </w:r>
      <w:r>
        <w:rPr>
          <w:rFonts w:ascii="Times New Roman" w:cs="Times New Roman" w:eastAsia="Times New Roman" w:hAnsi="Times New Roman"/>
          <w:sz w:val="18"/>
          <w:szCs w:val="18"/>
          <w:u w:val="single" w:color="auto"/>
          <w:color w:val="auto"/>
        </w:rPr>
        <w:t>Warrant Price</w:t>
      </w:r>
      <w:r>
        <w:rPr>
          <w:rFonts w:ascii="Times New Roman" w:cs="Times New Roman" w:eastAsia="Times New Roman" w:hAnsi="Times New Roman"/>
          <w:sz w:val="18"/>
          <w:szCs w:val="18"/>
          <w:color w:val="auto"/>
        </w:rPr>
        <w:t>”) of $0.01 per share (as adjusted from time to time in accordance with this Warrant). This Warrant is issued in connection with that certain term loan, guarantee and security agreement among Alter Domus (US) LLC, Dragonfly Energy Corp., EICF Agent LLC and the other credit parties signatory thereto (the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Warrant represented by this certificate is referred to herein as the “</w:t>
      </w:r>
      <w:r>
        <w:rPr>
          <w:rFonts w:ascii="Times New Roman" w:cs="Times New Roman" w:eastAsia="Times New Roman" w:hAnsi="Times New Roman"/>
          <w:sz w:val="18"/>
          <w:szCs w:val="18"/>
          <w:u w:val="single" w:color="auto"/>
          <w:color w:val="auto"/>
        </w:rPr>
        <w:t>Warrant Certificate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and Exercise of Warrants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herein, this Warrant shall be exercisable, in whole or in part, commencing the date hereof (the “</w:t>
      </w:r>
      <w:r>
        <w:rPr>
          <w:rFonts w:ascii="Times New Roman" w:cs="Times New Roman" w:eastAsia="Times New Roman" w:hAnsi="Times New Roman"/>
          <w:sz w:val="18"/>
          <w:szCs w:val="18"/>
          <w:u w:val="single" w:color="auto"/>
          <w:color w:val="auto"/>
        </w:rPr>
        <w:t>Issuance Date</w:t>
      </w:r>
      <w:r>
        <w:rPr>
          <w:rFonts w:ascii="Times New Roman" w:cs="Times New Roman" w:eastAsia="Times New Roman" w:hAnsi="Times New Roman"/>
          <w:sz w:val="18"/>
          <w:szCs w:val="18"/>
          <w:color w:val="auto"/>
        </w:rPr>
        <w:t>”) and ending on the ten-year anniversary of the issuance date of this Warrant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entitles the holder thereof to purchase Shares from the Company, commencing on the Issuance Date upon surrender of this Warrant, the Notice of Exercise form attached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duly executed to the office of the Company, Dragonfly Energy Holdings Corp., Attention: Chief Financial Officer, 1190 Trademark Dr. #108, Reno, NV 89521 (or such other office or agency of the Company as it may designate by notice in writing to the Holder at the address of the Holder appearing on the books of the Company) and payment of the Warrant Price (by cash or by check or bank draft payable to the order of the Company) whereupon the Holder shall be entitled to receive from the Company a stock certificate representing the number of Shares so purchased. In no event will the Company be required to net cash settle any warrant exercise.</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shall have the right, in lieu of paying the Warrant Price in cash, to surrender a number of Warrants having a Fair Market Value equal to the aggregate Warrant Price (a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9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shall mean, as of any particular date of determination, (i) if the Shares are then traded or quoted on a nationally recognized securities exchange, inter-dealer quotation system or over-the-counter market (a “</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the average closing price or last sale price of the Shares reported for the five (5) business days prior to the applicable date of determination (or, if the Shares have not been actively trading during the 5 business days prior to the applicable date of determination, the last sale price of the Shares for the business day immediately prior to the applicable date of determination) and (ii) if the Shares are not traded or quoted on a Trading Market,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determine the fair market value of a Share in its reasonable, good faith judgment, subject to the Holder’s right to dispute such determination as provided in Section 1(d)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7830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3" w:lineRule="exact"/>
        <w:rPr>
          <w:sz w:val="20"/>
          <w:szCs w:val="20"/>
          <w:color w:val="auto"/>
        </w:rPr>
      </w:pPr>
    </w:p>
    <w:p>
      <w:pPr>
        <w:ind w:left="120" w:hanging="112"/>
        <w:spacing w:after="0"/>
        <w:tabs>
          <w:tab w:leader="none" w:pos="12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equal 5.6% of the Company’s fully diluted equity securities at the time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 w:name="page9"/>
    <w:bookmarkEnd w:id="8"/>
    <w:p>
      <w:pPr>
        <w:ind w:left="972"/>
        <w:spacing w:after="0"/>
        <w:rPr>
          <w:sz w:val="20"/>
          <w:szCs w:val="20"/>
          <w:color w:val="auto"/>
        </w:rPr>
      </w:pPr>
      <w:r>
        <w:rPr>
          <w:rFonts w:ascii="Times New Roman" w:cs="Times New Roman" w:eastAsia="Times New Roman" w:hAnsi="Times New Roman"/>
          <w:sz w:val="18"/>
          <w:szCs w:val="18"/>
          <w:color w:val="auto"/>
        </w:rPr>
        <w:t>In the event of such a Cashless Exercise, the number of Shares to be issued to the Holder shall be determined as follows:</w:t>
      </w:r>
    </w:p>
    <w:p>
      <w:pPr>
        <w:spacing w:after="0" w:line="225" w:lineRule="exact"/>
        <w:rPr>
          <w:sz w:val="20"/>
          <w:szCs w:val="20"/>
          <w:color w:val="auto"/>
        </w:rPr>
      </w:pPr>
    </w:p>
    <w:p>
      <w:pPr>
        <w:jc w:val="center"/>
        <w:ind w:right="-331"/>
        <w:spacing w:after="0"/>
        <w:rPr>
          <w:sz w:val="20"/>
          <w:szCs w:val="20"/>
          <w:color w:val="auto"/>
        </w:rPr>
      </w:pPr>
      <w:r>
        <w:rPr>
          <w:rFonts w:ascii="Times New Roman" w:cs="Times New Roman" w:eastAsia="Times New Roman" w:hAnsi="Times New Roman"/>
          <w:sz w:val="18"/>
          <w:szCs w:val="18"/>
          <w:color w:val="auto"/>
        </w:rPr>
        <w:t>X = Y[(A - B)/A]</w:t>
      </w:r>
    </w:p>
    <w:p>
      <w:pPr>
        <w:spacing w:after="0" w:line="225"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X = the number of Shares to be issued to the Holder</w:t>
      </w:r>
    </w:p>
    <w:p>
      <w:pPr>
        <w:spacing w:after="0" w:line="27"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Y = the number of Shares with respect to which this Warrant is being exercised</w:t>
      </w:r>
    </w:p>
    <w:p>
      <w:pPr>
        <w:spacing w:after="0" w:line="9"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A = the Fair Market Value of one Share</w:t>
      </w:r>
    </w:p>
    <w:p>
      <w:pPr>
        <w:spacing w:after="0" w:line="9"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B = the Warrant Price</w:t>
      </w:r>
    </w:p>
    <w:p>
      <w:pPr>
        <w:spacing w:after="0" w:line="207" w:lineRule="exact"/>
        <w:rPr>
          <w:sz w:val="20"/>
          <w:szCs w:val="20"/>
          <w:color w:val="auto"/>
        </w:rPr>
      </w:pPr>
    </w:p>
    <w:p>
      <w:pPr>
        <w:jc w:val="both"/>
        <w:ind w:left="972" w:hanging="324"/>
        <w:spacing w:after="0" w:line="255" w:lineRule="auto"/>
        <w:tabs>
          <w:tab w:leader="none" w:pos="97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dispute as to the determination of Fair Market Value, any closing price or sales price of the Shares, the arithmetic calculation of the Warrant Price or the number of Shares for which this Warrant is exercisable, or any other computation required to be made hereunder, if the Holder and the Company are unable to settle such dispute within five business days (or such longer period as the parties may agree), then either party may elect to submit the disputed matter(s) for resolution by an independent accountant, appraiser or investment bank with relevant experience mutually acceptable to the Company and the Holder. Such independent party’s determination of such disputed matter(s) shall be binding upon all parties absent demonstrable error, and the Company and the Holder shall each pay one half of the fees and expenses of the independent party.</w:t>
      </w:r>
    </w:p>
    <w:p>
      <w:pPr>
        <w:spacing w:after="0" w:line="188" w:lineRule="exact"/>
        <w:rPr>
          <w:rFonts w:ascii="Times New Roman" w:cs="Times New Roman" w:eastAsia="Times New Roman" w:hAnsi="Times New Roman"/>
          <w:sz w:val="18"/>
          <w:szCs w:val="18"/>
          <w:color w:val="auto"/>
        </w:rPr>
      </w:pPr>
    </w:p>
    <w:p>
      <w:pPr>
        <w:jc w:val="both"/>
        <w:ind w:left="972" w:hanging="324"/>
        <w:spacing w:after="0" w:line="258" w:lineRule="auto"/>
        <w:tabs>
          <w:tab w:leader="none" w:pos="97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upon the Expiration Date, the Fair Market Value of one Share (or other security issuable upon the exercise hereof) is greater than the Warrant Price in effect on such date, then this Warrant shall automatically be deemed to be exercised on a Cashless Exercise basis as of the Expiration Date as to all the Shares for which it shall not previously have been exercised, and the Company shall, within a reasonable time, deliver a certificate representing the Shares issued upon such exercise to the Holder (and if the Company’s shares are uncertificated, the Company shall deliver reasonably satisfactory evidence to the Holder signifying the valid issuance of such uncertificated shares).</w:t>
      </w:r>
    </w:p>
    <w:p>
      <w:pPr>
        <w:spacing w:after="0" w:line="183"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Shares; No Fractional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56" w:lineRule="auto"/>
        <w:tabs>
          <w:tab w:leader="none" w:pos="97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three business days after the exercise of this Warrant and the clearance of the funds in payment of the applicable Warrant Price (if any) (the “</w:t>
      </w:r>
      <w:r>
        <w:rPr>
          <w:rFonts w:ascii="Times New Roman" w:cs="Times New Roman" w:eastAsia="Times New Roman" w:hAnsi="Times New Roman"/>
          <w:sz w:val="18"/>
          <w:szCs w:val="18"/>
          <w:u w:val="single" w:color="auto"/>
          <w:color w:val="auto"/>
        </w:rPr>
        <w:t>Delivery Deadline</w:t>
      </w:r>
      <w:r>
        <w:rPr>
          <w:rFonts w:ascii="Times New Roman" w:cs="Times New Roman" w:eastAsia="Times New Roman" w:hAnsi="Times New Roman"/>
          <w:sz w:val="18"/>
          <w:szCs w:val="18"/>
          <w:color w:val="auto"/>
        </w:rPr>
        <w:t>”), the Company, at its expense, shall issue to the registered holder of such Warrant a certificate or certificates, or book entry position, for the number of Shares to which he, she or it is entitled, registered in such name or names as may be directed by him, her or it. Upon any exercise of the Warrant for less than the total number of full Shares provided for herein, there shall be issued to the registered holder hereof or the registered holder’s assignee a new Warrant Certificate covering the number of Shares for which the Warrant has not been exercised.</w:t>
      </w:r>
    </w:p>
    <w:p>
      <w:pPr>
        <w:spacing w:after="0" w:line="187" w:lineRule="exact"/>
        <w:rPr>
          <w:rFonts w:ascii="Times New Roman" w:cs="Times New Roman" w:eastAsia="Times New Roman" w:hAnsi="Times New Roman"/>
          <w:sz w:val="18"/>
          <w:szCs w:val="18"/>
          <w:color w:val="auto"/>
        </w:rPr>
      </w:pPr>
    </w:p>
    <w:p>
      <w:pPr>
        <w:jc w:val="both"/>
        <w:ind w:left="972" w:hanging="324"/>
        <w:spacing w:after="0" w:line="255" w:lineRule="auto"/>
        <w:tabs>
          <w:tab w:leader="none" w:pos="97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of exercise, the Company has a transfer agent (the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then upon the exercise of this Warrant in whole or in part, the Company shall, at its expense, take all necessary action, including (if necessary) obtaining and delivering an opinion from its counsel, to ensure that the Transfer Agent shall issue Shares in the name of the Holder (or its nominee) or such other persons as designated by the Holder and in such denominations to be specified in the applicable Notice of Exercise. The Company represents and warrants that if the Unrestricted Conditions set forth in Section 6 below are met, the Shares will be free-trading, and freely transferable, and will not contain a legend restricting the resale or transferability of the Shares and that no instructions other than the foregoing instructions will be given to the Transfer Agent.</w:t>
      </w:r>
    </w:p>
    <w:p>
      <w:pPr>
        <w:spacing w:after="0" w:line="188" w:lineRule="exact"/>
        <w:rPr>
          <w:rFonts w:ascii="Times New Roman" w:cs="Times New Roman" w:eastAsia="Times New Roman" w:hAnsi="Times New Roman"/>
          <w:sz w:val="18"/>
          <w:szCs w:val="18"/>
          <w:color w:val="auto"/>
        </w:rPr>
      </w:pPr>
    </w:p>
    <w:p>
      <w:pPr>
        <w:jc w:val="both"/>
        <w:ind w:left="972" w:hanging="324"/>
        <w:spacing w:after="0" w:line="256" w:lineRule="auto"/>
        <w:tabs>
          <w:tab w:leader="none" w:pos="97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 Agent is participating in the DTC Fast Automated Securities Transfer (“</w:t>
      </w:r>
      <w:r>
        <w:rPr>
          <w:rFonts w:ascii="Times New Roman" w:cs="Times New Roman" w:eastAsia="Times New Roman" w:hAnsi="Times New Roman"/>
          <w:sz w:val="18"/>
          <w:szCs w:val="18"/>
          <w:u w:val="single" w:color="auto"/>
          <w:color w:val="auto"/>
        </w:rPr>
        <w:t>FAST</w:t>
      </w:r>
      <w:r>
        <w:rPr>
          <w:rFonts w:ascii="Times New Roman" w:cs="Times New Roman" w:eastAsia="Times New Roman" w:hAnsi="Times New Roman"/>
          <w:sz w:val="18"/>
          <w:szCs w:val="18"/>
          <w:color w:val="auto"/>
        </w:rPr>
        <w:t>”) program, upon written request of the Holder and in lieu of delivering physical certificates representing Shares to be delivered under or in connection with this Warrant Certificate, the Company shall use its commercially reasonable efforts to cause the Transfer Agent to electronically transmit the Shares to the Holder by crediting the account of the Holder’s prime broker with the DTC through its Deposit Withdrawal Agent Commission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system. The time periods for delivery and penalties described herein shall apply to the electronic transmittals described herein. Any delivery not effected by electronic transmission shall be effected by delivery of physical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405130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9" w:name="page10"/>
    <w:bookmarkEnd w:id="9"/>
    <w:p>
      <w:pPr>
        <w:ind w:left="972" w:hanging="324"/>
        <w:spacing w:after="0" w:line="282" w:lineRule="auto"/>
        <w:tabs>
          <w:tab w:leader="none" w:pos="9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fails to transmit, or cause the Transfer Agent to transmit, to the Holder the Shares by the Delivery Deadline, then the Holder will have the right to rescind such Warrant exercise.</w:t>
      </w:r>
    </w:p>
    <w:p>
      <w:pPr>
        <w:spacing w:after="0" w:line="161" w:lineRule="exact"/>
        <w:rPr>
          <w:rFonts w:ascii="Times New Roman" w:cs="Times New Roman" w:eastAsia="Times New Roman" w:hAnsi="Times New Roman"/>
          <w:sz w:val="18"/>
          <w:szCs w:val="18"/>
          <w:color w:val="auto"/>
        </w:rPr>
      </w:pPr>
    </w:p>
    <w:p>
      <w:pPr>
        <w:jc w:val="both"/>
        <w:ind w:left="972" w:hanging="324"/>
        <w:spacing w:after="0" w:line="253" w:lineRule="auto"/>
        <w:tabs>
          <w:tab w:leader="none" w:pos="9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other rights available to the Holder, including the right to rescind the exercise as provided above, if as a result of a failure to deliver the Shares by the Delivery Deadline (so long as the failure to deliver the Shares is not caused by any action or inaction by the Holder) (a “</w:t>
      </w:r>
      <w:r>
        <w:rPr>
          <w:rFonts w:ascii="Times New Roman" w:cs="Times New Roman" w:eastAsia="Times New Roman" w:hAnsi="Times New Roman"/>
          <w:sz w:val="18"/>
          <w:szCs w:val="18"/>
          <w:u w:val="single" w:color="auto"/>
          <w:color w:val="auto"/>
        </w:rPr>
        <w:t>Delivery Failure</w:t>
      </w:r>
      <w:r>
        <w:rPr>
          <w:rFonts w:ascii="Times New Roman" w:cs="Times New Roman" w:eastAsia="Times New Roman" w:hAnsi="Times New Roman"/>
          <w:sz w:val="18"/>
          <w:szCs w:val="18"/>
          <w:color w:val="auto"/>
        </w:rPr>
        <w:t>”) the Holder is required by its broker to purchase (in an open market transaction or otherwise) or the Holder’s brokerage firm otherwise purchases shares of the Company’s capital stock to deliver in satisfaction of a sale anticipated to be made by the Holder of all or portion of such Shares which are the subject of such Delivery Failure (an “</w:t>
      </w:r>
      <w:r>
        <w:rPr>
          <w:rFonts w:ascii="Times New Roman" w:cs="Times New Roman" w:eastAsia="Times New Roman" w:hAnsi="Times New Roman"/>
          <w:sz w:val="18"/>
          <w:szCs w:val="18"/>
          <w:u w:val="single" w:color="auto"/>
          <w:color w:val="auto"/>
        </w:rPr>
        <w:t>Anticipated Sale</w:t>
      </w:r>
      <w:r>
        <w:rPr>
          <w:rFonts w:ascii="Times New Roman" w:cs="Times New Roman" w:eastAsia="Times New Roman" w:hAnsi="Times New Roman"/>
          <w:sz w:val="18"/>
          <w:szCs w:val="18"/>
          <w:color w:val="auto"/>
        </w:rPr>
        <w:t>”), then the Company shall (i) pay in cash to the Holder the amount by which (x) the Holder’s total purchase price (including brokerage commissions, if any) for the shares of the Company’s capital stock so purchased exceeds (y) an amount equal to the product of (A) the number of Shares that the Holder anticipated to sell in such Anticipated Sale, multiplied by (B) the Warrant Price that would have been payable for such Shares, and (ii) at the option of the Holder, either reinstate the portion of this Warrant and equivalent number of Shares in respect of which such Delivery Failure occurred or deliver to the Holder the number of Shares that would have been issued had the Company timely complied with its obligations hereunder to issue such Shares upon such exercise. The Holder shall provide the Company written notice indicating the amounts payable to the Holder, together with applicable confirmations and other evidence reasonably requested by the Company.</w:t>
      </w:r>
    </w:p>
    <w:p>
      <w:pPr>
        <w:spacing w:after="0" w:line="189"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 of a Share will be issued upon any exercise of a Warrant. If the holder of a Warrant would be entitled to receive a fraction of a Share upon any exercise of a Warrant, the Company shall, upon such exercise, issue or cause to be issued only the largest whole number of Shares issuable on such exercise (and such fraction of a Share will be disregarded).</w:t>
      </w:r>
    </w:p>
    <w:p>
      <w:pPr>
        <w:spacing w:after="0" w:line="175"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Rule 144, it is acknowledged and agreed that (i) the Shares issuable upon any exercise of this Warrant in any Cashless Exercise transaction shall be deemed to have been acquired on the Issuance Date, and (ii) the holding period for any of the Shares issuable upon the exercise of this Warrant in any Cashless Exercise transaction shall be deemed to have commenced on the Issuance Date.</w:t>
      </w:r>
    </w:p>
    <w:p>
      <w:pPr>
        <w:spacing w:after="0" w:line="17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and Registry of Warrant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Certificates, when surrendered at the office of the Company by the Holder in person or by attorney duly authorized in writing, may be exchanged without payment of any service charge, for another Warrant Certificate or Warrant Certificates of like tenor and evidencing in the aggregate a like number of Warrants.</w:t>
      </w:r>
    </w:p>
    <w:p>
      <w:pPr>
        <w:spacing w:after="0" w:line="175"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due presentment for registration of transfer of the Warrant Certificate at the office of the Company, a new Warrant Certificate or Warrant Certificates of like tenor and evidencing in the aggregate a like number of Warrants shall be issued to the transferee in exchange for this Warrant Certificate, without charge except for any applicable tax or other governmental charge.</w:t>
      </w:r>
    </w:p>
    <w:p>
      <w:pPr>
        <w:spacing w:after="0" w:line="175" w:lineRule="exact"/>
        <w:rPr>
          <w:rFonts w:ascii="Times New Roman" w:cs="Times New Roman" w:eastAsia="Times New Roman" w:hAnsi="Times New Roman"/>
          <w:sz w:val="18"/>
          <w:szCs w:val="18"/>
          <w:color w:val="auto"/>
        </w:rPr>
      </w:pPr>
    </w:p>
    <w:p>
      <w:pPr>
        <w:jc w:val="both"/>
        <w:ind w:left="972" w:hanging="324"/>
        <w:spacing w:after="0" w:line="261" w:lineRule="auto"/>
        <w:tabs>
          <w:tab w:leader="none" w:pos="97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keep and properly maintain at its principal executive offices a register for the registration of this Warrant and any transfers thereof. The Company may deem and treat the person in whose name this Warrant is registered on such register as the Holder thereof for all purposes, and the Company shall not be affected by any notice to the contrary, except any assignment, division, combination or other transfer of this Warrant effected in accordance with the provisions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0" w:name="page11"/>
    <w:bookmarkEnd w:id="10"/>
    <w:p>
      <w:pPr>
        <w:ind w:left="332" w:hanging="332"/>
        <w:spacing w:after="0"/>
        <w:tabs>
          <w:tab w:leader="none" w:pos="33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Anti-Dilution Adjustments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Change in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612" w:hanging="316"/>
        <w:spacing w:after="0" w:line="254" w:lineRule="auto"/>
        <w:tabs>
          <w:tab w:leader="none" w:pos="1612"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after the Issuance Date and prior to the exercise in full of this Warrant, the outstanding the number of Shares shall be subdivided (by distribution, subdivision or otherwise), into a greater number of Shares, the number of Shares issuable on the exercise of each Warrant then in effect shall, concurrently with the effectiveness of such subdivision, be equally, ratably and proportionally increased, as determined in good faith by the Board, which determination shall be final and binding on the Holders absent manifest error. In the event the outstanding Shares shall be combined or consolidated, by reclassification or otherwise, into a lesser number of Shares, the number of Shares issuable on the exercise of each Warrant then in effect shall, concurrently with the effectiveness of such subdivision, be equally, ratably and proportionally decreased, as determined in good faith by the Board, which determination shall be final and binding on the Holders absent manifest error.</w:t>
      </w:r>
    </w:p>
    <w:p>
      <w:pPr>
        <w:spacing w:after="0" w:line="191" w:lineRule="exact"/>
        <w:rPr>
          <w:rFonts w:ascii="Times New Roman" w:cs="Times New Roman" w:eastAsia="Times New Roman" w:hAnsi="Times New Roman"/>
          <w:sz w:val="18"/>
          <w:szCs w:val="18"/>
          <w:color w:val="auto"/>
        </w:rPr>
      </w:pPr>
    </w:p>
    <w:p>
      <w:pPr>
        <w:jc w:val="both"/>
        <w:ind w:left="1612" w:hanging="316"/>
        <w:spacing w:after="0" w:line="256" w:lineRule="auto"/>
        <w:tabs>
          <w:tab w:leader="none" w:pos="1612"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after the Issuance Date and prior to the exercise in full of this Warrant, the Shares are exchanged for, or converted into, another form of equity security of the Company or of any other entity, this Warrant shall be exercisable for an equivalent number of such equity securities, at an equivalent Warrant Price, in each case as determined by the Board acting reasonably, so as to provide the Holder with rights equitably equivalent to the rights held by the Holder by virtue of this Warrant in effect immediately prior to such exchange or conversion, and each reference herein to the Shares issuable on exercise of this Warrant shall be deemed to be a reference to such other equity securities.</w:t>
      </w:r>
    </w:p>
    <w:p>
      <w:pPr>
        <w:spacing w:after="0" w:line="187" w:lineRule="exact"/>
        <w:rPr>
          <w:rFonts w:ascii="Times New Roman" w:cs="Times New Roman" w:eastAsia="Times New Roman" w:hAnsi="Times New Roman"/>
          <w:sz w:val="18"/>
          <w:szCs w:val="18"/>
          <w:color w:val="auto"/>
        </w:rPr>
      </w:pPr>
    </w:p>
    <w:p>
      <w:pPr>
        <w:jc w:val="both"/>
        <w:ind w:left="972" w:hanging="324"/>
        <w:spacing w:after="0" w:line="255" w:lineRule="auto"/>
        <w:tabs>
          <w:tab w:leader="none" w:pos="97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for Issuance of Applicable Shares</w:t>
      </w:r>
      <w:r>
        <w:rPr>
          <w:rFonts w:ascii="Times New Roman" w:cs="Times New Roman" w:eastAsia="Times New Roman" w:hAnsi="Times New Roman"/>
          <w:sz w:val="18"/>
          <w:szCs w:val="18"/>
          <w:color w:val="auto"/>
        </w:rPr>
        <w:t>. If, after the Issuance Date, the Company shall issue or sell any Shares (other than shares included in the Excluded Issuances, as defined below) (the “</w:t>
      </w:r>
      <w:r>
        <w:rPr>
          <w:rFonts w:ascii="Times New Roman" w:cs="Times New Roman" w:eastAsia="Times New Roman" w:hAnsi="Times New Roman"/>
          <w:sz w:val="18"/>
          <w:szCs w:val="18"/>
          <w:u w:val="single" w:color="auto"/>
          <w:color w:val="auto"/>
        </w:rPr>
        <w:t>Applicable Shares</w:t>
      </w:r>
      <w:r>
        <w:rPr>
          <w:rFonts w:ascii="Times New Roman" w:cs="Times New Roman" w:eastAsia="Times New Roman" w:hAnsi="Times New Roman"/>
          <w:sz w:val="18"/>
          <w:szCs w:val="18"/>
          <w:color w:val="auto"/>
        </w:rPr>
        <w:t>”), or options, warrants, convertible securities and similar instruments exercisable or otherwise convertible or exchangeable for Applicable Shares, in each case without consideration or for a consideration per Share initially deliverable upon issuance, conversion or exchange of such securities less than $10 (as proportionately adjusted to account for stock splits, stock combinations, stock dividends or other distributions and recapitalizations affecting the Common Stock) (the “</w:t>
      </w:r>
      <w:r>
        <w:rPr>
          <w:rFonts w:ascii="Times New Roman" w:cs="Times New Roman" w:eastAsia="Times New Roman" w:hAnsi="Times New Roman"/>
          <w:sz w:val="18"/>
          <w:szCs w:val="18"/>
          <w:u w:val="single" w:color="auto"/>
          <w:color w:val="auto"/>
        </w:rPr>
        <w:t>Original Price</w:t>
      </w:r>
      <w:r>
        <w:rPr>
          <w:rFonts w:ascii="Times New Roman" w:cs="Times New Roman" w:eastAsia="Times New Roman" w:hAnsi="Times New Roman"/>
          <w:sz w:val="18"/>
          <w:szCs w:val="18"/>
          <w:color w:val="auto"/>
        </w:rPr>
        <w:t>”), then effective immediately upon such issuance or sale, the number of Shares issuable upon exercise of this Warrant immediately prior to any such issuance or sale shall be increased, and shall not be reduced, in accordance with the following formula:</w:t>
      </w:r>
    </w:p>
    <w:p>
      <w:pPr>
        <w:spacing w:after="0" w:line="59" w:lineRule="exact"/>
        <w:rPr>
          <w:sz w:val="20"/>
          <w:szCs w:val="20"/>
          <w:color w:val="auto"/>
        </w:rPr>
      </w:pPr>
    </w:p>
    <w:p>
      <w:pPr>
        <w:ind w:left="4952"/>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 S x [(OS + D) / (OS + PS)]</w:t>
      </w:r>
    </w:p>
    <w:p>
      <w:pPr>
        <w:spacing w:after="0" w:line="112"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 new number of Shares issuable upon exercise of this Warrant</w:t>
      </w:r>
    </w:p>
    <w:p>
      <w:pPr>
        <w:spacing w:after="0" w:line="45"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S = then applicable number of Shares issuable upon exercise of this Warrant immediately prior to the issuance or sale</w:t>
      </w:r>
    </w:p>
    <w:p>
      <w:pPr>
        <w:spacing w:after="0" w:line="7"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OS = the number of Shares outstanding immediately prior to the issuance of such securities</w:t>
      </w:r>
    </w:p>
    <w:p>
      <w:pPr>
        <w:spacing w:after="0" w:line="9"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D = the maximum number of Shares deliverable upon issuance of such securities</w:t>
      </w:r>
    </w:p>
    <w:p>
      <w:pPr>
        <w:spacing w:after="0" w:line="9" w:lineRule="exact"/>
        <w:rPr>
          <w:sz w:val="20"/>
          <w:szCs w:val="20"/>
          <w:color w:val="auto"/>
        </w:rPr>
      </w:pPr>
    </w:p>
    <w:p>
      <w:pPr>
        <w:ind w:left="972"/>
        <w:spacing w:after="0" w:line="260" w:lineRule="auto"/>
        <w:rPr>
          <w:sz w:val="20"/>
          <w:szCs w:val="20"/>
          <w:color w:val="auto"/>
        </w:rPr>
      </w:pPr>
      <w:r>
        <w:rPr>
          <w:rFonts w:ascii="Times New Roman" w:cs="Times New Roman" w:eastAsia="Times New Roman" w:hAnsi="Times New Roman"/>
          <w:sz w:val="18"/>
          <w:szCs w:val="18"/>
          <w:color w:val="auto"/>
        </w:rPr>
        <w:t>PS = the aggregate number of Shares which the aggregate amount of consideration received by the Company upon such issuance or sale would have purchased at the Original Price</w:t>
      </w:r>
    </w:p>
    <w:p>
      <w:pPr>
        <w:spacing w:after="0" w:line="181" w:lineRule="exact"/>
        <w:rPr>
          <w:sz w:val="20"/>
          <w:szCs w:val="20"/>
          <w:color w:val="auto"/>
        </w:rPr>
      </w:pPr>
    </w:p>
    <w:p>
      <w:pPr>
        <w:jc w:val="both"/>
        <w:ind w:left="972" w:hanging="324"/>
        <w:spacing w:after="0" w:line="253" w:lineRule="auto"/>
        <w:tabs>
          <w:tab w:leader="none" w:pos="97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Dividends and Distributions</w:t>
      </w:r>
      <w:r>
        <w:rPr>
          <w:rFonts w:ascii="Times New Roman" w:cs="Times New Roman" w:eastAsia="Times New Roman" w:hAnsi="Times New Roman"/>
          <w:sz w:val="18"/>
          <w:szCs w:val="18"/>
          <w:color w:val="auto"/>
        </w:rPr>
        <w:t xml:space="preserve">. If the Company shall make or declare, or fix a record date for the determination of holders of equity securities entitled to receive, a dividend or any other distribution payable in cash, securities of the Company or other property, then, and in each such event, the Company shall ensure that provisions are made so that the Holder shall receive upon exercise of this Warrant, in addition to the number of the Shares receivable thereupon, the kind and amount of cash, securities of the Company or other property which the Holder would have been entitled to receive had this Warrant been exercised in full into the Shares on the date of such event and had the Holder thereafter, during the period from the date of such event to and including the date this Warrant is exercised, retained such cash, securities or other property receivable by them as aforesaid during such period, giving application to all adjustments called for during such period under this Section with respect to the rights of the Holder;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such provision shall be made if the Holder receives, simultaneously with the distribution to the holders of equity securities, a dividend or other distribution of such securities, cash or other property in an amount equal to the amount of such securities, cash or other property as the Holder would have received if this Warrant had been exercised in full into the Shares on the date of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407670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1" w:name="page12"/>
    <w:bookmarkEnd w:id="11"/>
    <w:p>
      <w:pPr>
        <w:jc w:val="both"/>
        <w:ind w:left="324" w:hanging="324"/>
        <w:spacing w:after="0" w:line="258" w:lineRule="auto"/>
        <w:tabs>
          <w:tab w:leader="none" w:pos="3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Events</w:t>
      </w:r>
      <w:r>
        <w:rPr>
          <w:rFonts w:ascii="Times New Roman" w:cs="Times New Roman" w:eastAsia="Times New Roman" w:hAnsi="Times New Roman"/>
          <w:sz w:val="18"/>
          <w:szCs w:val="18"/>
          <w:color w:val="auto"/>
        </w:rPr>
        <w:t xml:space="preserve">. If any event of the type contemplated by the provisions of this Section but not expressly provided for by such provisions (including, without limitation, the granting of stock appreciation rights, phantom stock rights or other rights with equity features) occurs, then the Board shall make an appropriate adjustment in the number of the Shares issuable upon exercise of this Warrant so as to protect the rights of the Holder in a manner consistent with the provisions of this Section;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such adjustment pursuant to this Section 4(d) shall increase the Warrant Price or decrease the number of the Shares issuable hereunder.</w:t>
      </w:r>
    </w:p>
    <w:p>
      <w:pPr>
        <w:spacing w:after="0" w:line="183" w:lineRule="exact"/>
        <w:rPr>
          <w:rFonts w:ascii="Times New Roman" w:cs="Times New Roman" w:eastAsia="Times New Roman" w:hAnsi="Times New Roman"/>
          <w:sz w:val="18"/>
          <w:szCs w:val="18"/>
          <w:color w:val="auto"/>
        </w:rPr>
      </w:pPr>
    </w:p>
    <w:p>
      <w:pPr>
        <w:jc w:val="both"/>
        <w:ind w:left="324" w:hanging="324"/>
        <w:spacing w:after="0" w:line="252" w:lineRule="auto"/>
        <w:tabs>
          <w:tab w:leader="none" w:pos="3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Exceptions to Adjustments</w:t>
      </w:r>
      <w:r>
        <w:rPr>
          <w:rFonts w:ascii="Times New Roman" w:cs="Times New Roman" w:eastAsia="Times New Roman" w:hAnsi="Times New Roman"/>
          <w:sz w:val="18"/>
          <w:szCs w:val="18"/>
          <w:color w:val="auto"/>
        </w:rPr>
        <w:t>. Except as specifically provided for herein, there shall be no adjustment or readjustment to the number of Shares issuable in the following circumstances (each of the following, an “</w:t>
      </w:r>
      <w:r>
        <w:rPr>
          <w:rFonts w:ascii="Times New Roman" w:cs="Times New Roman" w:eastAsia="Times New Roman" w:hAnsi="Times New Roman"/>
          <w:sz w:val="18"/>
          <w:szCs w:val="18"/>
          <w:u w:val="single" w:color="auto"/>
          <w:color w:val="auto"/>
        </w:rPr>
        <w:t>Excluded Issuance</w:t>
      </w:r>
      <w:r>
        <w:rPr>
          <w:rFonts w:ascii="Times New Roman" w:cs="Times New Roman" w:eastAsia="Times New Roman" w:hAnsi="Times New Roman"/>
          <w:sz w:val="18"/>
          <w:szCs w:val="18"/>
          <w:color w:val="auto"/>
        </w:rPr>
        <w:t xml:space="preserve">”): (1) upon the exercise of this Warrant or any of the other Warrants issued to the Company’s other lenders on the Issuance Date; (2) upon conversion, exercise or exchange of securities, including convertible debt securities, outstanding prior to the Issuance Date; (3) pursuant to agreements in effect as of the Issuance Date (provided that such agreements are not amended after the Issuance Date to increase the number of securities, reduce the consideration payable in connection with such securities, or otherwise change the terms of such agreements so as to have a dilutive effect on this Warrant); (4) pursuant to the Company’s management, directors or other service providers as part of compensation and incentive programs approved by the Board; (5) pursuant to any joint venture arrangement, strategic arrangements, real property lease, financing transaction or other similar transaction in which equity financing is not the purpose of the transaction; and (6) pursuant to any public equity offerings. Notwithstanding the foregoing, the parties agree that any equity securities issued in “PIPE” transactions, and any equity securities issued pursuant to the Committed Equity Facility shall be “Excluded Issuances” if the securities issued in such “PIPE” transactions or pursuant to the Committed Equity Facility are issued for consideration equal to at at least $5 per share (as proportionately adjusted to account for stock splits, stock combinations, stock dividends or other distributions or recapitalizations affecting the Common Stock). For example (x) if the Company issues equity securities in a PIPE Transaction or pursuant to the Committed Equity Facility, and the consideration paid for those equity securities is $4 per equity security, then such issuance shall not be an Excluded Issuance and the adjustment set forth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shall apply, and (y) if the Company issues equity securities in a PIPE Transaction or pursuant to the Committed Equity Facility, and the consideration paid for those equity securities is $5 per equity security, then such issuance shall be an Excluded Issuance and the adjustment set forth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shall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apply. As used herein, “</w:t>
      </w:r>
      <w:r>
        <w:rPr>
          <w:rFonts w:ascii="Times New Roman" w:cs="Times New Roman" w:eastAsia="Times New Roman" w:hAnsi="Times New Roman"/>
          <w:sz w:val="18"/>
          <w:szCs w:val="18"/>
          <w:u w:val="single" w:color="auto"/>
          <w:color w:val="auto"/>
        </w:rPr>
        <w:t>Committed Equity Facility</w:t>
      </w:r>
      <w:r>
        <w:rPr>
          <w:rFonts w:ascii="Times New Roman" w:cs="Times New Roman" w:eastAsia="Times New Roman" w:hAnsi="Times New Roman"/>
          <w:sz w:val="18"/>
          <w:szCs w:val="18"/>
          <w:color w:val="auto"/>
        </w:rPr>
        <w:t>” means the ChEF Purchase Agreement by and between Chardan Capital Markets LLC and Dragonfly Energy Holdings Corp., including any modification, amendment or replacement thereof.</w:t>
      </w:r>
    </w:p>
    <w:p>
      <w:pPr>
        <w:spacing w:after="0" w:line="190"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Adjustment</w:t>
      </w:r>
      <w:r>
        <w:rPr>
          <w:rFonts w:ascii="Times New Roman" w:cs="Times New Roman" w:eastAsia="Times New Roman" w:hAnsi="Times New Roman"/>
          <w:sz w:val="18"/>
          <w:szCs w:val="18"/>
          <w:color w:val="auto"/>
        </w:rPr>
        <w:t>. Upon the occurrence of each adjustment or readjustment of the number of Shares issuable on the exercise of each Warrant, the Company (at its expense) shall promptly compute such adjustment or readjustment in accordance with the terms hereof and furnish to the Holder a notice setting forth (1) such adjustment or readjustment and showing in detail the facts upon which such adjustment or readjustment is based and (2) the number of Shares issuable on the exercise of each Warrant at the time in effect.</w:t>
      </w:r>
    </w:p>
    <w:p>
      <w:pPr>
        <w:spacing w:after="0" w:line="179"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other than in the ordinary course, in any manner which prevents the timely exercise of this Warrant, pursuant to the terms hereof.</w:t>
      </w:r>
    </w:p>
    <w:p>
      <w:pPr>
        <w:spacing w:after="0" w:line="161"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All calculations hereunder shall be made to the nearest cent or to the nearest twentieth decimal place of a fractional Share,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388620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2" w:name="page13"/>
    <w:bookmarkEnd w:id="12"/>
    <w:p>
      <w:pPr>
        <w:ind w:left="332" w:hanging="332"/>
        <w:spacing w:after="0"/>
        <w:tabs>
          <w:tab w:leader="none" w:pos="33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52" w:lineRule="auto"/>
        <w:tabs>
          <w:tab w:leader="none" w:pos="97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following the Issuance Date but no later than thirty (30) calendar days after the Issuance Date, the Company shall submit to or file with the SEC a registration statement registering the resale of this Warrant, the Shares, and any securities issued or issuable with respect to the Shares by way of a stock dividend or stock split or in connection with a combination of shares, recapitalization, merger, consolidation, spin-off, reclassification or other reorganization or similar transaction (including Shares received pursuant to Section 4 above) (the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on any form of registration statement (a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as is then available to effect a registration for resale of such Registrable Securities, which may be on Form S-1, for an offering to be made on a continuous basis pursuant to Rule 415 of the Securities Act registering the resale from time to time by the Holder(s) (or a bona fide pledgee thereof) of all of the Registrable Securities held by the Holder (or bona fide pledgee thereof) (the “</w:t>
      </w:r>
      <w:r>
        <w:rPr>
          <w:rFonts w:ascii="Times New Roman" w:cs="Times New Roman" w:eastAsia="Times New Roman" w:hAnsi="Times New Roman"/>
          <w:sz w:val="18"/>
          <w:szCs w:val="18"/>
          <w:u w:val="single" w:color="auto"/>
          <w:color w:val="auto"/>
        </w:rPr>
        <w:t>Initial Registration Statement</w:t>
      </w:r>
      <w:r>
        <w:rPr>
          <w:rFonts w:ascii="Times New Roman" w:cs="Times New Roman" w:eastAsia="Times New Roman" w:hAnsi="Times New Roman"/>
          <w:sz w:val="18"/>
          <w:szCs w:val="18"/>
          <w:color w:val="auto"/>
        </w:rPr>
        <w:t>”). The Holder shall not be named as an underwriter on any Registration Statement, provided, that if the SEC requires that the Holder be identified as a statutory underwriter in a Registration Statement, the Holder will have the option, in its sole and absolute discretion, to either (i) withdraw from the Registration Statement, it being understood that such withdrawal shall not relieve the Company of its obligation to register for resale such Holder’s Registrable Securities at a later date or (ii) be included as such in the Registration Statement. In the event that a Holder elects to include its Registrable Securities on a Registration Statement in accordance with the foregoing clause (ii), the Company shall provide such Holder with a draft of such Registration Statement (and any amendments or supplements thereto) as soon as reasonably practicable, and any disclosures contained therein relating to such Holder shall be subject to the approval of such Holder (which approval shall not be unreasonably withheld or delayed). Such Registrable Securities will cease to become Registrable Securities upon the earliest to occur of: (A) a Registration Statement with respect to the sale of such securities shall have become effective under the Securities Act and all Registrable Securities held by the Holder shall have been sold, transferred, disposed of or exchanged in accordance with such Registration Statement by the applicable Holder; (B) such securities shall have ceased to be outstanding; (C) such securities may be sold without restriction on volume or manner of sale in any three-month period pursuant to Rule 144 or any successor rule promulgated under the Securities Act; and (D) all Registrable Securities held by the Holder have been sold to, or through, a broker, dealer or underwriter in a public distribution or other public securities transaction.</w:t>
      </w:r>
    </w:p>
    <w:p>
      <w:pPr>
        <w:spacing w:after="0" w:line="187" w:lineRule="exact"/>
        <w:rPr>
          <w:rFonts w:ascii="Times New Roman" w:cs="Times New Roman" w:eastAsia="Times New Roman" w:hAnsi="Times New Roman"/>
          <w:sz w:val="18"/>
          <w:szCs w:val="18"/>
          <w:color w:val="auto"/>
        </w:rPr>
      </w:pPr>
    </w:p>
    <w:p>
      <w:pPr>
        <w:jc w:val="both"/>
        <w:ind w:left="972" w:hanging="324"/>
        <w:spacing w:after="0" w:line="253" w:lineRule="auto"/>
        <w:tabs>
          <w:tab w:leader="none" w:pos="97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commercially reasonable efforts to have the Initial Registration Statement declared effective as soon as practicable after the filing thereof, but no later than the earlier of (i) the ninetieth (90th) calendar day following the filing date thereof if the SEC notifies the Company that it will “review” the Registration Statement and (ii) the tenth (10th) business day after the date the Company is notified (orally or in writing, whichever is earlier) by the SEC that the Registration Statement will not be “reviewed” or will not be subject to further review. The Company shall notify the Holders as promptly as practicable after the Registration Statement is declared effective and shall simultaneously or prior thereto file with the SEC pursuant to Rule 424(b) promulgated under the Securities Act, and provide the Holders with copies of, any related prospectus to be used in connection with the sale or other disposition of the securities covered thereby (each, a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The Registration Statement shall contain a Prospectus in such form as to permit any Holder to sell such Registrable Securities pursuant to Rule 415 under the Securities Act (or any successor or similar provision adopted by the Commission then in effect) at any time beginning on the effective date for such Registration Statement, and shall provide that such Registrable Securities may be sold pursuant to any method or combination of methods legally available to, and requested by, the Holders.</w:t>
      </w:r>
    </w:p>
    <w:p>
      <w:pPr>
        <w:spacing w:after="0" w:line="191" w:lineRule="exact"/>
        <w:rPr>
          <w:rFonts w:ascii="Times New Roman" w:cs="Times New Roman" w:eastAsia="Times New Roman" w:hAnsi="Times New Roman"/>
          <w:sz w:val="18"/>
          <w:szCs w:val="18"/>
          <w:color w:val="auto"/>
        </w:rPr>
      </w:pPr>
    </w:p>
    <w:p>
      <w:pPr>
        <w:jc w:val="both"/>
        <w:ind w:left="972" w:hanging="324"/>
        <w:spacing w:after="0" w:line="258" w:lineRule="auto"/>
        <w:tabs>
          <w:tab w:leader="none" w:pos="97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the Initial Registration Statement and any subsequent Registration Statement in accordance with the terms hereof, and shall prepare and file with the SEC such amendments, including post-effective amendments, and supplements as may be necessary to keep the Initial Registration Statement and any subsequent Registration Statement continuously effective, available for use to permit the Holders named therein to sell their Registrable Securities included therein and in compliance with the provisions of the Securities Act until such time as there are no longer any Registrable Securities (the “</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402590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3" w:name="page14"/>
    <w:bookmarkEnd w:id="13"/>
    <w:p>
      <w:pPr>
        <w:ind w:left="324" w:hanging="324"/>
        <w:spacing w:after="0"/>
        <w:tabs>
          <w:tab w:leader="none" w:pos="3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foregoing, the Company shall:</w:t>
      </w:r>
    </w:p>
    <w:p>
      <w:pPr>
        <w:spacing w:after="0" w:line="225" w:lineRule="exact"/>
        <w:rPr>
          <w:rFonts w:ascii="Times New Roman" w:cs="Times New Roman" w:eastAsia="Times New Roman" w:hAnsi="Times New Roman"/>
          <w:sz w:val="18"/>
          <w:szCs w:val="18"/>
          <w:color w:val="auto"/>
        </w:rPr>
      </w:pPr>
    </w:p>
    <w:p>
      <w:pPr>
        <w:jc w:val="both"/>
        <w:ind w:left="1124" w:hanging="195"/>
        <w:spacing w:after="0" w:line="256" w:lineRule="auto"/>
        <w:tabs>
          <w:tab w:leader="none" w:pos="11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copies to, and permit the Holder to review, the Registration Statement and all amendments and supplements thereto not less than five (5) business days prior to the filing of the Registration Statement and not less than one (1) business day prior to the filing of any related Prospectus or any amendment or supplement thereto (except any amendment or supplement in relation to annual reports on Form 10-K, quarterly reports on Form 10-Q and current reports on Form 8-K and any similar or successor reports) and provide the Holder a reasonable opportunity to comment thereon, and the Company shall consider such comments in good faith before filing any Registration Statement or amendment or supplement thereto;</w:t>
      </w:r>
    </w:p>
    <w:p>
      <w:pPr>
        <w:spacing w:after="0" w:line="187" w:lineRule="exact"/>
        <w:rPr>
          <w:rFonts w:ascii="Times New Roman" w:cs="Times New Roman" w:eastAsia="Times New Roman" w:hAnsi="Times New Roman"/>
          <w:sz w:val="18"/>
          <w:szCs w:val="18"/>
          <w:color w:val="auto"/>
        </w:rPr>
      </w:pPr>
    </w:p>
    <w:p>
      <w:pPr>
        <w:ind w:left="1124" w:hanging="245"/>
        <w:spacing w:after="0" w:line="282" w:lineRule="auto"/>
        <w:tabs>
          <w:tab w:leader="none" w:pos="11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(x) prevent the issuance of any stop order or other suspension of effectiveness and (y) if such order is issued, obtain the withdrawal of any such order as soon as practicable;</w:t>
      </w:r>
    </w:p>
    <w:p>
      <w:pPr>
        <w:spacing w:after="0" w:line="161" w:lineRule="exact"/>
        <w:rPr>
          <w:rFonts w:ascii="Times New Roman" w:cs="Times New Roman" w:eastAsia="Times New Roman" w:hAnsi="Times New Roman"/>
          <w:sz w:val="18"/>
          <w:szCs w:val="18"/>
          <w:color w:val="auto"/>
        </w:rPr>
      </w:pPr>
    </w:p>
    <w:p>
      <w:pPr>
        <w:jc w:val="both"/>
        <w:ind w:left="1124" w:hanging="295"/>
        <w:spacing w:after="0" w:line="254" w:lineRule="auto"/>
        <w:tabs>
          <w:tab w:leader="none" w:pos="11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public offering of Registrable Securities, use commercially reasonable efforts to register or qualify or cooperate with the Holder and its counsel in connection with the registration or qualification of such Registrable Securities for the offer and sale under the securities or blue sky laws of such jurisdictions upon notice and as requested by the Holder and do any and all other commercially reasonable acts or things necessary or advisable as requested by the Holder to enable the distribution in such jurisdictions of the Registrable Securities covered by the Registration Statement; provided, that the Company shall not be required in connection therewith or as a condition thereto to (i) qualify to do business in any jurisdiction where it would not otherwise be required to qualify but for this provision; (ii) subject itself to general taxation in any jurisdiction where it would not otherwise be so subject but for this provision; or (iii) file a general consent to service of process in any such jurisdiction;</w:t>
      </w:r>
    </w:p>
    <w:p>
      <w:pPr>
        <w:spacing w:after="0" w:line="191" w:lineRule="exact"/>
        <w:rPr>
          <w:rFonts w:ascii="Times New Roman" w:cs="Times New Roman" w:eastAsia="Times New Roman" w:hAnsi="Times New Roman"/>
          <w:sz w:val="18"/>
          <w:szCs w:val="18"/>
          <w:color w:val="auto"/>
        </w:rPr>
      </w:pPr>
    </w:p>
    <w:p>
      <w:pPr>
        <w:ind w:left="1124" w:hanging="274"/>
        <w:spacing w:after="0" w:line="282" w:lineRule="auto"/>
        <w:tabs>
          <w:tab w:leader="none" w:pos="11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cause all Registrable Securities covered by a Registration Statement to be listed on each national securities exchange or other market on which similar securities issued by the Company are then listed;</w:t>
      </w:r>
    </w:p>
    <w:p>
      <w:pPr>
        <w:spacing w:after="0" w:line="161" w:lineRule="exact"/>
        <w:rPr>
          <w:rFonts w:ascii="Times New Roman" w:cs="Times New Roman" w:eastAsia="Times New Roman" w:hAnsi="Times New Roman"/>
          <w:sz w:val="18"/>
          <w:szCs w:val="18"/>
          <w:color w:val="auto"/>
        </w:rPr>
      </w:pPr>
    </w:p>
    <w:p>
      <w:pPr>
        <w:ind w:left="1124" w:hanging="224"/>
        <w:spacing w:after="0" w:line="282" w:lineRule="auto"/>
        <w:tabs>
          <w:tab w:leader="none" w:pos="11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or warrant agent, if any, as applicable, and registrar for all such Registrable Securities no later than the effective date of such Registration Statement;</w:t>
      </w:r>
    </w:p>
    <w:p>
      <w:pPr>
        <w:spacing w:after="0" w:line="161" w:lineRule="exact"/>
        <w:rPr>
          <w:rFonts w:ascii="Times New Roman" w:cs="Times New Roman" w:eastAsia="Times New Roman" w:hAnsi="Times New Roman"/>
          <w:sz w:val="18"/>
          <w:szCs w:val="18"/>
          <w:color w:val="auto"/>
        </w:rPr>
      </w:pPr>
    </w:p>
    <w:p>
      <w:pPr>
        <w:jc w:val="both"/>
        <w:ind w:left="1124" w:hanging="285"/>
        <w:spacing w:after="0" w:line="254" w:lineRule="auto"/>
        <w:tabs>
          <w:tab w:leader="none" w:pos="11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Holder at any time prior to the end of the Effectiveness Period, upon discovery that, or upon the happening of any event as a result of which, the Prospectus included in the Registration Statement, as then in effect, includes a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 (a “</w:t>
      </w:r>
      <w:r>
        <w:rPr>
          <w:rFonts w:ascii="Times New Roman" w:cs="Times New Roman" w:eastAsia="Times New Roman" w:hAnsi="Times New Roman"/>
          <w:sz w:val="18"/>
          <w:szCs w:val="18"/>
          <w:u w:val="single" w:color="auto"/>
          <w:color w:val="auto"/>
        </w:rPr>
        <w:t>Misstatement</w:t>
      </w:r>
      <w:r>
        <w:rPr>
          <w:rFonts w:ascii="Times New Roman" w:cs="Times New Roman" w:eastAsia="Times New Roman" w:hAnsi="Times New Roman"/>
          <w:sz w:val="18"/>
          <w:szCs w:val="18"/>
          <w:color w:val="auto"/>
        </w:rPr>
        <w:t>”), which the Holder will maintain in confidence, and (i) promptly prepare, file with the SEC and furnish to such holder a supplement to or an amendment of such Prospectus as may be necessary so that such Prospectus shall not include such Misstatement or (ii) suspend the filing, initial effectiveness or continued use of any Registration Statement in accordance with Section 5(g) below;</w:t>
      </w:r>
    </w:p>
    <w:p>
      <w:pPr>
        <w:spacing w:after="0" w:line="191" w:lineRule="exact"/>
        <w:rPr>
          <w:rFonts w:ascii="Times New Roman" w:cs="Times New Roman" w:eastAsia="Times New Roman" w:hAnsi="Times New Roman"/>
          <w:sz w:val="18"/>
          <w:szCs w:val="18"/>
          <w:color w:val="auto"/>
        </w:rPr>
      </w:pPr>
    </w:p>
    <w:p>
      <w:pPr>
        <w:ind w:left="1124" w:hanging="335"/>
        <w:spacing w:after="0" w:line="282" w:lineRule="auto"/>
        <w:tabs>
          <w:tab w:leader="none" w:pos="11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comply with all applicable rules and regulations of the SEC under the Securities Act and the Exchange Act; and</w:t>
      </w:r>
    </w:p>
    <w:p>
      <w:pPr>
        <w:spacing w:after="0" w:line="161" w:lineRule="exact"/>
        <w:rPr>
          <w:rFonts w:ascii="Times New Roman" w:cs="Times New Roman" w:eastAsia="Times New Roman" w:hAnsi="Times New Roman"/>
          <w:sz w:val="18"/>
          <w:szCs w:val="18"/>
          <w:color w:val="auto"/>
        </w:rPr>
      </w:pPr>
    </w:p>
    <w:p>
      <w:pPr>
        <w:ind w:left="1124" w:hanging="385"/>
        <w:spacing w:after="0" w:line="282" w:lineRule="auto"/>
        <w:tabs>
          <w:tab w:leader="none" w:pos="11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in good faith, cooperate reasonably with, and take such customary actions as may reasonably be requested by the Holder, consistent with the terms of this Warrant, in connection with such registration.</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Holder holds Registrable Securities that are not registered for resale on a delayed or continuous basis, the Company, upon written request of such Holder, shall promptly use its commercially reasonable efforts to cause the resale of such Registrable Securities to be covered by either, at the Company’s option, any then available Registration Statement (including by means of a post-effective amendment) or by filing a subsequent Registration Statement and causing the same to become effective as soon as reasonably practicable after such filing and such subsequent Registration Statement shall be subject to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402590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4" w:name="page15"/>
    <w:bookmarkEnd w:id="14"/>
    <w:p>
      <w:pPr>
        <w:jc w:val="both"/>
        <w:ind w:left="324" w:hanging="324"/>
        <w:spacing w:after="0" w:line="258"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Initial Registration Statement ceases to be effective under Securities Act for any reason at any time while Registrable Securities are still outstanding, the Company shall use its commercially reasonable efforts to as promptly as is reasonably practicable to cause such Initial Registration Statement to again become effective under the Securities Act or file a subsequent Registration Statement registering the resale of all Registrable Securities (determined as of two (2) business days prior to such filing) pursuant to any method or combination of methods legally available to the Company.</w:t>
      </w:r>
    </w:p>
    <w:p>
      <w:pPr>
        <w:spacing w:after="0" w:line="183" w:lineRule="exact"/>
        <w:rPr>
          <w:rFonts w:ascii="Times New Roman" w:cs="Times New Roman" w:eastAsia="Times New Roman" w:hAnsi="Times New Roman"/>
          <w:sz w:val="18"/>
          <w:szCs w:val="18"/>
          <w:color w:val="auto"/>
        </w:rPr>
      </w:pPr>
    </w:p>
    <w:p>
      <w:pPr>
        <w:jc w:val="both"/>
        <w:ind w:left="324" w:hanging="324"/>
        <w:spacing w:after="0" w:line="253"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not more than ninety (90) consecutive days or for a total of not more than one-hundred twenty (120) days, in each case, in any twelve (12) month period, the Company may suspend the filing, initial effectiveness or continued use of any Registration Statement in respect of any registration contemplated by this Section 5 in the event that the Company determines in good faith that such suspension is necessary to (A) delay the disclosure of material non-public information concerning the Company, the disclosure of which at the time is not, in the good faith opinion of the Company, in the best interests of the Company; (B) amend or supplement the affected Registration Statement or the related prospectus so that such Registration Statement or prospectus shall not include any misstatement; or (C) require the inclusion in such Registration Statement of financial statements that are unavailable to the Company for reasons beyond the Company’s control (each, an “</w:t>
      </w:r>
      <w:r>
        <w:rPr>
          <w:rFonts w:ascii="Times New Roman" w:cs="Times New Roman" w:eastAsia="Times New Roman" w:hAnsi="Times New Roman"/>
          <w:sz w:val="18"/>
          <w:szCs w:val="18"/>
          <w:u w:val="single" w:color="auto"/>
          <w:color w:val="auto"/>
        </w:rPr>
        <w:t>Allowed Delay</w:t>
      </w:r>
      <w:r>
        <w:rPr>
          <w:rFonts w:ascii="Times New Roman" w:cs="Times New Roman" w:eastAsia="Times New Roman" w:hAnsi="Times New Roman"/>
          <w:sz w:val="18"/>
          <w:szCs w:val="18"/>
          <w:color w:val="auto"/>
        </w:rPr>
        <w:t>”); provided that the Company shall promptly (1) notify the Holder in writing of the commencement of an Allowed Delay, but shall not (without the prior written consent of a Holder) disclose to such Holder any material non-public information giving rise to an Allowed Delay, (2) advise the Holder in writing to cease all sales under such Registration Statement until the end of the Allowed Delay (but not, for the avoidance of doubt, any sale pursuant to Rule 144 or other applicable exemption under the Securities Act) and (3) use commercially reasonable efforts to terminate an Allowed Delay as promptly as reasonably practicable.</w:t>
      </w:r>
    </w:p>
    <w:p>
      <w:pPr>
        <w:spacing w:after="0" w:line="189"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Holder holds Registrable Securities that are not registered for resale on a delayed or continuous basis, the Company, upon request of a Holder, shall promptly use its commercially reasonable efforts to cause the resale of such Registrable Securities to be covered by either, at the Company’s option, the Initial Registration Statement or a subsequent Registration Statement and cause the same to become effective as soon as practicable after such filing and such Registration Statement shall be subject to the terms hereof.</w:t>
      </w:r>
    </w:p>
    <w:p>
      <w:pPr>
        <w:spacing w:after="0" w:line="179"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all expenses associated with each Registration Statement, including filing and printing fees, the fees and expenses of the Company’s counsel and accounting fees and expenses, costs associated with clearing the Registrable Securities for sale under applicable state securities laws and listing fees, but excluding discounts, commissions, fees of underwriters, selling brokers, dealer managers or similar securities industry professionals with respect to the Registrable Securities being sold.</w:t>
      </w:r>
    </w:p>
    <w:p>
      <w:pPr>
        <w:spacing w:after="0" w:line="179" w:lineRule="exact"/>
        <w:rPr>
          <w:rFonts w:ascii="Times New Roman" w:cs="Times New Roman" w:eastAsia="Times New Roman" w:hAnsi="Times New Roman"/>
          <w:sz w:val="18"/>
          <w:szCs w:val="18"/>
          <w:color w:val="auto"/>
        </w:rPr>
      </w:pPr>
    </w:p>
    <w:p>
      <w:pPr>
        <w:jc w:val="both"/>
        <w:ind w:left="324" w:hanging="324"/>
        <w:spacing w:after="0" w:line="252"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the Holder, and each of its officers, employees, affiliates, directors, partners, members, managers, equityholders, attorneys, advisors and agents, and each person or entity, if any, who controls (within the meaning of Section 15 of the Securities Act or Section 20 of the Securities and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Holder (each, a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to the fullest extent permitted by applicable law, from and against any expenses, losses, judgments, actions, claims, proceedings (whether commenced or threatened), damages, liabilities or costs (including, without limitation, reasonable attorneys’ fees)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as incurred, arising out of or based upon any Misstatement contained in any Registration Statement under which the sale of such Registrable Securities was registered under the Securities Act, any preliminary Prospectus, final Prospectus or summary Prospectus contained in such Registration Statement, any amendment or supplement to such Registration Statement, preliminary Prospectus, final Prospectus or summary Prospectus, or any free writing prospectus relating to such Registration Statement, or any violation by the Company of the Securities Act or any rule or regulation promulgated thereunder applicable to the Company or any state securities (or Blue Sky) law, rule or regulation and relating to action or inaction required of the Company in connection with any such registration; and the Company shall promptly reimburse the Holder Indemnified Party for any reasonable, customary and documented out-of-pocket legal and any other expenses reasonably incurred, as incurred, by such Holder Indemnified Party in connection with investigating and defending any such Losses, except to the extent the Holder is liable to indemnify the Company for such Losses pursuant to Section 5(k) below; provided, however, that the indemnity agreement contained in this Section 5(j) shall not apply to amounts paid in settlement of any claim or proceeding if such settlement is effected without the consent of the Company, which consent shall not be unreasonably withheld, and the Company will not be liable in any such case to the extent that any such losses, judgments, claims, damages, liabilities or out-of-pocket expenses arises out of or is based upon any Misstatement made in such Registration Statement in reliance upon and in conformity with information furnished to the Company, in writing, by the applicable Holder Indemnified Party expressly for use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407035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5" w:name="page16"/>
    <w:bookmarkEnd w:id="15"/>
    <w:p>
      <w:pPr>
        <w:jc w:val="both"/>
        <w:ind w:left="972" w:hanging="324"/>
        <w:spacing w:after="0" w:line="253" w:lineRule="auto"/>
        <w:tabs>
          <w:tab w:leader="none" w:pos="97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will, in the event that any registration of any Registrable Securities held by the Holder is being effected under the Securities Act pursuant to this Agreement and the Company has required the Holder to provide such an undertaking on the same terms, indemnify and hold harmless the Company, each of its directors and officers and each underwriter (if any), and each other person, if any, who controls such underwriter within the meaning of the Securities Act, against any Losses, insofar as such Losses arise out of or are based upon any Misstatement contained in any Registration Statement under which the sale of such Registrable Securities was registered under the Securities Act, any preliminary Prospectus, final Prospectus or summary Prospectus contained in the Registration Statement, or any amendment or supplement thereto, if the Misstatement was made (or not made, in the case of an omission) in reliance upon and in conformity with information furnished in writing to the Company by or on behalf of such Holder expressly for use therein, and shall reimburse the Company and its directors and officers for any reasonable, customary and documented out-of-pocket legal or other expenses incurred by any of them in connection with investigation or defending any such Loss.</w:t>
      </w:r>
    </w:p>
    <w:p>
      <w:pPr>
        <w:spacing w:after="0" w:line="194"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Compliance with Securities Laws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56" w:lineRule="auto"/>
        <w:tabs>
          <w:tab w:leader="none" w:pos="97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may not be transferred or assigned in whole or in part without compliance with all applicable United States, state, and foreign securities laws by the transferor and transferee (including the delivery of investment representation letters and legal opinions reasonably satisfactory to the Company, if requested by the Company). Subject to such restrictions, prior to the Expiration Date, this Warrant and all rights hereunder are transferable by the Holder hereof, in whole or in part, at the office or agency of the Company referred to in Section 1(b) above. Any such transfer shall be made in person or by the Holder’s duly authorized attorney, upon surrender of this Warrant together with the Form of Transfer attached hereto properly endorsed.</w:t>
      </w:r>
    </w:p>
    <w:p>
      <w:pPr>
        <w:spacing w:after="0" w:line="187" w:lineRule="exact"/>
        <w:rPr>
          <w:rFonts w:ascii="Times New Roman" w:cs="Times New Roman" w:eastAsia="Times New Roman" w:hAnsi="Times New Roman"/>
          <w:sz w:val="18"/>
          <w:szCs w:val="18"/>
          <w:color w:val="auto"/>
        </w:rPr>
      </w:pPr>
    </w:p>
    <w:p>
      <w:pPr>
        <w:jc w:val="both"/>
        <w:ind w:left="972" w:hanging="324"/>
        <w:spacing w:after="0" w:line="255" w:lineRule="auto"/>
        <w:tabs>
          <w:tab w:leader="none" w:pos="97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this Warrant, by acceptance hereof, acknowledges that this Warrant and the Shares issuable upon exercise hereof are being acquired solely for the Holder’s own account and not as a nominee for any other party, and for investment, and that the Holder will not offer, sell, or otherwise dispose of this Warrant or any Shares to be issued upon exercise hereof except under circumstances that will not result in a violation of the Securities Act or any state or foreign securities laws. Upon exercise of this Warrant, the Holder shall, if reasonably requested by the Company and if required by applicable law or regulation, confirm in writing, in a form satisfactory to the Company, that the Shares so purchased are being acquired solely for Holder’s own account and not as a nominee for any other party, for investment, and not with a view toward distribution or resale.</w:t>
      </w:r>
    </w:p>
    <w:p>
      <w:pPr>
        <w:spacing w:after="0" w:line="188" w:lineRule="exact"/>
        <w:rPr>
          <w:rFonts w:ascii="Times New Roman" w:cs="Times New Roman" w:eastAsia="Times New Roman" w:hAnsi="Times New Roman"/>
          <w:sz w:val="18"/>
          <w:szCs w:val="18"/>
          <w:color w:val="auto"/>
        </w:rPr>
      </w:pPr>
    </w:p>
    <w:p>
      <w:pPr>
        <w:jc w:val="both"/>
        <w:ind w:left="972" w:hanging="324"/>
        <w:spacing w:after="0" w:line="258" w:lineRule="auto"/>
        <w:tabs>
          <w:tab w:leader="none" w:pos="97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not been registered under the Securities Act, and this Warrant may not be exercised except by (1) the original purchaser of this Warrant from the Company or (2) an “accredited investor” as defined in Rule 501(a) under the Securities Act. Each certificate representing Shares issued on exercise of this Warrant or other securities issued in respect of such Shares upon any stock split, stock dividend, recapitalization, merger, consolidation or similar event, shall be stamped or otherwise imprinted with a legend substantially in the following form (in addition to any other legend required under applicable securities laws):</w:t>
      </w:r>
    </w:p>
    <w:p>
      <w:pPr>
        <w:spacing w:after="0" w:line="183" w:lineRule="exact"/>
        <w:rPr>
          <w:rFonts w:ascii="Times New Roman" w:cs="Times New Roman" w:eastAsia="Times New Roman" w:hAnsi="Times New Roman"/>
          <w:sz w:val="18"/>
          <w:szCs w:val="18"/>
          <w:color w:val="auto"/>
        </w:rPr>
      </w:pPr>
    </w:p>
    <w:p>
      <w:pPr>
        <w:jc w:val="both"/>
        <w:ind w:left="972"/>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EVIDENCED HEREBY HAVE NOT BEEN REGISTERED UNDER THE SECURITIES ACT OF 1933, AS AMENDED (THE “SECURITIES ACT”), OR ANY APPLICABLE STATE SECURITIES LAWS AND MAY NOT BE SOLD, TRANSFERRED OR OTHERWISE DISPOSED OF UNLESS THERE IS AN EFFECTIVE REGISTRATION STATEMENT UNDER THE SECURITIES ACT AND APPLICABLE STATE SECURITIES LAWS COVERING ANY SUCH TRANSACTION OR UNLESS THE COMPANY SHALL HAVE RECEIVED AN OPINION OF ITS COUNSEL THAT REGISTRATION OF SUCH SHARES UNDER THE SECURITIES ACT AND UNDER THE PROVISIONS OF APPLICABLE STATE SECURITIES LAWS IS NOT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405130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6" w:name="page17"/>
    <w:bookmarkEnd w:id="16"/>
    <w:p>
      <w:pPr>
        <w:jc w:val="both"/>
        <w:ind w:left="332" w:hanging="332"/>
        <w:spacing w:after="0" w:line="253" w:lineRule="auto"/>
        <w:tabs>
          <w:tab w:leader="none" w:pos="33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of Restrictive Legends</w:t>
      </w:r>
      <w:r>
        <w:rPr>
          <w:rFonts w:ascii="Times New Roman" w:cs="Times New Roman" w:eastAsia="Times New Roman" w:hAnsi="Times New Roman"/>
          <w:sz w:val="18"/>
          <w:szCs w:val="18"/>
          <w:color w:val="auto"/>
        </w:rPr>
        <w:t>. Neither this Warrant nor any certificates evidencing the Shares or any other equity securities issuable or deliverable under or in connection with this Warrant shall contain any legend restricting the transfer thereof in any of the following circumstances: (i) while a registration statement covering the sale or resale of the Shares is effective under the Securities Act; (ii) following any sale of this Warrant, any of the Shares or any other equity securities issued or delivered to the Holder under or in connection herewith pursuant to Rule 144; (iii) if this Warrant, the Shares or any other equity securities are eligible for sale under Rule 144(b)(1); or (iv) if such legend is not required under applicable requirements of the Securities Act (including judicial interpretations and pronouncements issued by the staff of the Commission) (collectively, the “</w:t>
      </w:r>
      <w:r>
        <w:rPr>
          <w:rFonts w:ascii="Times New Roman" w:cs="Times New Roman" w:eastAsia="Times New Roman" w:hAnsi="Times New Roman"/>
          <w:sz w:val="18"/>
          <w:szCs w:val="18"/>
          <w:u w:val="single" w:color="auto"/>
          <w:color w:val="auto"/>
        </w:rPr>
        <w:t>Unrestricted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Conditions</w:t>
      </w:r>
      <w:r>
        <w:rPr>
          <w:rFonts w:ascii="Times New Roman" w:cs="Times New Roman" w:eastAsia="Times New Roman" w:hAnsi="Times New Roman"/>
          <w:sz w:val="18"/>
          <w:szCs w:val="18"/>
          <w:color w:val="auto"/>
        </w:rPr>
        <w:t>”). If the Unrestricted Conditions are met at the time of the issuance of the Shares, the Company shall cause its counsel, at its expense, to issue a legal opinion to the Transfer Agent, if required by such Transfer Agent to effect the issuance of the Shares or any other shares of equity securities issuable or deliverable under or in connection with this Warrant, as applicable, without a restrictive legend or removal of the legend hereunder. If the Unrestricted Conditions are met at the time of issuance of the Shares, then the Shares shall be issued free of all legends.</w:t>
      </w:r>
    </w:p>
    <w:p>
      <w:pPr>
        <w:spacing w:after="0" w:line="194" w:lineRule="exact"/>
        <w:rPr>
          <w:rFonts w:ascii="Times New Roman" w:cs="Times New Roman" w:eastAsia="Times New Roman" w:hAnsi="Times New Roman"/>
          <w:sz w:val="18"/>
          <w:szCs w:val="18"/>
          <w:color w:val="auto"/>
        </w:rPr>
      </w:pPr>
    </w:p>
    <w:p>
      <w:pPr>
        <w:ind w:left="332" w:right="20" w:hanging="332"/>
        <w:spacing w:after="0" w:line="282" w:lineRule="auto"/>
        <w:tabs>
          <w:tab w:leader="none" w:pos="33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The Company will from time to time promptly pay all taxes and charges that may be imposed in respect of the issuance or delivery of shares upon the exercise of Warrants, but the Company shall not be obligated to pay any transfer taxes in respect of the Warrants or such shares.</w:t>
      </w:r>
    </w:p>
    <w:p>
      <w:pPr>
        <w:spacing w:after="0" w:line="161"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represents and warrants to, and agrees with, the Holder as follows:</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61" w:lineRule="auto"/>
        <w:tabs>
          <w:tab w:leader="none" w:pos="97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Organization</w:t>
      </w:r>
      <w:r>
        <w:rPr>
          <w:rFonts w:ascii="Times New Roman" w:cs="Times New Roman" w:eastAsia="Times New Roman" w:hAnsi="Times New Roman"/>
          <w:sz w:val="18"/>
          <w:szCs w:val="18"/>
          <w:color w:val="auto"/>
        </w:rPr>
        <w:t>. The Company is a corporation duly organized, validly existing, and in good standing under the laws of the state of its formation and has all requisite corporate power and authority to carry on its business as now conducted. The Company is duly qualified to transact business and is in good standing in each jurisdiction in which the failure to so qualify would have a material adverse effect on its business or properties.</w:t>
      </w:r>
    </w:p>
    <w:p>
      <w:pPr>
        <w:spacing w:after="0" w:line="179" w:lineRule="exact"/>
        <w:rPr>
          <w:rFonts w:ascii="Times New Roman" w:cs="Times New Roman" w:eastAsia="Times New Roman" w:hAnsi="Times New Roman"/>
          <w:sz w:val="18"/>
          <w:szCs w:val="18"/>
          <w:color w:val="auto"/>
        </w:rPr>
      </w:pPr>
    </w:p>
    <w:p>
      <w:pPr>
        <w:jc w:val="both"/>
        <w:ind w:left="972" w:hanging="324"/>
        <w:spacing w:after="0" w:line="268" w:lineRule="auto"/>
        <w:tabs>
          <w:tab w:leader="none" w:pos="972"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Authorization; Binding Obligation</w:t>
      </w:r>
      <w:r>
        <w:rPr>
          <w:rFonts w:ascii="Times New Roman" w:cs="Times New Roman" w:eastAsia="Times New Roman" w:hAnsi="Times New Roman"/>
          <w:sz w:val="17"/>
          <w:szCs w:val="17"/>
          <w:color w:val="auto"/>
        </w:rPr>
        <w:t>. This Warrant has been duly executed by the Company and constitutes its legal, valid and binding obligation, enforceable against it in accordance with the terms of this Warrant. Except as may be limited by applicable bankruptcy, insolvency, reorganization or similar laws relating to or affecting the enforcement of creditors’ rights, all corporate action has been taken on the part of the Company, its officers, directors, and stockholders necessary for the authorization, execution and delivery of this Warrant. The Company has taken all corporate action required to make all the obligations of the Company reflected in the provisions of this Warrant the valid and enforceable obligations they purport to be. The issuance of this Warrant and the Shares issuable upon exercise of this Warrant will not be subject to preemptive rights of any stockholders of the Company. No consent, waiver, approval, authorization, exemption, registration, license or declaration is required to be made or obtained by the Company, other than those which have been made or obtained, in connection with</w:t>
      </w:r>
    </w:p>
    <w:p>
      <w:pPr>
        <w:ind w:left="972" w:right="20"/>
        <w:spacing w:after="0" w:line="260" w:lineRule="auto"/>
        <w:tabs>
          <w:tab w:leader="none" w:pos="1209"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or enforceability of this Warrant or (ii) the consummation of any of the transactions contemplated hereby, including the issuance of the Shares upon exercise of this Warrant.</w:t>
      </w:r>
    </w:p>
    <w:p>
      <w:pPr>
        <w:spacing w:after="0" w:line="181"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Other Instruments</w:t>
      </w:r>
      <w:r>
        <w:rPr>
          <w:rFonts w:ascii="Times New Roman" w:cs="Times New Roman" w:eastAsia="Times New Roman" w:hAnsi="Times New Roman"/>
          <w:sz w:val="18"/>
          <w:szCs w:val="18"/>
          <w:color w:val="auto"/>
        </w:rPr>
        <w:t>. The authorization, execution and delivery of the Warrant will not constitute or result in a default or violation of any law or regulation applicable to the Company or any term or provision of the Company’s Certificate of Incorporation or bylaws, or any material agreement or instrument by which it is bound or to which its properties or assets are subject.</w:t>
      </w:r>
    </w:p>
    <w:p>
      <w:pPr>
        <w:spacing w:after="0" w:line="175" w:lineRule="exact"/>
        <w:rPr>
          <w:rFonts w:ascii="Times New Roman" w:cs="Times New Roman" w:eastAsia="Times New Roman" w:hAnsi="Times New Roman"/>
          <w:sz w:val="18"/>
          <w:szCs w:val="18"/>
          <w:color w:val="auto"/>
        </w:rPr>
      </w:pPr>
    </w:p>
    <w:p>
      <w:pPr>
        <w:jc w:val="both"/>
        <w:ind w:left="972" w:hanging="324"/>
        <w:spacing w:after="0" w:line="254" w:lineRule="auto"/>
        <w:tabs>
          <w:tab w:leader="none" w:pos="97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This Warrant, and all the Shares which may be issued upon the exercise of this Warrant, and all securities, if any, issuable upon conversion of the Shares, shall, upon issuance, be duly authorized, validly issued, fully paid and non-assessable, and free of any liens and encumbrances (including preemptive or similar rights) except for restrictions on transfer provided for (i) in this Warrant, (ii) under applicable federal and state securities laws, or (iii) in the Company’s Certificate of Incorporation. Based in part upon the representations and warranties of the Holder in this Warrant, this Warrant and all the Shares issuable upon exercise of this Warrant will be issued in compliance with all applicable federal and state securities laws. The Company covenants that it shall at all times cause to be reserved and kept available out of its authorized and unissued capital stock such number of the Shares and other securities for which this Warrant may be exercisable or for which the Shares may be convertible as will be sufficient to permit the exercise in full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407670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7" w:name="page18"/>
    <w:bookmarkEnd w:id="17"/>
    <w:p>
      <w:pPr>
        <w:jc w:val="both"/>
        <w:ind w:left="972" w:hanging="324"/>
        <w:spacing w:after="0" w:line="256" w:lineRule="auto"/>
        <w:tabs>
          <w:tab w:leader="none" w:pos="97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The Company’s summary capitalization table attached hereto as </w:t>
      </w:r>
      <w:r>
        <w:rPr>
          <w:rFonts w:ascii="Times New Roman" w:cs="Times New Roman" w:eastAsia="Times New Roman" w:hAnsi="Times New Roman"/>
          <w:sz w:val="18"/>
          <w:szCs w:val="18"/>
          <w:b w:val="1"/>
          <w:bCs w:val="1"/>
          <w:color w:val="auto"/>
        </w:rPr>
        <w:t>Schedule 1</w:t>
      </w:r>
      <w:r>
        <w:rPr>
          <w:rFonts w:ascii="Times New Roman" w:cs="Times New Roman" w:eastAsia="Times New Roman" w:hAnsi="Times New Roman"/>
          <w:sz w:val="18"/>
          <w:szCs w:val="18"/>
          <w:color w:val="auto"/>
        </w:rPr>
        <w:t xml:space="preserve"> is true and complete, in all material respects, as of the Issuance Date. Except as described on </w:t>
      </w:r>
      <w:r>
        <w:rPr>
          <w:rFonts w:ascii="Times New Roman" w:cs="Times New Roman" w:eastAsia="Times New Roman" w:hAnsi="Times New Roman"/>
          <w:sz w:val="18"/>
          <w:szCs w:val="18"/>
          <w:b w:val="1"/>
          <w:bCs w:val="1"/>
          <w:color w:val="auto"/>
        </w:rPr>
        <w:t>Schedule 1</w:t>
      </w:r>
      <w:r>
        <w:rPr>
          <w:rFonts w:ascii="Times New Roman" w:cs="Times New Roman" w:eastAsia="Times New Roman" w:hAnsi="Times New Roman"/>
          <w:sz w:val="18"/>
          <w:szCs w:val="18"/>
          <w:color w:val="auto"/>
        </w:rPr>
        <w:t xml:space="preserve">, there are no outstanding warrants, options, convertible securities or other rights, agreements or arrangements of any character (other than equity grants promised to service providers in offer letters or similar agreements in the ordinary course of business, all of which grants will be made from the existing pool that is reflected in the fully diluted capitalization of the Company shown on </w:t>
      </w:r>
      <w:r>
        <w:rPr>
          <w:rFonts w:ascii="Times New Roman" w:cs="Times New Roman" w:eastAsia="Times New Roman" w:hAnsi="Times New Roman"/>
          <w:sz w:val="18"/>
          <w:szCs w:val="18"/>
          <w:b w:val="1"/>
          <w:bCs w:val="1"/>
          <w:color w:val="auto"/>
        </w:rPr>
        <w:t>Schedule 1</w:t>
      </w:r>
      <w:r>
        <w:rPr>
          <w:rFonts w:ascii="Times New Roman" w:cs="Times New Roman" w:eastAsia="Times New Roman" w:hAnsi="Times New Roman"/>
          <w:sz w:val="18"/>
          <w:szCs w:val="18"/>
          <w:color w:val="auto"/>
        </w:rPr>
        <w:t>) under which the Company and any of its subsidiaries is or may be obligated to issue any equity securities of any kind, and neither the Company nor any of its subsidiaries is currently in negotiations for the issuance of any equity securities of any kind.</w:t>
      </w:r>
    </w:p>
    <w:p>
      <w:pPr>
        <w:spacing w:after="0" w:line="186" w:lineRule="exact"/>
        <w:rPr>
          <w:rFonts w:ascii="Times New Roman" w:cs="Times New Roman" w:eastAsia="Times New Roman" w:hAnsi="Times New Roman"/>
          <w:sz w:val="18"/>
          <w:szCs w:val="18"/>
          <w:color w:val="auto"/>
        </w:rPr>
      </w:pPr>
    </w:p>
    <w:p>
      <w:pPr>
        <w:jc w:val="both"/>
        <w:ind w:left="972" w:hanging="324"/>
        <w:spacing w:after="0" w:line="255" w:lineRule="auto"/>
        <w:tabs>
          <w:tab w:leader="none" w:pos="97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 Registration</w:t>
      </w:r>
      <w:r>
        <w:rPr>
          <w:rFonts w:ascii="Times New Roman" w:cs="Times New Roman" w:eastAsia="Times New Roman" w:hAnsi="Times New Roman"/>
          <w:sz w:val="18"/>
          <w:szCs w:val="18"/>
          <w:color w:val="auto"/>
        </w:rPr>
        <w:t>. The Company shall take all such actions as may be necessary to ensure that all the Shares are issued without violation by the Company of any applicable law or governmental regulation or any requirements of any trading market or securities exchange upon which shares of the Company’s common stock or other securities constituting the Shares may be listed at the time of such exercise (except for official notice of issuance which shall be immediately delivered by the Company upon each such issuance). If the Unrestricted Conditions are satisfied at the time of exercise of this Warrant, the Company shall cause the Shares, immediately upon such exercise, to be listed on any such trading market or securities exchange upon which shares of common stock or other securities constituting the Shares are listed at the time of such exercise.</w:t>
      </w:r>
    </w:p>
    <w:p>
      <w:pPr>
        <w:spacing w:after="0" w:line="188" w:lineRule="exact"/>
        <w:rPr>
          <w:rFonts w:ascii="Times New Roman" w:cs="Times New Roman" w:eastAsia="Times New Roman" w:hAnsi="Times New Roman"/>
          <w:sz w:val="18"/>
          <w:szCs w:val="18"/>
          <w:color w:val="auto"/>
        </w:rPr>
      </w:pPr>
    </w:p>
    <w:p>
      <w:pPr>
        <w:jc w:val="both"/>
        <w:ind w:left="332" w:hanging="332"/>
        <w:spacing w:after="0" w:line="256" w:lineRule="auto"/>
        <w:tabs>
          <w:tab w:leader="none" w:pos="33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a Stockholder; No Liability</w:t>
      </w:r>
      <w:r>
        <w:rPr>
          <w:rFonts w:ascii="Times New Roman" w:cs="Times New Roman" w:eastAsia="Times New Roman" w:hAnsi="Times New Roman"/>
          <w:sz w:val="18"/>
          <w:szCs w:val="18"/>
          <w:color w:val="auto"/>
        </w:rPr>
        <w:t>. Except as specifically set forth herein, this Warrant, by itself,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 No provision hereof, in the absence of any affirmative action by the Holder to exercise this Warrant to purchase the Shares, and no enumeration herein of the rights or privileges of the Holder, shall give rise to any liability of the Holder for the purchase price of any Shares or as a stockholder of the Company, whether such liability is asserted by the Company or by creditors of the Company.</w:t>
      </w:r>
    </w:p>
    <w:p>
      <w:pPr>
        <w:spacing w:after="0" w:line="187"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Impairment.</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54" w:lineRule="auto"/>
        <w:tabs>
          <w:tab w:leader="none" w:pos="97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nothing contained in this Warrant shall affect, limit or impair the rights and remedies of the Holder or its affiliates (x) in their capacity as a lender, creditor, or similar, as applicable, to the Company or any of its subsidiaries or affiliates, or (y) pursuant to any other agreements or instruments entered into by the Holder (or its affiliates) and the Company or any of its subsidiaries or affiliates. Without limiting the generality of the foregoing, neither the Administrative Agent (as defined in the Loan Agreement) nor any of its affiliates, in exercising their rights as lenders will have any duty to consider (i) its (or its affiliates’) status as a direct or indirect shareholder of the Company and its subsidiaries, (ii) its (or its affiliates’) direct or indirect ownership of the Shares of the Company or any of its subsidiaries, or (iii) any duty it (or its affiliates) may have to any other direct or indirect shareholders of the Company and its subsidiaries, except as may be required under the applicable loan documents.</w:t>
      </w:r>
    </w:p>
    <w:p>
      <w:pPr>
        <w:spacing w:after="0" w:line="191" w:lineRule="exact"/>
        <w:rPr>
          <w:rFonts w:ascii="Times New Roman" w:cs="Times New Roman" w:eastAsia="Times New Roman" w:hAnsi="Times New Roman"/>
          <w:sz w:val="18"/>
          <w:szCs w:val="18"/>
          <w:color w:val="auto"/>
        </w:rPr>
      </w:pPr>
    </w:p>
    <w:p>
      <w:pPr>
        <w:jc w:val="both"/>
        <w:ind w:left="972" w:hanging="324"/>
        <w:spacing w:after="0" w:line="253" w:lineRule="auto"/>
        <w:tabs>
          <w:tab w:leader="none" w:pos="97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by amendment of its Certificate of Incorporation or bylaws, through any shareholders, voting or similar agreement, or through any reorganization, transfer of assets, consolidation, merger, dissolution, issue or sale of securities, or any other voluntary action, avoid or seek to avoid the observance or performance of any of the terms to be observed or performed by it hereunder, but shall at all times in good faith assist in the carrying out of all the provisions of this Warrant and in the taking of all such action as may reasonably be requested by the Holder in order to protect the exercise rights of the Holder against dilution or other impairment, consistent with the tenor and purpose of this Warrant. Without limiting the generality of the foregoing, the Company (x) will not increase the par value of any the Shares above the then-applicable Warrant Price, (y) will take all such action as may be necessary or appropriate in order that the Company may validly and legally issue fully paid and nonassessable Shares upon the exercise of this Warrant, and (z) will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408940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18" w:name="page19"/>
    <w:bookmarkEnd w:id="18"/>
    <w:p>
      <w:pPr>
        <w:ind w:left="332" w:hanging="332"/>
        <w:spacing w:after="0"/>
        <w:tabs>
          <w:tab w:leader="none" w:pos="33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are not part of this Warrant and shall not affect the interpretation thereof.</w:t>
      </w:r>
    </w:p>
    <w:p>
      <w:pPr>
        <w:spacing w:after="0" w:line="225" w:lineRule="exact"/>
        <w:rPr>
          <w:rFonts w:ascii="Times New Roman" w:cs="Times New Roman" w:eastAsia="Times New Roman" w:hAnsi="Times New Roman"/>
          <w:sz w:val="18"/>
          <w:szCs w:val="18"/>
          <w:color w:val="auto"/>
        </w:rPr>
      </w:pPr>
    </w:p>
    <w:p>
      <w:pPr>
        <w:ind w:left="332" w:hanging="332"/>
        <w:spacing w:after="0" w:line="282" w:lineRule="auto"/>
        <w:tabs>
          <w:tab w:leader="none" w:pos="33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This Warrant and any provision hereof may be changed, waived, discharged or terminated only by an instrument in writing signed by the party against which enforcement of the same is sought.</w:t>
      </w:r>
    </w:p>
    <w:p>
      <w:pPr>
        <w:spacing w:after="0" w:line="161" w:lineRule="exact"/>
        <w:rPr>
          <w:rFonts w:ascii="Times New Roman" w:cs="Times New Roman" w:eastAsia="Times New Roman" w:hAnsi="Times New Roman"/>
          <w:sz w:val="18"/>
          <w:szCs w:val="18"/>
          <w:color w:val="auto"/>
        </w:rPr>
      </w:pPr>
    </w:p>
    <w:p>
      <w:pPr>
        <w:jc w:val="both"/>
        <w:ind w:left="332" w:hanging="332"/>
        <w:spacing w:after="0" w:line="266" w:lineRule="auto"/>
        <w:tabs>
          <w:tab w:leader="none" w:pos="33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request or other document required or permitted to be given or delivered to the Holder or the Company shall be delivered, or shall be sent by certified or registered mail, postage prepaid, to the Holder at its address as shown on the books of the Company or to the Company at the address indicated therefor in the first paragraph of this Warrant.</w:t>
      </w:r>
    </w:p>
    <w:p>
      <w:pPr>
        <w:spacing w:after="0" w:line="175" w:lineRule="exact"/>
        <w:rPr>
          <w:rFonts w:ascii="Times New Roman" w:cs="Times New Roman" w:eastAsia="Times New Roman" w:hAnsi="Times New Roman"/>
          <w:sz w:val="18"/>
          <w:szCs w:val="18"/>
          <w:color w:val="auto"/>
        </w:rPr>
      </w:pPr>
    </w:p>
    <w:p>
      <w:pPr>
        <w:ind w:left="332" w:hanging="332"/>
        <w:spacing w:after="0" w:line="282" w:lineRule="auto"/>
        <w:tabs>
          <w:tab w:leader="none" w:pos="33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Warrant shall be construed and enforced in accordance with, and the rights of the parties shall be governed by, the laws of the State of New York.</w:t>
      </w:r>
    </w:p>
    <w:p>
      <w:pPr>
        <w:spacing w:after="0" w:line="161" w:lineRule="exact"/>
        <w:rPr>
          <w:rFonts w:ascii="Times New Roman" w:cs="Times New Roman" w:eastAsia="Times New Roman" w:hAnsi="Times New Roman"/>
          <w:sz w:val="18"/>
          <w:szCs w:val="18"/>
          <w:color w:val="auto"/>
        </w:rPr>
      </w:pPr>
    </w:p>
    <w:p>
      <w:pPr>
        <w:jc w:val="both"/>
        <w:ind w:left="332" w:hanging="332"/>
        <w:spacing w:after="0" w:line="258" w:lineRule="auto"/>
        <w:tabs>
          <w:tab w:leader="none" w:pos="33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the Holder shall operate as a waiver of such right or otherwise prejudice the Holder’s rights, powers or remedies provided herein.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3" w:lineRule="exact"/>
        <w:rPr>
          <w:rFonts w:ascii="Times New Roman" w:cs="Times New Roman" w:eastAsia="Times New Roman" w:hAnsi="Times New Roman"/>
          <w:sz w:val="18"/>
          <w:szCs w:val="18"/>
          <w:color w:val="auto"/>
        </w:rPr>
      </w:pPr>
    </w:p>
    <w:p>
      <w:pPr>
        <w:jc w:val="both"/>
        <w:ind w:left="332" w:hanging="332"/>
        <w:spacing w:after="0" w:line="261" w:lineRule="auto"/>
        <w:tabs>
          <w:tab w:leader="none" w:pos="33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the Holder. The provisions of this Warrant are intended to be for the benefit of the Holder from time to time of this Warrant and shall be enforceable by the Holder or holder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duly authorized officer.</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 2022</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DRAGONFLY ENERGY HOLDINGS CORP.</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Fully Diluted Capitalization of the Company as of the Issuance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438785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Executed by the Registered Holder in Order to Exercise Warrants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Registered Holder irrevocably elects to exercise ______________ Warrants represented by this Warrant Certificate, and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the Shares issuable upon the exercise of such Warrants, and requests that Certificates for such shares shall be issued in the name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60693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693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563245</wp:posOffset>
            </wp:positionV>
            <wp:extent cx="60693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693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845820</wp:posOffset>
            </wp:positionV>
            <wp:extent cx="60693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693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1129030</wp:posOffset>
            </wp:positionV>
            <wp:extent cx="60693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69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TYPE OR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60693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SECURITY OR TAX IDENTIFICATION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17145</wp:posOffset>
            </wp:positionV>
            <wp:extent cx="51346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34610" cy="8255"/>
                    </a:xfrm>
                    <a:prstGeom prst="rect">
                      <a:avLst/>
                    </a:prstGeom>
                    <a:noFill/>
                  </pic:spPr>
                </pic:pic>
              </a:graphicData>
            </a:graphic>
          </wp:anchor>
        </w:drawing>
      </w:r>
    </w:p>
    <w:p>
      <w:pPr>
        <w:spacing w:after="0" w:line="2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(PLEASE PRINT OR TYPE NAME AND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if such number of Warrants shall not be all the Warrants evidenced by this Warrant Certificate, that a new Warrant Certificate for the balance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be registered in the name of, and delivered to, the Registered Holder at the address stated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w:t>
      </w: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FORM OF TRANSFER</w:t>
      </w:r>
    </w:p>
    <w:p>
      <w:pPr>
        <w:spacing w:after="0" w:line="22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To Be Executed by the Registered Holder in Order to Transfer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_______________________ hereby sell, assign, and transfer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TYPE OR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(SOCIAL SECURITY OR TAX IDENTIFICATION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 delivered to _________________________________________________________________________________________</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PRINT OR TYPE NAME AND ADDRESS)</w:t>
      </w:r>
    </w:p>
    <w:p>
      <w:pPr>
        <w:spacing w:after="0" w:line="207" w:lineRule="exact"/>
        <w:rPr>
          <w:sz w:val="20"/>
          <w:szCs w:val="20"/>
          <w:color w:val="auto"/>
        </w:rPr>
      </w:pPr>
    </w:p>
    <w:p>
      <w:pPr>
        <w:spacing w:after="0"/>
        <w:tabs>
          <w:tab w:leader="none" w:pos="2140" w:val="left"/>
          <w:tab w:leader="none" w:pos="2480" w:val="left"/>
          <w:tab w:leader="none" w:pos="2880" w:val="left"/>
          <w:tab w:leader="none" w:pos="3700" w:val="left"/>
          <w:tab w:leader="none" w:pos="4720" w:val="left"/>
          <w:tab w:leader="none" w:pos="5080" w:val="left"/>
          <w:tab w:leader="none" w:pos="5520" w:val="left"/>
          <w:tab w:leader="none" w:pos="6260" w:val="left"/>
          <w:tab w:leader="none" w:pos="7260" w:val="left"/>
          <w:tab w:leader="none" w:pos="7680" w:val="left"/>
          <w:tab w:leader="none" w:pos="8360" w:val="left"/>
          <w:tab w:leader="none" w:pos="9360" w:val="left"/>
          <w:tab w:leader="none" w:pos="10240" w:val="left"/>
          <w:tab w:leader="none" w:pos="10680" w:val="left"/>
        </w:tabs>
        <w:rPr>
          <w:sz w:val="20"/>
          <w:szCs w:val="20"/>
          <w:color w:val="auto"/>
        </w:rPr>
      </w:pPr>
      <w:r>
        <w:rPr>
          <w:rFonts w:ascii="Times New Roman" w:cs="Times New Roman" w:eastAsia="Times New Roman" w:hAnsi="Times New Roman"/>
          <w:sz w:val="18"/>
          <w:szCs w:val="18"/>
          <w:color w:val="auto"/>
        </w:rPr>
        <w:t>______________________</w:t>
        <w:tab/>
        <w:t>of</w:t>
        <w:tab/>
        <w:t>the</w:t>
        <w:tab/>
        <w:t>Warrants</w:t>
        <w:tab/>
        <w:t>represented</w:t>
        <w:tab/>
        <w:t>by</w:t>
        <w:tab/>
        <w:t>this</w:t>
        <w:tab/>
        <w:t>Warrant</w:t>
        <w:tab/>
        <w:t>Certificate,</w:t>
        <w:tab/>
        <w:t>and</w:t>
        <w:tab/>
        <w:t>hereby</w:t>
        <w:tab/>
        <w:t>irrevocably</w:t>
        <w:tab/>
        <w:t>constitute</w:t>
        <w:tab/>
        <w:t>and</w:t>
        <w:tab/>
        <w:t>appoint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 Attorney to transfer this Warrant Certificate on the books of the Company, with full power of substitution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w:t>
      </w: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 signature to the assignment of the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ubscription</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orm must correspond to the name written upon the face of this</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ertificate in every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particular</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xml:space="preserve"> without alteration or enlargement or any change whatsoever</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xml:space="preserve"> and must be guaranteed by a commercial bank or trust company or a member firm of the </w:t>
      </w:r>
      <w:r>
        <w:rPr>
          <w:rFonts w:ascii="Times New Roman" w:cs="Times New Roman" w:eastAsia="Times New Roman" w:hAnsi="Times New Roman"/>
          <w:sz w:val="17"/>
          <w:szCs w:val="17"/>
          <w:color w:val="auto"/>
        </w:rPr>
        <w:t>NYSE A</w:t>
      </w:r>
      <w:r>
        <w:rPr>
          <w:rFonts w:ascii="Times New Roman" w:cs="Times New Roman" w:eastAsia="Times New Roman" w:hAnsi="Times New Roman"/>
          <w:sz w:val="12"/>
          <w:szCs w:val="12"/>
          <w:color w:val="auto"/>
        </w:rPr>
        <w:t>merican</w:t>
      </w:r>
      <w:r>
        <w:rPr>
          <w:rFonts w:ascii="Times New Roman" w:cs="Times New Roman" w:eastAsia="Times New Roman" w:hAnsi="Times New Roman"/>
          <w:sz w:val="17"/>
          <w:szCs w:val="17"/>
          <w:color w:val="auto"/>
        </w:rPr>
        <w:t>, N</w:t>
      </w:r>
      <w:r>
        <w:rPr>
          <w:rFonts w:ascii="Times New Roman" w:cs="Times New Roman" w:eastAsia="Times New Roman" w:hAnsi="Times New Roman"/>
          <w:sz w:val="12"/>
          <w:szCs w:val="12"/>
          <w:color w:val="auto"/>
        </w:rPr>
        <w:t>asdaq</w:t>
      </w:r>
      <w:r>
        <w:rPr>
          <w:rFonts w:ascii="Times New Roman" w:cs="Times New Roman" w:eastAsia="Times New Roman" w:hAnsi="Times New Roman"/>
          <w:sz w:val="17"/>
          <w:szCs w:val="17"/>
          <w:color w:val="auto"/>
        </w:rPr>
        <w:t>, N</w:t>
      </w:r>
      <w:r>
        <w:rPr>
          <w:rFonts w:ascii="Times New Roman" w:cs="Times New Roman" w:eastAsia="Times New Roman" w:hAnsi="Times New Roman"/>
          <w:sz w:val="12"/>
          <w:szCs w:val="12"/>
          <w:color w:val="auto"/>
        </w:rPr>
        <w:t xml:space="preserve">ew </w:t>
      </w:r>
      <w:r>
        <w:rPr>
          <w:rFonts w:ascii="Times New Roman" w:cs="Times New Roman" w:eastAsia="Times New Roman" w:hAnsi="Times New Roman"/>
          <w:sz w:val="17"/>
          <w:szCs w:val="17"/>
          <w:color w:val="auto"/>
        </w:rPr>
        <w:t>Y</w:t>
      </w:r>
      <w:r>
        <w:rPr>
          <w:rFonts w:ascii="Times New Roman" w:cs="Times New Roman" w:eastAsia="Times New Roman" w:hAnsi="Times New Roman"/>
          <w:sz w:val="12"/>
          <w:szCs w:val="12"/>
          <w:color w:val="auto"/>
        </w:rPr>
        <w:t xml:space="preserve">ork </w:t>
      </w:r>
      <w:r>
        <w:rPr>
          <w:rFonts w:ascii="Times New Roman" w:cs="Times New Roman" w:eastAsia="Times New Roman" w:hAnsi="Times New Roman"/>
          <w:sz w:val="17"/>
          <w:szCs w:val="17"/>
          <w:color w:val="auto"/>
        </w:rPr>
        <w:t>S</w:t>
      </w:r>
      <w:r>
        <w:rPr>
          <w:rFonts w:ascii="Times New Roman" w:cs="Times New Roman" w:eastAsia="Times New Roman" w:hAnsi="Times New Roman"/>
          <w:sz w:val="12"/>
          <w:szCs w:val="12"/>
          <w:color w:val="auto"/>
        </w:rPr>
        <w:t xml:space="preserve">tock </w:t>
      </w:r>
      <w:r>
        <w:rPr>
          <w:rFonts w:ascii="Times New Roman" w:cs="Times New Roman" w:eastAsia="Times New Roman" w:hAnsi="Times New Roman"/>
          <w:sz w:val="17"/>
          <w:szCs w:val="17"/>
          <w:color w:val="auto"/>
        </w:rPr>
        <w:t>E</w:t>
      </w:r>
      <w:r>
        <w:rPr>
          <w:rFonts w:ascii="Times New Roman" w:cs="Times New Roman" w:eastAsia="Times New Roman" w:hAnsi="Times New Roman"/>
          <w:sz w:val="12"/>
          <w:szCs w:val="12"/>
          <w:color w:val="auto"/>
        </w:rPr>
        <w:t>xchange</w:t>
      </w:r>
      <w:r>
        <w:rPr>
          <w:rFonts w:ascii="Times New Roman" w:cs="Times New Roman" w:eastAsia="Times New Roman" w:hAnsi="Times New Roman"/>
          <w:sz w:val="17"/>
          <w:szCs w:val="17"/>
          <w:color w:val="auto"/>
        </w:rPr>
        <w:t>, P</w:t>
      </w:r>
      <w:r>
        <w:rPr>
          <w:rFonts w:ascii="Times New Roman" w:cs="Times New Roman" w:eastAsia="Times New Roman" w:hAnsi="Times New Roman"/>
          <w:sz w:val="12"/>
          <w:szCs w:val="12"/>
          <w:color w:val="auto"/>
        </w:rPr>
        <w:t xml:space="preserve">acific </w:t>
      </w:r>
      <w:r>
        <w:rPr>
          <w:rFonts w:ascii="Times New Roman" w:cs="Times New Roman" w:eastAsia="Times New Roman" w:hAnsi="Times New Roman"/>
          <w:sz w:val="17"/>
          <w:szCs w:val="17"/>
          <w:color w:val="auto"/>
        </w:rPr>
        <w:t>S</w:t>
      </w:r>
      <w:r>
        <w:rPr>
          <w:rFonts w:ascii="Times New Roman" w:cs="Times New Roman" w:eastAsia="Times New Roman" w:hAnsi="Times New Roman"/>
          <w:sz w:val="12"/>
          <w:szCs w:val="12"/>
          <w:color w:val="auto"/>
        </w:rPr>
        <w:t xml:space="preserve">tock </w:t>
      </w:r>
      <w:r>
        <w:rPr>
          <w:rFonts w:ascii="Times New Roman" w:cs="Times New Roman" w:eastAsia="Times New Roman" w:hAnsi="Times New Roman"/>
          <w:sz w:val="17"/>
          <w:szCs w:val="17"/>
          <w:color w:val="auto"/>
        </w:rPr>
        <w:t>E</w:t>
      </w:r>
      <w:r>
        <w:rPr>
          <w:rFonts w:ascii="Times New Roman" w:cs="Times New Roman" w:eastAsia="Times New Roman" w:hAnsi="Times New Roman"/>
          <w:sz w:val="12"/>
          <w:szCs w:val="12"/>
          <w:color w:val="auto"/>
        </w:rPr>
        <w:t>xchange</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7"/>
          <w:szCs w:val="17"/>
          <w:color w:val="auto"/>
        </w:rPr>
        <w:t>C</w:t>
      </w:r>
      <w:r>
        <w:rPr>
          <w:rFonts w:ascii="Times New Roman" w:cs="Times New Roman" w:eastAsia="Times New Roman" w:hAnsi="Times New Roman"/>
          <w:sz w:val="12"/>
          <w:szCs w:val="12"/>
          <w:color w:val="auto"/>
        </w:rPr>
        <w:t xml:space="preserve">hicago </w:t>
      </w:r>
      <w:r>
        <w:rPr>
          <w:rFonts w:ascii="Times New Roman" w:cs="Times New Roman" w:eastAsia="Times New Roman" w:hAnsi="Times New Roman"/>
          <w:sz w:val="17"/>
          <w:szCs w:val="17"/>
          <w:color w:val="auto"/>
        </w:rPr>
        <w:t>S</w:t>
      </w:r>
      <w:r>
        <w:rPr>
          <w:rFonts w:ascii="Times New Roman" w:cs="Times New Roman" w:eastAsia="Times New Roman" w:hAnsi="Times New Roman"/>
          <w:sz w:val="12"/>
          <w:szCs w:val="12"/>
          <w:color w:val="auto"/>
        </w:rPr>
        <w:t xml:space="preserve">tock </w:t>
      </w:r>
      <w:r>
        <w:rPr>
          <w:rFonts w:ascii="Times New Roman" w:cs="Times New Roman" w:eastAsia="Times New Roman" w:hAnsi="Times New Roman"/>
          <w:sz w:val="17"/>
          <w:szCs w:val="17"/>
          <w:color w:val="auto"/>
        </w:rPr>
        <w:t>E</w:t>
      </w:r>
      <w:r>
        <w:rPr>
          <w:rFonts w:ascii="Times New Roman" w:cs="Times New Roman" w:eastAsia="Times New Roman" w:hAnsi="Times New Roman"/>
          <w:sz w:val="12"/>
          <w:szCs w:val="12"/>
          <w:color w:val="auto"/>
        </w:rPr>
        <w:t>xchange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524510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22"/>
          <w:szCs w:val="22"/>
          <w:b w:val="1"/>
          <w:bCs w:val="1"/>
          <w:color w:val="auto"/>
        </w:rPr>
        <w:t>Exhibit 4.2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$10 WARRANT</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THIS WARRANT HAS NOT BEEN REGISTERED UNDER THE SECURITIES ACT OF 1933, AS AMENDED (THE “SECURITIES ACT”), OR ANY STATE SECURITIES LAWS, AND MAY NOT BE OFFERED, SOLD, TRANSFERRED OR OTHERWISE DISPOSED OF UNLESS REGISTERED UNDER THE ACT, AND ANY APPLICABLE STATE SECURITIES LAWS OR AN EXEMPTION FROM REGISTRATION IS AVAILABLE. THIS WARRANT MUST BE SURRENDERED TO THE COMPANY OR ITS TRANSFER AGENT AS A CONDITION PRECEDENT TO THE SALE, TRANSFER, PLEDGE OR HYPOTHECATION OF ANY INTEREST IN ANY OF THE SECURITIES REPRESENTED HEREBY.</w:t>
      </w:r>
    </w:p>
    <w:p>
      <w:pPr>
        <w:spacing w:after="0" w:line="182" w:lineRule="exact"/>
        <w:rPr>
          <w:sz w:val="20"/>
          <w:szCs w:val="20"/>
          <w:color w:val="auto"/>
        </w:rPr>
      </w:pPr>
    </w:p>
    <w:p>
      <w:pPr>
        <w:ind w:left="240"/>
        <w:spacing w:after="0"/>
        <w:tabs>
          <w:tab w:leader="none" w:pos="9340" w:val="left"/>
        </w:tabs>
        <w:rPr>
          <w:sz w:val="20"/>
          <w:szCs w:val="20"/>
          <w:color w:val="auto"/>
        </w:rPr>
      </w:pPr>
      <w:r>
        <w:rPr>
          <w:rFonts w:ascii="Times New Roman" w:cs="Times New Roman" w:eastAsia="Times New Roman" w:hAnsi="Times New Roman"/>
          <w:sz w:val="18"/>
          <w:szCs w:val="18"/>
          <w:b w:val="1"/>
          <w:bCs w:val="1"/>
          <w:color w:val="auto"/>
        </w:rPr>
        <w:t>NUMBER W-_______-</w:t>
      </w:r>
      <w:r>
        <w:rPr>
          <w:sz w:val="20"/>
          <w:szCs w:val="20"/>
          <w:color w:val="auto"/>
        </w:rPr>
        <w:tab/>
      </w:r>
      <w:r>
        <w:rPr>
          <w:rFonts w:ascii="Times New Roman" w:cs="Times New Roman" w:eastAsia="Times New Roman" w:hAnsi="Times New Roman"/>
          <w:sz w:val="17"/>
          <w:szCs w:val="17"/>
          <w:b w:val="1"/>
          <w:bCs w:val="1"/>
          <w:color w:val="auto"/>
        </w:rPr>
        <w:t>_______WARRANTS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WARRANT WILL BE VOID IF NOT EXERCISED PRIOR TO THE EXPIRATION DATE (DEFINED BELOW)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WARRANT CERTIFIES THAT, for value received ____________, is the registered holder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of a warrant or warrants (the</w:t>
      </w:r>
    </w:p>
    <w:p>
      <w:pPr>
        <w:spacing w:after="0" w:line="2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Warrant(s)</w:t>
      </w:r>
      <w:r>
        <w:rPr>
          <w:rFonts w:ascii="Times New Roman" w:cs="Times New Roman" w:eastAsia="Times New Roman" w:hAnsi="Times New Roman"/>
          <w:sz w:val="17"/>
          <w:szCs w:val="17"/>
          <w:color w:val="auto"/>
        </w:rPr>
        <w:t>”) and is entitled to purchase up to that number of fully paid and non-assessable shares of common stock, par value $0.0001 per share calculated in accordance with Section 1(c) below (the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of Dragonfly Energy Holdings Corp.,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at a purchase price per Share (the “</w:t>
      </w:r>
      <w:r>
        <w:rPr>
          <w:rFonts w:ascii="Times New Roman" w:cs="Times New Roman" w:eastAsia="Times New Roman" w:hAnsi="Times New Roman"/>
          <w:sz w:val="17"/>
          <w:szCs w:val="17"/>
          <w:u w:val="single" w:color="auto"/>
          <w:color w:val="auto"/>
        </w:rPr>
        <w:t>Warrant Price</w:t>
      </w:r>
      <w:r>
        <w:rPr>
          <w:rFonts w:ascii="Times New Roman" w:cs="Times New Roman" w:eastAsia="Times New Roman" w:hAnsi="Times New Roman"/>
          <w:sz w:val="17"/>
          <w:szCs w:val="17"/>
          <w:color w:val="auto"/>
        </w:rPr>
        <w:t>”) of $10.00 per share (as adjusted from time to time in accordance with this Warrant). This Warrant is issued in connection with that certain term loan, guarantee and security agreement among Alter Domus (US) LLC, Dragonfly Energy Corp., EICF Agent LLC and the other credit parties signatory thereto (the “</w:t>
      </w:r>
      <w:r>
        <w:rPr>
          <w:rFonts w:ascii="Times New Roman" w:cs="Times New Roman" w:eastAsia="Times New Roman" w:hAnsi="Times New Roman"/>
          <w:sz w:val="17"/>
          <w:szCs w:val="17"/>
          <w:u w:val="single" w:color="auto"/>
          <w:color w:val="auto"/>
        </w:rPr>
        <w:t>Loan Agreement</w:t>
      </w:r>
      <w:r>
        <w:rPr>
          <w:rFonts w:ascii="Times New Roman" w:cs="Times New Roman" w:eastAsia="Times New Roman" w:hAnsi="Times New Roman"/>
          <w:sz w:val="17"/>
          <w:szCs w:val="17"/>
          <w:color w:val="auto"/>
        </w:rPr>
        <w:t>”). The Warrant represented by this certificate is referred to herein as the “</w:t>
      </w:r>
      <w:r>
        <w:rPr>
          <w:rFonts w:ascii="Times New Roman" w:cs="Times New Roman" w:eastAsia="Times New Roman" w:hAnsi="Times New Roman"/>
          <w:sz w:val="17"/>
          <w:szCs w:val="17"/>
          <w:u w:val="single" w:color="auto"/>
          <w:color w:val="auto"/>
        </w:rPr>
        <w:t>Warrant Certificate</w:t>
      </w:r>
      <w:r>
        <w:rPr>
          <w:rFonts w:ascii="Times New Roman" w:cs="Times New Roman" w:eastAsia="Times New Roman" w:hAnsi="Times New Roman"/>
          <w:sz w:val="17"/>
          <w:szCs w:val="17"/>
          <w:color w:val="auto"/>
        </w:rPr>
        <w:t>”.</w:t>
      </w:r>
    </w:p>
    <w:p>
      <w:pPr>
        <w:spacing w:after="0" w:line="174"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and Exercise of Warrants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herein, this Warrant shall be exercisable, in whole or in part, commencing the date hereof (the “</w:t>
      </w:r>
      <w:r>
        <w:rPr>
          <w:rFonts w:ascii="Times New Roman" w:cs="Times New Roman" w:eastAsia="Times New Roman" w:hAnsi="Times New Roman"/>
          <w:sz w:val="18"/>
          <w:szCs w:val="18"/>
          <w:u w:val="single" w:color="auto"/>
          <w:color w:val="auto"/>
        </w:rPr>
        <w:t>Issuance Date</w:t>
      </w:r>
      <w:r>
        <w:rPr>
          <w:rFonts w:ascii="Times New Roman" w:cs="Times New Roman" w:eastAsia="Times New Roman" w:hAnsi="Times New Roman"/>
          <w:sz w:val="18"/>
          <w:szCs w:val="18"/>
          <w:color w:val="auto"/>
        </w:rPr>
        <w:t>”) and ending on the five-year anniversary of the issuance date of this Warrant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Warrant entitles the holder thereof to purchase that number of Shares from the Company calculated in accordance with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below, commencing on the Issuance Date upon surrender of this Warrant, the Notice of Exercise form attached hereto (the “</w:t>
      </w:r>
      <w:r>
        <w:rPr>
          <w:rFonts w:ascii="Times New Roman" w:cs="Times New Roman" w:eastAsia="Times New Roman" w:hAnsi="Times New Roman"/>
          <w:sz w:val="18"/>
          <w:szCs w:val="18"/>
          <w:u w:val="single" w:color="auto"/>
          <w:color w:val="auto"/>
        </w:rPr>
        <w:t>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duly executed to the office of the Company, Dragonfly Energy Holdings Corp., Attention: Chief Financial Officer, 1190 Trademark Dr. #108, Reno, NV 89521 (or such other office or agency of the Company as it may designate by notice in writing to the Holder at the address of the Holder appearing on the books of the Company) and payment of the Warrant Price (by cash or by check or bank draft payable to the order of the Company) whereupon the Holder shall be entitled to receive from the Company a stock certificate representing the number of Shares so purchased. In no event will the Company be required to net cash settle any warrant exercise.</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for which this Warrant is exercisable shall be calculated as follows:</w:t>
      </w:r>
    </w:p>
    <w:p>
      <w:pPr>
        <w:spacing w:after="0" w:line="225" w:lineRule="exact"/>
        <w:rPr>
          <w:rFonts w:ascii="Times New Roman" w:cs="Times New Roman" w:eastAsia="Times New Roman" w:hAnsi="Times New Roman"/>
          <w:sz w:val="18"/>
          <w:szCs w:val="18"/>
          <w:color w:val="auto"/>
        </w:rPr>
      </w:pPr>
    </w:p>
    <w:p>
      <w:pPr>
        <w:ind w:left="1800" w:hanging="334"/>
        <w:spacing w:after="0"/>
        <w:tabs>
          <w:tab w:leader="none" w:pos="180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Initially, this Warrant shall be exercisable for 1,600,000 Shares.</w:t>
      </w:r>
    </w:p>
    <w:p>
      <w:pPr>
        <w:spacing w:after="0" w:line="225" w:lineRule="exact"/>
        <w:rPr>
          <w:rFonts w:ascii="Times New Roman" w:cs="Times New Roman" w:eastAsia="Times New Roman" w:hAnsi="Times New Roman"/>
          <w:sz w:val="18"/>
          <w:szCs w:val="18"/>
          <w:color w:val="auto"/>
        </w:rPr>
      </w:pPr>
    </w:p>
    <w:p>
      <w:pPr>
        <w:jc w:val="both"/>
        <w:ind w:left="1800" w:hanging="334"/>
        <w:spacing w:after="0" w:line="258" w:lineRule="auto"/>
        <w:tabs>
          <w:tab w:leader="none" w:pos="180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statement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registering the shares of Common Stock to be issued pursuant to that certain ChEF Purchase Agreement by and between Chardan Capital Markets LLC and Dragonfly Energy Holdings Corp., including any modification, amendment or replacement thereof (the “</w:t>
      </w:r>
      <w:r>
        <w:rPr>
          <w:rFonts w:ascii="Times New Roman" w:cs="Times New Roman" w:eastAsia="Times New Roman" w:hAnsi="Times New Roman"/>
          <w:sz w:val="18"/>
          <w:szCs w:val="18"/>
          <w:u w:val="single" w:color="auto"/>
          <w:color w:val="auto"/>
        </w:rPr>
        <w:t>Committed Equity Facility</w:t>
      </w:r>
      <w:r>
        <w:rPr>
          <w:rFonts w:ascii="Times New Roman" w:cs="Times New Roman" w:eastAsia="Times New Roman" w:hAnsi="Times New Roman"/>
          <w:sz w:val="18"/>
          <w:szCs w:val="18"/>
          <w:color w:val="auto"/>
        </w:rPr>
        <w:t>”) has not been declared effective by SEC on or before the date that is 121 days after the Issuance Date, the number of Shares for which this Warrant is exercisable shall be increased by an additional 200,000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ind w:left="1144" w:right="20" w:hanging="334"/>
        <w:spacing w:after="0" w:line="282" w:lineRule="auto"/>
        <w:tabs>
          <w:tab w:leader="none" w:pos="114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Statement has not been declared effective by the SEC by the date that is 151 days after the Issuance Date, the number of Shares for which this Warrant is exercisable shall be increased by an additional 200,000 Shares.</w:t>
      </w:r>
    </w:p>
    <w:p>
      <w:pPr>
        <w:spacing w:after="0" w:line="161" w:lineRule="exact"/>
        <w:rPr>
          <w:rFonts w:ascii="Times New Roman" w:cs="Times New Roman" w:eastAsia="Times New Roman" w:hAnsi="Times New Roman"/>
          <w:sz w:val="18"/>
          <w:szCs w:val="18"/>
          <w:color w:val="auto"/>
        </w:rPr>
      </w:pPr>
    </w:p>
    <w:p>
      <w:pPr>
        <w:jc w:val="both"/>
        <w:ind w:left="1144" w:hanging="334"/>
        <w:spacing w:after="0" w:line="258" w:lineRule="auto"/>
        <w:tabs>
          <w:tab w:leader="none" w:pos="114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Statement has not been declared effective by the SEC by the date that is 181 days after the Issuance Date, the number of Shares for which this Warrant is exercisable shall be increased by an additional 200,000 Shares, and an additional 200,000 Shares shall be added to the number of Shares for which this Warrant is exercisable on each date that is 30 days following the prior date on which an additional 200,000 Shares were added to the number of Shares for which this Warrant is exercisable, until the Registration Statement is declared effective.</w:t>
      </w:r>
    </w:p>
    <w:p>
      <w:pPr>
        <w:spacing w:after="0" w:line="183" w:lineRule="exact"/>
        <w:rPr>
          <w:rFonts w:ascii="Times New Roman" w:cs="Times New Roman" w:eastAsia="Times New Roman" w:hAnsi="Times New Roman"/>
          <w:sz w:val="18"/>
          <w:szCs w:val="18"/>
          <w:color w:val="auto"/>
        </w:rPr>
      </w:pPr>
    </w:p>
    <w:p>
      <w:pPr>
        <w:jc w:val="both"/>
        <w:ind w:left="1144" w:hanging="334"/>
        <w:spacing w:after="0" w:line="266" w:lineRule="auto"/>
        <w:tabs>
          <w:tab w:leader="none" w:pos="114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Issuance Date and prior to the exercise in full of this Warrant, the Company shall, at the Holder’s request, issue a certificate in a form and substance reasonably satisfactory to the Holder setting forth the number of Shares for which this Warrant is then exercisable.</w:t>
      </w:r>
    </w:p>
    <w:p>
      <w:pPr>
        <w:spacing w:after="0" w:line="175" w:lineRule="exact"/>
        <w:rPr>
          <w:rFonts w:ascii="Times New Roman" w:cs="Times New Roman" w:eastAsia="Times New Roman" w:hAnsi="Times New Roman"/>
          <w:sz w:val="18"/>
          <w:szCs w:val="18"/>
          <w:color w:val="auto"/>
        </w:rPr>
      </w:pPr>
    </w:p>
    <w:p>
      <w:pPr>
        <w:jc w:val="both"/>
        <w:ind w:left="1144" w:hanging="334"/>
        <w:spacing w:after="0" w:line="266" w:lineRule="auto"/>
        <w:tabs>
          <w:tab w:leader="none" w:pos="114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effectiveness of the Registration Statement, the Company shall, at the Holder’s request, issue a replacement Warrant, on terms identical to this Warrant except that this Section 1(c) shall be replaced with a statement setting forth the aggregate number of Shares for which this Warrant is exercisable.</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shall have the right, in lieu of paying the Warrant Price in cash, to surrender a number of Warrants having a Fair Market Value equal to the aggregate Warrant Price (a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32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shall mean, as of any particular date of determination, (i) if the Shares are then traded or quoted on a nationally recognized securities exchange, inter-dealer quotation system or over-the-counter market (a “</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the average closing price or last sale price of the Shares reported for the five (5) business days prior to the applicable date of determination (or, if the Shares have not been actively trading during the 5 business days prior to the applicable date of determination, the last sale price of the Shares for the business day immediately prior to the applicable date of determination) and (ii) if the Shares are not traded or quoted on a Trading Market,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determine the fair market value of a Share in its reasonable, good faith judgment, subject to the Holder’s right to dispute such determination as provided in Section 1(e) below.</w:t>
      </w:r>
    </w:p>
    <w:p>
      <w:pPr>
        <w:spacing w:after="0" w:line="189"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In the event of such a Cashless Exercise, the number of Shares to be issued to the Holder shall be determined as follows:</w:t>
      </w:r>
    </w:p>
    <w:p>
      <w:pPr>
        <w:spacing w:after="0" w:line="225" w:lineRule="exact"/>
        <w:rPr>
          <w:sz w:val="20"/>
          <w:szCs w:val="20"/>
          <w:color w:val="auto"/>
        </w:rPr>
      </w:pPr>
    </w:p>
    <w:p>
      <w:pPr>
        <w:jc w:val="center"/>
        <w:ind w:right="316"/>
        <w:spacing w:after="0"/>
        <w:rPr>
          <w:sz w:val="20"/>
          <w:szCs w:val="20"/>
          <w:color w:val="auto"/>
        </w:rPr>
      </w:pPr>
      <w:r>
        <w:rPr>
          <w:rFonts w:ascii="Times New Roman" w:cs="Times New Roman" w:eastAsia="Times New Roman" w:hAnsi="Times New Roman"/>
          <w:sz w:val="18"/>
          <w:szCs w:val="18"/>
          <w:color w:val="auto"/>
        </w:rPr>
        <w:t>X = Y[(A - B)/A]</w:t>
      </w:r>
    </w:p>
    <w:p>
      <w:pPr>
        <w:spacing w:after="0" w:line="225"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X = the number of Shares to be issued to the Holder</w:t>
      </w:r>
    </w:p>
    <w:p>
      <w:pPr>
        <w:spacing w:after="0" w:line="27"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Y = the number of Shares with respect to which this Warrant is being exercised</w:t>
      </w:r>
    </w:p>
    <w:p>
      <w:pPr>
        <w:spacing w:after="0" w:line="9"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A = the Fair Market Value of one Share</w:t>
      </w:r>
    </w:p>
    <w:p>
      <w:pPr>
        <w:spacing w:after="0" w:line="9"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B = the Warrant Price</w:t>
      </w:r>
    </w:p>
    <w:p>
      <w:pPr>
        <w:spacing w:after="0" w:line="207" w:lineRule="exact"/>
        <w:rPr>
          <w:sz w:val="20"/>
          <w:szCs w:val="20"/>
          <w:color w:val="auto"/>
        </w:rPr>
      </w:pPr>
    </w:p>
    <w:p>
      <w:pPr>
        <w:jc w:val="both"/>
        <w:ind w:left="324" w:hanging="324"/>
        <w:spacing w:after="0" w:line="255" w:lineRule="auto"/>
        <w:tabs>
          <w:tab w:leader="none" w:pos="3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dispute as to the determination of Fair Market Value, any closing price or sales price of the Shares, the arithmetic calculation of the Warrant Price or the number of Shares for which this Warrant is exercisable, or any other computation required to be made hereunder, if the Holder and the Company are unable to settle such dispute within five business days (or such longer period as the parties may agree), then either party may elect to submit the disputed matter(s) for resolution by an independent accountant, appraiser or investment bank with relevant experience mutually acceptable to the Company and the Holder. Such independent party’s determination of such disputed matter(s) shall be binding upon all parties absent demonstrable error, and the Company and the Holder shall each pay one half of the fees and expenses of the independent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268605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5" w:name="page26"/>
    <w:bookmarkEnd w:id="25"/>
    <w:p>
      <w:pPr>
        <w:jc w:val="both"/>
        <w:ind w:left="972" w:hanging="324"/>
        <w:spacing w:after="0" w:line="258" w:lineRule="auto"/>
        <w:tabs>
          <w:tab w:leader="none" w:pos="97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upon the Expiration Date, the Fair Market Value of one Share (or other security issuable upon the exercise hereof) is greater than the Warrant Price in effect on such date, then this Warrant shall automatically be deemed to be exercised on a Cashless Exercise basis as of the Expiration Date as to all the Shares for which it shall not previously have been exercised, and the Company shall, within a reasonable time, deliver a certificate representing the Shares issued upon such exercise to the Holder (and if the Company’s shares are uncertificated, the Company shall deliver reasonably satisfactory evidence to the Holder signifying the valid issuance of such uncertificated shares).</w:t>
      </w:r>
    </w:p>
    <w:p>
      <w:pPr>
        <w:spacing w:after="0" w:line="183"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Shares; No Fractional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56" w:lineRule="auto"/>
        <w:tabs>
          <w:tab w:leader="none" w:pos="97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three business days after the exercise of this Warrant and the clearance of the funds in payment of the applicable Warrant Price (if any) (the “</w:t>
      </w:r>
      <w:r>
        <w:rPr>
          <w:rFonts w:ascii="Times New Roman" w:cs="Times New Roman" w:eastAsia="Times New Roman" w:hAnsi="Times New Roman"/>
          <w:sz w:val="18"/>
          <w:szCs w:val="18"/>
          <w:u w:val="single" w:color="auto"/>
          <w:color w:val="auto"/>
        </w:rPr>
        <w:t>Delivery Deadline</w:t>
      </w:r>
      <w:r>
        <w:rPr>
          <w:rFonts w:ascii="Times New Roman" w:cs="Times New Roman" w:eastAsia="Times New Roman" w:hAnsi="Times New Roman"/>
          <w:sz w:val="18"/>
          <w:szCs w:val="18"/>
          <w:color w:val="auto"/>
        </w:rPr>
        <w:t>”), the Company, at its expense, shall issue to the registered holder of such Warrant a certificate or certificates, or book entry position, for the number of Shares to which he, she or it is entitled, registered in such name or names as may be directed by him, her or it. Upon any exercise of the Warrant for less than the total number of full Shares provided for herein, there shall be issued to the registered holder hereof or the registered holder’s assignee a new Warrant Certificate covering the number of Shares for which the Warrant has not been exercised.</w:t>
      </w:r>
    </w:p>
    <w:p>
      <w:pPr>
        <w:spacing w:after="0" w:line="187" w:lineRule="exact"/>
        <w:rPr>
          <w:rFonts w:ascii="Times New Roman" w:cs="Times New Roman" w:eastAsia="Times New Roman" w:hAnsi="Times New Roman"/>
          <w:sz w:val="18"/>
          <w:szCs w:val="18"/>
          <w:color w:val="auto"/>
        </w:rPr>
      </w:pPr>
    </w:p>
    <w:p>
      <w:pPr>
        <w:jc w:val="both"/>
        <w:ind w:left="972" w:hanging="324"/>
        <w:spacing w:after="0" w:line="255" w:lineRule="auto"/>
        <w:tabs>
          <w:tab w:leader="none" w:pos="97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of exercise, the Company has a transfer agent (the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then upon the exercise of this Warrant in whole or in part, the Company shall, at its expense, take all necessary action, including (if necessary) obtaining and delivering an opinion from its counsel, to ensure that the Transfer Agent shall issue Shares in the name of the Holder (or its nominee) or such other persons as designated by the Holder and in such denominations to be specified in the applicable Notice of Exercise. The Company represents and warrants that if the Unrestricted Conditions set forth in Section 6 below are met, the Shares will be free-trading, and freely transferable, and will not contain a legend restricting the resale or transferability of the Shares and that no instructions other than the foregoing instructions will be given to the Transfer Agent.</w:t>
      </w:r>
    </w:p>
    <w:p>
      <w:pPr>
        <w:spacing w:after="0" w:line="188" w:lineRule="exact"/>
        <w:rPr>
          <w:rFonts w:ascii="Times New Roman" w:cs="Times New Roman" w:eastAsia="Times New Roman" w:hAnsi="Times New Roman"/>
          <w:sz w:val="18"/>
          <w:szCs w:val="18"/>
          <w:color w:val="auto"/>
        </w:rPr>
      </w:pPr>
    </w:p>
    <w:p>
      <w:pPr>
        <w:jc w:val="both"/>
        <w:ind w:left="972" w:hanging="324"/>
        <w:spacing w:after="0" w:line="256" w:lineRule="auto"/>
        <w:tabs>
          <w:tab w:leader="none" w:pos="97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 Agent is participating in the DTC Fast Automated Securities Transfer (“</w:t>
      </w:r>
      <w:r>
        <w:rPr>
          <w:rFonts w:ascii="Times New Roman" w:cs="Times New Roman" w:eastAsia="Times New Roman" w:hAnsi="Times New Roman"/>
          <w:sz w:val="18"/>
          <w:szCs w:val="18"/>
          <w:u w:val="single" w:color="auto"/>
          <w:color w:val="auto"/>
        </w:rPr>
        <w:t>FAST</w:t>
      </w:r>
      <w:r>
        <w:rPr>
          <w:rFonts w:ascii="Times New Roman" w:cs="Times New Roman" w:eastAsia="Times New Roman" w:hAnsi="Times New Roman"/>
          <w:sz w:val="18"/>
          <w:szCs w:val="18"/>
          <w:color w:val="auto"/>
        </w:rPr>
        <w:t>”) program, upon written request of the Holder and in lieu of delivering physical certificates representing Shares to be delivered under or in connection with this Warrant Certificate, the Company shall use its commercially reasonable efforts to cause the Transfer Agent to electronically transmit the Shares to the Holder by crediting the account of the Holder’s prime broker with the DTC through its Deposit Withdrawal Agent Commission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system. The time periods for delivery and penalties described herein shall apply to the electronic transmittals described herein. Any delivery not effected by electronic transmission shall be effected by delivery of physical certificates.</w:t>
      </w:r>
    </w:p>
    <w:p>
      <w:pPr>
        <w:spacing w:after="0" w:line="187" w:lineRule="exact"/>
        <w:rPr>
          <w:rFonts w:ascii="Times New Roman" w:cs="Times New Roman" w:eastAsia="Times New Roman" w:hAnsi="Times New Roman"/>
          <w:sz w:val="18"/>
          <w:szCs w:val="18"/>
          <w:color w:val="auto"/>
        </w:rPr>
      </w:pPr>
    </w:p>
    <w:p>
      <w:pPr>
        <w:ind w:left="972" w:hanging="324"/>
        <w:spacing w:after="0" w:line="282" w:lineRule="auto"/>
        <w:tabs>
          <w:tab w:leader="none" w:pos="97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fails to transmit, or cause the Transfer Agent to transmit, to the Holder the Shares by the Delivery Deadline, then the Holder will have the right to rescind such Warrant exercise.</w:t>
      </w:r>
    </w:p>
    <w:p>
      <w:pPr>
        <w:spacing w:after="0" w:line="161" w:lineRule="exact"/>
        <w:rPr>
          <w:rFonts w:ascii="Times New Roman" w:cs="Times New Roman" w:eastAsia="Times New Roman" w:hAnsi="Times New Roman"/>
          <w:sz w:val="18"/>
          <w:szCs w:val="18"/>
          <w:color w:val="auto"/>
        </w:rPr>
      </w:pPr>
    </w:p>
    <w:p>
      <w:pPr>
        <w:jc w:val="both"/>
        <w:ind w:left="972" w:hanging="324"/>
        <w:spacing w:after="0" w:line="253" w:lineRule="auto"/>
        <w:tabs>
          <w:tab w:leader="none" w:pos="97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other rights available to the Holder, including the right to rescind the exercise as provided above, if as a result of a failure to deliver the Shares by the Delivery Deadline (so long as the failure to deliver the Shares is not caused by any action or inaction by the Holder) (a “</w:t>
      </w:r>
      <w:r>
        <w:rPr>
          <w:rFonts w:ascii="Times New Roman" w:cs="Times New Roman" w:eastAsia="Times New Roman" w:hAnsi="Times New Roman"/>
          <w:sz w:val="18"/>
          <w:szCs w:val="18"/>
          <w:u w:val="single" w:color="auto"/>
          <w:color w:val="auto"/>
        </w:rPr>
        <w:t>Delivery Failure</w:t>
      </w:r>
      <w:r>
        <w:rPr>
          <w:rFonts w:ascii="Times New Roman" w:cs="Times New Roman" w:eastAsia="Times New Roman" w:hAnsi="Times New Roman"/>
          <w:sz w:val="18"/>
          <w:szCs w:val="18"/>
          <w:color w:val="auto"/>
        </w:rPr>
        <w:t>”) the Holder is required by its broker to purchase (in an open market transaction or otherwise) or the Holder’s brokerage firm otherwise purchases shares of the Company’s capital stock to deliver in satisfaction of a sale anticipated to be made by the Holder of all or portion of such Shares which are the subject of such Delivery Failure (an “</w:t>
      </w:r>
      <w:r>
        <w:rPr>
          <w:rFonts w:ascii="Times New Roman" w:cs="Times New Roman" w:eastAsia="Times New Roman" w:hAnsi="Times New Roman"/>
          <w:sz w:val="18"/>
          <w:szCs w:val="18"/>
          <w:u w:val="single" w:color="auto"/>
          <w:color w:val="auto"/>
        </w:rPr>
        <w:t>Anticipated Sale</w:t>
      </w:r>
      <w:r>
        <w:rPr>
          <w:rFonts w:ascii="Times New Roman" w:cs="Times New Roman" w:eastAsia="Times New Roman" w:hAnsi="Times New Roman"/>
          <w:sz w:val="18"/>
          <w:szCs w:val="18"/>
          <w:color w:val="auto"/>
        </w:rPr>
        <w:t>”), then the Company shall (i) pay in cash to the Holder the amount by which (x) the Holder’s total purchase price (including brokerage commissions, if any) for the shares of the Company’s capital stock so purchased exceeds (y) an amount equal to the product of (A) the number of Shares that the Holder anticipated to sell in such Anticipated Sale, multiplied by (B) the Warrant Price that would have been payable for such Shares, and (ii) at the option of the Holder, either reinstate the portion of this Warrant and equivalent number of Shares in respect of which such Delivery Failure occurred or deliver to the Holder the number of Shares that would have been issued had the Company timely complied with its obligations hereunder to issue such Shares upon such exercise. The Holder shall provide the Company written notice indicating the amounts payable to the Holder, together with applicable confirmations and other evidence reasonably requested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269240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6" w:name="page27"/>
    <w:bookmarkEnd w:id="26"/>
    <w:p>
      <w:pPr>
        <w:jc w:val="both"/>
        <w:ind w:left="972" w:hanging="324"/>
        <w:spacing w:after="0" w:line="266" w:lineRule="auto"/>
        <w:tabs>
          <w:tab w:leader="none" w:pos="97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 of a Share will be issued upon any exercise of a Warrant. If the holder of a Warrant would be entitled to receive a fraction of a Share upon any exercise of a Warrant, the Company shall, upon such exercise, issue or cause to be issued only the largest whole number of Shares issuable on such exercise (and such fraction of a Share will be disregarded).</w:t>
      </w:r>
    </w:p>
    <w:p>
      <w:pPr>
        <w:spacing w:after="0" w:line="175"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Rule 144, it is acknowledged and agreed that (i) the Shares issuable upon any exercise of this Warrant in any Cashless Exercise transaction shall be deemed to have been acquired on the Issuance Date, and (ii) the holding period for any of the Shares issuable upon the exercise of this Warrant in any Cashless Exercise transaction shall be deemed to have commenced on the Issuance Date.</w:t>
      </w:r>
    </w:p>
    <w:p>
      <w:pPr>
        <w:spacing w:after="0" w:line="17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and Registry of Warrant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Certificates, when surrendered at the office of the Company by the Holder in person or by attorney duly authorized in writing, may be exchanged without payment of any service charge, for another Warrant Certificate or Warrant Certificates of like tenor and evidencing in the aggregate a like number of Warrants.</w:t>
      </w:r>
    </w:p>
    <w:p>
      <w:pPr>
        <w:spacing w:after="0" w:line="175"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due presentment for registration of transfer of the Warrant Certificate at the office of the Company, a new Warrant Certificate or Warrant Certificates of like tenor and evidencing in the aggregate a like number of Warrants shall be issued to the transferee in exchange for this Warrant Certificate, without charge except for any applicable tax or other governmental charge.</w:t>
      </w:r>
    </w:p>
    <w:p>
      <w:pPr>
        <w:spacing w:after="0" w:line="175" w:lineRule="exact"/>
        <w:rPr>
          <w:rFonts w:ascii="Times New Roman" w:cs="Times New Roman" w:eastAsia="Times New Roman" w:hAnsi="Times New Roman"/>
          <w:sz w:val="18"/>
          <w:szCs w:val="18"/>
          <w:color w:val="auto"/>
        </w:rPr>
      </w:pPr>
    </w:p>
    <w:p>
      <w:pPr>
        <w:jc w:val="both"/>
        <w:ind w:left="972" w:hanging="324"/>
        <w:spacing w:after="0" w:line="261" w:lineRule="auto"/>
        <w:tabs>
          <w:tab w:leader="none" w:pos="97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keep and properly maintain at its principal executive offices a register for the registration of this Warrant and any transfers thereof. The Company may deem and treat the person in whose name this Warrant is registered on such register as the Holder thereof for all purposes, and the Company shall not be affected by any notice to the contrary, except any assignment, division, combination or other transfer of this Warrant effected in accordance with the provisions of this Warrant.</w:t>
      </w:r>
    </w:p>
    <w:p>
      <w:pPr>
        <w:spacing w:after="0" w:line="179"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Anti-Dilution Adjustments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Change in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792" w:hanging="334"/>
        <w:spacing w:after="0" w:line="254" w:lineRule="auto"/>
        <w:tabs>
          <w:tab w:leader="none" w:pos="1792"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after the Issuance Date and prior to the exercise in full of this Warrant, the outstanding the number of Shares shall be subdivided (by distribution, subdivision or otherwise), into a greater number of Shares, the number of Shares issuable on the exercise of each Warrant then in effect shall, concurrently with the effectiveness of such subdivision, be equally, ratably and proportionally increased, and the Warrant Price shall be ratably and proportionally decreased, in each case as determined in good faith by the Board, which determination shall be final and binding on the Holders absent manifest error. In the event the outstanding Shares shall be combined or consolidated, by reclassification or otherwise, into a lesser number of Shares, the number of Shares issuable on the exercise of each Warrant then in effect shall, concurrently with the effectiveness of such subdivision, be equally, ratably and proportionally decreased, and the Warrant Price shall be ratably and proportionally increased, in each case as determined in good faith by the Board, which determination shall be final and binding on the Holders absent manifest error.</w:t>
      </w:r>
    </w:p>
    <w:p>
      <w:pPr>
        <w:spacing w:after="0" w:line="188" w:lineRule="exact"/>
        <w:rPr>
          <w:rFonts w:ascii="Times New Roman" w:cs="Times New Roman" w:eastAsia="Times New Roman" w:hAnsi="Times New Roman"/>
          <w:sz w:val="18"/>
          <w:szCs w:val="18"/>
          <w:color w:val="auto"/>
        </w:rPr>
      </w:pPr>
    </w:p>
    <w:p>
      <w:pPr>
        <w:jc w:val="both"/>
        <w:ind w:left="1792" w:hanging="334"/>
        <w:spacing w:after="0" w:line="256" w:lineRule="auto"/>
        <w:tabs>
          <w:tab w:leader="none" w:pos="1792"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after the Issuance Date and prior to the exercise in full of this Warrant, the Shares are exchanged for, or converted into, another form of equity security of the Company or of any other entity, this Warrant shall be exercisable for an equivalent number of such equity securities, at an equivalent Warrant Price, in each case as determined by the Board acting reasonably, so as to provide the Holder with rights equitably equivalent to the rights held by the Holder by virtue of this Warrant in effect immediately prior to such exchange or conversion, and each reference herein to the Shares issuable on exercise of this Warrant shall be deemed to be a reference to such other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267970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7" w:name="page28"/>
    <w:bookmarkEnd w:id="27"/>
    <w:p>
      <w:pPr>
        <w:jc w:val="both"/>
        <w:ind w:left="324" w:hanging="324"/>
        <w:spacing w:after="0" w:line="256" w:lineRule="auto"/>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for Issuance of Applicable Shares</w:t>
      </w:r>
      <w:r>
        <w:rPr>
          <w:rFonts w:ascii="Times New Roman" w:cs="Times New Roman" w:eastAsia="Times New Roman" w:hAnsi="Times New Roman"/>
          <w:sz w:val="18"/>
          <w:szCs w:val="18"/>
          <w:color w:val="auto"/>
        </w:rPr>
        <w:t>. If, after the Issuance Date, the Company shall issue or sell any Shares (other than shares included in the Excluded Issuances, as defined below) (the “</w:t>
      </w:r>
      <w:r>
        <w:rPr>
          <w:rFonts w:ascii="Times New Roman" w:cs="Times New Roman" w:eastAsia="Times New Roman" w:hAnsi="Times New Roman"/>
          <w:sz w:val="18"/>
          <w:szCs w:val="18"/>
          <w:u w:val="single" w:color="auto"/>
          <w:color w:val="auto"/>
        </w:rPr>
        <w:t>Applicable Shares</w:t>
      </w:r>
      <w:r>
        <w:rPr>
          <w:rFonts w:ascii="Times New Roman" w:cs="Times New Roman" w:eastAsia="Times New Roman" w:hAnsi="Times New Roman"/>
          <w:sz w:val="18"/>
          <w:szCs w:val="18"/>
          <w:color w:val="auto"/>
        </w:rPr>
        <w:t>”), or options, warrants, convertible securities and similar instruments exercisable or otherwise convertible or exchangeable for Applicable Shares, in each case without consideration or for a consideration per Share initially deliverable upon issuance, conversion or exchange of such securities less than the then applicable Warrant Price, then effective immediately upon such issuance or sale, the Warrant Price shall be reduced, and shall not be increased, in accordance with the following formula:</w:t>
      </w:r>
    </w:p>
    <w:p>
      <w:pPr>
        <w:spacing w:after="0" w:line="58" w:lineRule="exact"/>
        <w:rPr>
          <w:sz w:val="20"/>
          <w:szCs w:val="20"/>
          <w:color w:val="auto"/>
        </w:rPr>
      </w:pPr>
    </w:p>
    <w:p>
      <w:pPr>
        <w:jc w:val="center"/>
        <w:ind w:right="-323"/>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 E x (O + (M/E) / (O + D)</w:t>
      </w:r>
    </w:p>
    <w:p>
      <w:pPr>
        <w:spacing w:after="0" w:line="112"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 New Warrant Price</w:t>
      </w:r>
    </w:p>
    <w:p>
      <w:pPr>
        <w:spacing w:after="0" w:line="45"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E = then applicable Warrant Price</w:t>
      </w:r>
    </w:p>
    <w:p>
      <w:pPr>
        <w:spacing w:after="0" w:line="7"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O = the number of Shares outstanding immediately prior to the issuance of such securities</w:t>
      </w:r>
    </w:p>
    <w:p>
      <w:pPr>
        <w:spacing w:after="0" w:line="9"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M = the total consideration received upon issuance of such securities</w:t>
      </w:r>
    </w:p>
    <w:p>
      <w:pPr>
        <w:spacing w:after="0" w:line="9"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D = the maximum number of Shares deliverable upon issuance of such securities</w:t>
      </w:r>
    </w:p>
    <w:p>
      <w:pPr>
        <w:spacing w:after="0" w:line="207" w:lineRule="exact"/>
        <w:rPr>
          <w:sz w:val="20"/>
          <w:szCs w:val="20"/>
          <w:color w:val="auto"/>
        </w:rPr>
      </w:pPr>
    </w:p>
    <w:p>
      <w:pPr>
        <w:jc w:val="both"/>
        <w:ind w:left="324"/>
        <w:spacing w:after="0" w:line="261" w:lineRule="auto"/>
        <w:rPr>
          <w:sz w:val="20"/>
          <w:szCs w:val="20"/>
          <w:color w:val="auto"/>
        </w:rPr>
      </w:pPr>
      <w:r>
        <w:rPr>
          <w:rFonts w:ascii="Times New Roman" w:cs="Times New Roman" w:eastAsia="Times New Roman" w:hAnsi="Times New Roman"/>
          <w:sz w:val="18"/>
          <w:szCs w:val="18"/>
          <w:color w:val="auto"/>
        </w:rPr>
        <w:t>Upon any and each adjustment to the Warrant Price as provided above, the number of the Shares issuable upon the exercise of this Warrant immediately prior to any such adjustment shall be increased to a number of the Shares equal to the quotient obtained by dividing (i) the product of (A) the Warrant Price in effect immediately prior to any such adjustment multiplied by (B) the number of the Shares issuable upon exercise of this Warrant immediately prior to such adjustment; by (ii) the Warrant Price resulting from such adjustment.</w:t>
      </w:r>
    </w:p>
    <w:p>
      <w:pPr>
        <w:spacing w:after="0" w:line="180" w:lineRule="exact"/>
        <w:rPr>
          <w:sz w:val="20"/>
          <w:szCs w:val="20"/>
          <w:color w:val="auto"/>
        </w:rPr>
      </w:pPr>
    </w:p>
    <w:p>
      <w:pPr>
        <w:jc w:val="both"/>
        <w:ind w:left="324" w:hanging="324"/>
        <w:spacing w:after="0" w:line="253" w:lineRule="auto"/>
        <w:tabs>
          <w:tab w:leader="none" w:pos="3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Dividends and Distributions</w:t>
      </w:r>
      <w:r>
        <w:rPr>
          <w:rFonts w:ascii="Times New Roman" w:cs="Times New Roman" w:eastAsia="Times New Roman" w:hAnsi="Times New Roman"/>
          <w:sz w:val="18"/>
          <w:szCs w:val="18"/>
          <w:color w:val="auto"/>
        </w:rPr>
        <w:t xml:space="preserve">. If the Company shall make or declare, or fix a record date for the determination of holders of equity securities entitled to receive, a dividend or any other distribution payable in cash, securities of the Company or other property, then, and in each such event, the Company shall ensure that provisions are made so that the Holder shall receive upon exercise of this Warrant, in addition to the number of the Shares receivable thereupon, the kind and amount of cash, securities of the Company or other property which the Holder would have been entitled to receive had this Warrant been exercised in full into the Shares on the date of such event and had the Holder thereafter, during the period from the date of such event to and including the date this Warrant is exercised, retained such cash, securities or other property receivable by them as aforesaid during such period, giving application to all adjustments called for during such period under this Section with respect to the rights of the Holder;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such provision shall be made if the Holder receives, simultaneously with the distribution to the holders of equity securities, a dividend or other distribution of such securities, cash or other property in an amount equal to the amount of such securities, cash or other property as the Holder would have received if this Warrant had been exercised in full into the Shares on the date of such event.</w:t>
      </w:r>
    </w:p>
    <w:p>
      <w:pPr>
        <w:spacing w:after="0" w:line="191"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Events</w:t>
      </w:r>
      <w:r>
        <w:rPr>
          <w:rFonts w:ascii="Times New Roman" w:cs="Times New Roman" w:eastAsia="Times New Roman" w:hAnsi="Times New Roman"/>
          <w:sz w:val="18"/>
          <w:szCs w:val="18"/>
          <w:color w:val="auto"/>
        </w:rPr>
        <w:t>. If any event of the type contemplated by the provisions of this Section but not expressly provided for by such provisions (including, without limitation, the granting of stock appreciation rights, phantom stock rights or other rights with equity features) occurs, then the Board shall make an appropriate adjustment in the Warrant Price and the number of the Shares issuable upon exercise of this Warrant so as to protect the rights of the Holder in a manner consistent with the provisions of this Section; provided, that no such adjustment pursuant to this Section 4(d) shall increase the Warrant Price or decrease the number of the Shares issuable hereunder.</w:t>
      </w:r>
    </w:p>
    <w:p>
      <w:pPr>
        <w:spacing w:after="0" w:line="183" w:lineRule="exact"/>
        <w:rPr>
          <w:rFonts w:ascii="Times New Roman" w:cs="Times New Roman" w:eastAsia="Times New Roman" w:hAnsi="Times New Roman"/>
          <w:sz w:val="18"/>
          <w:szCs w:val="18"/>
          <w:color w:val="auto"/>
        </w:rPr>
      </w:pPr>
    </w:p>
    <w:p>
      <w:pPr>
        <w:jc w:val="both"/>
        <w:ind w:left="324" w:hanging="324"/>
        <w:spacing w:after="0" w:line="252" w:lineRule="auto"/>
        <w:tabs>
          <w:tab w:leader="none" w:pos="3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Exceptions to Adjustments</w:t>
      </w:r>
      <w:r>
        <w:rPr>
          <w:rFonts w:ascii="Times New Roman" w:cs="Times New Roman" w:eastAsia="Times New Roman" w:hAnsi="Times New Roman"/>
          <w:sz w:val="18"/>
          <w:szCs w:val="18"/>
          <w:color w:val="auto"/>
        </w:rPr>
        <w:t>. Except as specifically provided for herein, there shall be no adjustment or readjustment to the number of Shares issuable in the following circumstances (each of the following, an “</w:t>
      </w:r>
      <w:r>
        <w:rPr>
          <w:rFonts w:ascii="Times New Roman" w:cs="Times New Roman" w:eastAsia="Times New Roman" w:hAnsi="Times New Roman"/>
          <w:sz w:val="18"/>
          <w:szCs w:val="18"/>
          <w:u w:val="single" w:color="auto"/>
          <w:color w:val="auto"/>
        </w:rPr>
        <w:t>Excluded Issuance</w:t>
      </w:r>
      <w:r>
        <w:rPr>
          <w:rFonts w:ascii="Times New Roman" w:cs="Times New Roman" w:eastAsia="Times New Roman" w:hAnsi="Times New Roman"/>
          <w:sz w:val="18"/>
          <w:szCs w:val="18"/>
          <w:color w:val="auto"/>
        </w:rPr>
        <w:t xml:space="preserve">”): (1) upon the exercise of this Warrant or any of the other Warrants issued to the Company’s other lenders on the Issuance Date; (2) upon conversion, exercise or exchange of securities, including convertible debt securities, outstanding prior to the Issuance Date; (3) pursuant to agreements in effect as of the Issuance Date (provided that such agreements are not amended after the Issuance Date to increase the number of securities, reduce the consideration payable in connection with such securities, or otherwise change the terms of such agreements so as to have a dilutive effect on this Warrant); (4) pursuant to the Company’s management, directors or other service providers as part of compensation and incentive programs approved by the Board; (5) pursuant to any joint venture arrangement, strategic arrangements, real property lease, financing transaction or other similar transaction in which equity financing is not the purpose of the transaction; and (6) pursuant to any public equity offerings. Notwithstanding the foregoing, the parties agree that any equity securities issued in “PIPE” transactions, and any equity securities issued pursuant to the Committed Equity Facility shall be “Excluded Issuances” if the securities issued in such “PIPE” transactions or pursuant to the Committed Equity Facility are issued for consideration equal to at least $5 per share (as proportionately adjusted to account for stock splits, stock combinations, stock dividends or other distributions or recapitalizations affecting the Common Stock). For example (x) if the Company issues equity securities in a PIPE Transaction or pursuant to the Committed Equity Facility, and the consideration paid for those equity securities is $4 per equity security, then such issuance shall not be an Excluded Issuance and the adjustment set forth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shall apply, and (y) if the Company issues equity securities in a PIPE Transaction or pursuant to the Committed Equity Facility, and the consideration paid for those equity securities is $5 per equity security, then such issuance shall be an Excluded Issuance and the adjustment set forth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shall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270510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8" w:name="page29"/>
    <w:bookmarkEnd w:id="28"/>
    <w:p>
      <w:pPr>
        <w:jc w:val="both"/>
        <w:ind w:left="972" w:hanging="324"/>
        <w:spacing w:after="0" w:line="258" w:lineRule="auto"/>
        <w:tabs>
          <w:tab w:leader="none" w:pos="97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Adjustment</w:t>
      </w:r>
      <w:r>
        <w:rPr>
          <w:rFonts w:ascii="Times New Roman" w:cs="Times New Roman" w:eastAsia="Times New Roman" w:hAnsi="Times New Roman"/>
          <w:sz w:val="18"/>
          <w:szCs w:val="18"/>
          <w:color w:val="auto"/>
        </w:rPr>
        <w:t>. Upon the occurrence of each adjustment or readjustment of the Warrant Price or the number of Shares issuable on the exercise of each Warrant, the Company (at its expense) shall promptly compute such adjustment or readjustment in accordance with the terms hereof and furnish to the Holder a notice setting forth (1) such adjustment or readjustment and showing in detail the facts upon which such adjustment or readjustment is based and (2) the number of Shares issuable on the exercise of each Warrant and the Warrant Price at the time in effect.</w:t>
      </w:r>
    </w:p>
    <w:p>
      <w:pPr>
        <w:spacing w:after="0" w:line="183" w:lineRule="exact"/>
        <w:rPr>
          <w:rFonts w:ascii="Times New Roman" w:cs="Times New Roman" w:eastAsia="Times New Roman" w:hAnsi="Times New Roman"/>
          <w:sz w:val="18"/>
          <w:szCs w:val="18"/>
          <w:color w:val="auto"/>
        </w:rPr>
      </w:pPr>
    </w:p>
    <w:p>
      <w:pPr>
        <w:ind w:left="972" w:hanging="324"/>
        <w:spacing w:after="0" w:line="282" w:lineRule="auto"/>
        <w:tabs>
          <w:tab w:leader="none" w:pos="97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other than in the ordinary course, in any manner which prevents the timely exercise of this Warrant, pursuant to the terms hereof.</w:t>
      </w:r>
    </w:p>
    <w:p>
      <w:pPr>
        <w:spacing w:after="0" w:line="161" w:lineRule="exact"/>
        <w:rPr>
          <w:rFonts w:ascii="Times New Roman" w:cs="Times New Roman" w:eastAsia="Times New Roman" w:hAnsi="Times New Roman"/>
          <w:sz w:val="18"/>
          <w:szCs w:val="18"/>
          <w:color w:val="auto"/>
        </w:rPr>
      </w:pPr>
    </w:p>
    <w:p>
      <w:pPr>
        <w:ind w:left="972" w:right="20" w:hanging="324"/>
        <w:spacing w:after="0" w:line="282" w:lineRule="auto"/>
        <w:tabs>
          <w:tab w:leader="none" w:pos="97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All calculations hereunder shall be made to the nearest cent or to the nearest twentieth decimal place of a fractional Share, as the case may be.</w:t>
      </w:r>
    </w:p>
    <w:p>
      <w:pPr>
        <w:spacing w:after="0" w:line="161"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52" w:lineRule="auto"/>
        <w:tabs>
          <w:tab w:leader="none" w:pos="97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following the Issuance Date but no later than thirty (30) calendar days after the Issuance Date, the Company shall submit to or file with the SEC a registration statement registering the resale of this Warrant, the Shares, and any securities issued or issuable with respect to the Shares by way of a stock dividend or stock split or in connection with a combination of shares, recapitalization, merger, consolidation, spin-off, reclassification or other reorganization or similar transaction (including Shares received pursuant to Section 4 above) (the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on any form of registration statement (a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as is then available to effect a registration for resale of such Registrable Securities, which may be on Form S-1, for an offering to be made on a continuous basis pursuant to Rule 415 of the Securities Act registering the resale from time to time by the Holder(s) (or a bona fide pledgee thereof) of all of the Registrable Securities held by the Holder (or bona fide pledgee thereof) (the “</w:t>
      </w:r>
      <w:r>
        <w:rPr>
          <w:rFonts w:ascii="Times New Roman" w:cs="Times New Roman" w:eastAsia="Times New Roman" w:hAnsi="Times New Roman"/>
          <w:sz w:val="18"/>
          <w:szCs w:val="18"/>
          <w:u w:val="single" w:color="auto"/>
          <w:color w:val="auto"/>
        </w:rPr>
        <w:t>Initial Registration Statement</w:t>
      </w:r>
      <w:r>
        <w:rPr>
          <w:rFonts w:ascii="Times New Roman" w:cs="Times New Roman" w:eastAsia="Times New Roman" w:hAnsi="Times New Roman"/>
          <w:sz w:val="18"/>
          <w:szCs w:val="18"/>
          <w:color w:val="auto"/>
        </w:rPr>
        <w:t>”). The Holder shall not be named as an underwriter on any Registration Statement, provided, that if the SEC requires that the Holder be identified as a statutory underwriter in a Registration Statement, the Holder will have the option, in its sole and absolute discretion, to either (i) withdraw from the Registration Statement, it being understood that such withdrawal shall not relieve the Company of its obligation to register for resale such Holder’s Registrable Securities at a later date or (ii) be included as such in the Registration Statement. In the event that a Holder elects to include its Registrable Securities on a Registration Statement in accordance with the foregoing clause (ii), the Company shall provide such Holder with a draft of such Registration Statement (and any amendments or supplements thereto) as soon as reasonably practicable, and any disclosures contained therein relating to such Holder shall be subject to the approval of such Holder (which approval shall not be unreasonably withheld or delayed). Such Registrable Securities will cease to become Registrable Securities upon the earliest to occur of: (A) a Registration Statement with respect to the sale of such securities shall have become effective under the Securities Act and all Registrable Securities held by the Holder shall have been sold, transferred, disposed of or exchanged in accordance with such Registration Statement by the applicable Holder; (B) such securities shall have ceased to be outstanding; (C) such securities may be sold without restriction on volume or manner of sale in any three-month period pursuant to Rule 144 or any successor rule promulgated under the Securities Act; and (D) all Registrable Securities held by the Holder have been sold to, or through, a broker, dealer or underwriter in a public distribution or other public securities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267970</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9" w:name="page30"/>
    <w:bookmarkEnd w:id="29"/>
    <w:p>
      <w:pPr>
        <w:jc w:val="both"/>
        <w:ind w:left="324" w:hanging="324"/>
        <w:spacing w:after="0" w:line="253" w:lineRule="auto"/>
        <w:tabs>
          <w:tab w:leader="none" w:pos="3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commercially reasonable efforts to have the Initial Registration Statement declared effective as soon as practicable after the filing thereof, but no later than the earlier of (i) the ninetieth (90th) calendar day following the filing date thereof if the SEC notifies the Company that it will “review” the Registration Statement and (ii) the tenth (10th) business day after the date the Company is notified (orally or in writing, whichever is earlier) by the SEC that the Registration Statement will not be “reviewed” or will not be subject to further review. The Company shall notify the Holders as promptly as practicable after the Registration Statement is declared effective and shall simultaneously or prior thereto file with the SEC pursuant to Rule 424(b) promulgated under the Securities Act, and provide the Holders with copies of, any related prospectus to be used in connection with the sale or other disposition of the securities covered thereby (each, a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The Registration Statement shall contain a Prospectus in such form as to permit any Holder to sell such Registrable Securities pursuant to Rule 415 under the Securities Act (or any successor or similar provision adopted by the Commission then in effect) at any time beginning on the effective date for such Registration Statement, and shall provide that such Registrable Securities may be sold pursuant to any method or combination of methods legally available to, and requested by, the Holders.</w:t>
      </w:r>
    </w:p>
    <w:p>
      <w:pPr>
        <w:spacing w:after="0" w:line="191"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the Initial Registration Statement and any subsequent Registration Statement in accordance with the terms hereof, and shall prepare and file with the SEC such amendments, including post-effective amendments, and supplements as may be necessary to keep the Initial Registration Statement and any subsequent Registration Statement continuously effective, available for use to permit the Holders named therein to sell their Registrable Securities included therein and in compliance with the provisions of the Securities Act until such time as there are no longer any Registrable Securities (the “</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foregoing, the Company shall:</w:t>
      </w:r>
    </w:p>
    <w:p>
      <w:pPr>
        <w:spacing w:after="0" w:line="225" w:lineRule="exact"/>
        <w:rPr>
          <w:rFonts w:ascii="Times New Roman" w:cs="Times New Roman" w:eastAsia="Times New Roman" w:hAnsi="Times New Roman"/>
          <w:sz w:val="18"/>
          <w:szCs w:val="18"/>
          <w:color w:val="auto"/>
        </w:rPr>
      </w:pPr>
    </w:p>
    <w:p>
      <w:pPr>
        <w:jc w:val="both"/>
        <w:ind w:left="1144" w:hanging="334"/>
        <w:spacing w:after="0" w:line="256" w:lineRule="auto"/>
        <w:tabs>
          <w:tab w:leader="none" w:pos="114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copies to, and permit the Holder to review, the Registration Statement and all amendments and supplements thereto not less than five (5) business days prior to the filing of the Registration Statement and not less than one (1) business day prior to the filing of any related Prospectus or any amendment or supplement thereto (except any amendment or supplement in relation to annual reports on Form 10-K, quarterly reports on Form 10-Q and current reports on Form 8-K and any similar or successor reports) and provide the Holder a reasonable opportunity to comment thereon, and the Company shall consider such comments in good faith before filing any Registration Statement or amendment or supplement thereto;</w:t>
      </w:r>
    </w:p>
    <w:p>
      <w:pPr>
        <w:spacing w:after="0" w:line="187" w:lineRule="exact"/>
        <w:rPr>
          <w:rFonts w:ascii="Times New Roman" w:cs="Times New Roman" w:eastAsia="Times New Roman" w:hAnsi="Times New Roman"/>
          <w:sz w:val="18"/>
          <w:szCs w:val="18"/>
          <w:color w:val="auto"/>
        </w:rPr>
      </w:pPr>
    </w:p>
    <w:p>
      <w:pPr>
        <w:ind w:left="1144" w:hanging="334"/>
        <w:spacing w:after="0" w:line="282" w:lineRule="auto"/>
        <w:tabs>
          <w:tab w:leader="none" w:pos="114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(x) prevent the issuance of any stop order or other suspension of effectiveness and (y) if such order is issued, obtain the withdrawal of any such order as soon as practicable;</w:t>
      </w:r>
    </w:p>
    <w:p>
      <w:pPr>
        <w:spacing w:after="0" w:line="161" w:lineRule="exact"/>
        <w:rPr>
          <w:rFonts w:ascii="Times New Roman" w:cs="Times New Roman" w:eastAsia="Times New Roman" w:hAnsi="Times New Roman"/>
          <w:sz w:val="18"/>
          <w:szCs w:val="18"/>
          <w:color w:val="auto"/>
        </w:rPr>
      </w:pPr>
    </w:p>
    <w:p>
      <w:pPr>
        <w:jc w:val="both"/>
        <w:ind w:left="1144" w:hanging="334"/>
        <w:spacing w:after="0" w:line="254" w:lineRule="auto"/>
        <w:tabs>
          <w:tab w:leader="none" w:pos="114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public offering of Registrable Securities, use commercially reasonable efforts to register or qualify or cooperate with the Holder and its counsel in connection with the registration or qualification of such Registrable Securities for the offer and sale under the securities or blue sky laws of such jurisdictions upon notice and as requested by the Holder and do any and all other commercially reasonable acts or things necessary or advisable as requested by the Holder to enable the distribution in such jurisdictions of the Registrable Securities covered by the Registration Statement; provided, that the Company shall not be required in connection therewith or as a condition thereto to (i) qualify to do business in any jurisdiction where it would not otherwise be required to qualify but for this provision; (ii) subject itself to general taxation in any jurisdiction where it would not otherwise be so subject but for this provision; or (iii) file a general consent to service of process in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270510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0" w:name="page31"/>
    <w:bookmarkEnd w:id="30"/>
    <w:p>
      <w:pPr>
        <w:ind w:left="1144" w:hanging="334"/>
        <w:spacing w:after="0" w:line="282" w:lineRule="auto"/>
        <w:tabs>
          <w:tab w:leader="none" w:pos="114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cause all Registrable Securities covered by a Registration Statement to be listed on each national securities exchange or other market on which similar securities issued by the Company are then listed;</w:t>
      </w:r>
    </w:p>
    <w:p>
      <w:pPr>
        <w:spacing w:after="0" w:line="161" w:lineRule="exact"/>
        <w:rPr>
          <w:rFonts w:ascii="Times New Roman" w:cs="Times New Roman" w:eastAsia="Times New Roman" w:hAnsi="Times New Roman"/>
          <w:sz w:val="18"/>
          <w:szCs w:val="18"/>
          <w:color w:val="auto"/>
        </w:rPr>
      </w:pPr>
    </w:p>
    <w:p>
      <w:pPr>
        <w:ind w:left="1144" w:hanging="334"/>
        <w:spacing w:after="0" w:line="282" w:lineRule="auto"/>
        <w:tabs>
          <w:tab w:leader="none" w:pos="114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or warrant agent, if any, as applicable, and registrar for all such Registrable Securities no later than the effective date of such Registration Statement;</w:t>
      </w:r>
    </w:p>
    <w:p>
      <w:pPr>
        <w:spacing w:after="0" w:line="161" w:lineRule="exact"/>
        <w:rPr>
          <w:rFonts w:ascii="Times New Roman" w:cs="Times New Roman" w:eastAsia="Times New Roman" w:hAnsi="Times New Roman"/>
          <w:sz w:val="18"/>
          <w:szCs w:val="18"/>
          <w:color w:val="auto"/>
        </w:rPr>
      </w:pPr>
    </w:p>
    <w:p>
      <w:pPr>
        <w:jc w:val="both"/>
        <w:ind w:left="1144" w:hanging="334"/>
        <w:spacing w:after="0" w:line="254" w:lineRule="auto"/>
        <w:tabs>
          <w:tab w:leader="none" w:pos="114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Holder at any time prior to the end of the Effectiveness Period, upon discovery that, or upon the happening of any event as a result of which, the Prospectus included in the Registration Statement, as then in effect, includes a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 (a “</w:t>
      </w:r>
      <w:r>
        <w:rPr>
          <w:rFonts w:ascii="Times New Roman" w:cs="Times New Roman" w:eastAsia="Times New Roman" w:hAnsi="Times New Roman"/>
          <w:sz w:val="18"/>
          <w:szCs w:val="18"/>
          <w:u w:val="single" w:color="auto"/>
          <w:color w:val="auto"/>
        </w:rPr>
        <w:t>Misstatement</w:t>
      </w:r>
      <w:r>
        <w:rPr>
          <w:rFonts w:ascii="Times New Roman" w:cs="Times New Roman" w:eastAsia="Times New Roman" w:hAnsi="Times New Roman"/>
          <w:sz w:val="18"/>
          <w:szCs w:val="18"/>
          <w:color w:val="auto"/>
        </w:rPr>
        <w:t>”), which the Holder will maintain in confidence, and (i) promptly prepare, file with the SEC and furnish to such holder a supplement to or an amendment of such Prospectus as may be necessary so that such Prospectus shall not include such Misstatement or (ii) suspend the filing, initial effectiveness or continued use of any Registration Statement in accordance with Section 5(g) below;</w:t>
      </w:r>
    </w:p>
    <w:p>
      <w:pPr>
        <w:spacing w:after="0" w:line="191" w:lineRule="exact"/>
        <w:rPr>
          <w:rFonts w:ascii="Times New Roman" w:cs="Times New Roman" w:eastAsia="Times New Roman" w:hAnsi="Times New Roman"/>
          <w:sz w:val="18"/>
          <w:szCs w:val="18"/>
          <w:color w:val="auto"/>
        </w:rPr>
      </w:pPr>
    </w:p>
    <w:p>
      <w:pPr>
        <w:ind w:left="1144" w:hanging="334"/>
        <w:spacing w:after="0" w:line="282" w:lineRule="auto"/>
        <w:tabs>
          <w:tab w:leader="none" w:pos="114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comply with all applicable rules and regulations of the SEC under the Securities Act and the Exchange Act; and</w:t>
      </w:r>
    </w:p>
    <w:p>
      <w:pPr>
        <w:spacing w:after="0" w:line="161" w:lineRule="exact"/>
        <w:rPr>
          <w:rFonts w:ascii="Times New Roman" w:cs="Times New Roman" w:eastAsia="Times New Roman" w:hAnsi="Times New Roman"/>
          <w:sz w:val="18"/>
          <w:szCs w:val="18"/>
          <w:color w:val="auto"/>
        </w:rPr>
      </w:pPr>
    </w:p>
    <w:p>
      <w:pPr>
        <w:ind w:left="1144" w:hanging="334"/>
        <w:spacing w:after="0" w:line="282" w:lineRule="auto"/>
        <w:tabs>
          <w:tab w:leader="none" w:pos="114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in good faith, cooperate reasonably with, and take such customary actions as may reasonably be requested by the Holder, consistent with the terms of this Warrant, in connection with such registration.</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Holder holds Registrable Securities that are not registered for resale on a delayed or continuous basis, the Company, upon written request of such Holder, shall promptly use its commercially reasonable efforts to cause the resale of such Registrable Securities to be covered by either, at the Company’s option, any then available Registration Statement (including by means of a post-effective amendment) or by filing a subsequent Registration Statement and causing the same to become effective as soon as reasonably practicable after such filing and such subsequent Registration Statement shall be subject to the terms hereof.</w:t>
      </w:r>
    </w:p>
    <w:p>
      <w:pPr>
        <w:spacing w:after="0" w:line="183"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Initial Registration Statement ceases to be effective under Securities Act for any reason at any time while Registrable Securities are still outstanding, the Company shall use its commercially reasonable efforts to as promptly as is reasonably practicable to cause such Initial Registration Statement to again become effective under the Securities Act or file a subsequent Registration Statement registering the resale of all Registrable Securities (determined as of two (2) business days prior to such filing) pursuant to any method or combination of methods legally available to the Company.</w:t>
      </w:r>
    </w:p>
    <w:p>
      <w:pPr>
        <w:spacing w:after="0" w:line="183" w:lineRule="exact"/>
        <w:rPr>
          <w:rFonts w:ascii="Times New Roman" w:cs="Times New Roman" w:eastAsia="Times New Roman" w:hAnsi="Times New Roman"/>
          <w:sz w:val="18"/>
          <w:szCs w:val="18"/>
          <w:color w:val="auto"/>
        </w:rPr>
      </w:pPr>
    </w:p>
    <w:p>
      <w:pPr>
        <w:jc w:val="both"/>
        <w:ind w:left="324" w:hanging="324"/>
        <w:spacing w:after="0" w:line="253" w:lineRule="auto"/>
        <w:tabs>
          <w:tab w:leader="none" w:pos="3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not more than ninety (90) consecutive days or for a total of not more than one-hundred twenty (120) days, in each case, in any twelve (12) month period, the Company may suspend the filing, initial effectiveness or continued use of any Registration Statement in respect of any registration contemplated by this Section 5 in the event that the Company determines in good faith that such suspension is necessary to (A) delay the disclosure of material non-public information concerning the Company, the disclosure of which at the time is not, in the good faith opinion of the Company, in the best interests of the Company; (B) amend or supplement the affected Registration Statement or the related prospectus so that such Registration Statement or prospectus shall not include any misstatement; or (C) require the inclusion in such Registration Statement of financial statements that are unavailable to the Company for reasons beyond the Company’s control (each, an “</w:t>
      </w:r>
      <w:r>
        <w:rPr>
          <w:rFonts w:ascii="Times New Roman" w:cs="Times New Roman" w:eastAsia="Times New Roman" w:hAnsi="Times New Roman"/>
          <w:sz w:val="18"/>
          <w:szCs w:val="18"/>
          <w:u w:val="single" w:color="auto"/>
          <w:color w:val="auto"/>
        </w:rPr>
        <w:t>Allowed Delay</w:t>
      </w:r>
      <w:r>
        <w:rPr>
          <w:rFonts w:ascii="Times New Roman" w:cs="Times New Roman" w:eastAsia="Times New Roman" w:hAnsi="Times New Roman"/>
          <w:sz w:val="18"/>
          <w:szCs w:val="18"/>
          <w:color w:val="auto"/>
        </w:rPr>
        <w:t>”); provided that the Company shall promptly (1) notify the Holder in writing of the commencement of an Allowed Delay, but shall not (without the prior written consent of a Holder) disclose to such Holder any material non-public information giving rise to an Allowed Delay, (2) advise the Holder in writing to cease all sales under such Registration Statement until the end of the Allowed Delay (but not, for the avoidance of doubt, any sale pursuant to Rule 144 or other applicable exemption under the Securities Act) and (3) use commercially reasonable efforts to terminate an Allowed Delay as promptly as reasonably practicable.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269240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1" w:name="page32"/>
    <w:bookmarkEnd w:id="31"/>
    <w:p>
      <w:pPr>
        <w:jc w:val="both"/>
        <w:ind w:left="324" w:hanging="324"/>
        <w:spacing w:after="0" w:line="261" w:lineRule="auto"/>
        <w:tabs>
          <w:tab w:leader="none" w:pos="3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Holder holds Registrable Securities that are not registered for resale on a delayed or continuous basis, the Company, upon request of a Holder, shall promptly use its commercially reasonable efforts to cause the resale of such Registrable Securities to be covered by either, at the Company’s option, the Initial Registration Statement or a subsequent Registration Statement and cause the same to become effective as soon as practicable after such filing and such Registration Statement shall be subject to the terms hereof.</w:t>
      </w:r>
    </w:p>
    <w:p>
      <w:pPr>
        <w:spacing w:after="0" w:line="179"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all expenses associated with each Registration Statement, including filing and printing fees, the fees and expenses of the Company’s counsel and accounting fees and expenses, costs associated with clearing the Registrable Securities for sale under applicable state securities laws and listing fees, but excluding discounts, commissions, fees of underwriters, selling brokers, dealer managers or similar securities industry professionals with respect to the Registrable Securities being sold.</w:t>
      </w:r>
    </w:p>
    <w:p>
      <w:pPr>
        <w:spacing w:after="0" w:line="179" w:lineRule="exact"/>
        <w:rPr>
          <w:rFonts w:ascii="Times New Roman" w:cs="Times New Roman" w:eastAsia="Times New Roman" w:hAnsi="Times New Roman"/>
          <w:sz w:val="18"/>
          <w:szCs w:val="18"/>
          <w:color w:val="auto"/>
        </w:rPr>
      </w:pPr>
    </w:p>
    <w:p>
      <w:pPr>
        <w:jc w:val="both"/>
        <w:ind w:left="324" w:hanging="324"/>
        <w:spacing w:after="0" w:line="252" w:lineRule="auto"/>
        <w:tabs>
          <w:tab w:leader="none" w:pos="3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the Holder, and each of its officers, employees, affiliates, directors, partners, members, managers, equityholders, attorneys, advisors and agents, and each person or entity, if any, who controls (within the meaning of Section 15 of the Securities Act or Section 20 of the Securities and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Holder (each, a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to the fullest extent permitted by applicable law, from and against any expenses, losses, judgments, actions, claims, proceedings (whether commenced or threatened), damages, liabilities or costs (including, without limitation, reasonable attorneys’ fees)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as incurred, arising out of or based upon any Misstatement contained in any Registration Statement under which the sale of such Registrable Securities was registered under the Securities Act, any preliminary Prospectus, final Prospectus or summary Prospectus contained in such Registration Statement, any amendment or supplement to such Registration Statement, preliminary Prospectus, final Prospectus or summary Prospectus, or any free writing prospectus relating to such Registration Statement, or any violation by the Company of the Securities Act or any rule or regulation promulgated thereunder applicable to the Company or any state securities (or Blue Sky) law, rule or regulation and relating to action or inaction required of the Company in connection with any such registration; and the Company shall promptly reimburse the Holder Indemnified Party for any reasonable, customary and documented out-of-pocket legal and any other expenses reasonably incurred, as incurred, by such Holder Indemnified Party in connection with investigating and defending any such Losses, except to the extent the Holder is liable to indemnify the Company for such Losses pursuant to Section 5(k) below; provided, however, that the indemnity agreement contained in this Section 5(j) shall not apply to amounts paid in settlement of any claim or proceeding if such settlement is effected without the consent of the Company, which consent shall not be unreasonably withheld, and the Company will not be liable in any such case to the extent that any such losses, judgments, claims, damages, liabilities or out-of-pocket expenses arises out of or is based upon any Misstatement made in such Registration Statement in reliance upon and in conformity with information furnished to the Company, in writing, by the applicable Holder Indemnified Party expressly for use therein.</w:t>
      </w:r>
    </w:p>
    <w:p>
      <w:pPr>
        <w:spacing w:after="0" w:line="190" w:lineRule="exact"/>
        <w:rPr>
          <w:rFonts w:ascii="Times New Roman" w:cs="Times New Roman" w:eastAsia="Times New Roman" w:hAnsi="Times New Roman"/>
          <w:sz w:val="18"/>
          <w:szCs w:val="18"/>
          <w:color w:val="auto"/>
        </w:rPr>
      </w:pPr>
    </w:p>
    <w:p>
      <w:pPr>
        <w:jc w:val="both"/>
        <w:ind w:left="324" w:hanging="324"/>
        <w:spacing w:after="0" w:line="253" w:lineRule="auto"/>
        <w:tabs>
          <w:tab w:leader="none" w:pos="3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will, in the event that any registration of any Registrable Securities held by the Holder is being effected under the Securities Act pursuant to this Agreement and the Company has required the Holder to provide such an undertaking on the same terms, indemnify and hold harmless the Company, each of its directors and officers and each underwriter (if any), and each other person, if any, who controls such underwriter within the meaning of the Securities Act, against any Losses, insofar as such Losses arise out of or are based upon any Misstatement contained in any Registration Statement under which the sale of such Registrable Securities was registered under the Securities Act, any preliminary Prospectus, final Prospectus or summary Prospectus contained in the Registration Statement, or any amendment or supplement thereto, if the Misstatement was made (or not made, in the case of an omission) in reliance upon and in conformity with information furnished in writing to the Company by or on behalf of such Holder expressly for use therein, and shall reimburse the Company and its directors and officers for any reasonable, customary and documented out-of-pocket legal or other expenses incurred by any of them in connection with investigation or defending any such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271780</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2" w:name="page33"/>
    <w:bookmarkEnd w:id="32"/>
    <w:p>
      <w:pPr>
        <w:ind w:left="332" w:hanging="332"/>
        <w:spacing w:after="0"/>
        <w:tabs>
          <w:tab w:leader="none" w:pos="33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Compliance with Securities Laws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56" w:lineRule="auto"/>
        <w:tabs>
          <w:tab w:leader="none" w:pos="97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may not be transferred or assigned in whole or in part without compliance with all applicable United States, state, and foreign securities laws by the transferor and transferee (including the delivery of investment representation letters and legal opinions reasonably satisfactory to the Company, if requested by the Company). Subject to such restrictions, prior to the Expiration Date, this Warrant and all rights hereunder are transferable by the Holder hereof, in whole or in part, at the office or agency of the Company referred to in Section 1(b) above. Any such transfer shall be made in person or by the Holder’s duly authorized attorney, upon surrender of this Warrant together with the Form of Transfer attached hereto properly endorsed.</w:t>
      </w:r>
    </w:p>
    <w:p>
      <w:pPr>
        <w:spacing w:after="0" w:line="187" w:lineRule="exact"/>
        <w:rPr>
          <w:rFonts w:ascii="Times New Roman" w:cs="Times New Roman" w:eastAsia="Times New Roman" w:hAnsi="Times New Roman"/>
          <w:sz w:val="18"/>
          <w:szCs w:val="18"/>
          <w:color w:val="auto"/>
        </w:rPr>
      </w:pPr>
    </w:p>
    <w:p>
      <w:pPr>
        <w:jc w:val="both"/>
        <w:ind w:left="972" w:hanging="324"/>
        <w:spacing w:after="0" w:line="255" w:lineRule="auto"/>
        <w:tabs>
          <w:tab w:leader="none" w:pos="97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this Warrant, by acceptance hereof, acknowledges that this Warrant and the Shares issuable upon exercise hereof are being acquired solely for the Holder’s own account and not as a nominee for any other party, and for investment, and that the Holder will not offer, sell, or otherwise dispose of this Warrant or any Shares to be issued upon exercise hereof except under circumstances that will not result in a violation of the Securities Act or any state or foreign securities laws. Upon exercise of this Warrant, the Holder shall, if reasonably requested by the Company and if required by applicable law or regulation, confirm in writing, in a form satisfactory to the Company, that the Shares so purchased are being acquired solely for Holder’s own account and not as a nominee for any other party, for investment, and not with a view toward distribution or resale.</w:t>
      </w:r>
    </w:p>
    <w:p>
      <w:pPr>
        <w:spacing w:after="0" w:line="188" w:lineRule="exact"/>
        <w:rPr>
          <w:rFonts w:ascii="Times New Roman" w:cs="Times New Roman" w:eastAsia="Times New Roman" w:hAnsi="Times New Roman"/>
          <w:sz w:val="18"/>
          <w:szCs w:val="18"/>
          <w:color w:val="auto"/>
        </w:rPr>
      </w:pPr>
    </w:p>
    <w:p>
      <w:pPr>
        <w:jc w:val="both"/>
        <w:ind w:left="972" w:hanging="324"/>
        <w:spacing w:after="0" w:line="258" w:lineRule="auto"/>
        <w:tabs>
          <w:tab w:leader="none" w:pos="97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not been registered under the Securities Act, and this Warrant may not be exercised except by (1) the original purchaser of this Warrant from the Company or (2) an “accredited investor” as defined in Rule 501(a) under the Securities Act. Each certificate representing Shares issued on exercise of this Warrant or other securities issued in respect of such Shares upon any stock split, stock dividend, recapitalization, merger, consolidation or similar event, shall be stamped or otherwise imprinted with a legend substantially in the following form (in addition to any other legend required under applicable securities laws):</w:t>
      </w:r>
    </w:p>
    <w:p>
      <w:pPr>
        <w:spacing w:after="0" w:line="183" w:lineRule="exact"/>
        <w:rPr>
          <w:rFonts w:ascii="Times New Roman" w:cs="Times New Roman" w:eastAsia="Times New Roman" w:hAnsi="Times New Roman"/>
          <w:sz w:val="18"/>
          <w:szCs w:val="18"/>
          <w:color w:val="auto"/>
        </w:rPr>
      </w:pPr>
    </w:p>
    <w:p>
      <w:pPr>
        <w:jc w:val="both"/>
        <w:ind w:left="972"/>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EVIDENCED HEREBY HAVE NOT BEEN REGISTERED UNDER THE SECURITIES ACT OF 1933, AS AMENDED (THE “SECURITIES ACT”), OR ANY APPLICABLE STATE SECURITIES LAWS AND MAY NOT BE SOLD, TRANSFERRED OR OTHERWISE DISPOSED OF UNLESS THERE IS AN EFFECTIVE REGISTRATION STATEMENT UNDER THE SECURITIES ACT AND APPLICABLE STATE SECURITIES LAWS COVERING ANY SUCH TRANSACTION OR UNLESS THE COMPANY SHALL HAVE RECEIVED AN OPINION OF ITS COUNSEL THAT REGISTRATION OF SUCH SHARES UNDER THE SECURITIES ACT AND UNDER THE PROVISIONS OF APPLICABLE STATE SECURITIES LAWS IS NOT REQUIRED.</w:t>
      </w:r>
    </w:p>
    <w:p>
      <w:pPr>
        <w:spacing w:after="0" w:line="187" w:lineRule="exact"/>
        <w:rPr>
          <w:rFonts w:ascii="Times New Roman" w:cs="Times New Roman" w:eastAsia="Times New Roman" w:hAnsi="Times New Roman"/>
          <w:sz w:val="18"/>
          <w:szCs w:val="18"/>
          <w:color w:val="auto"/>
        </w:rPr>
      </w:pPr>
    </w:p>
    <w:p>
      <w:pPr>
        <w:jc w:val="both"/>
        <w:ind w:left="332" w:hanging="332"/>
        <w:spacing w:after="0" w:line="253" w:lineRule="auto"/>
        <w:tabs>
          <w:tab w:leader="none" w:pos="33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of Restrictive Legends</w:t>
      </w:r>
      <w:r>
        <w:rPr>
          <w:rFonts w:ascii="Times New Roman" w:cs="Times New Roman" w:eastAsia="Times New Roman" w:hAnsi="Times New Roman"/>
          <w:sz w:val="18"/>
          <w:szCs w:val="18"/>
          <w:color w:val="auto"/>
        </w:rPr>
        <w:t>. Neither this Warrant nor any certificates evidencing the Shares or any other equity securities issuable or deliverable under or in connection with this Warrant shall contain any legend restricting the transfer thereof in any of the following circumstances: (i) while a registration statement covering the sale or resale of the Shares is effective under the Securities Act; (ii) following any sale of this Warrant, any of the Shares or any other equity securities issued or delivered to the Holder under or in connection herewith pursuant to Rule 144; (iii) if this Warrant, the Shares or any other equity securities are eligible for sale under Rule 144(b)(1); or (iv) if such legend is not required under applicable requirements of the Securities Act (including judicial interpretations and pronouncements issued by the staff of the Commission) (collectively, the “</w:t>
      </w:r>
      <w:r>
        <w:rPr>
          <w:rFonts w:ascii="Times New Roman" w:cs="Times New Roman" w:eastAsia="Times New Roman" w:hAnsi="Times New Roman"/>
          <w:sz w:val="18"/>
          <w:szCs w:val="18"/>
          <w:u w:val="single" w:color="auto"/>
          <w:color w:val="auto"/>
        </w:rPr>
        <w:t>Unrestricted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Conditions</w:t>
      </w:r>
      <w:r>
        <w:rPr>
          <w:rFonts w:ascii="Times New Roman" w:cs="Times New Roman" w:eastAsia="Times New Roman" w:hAnsi="Times New Roman"/>
          <w:sz w:val="18"/>
          <w:szCs w:val="18"/>
          <w:color w:val="auto"/>
        </w:rPr>
        <w:t>”). If the Unrestricted Conditions are met at the time of the issuance of the Shares, the Company shall cause its counsel, at its expense, to issue a legal opinion to the Transfer Agent, if required by such Transfer Agent to effect the issuance of the Shares or any other shares of equity securities issuable or deliverable under or in connection with this Warrant, as applicable, without a restrictive legend or removal of the legend hereunder. If the Unrestricted Conditions are met at the time of issuance of the Shares, then the Shares shall be issued free of all legends.</w:t>
      </w:r>
    </w:p>
    <w:p>
      <w:pPr>
        <w:spacing w:after="0" w:line="194" w:lineRule="exact"/>
        <w:rPr>
          <w:rFonts w:ascii="Times New Roman" w:cs="Times New Roman" w:eastAsia="Times New Roman" w:hAnsi="Times New Roman"/>
          <w:sz w:val="18"/>
          <w:szCs w:val="18"/>
          <w:color w:val="auto"/>
        </w:rPr>
      </w:pPr>
    </w:p>
    <w:p>
      <w:pPr>
        <w:ind w:left="332" w:right="20" w:hanging="332"/>
        <w:spacing w:after="0" w:line="282" w:lineRule="auto"/>
        <w:tabs>
          <w:tab w:leader="none" w:pos="33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The Company will from time to time promptly pay all taxes and charges that may be imposed in respect of the issuance or delivery of shares upon the exercise of Warrants, but the Company shall not be obligated to pay any transfer taxes in respect of the Warrants or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251460</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33" w:name="page34"/>
    <w:bookmarkEnd w:id="33"/>
    <w:p>
      <w:pPr>
        <w:ind w:left="332" w:hanging="332"/>
        <w:spacing w:after="0"/>
        <w:tabs>
          <w:tab w:leader="none" w:pos="33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represents and warrants to, and agrees with, the Holder as follows:</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61" w:lineRule="auto"/>
        <w:tabs>
          <w:tab w:leader="none" w:pos="97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Organization</w:t>
      </w:r>
      <w:r>
        <w:rPr>
          <w:rFonts w:ascii="Times New Roman" w:cs="Times New Roman" w:eastAsia="Times New Roman" w:hAnsi="Times New Roman"/>
          <w:sz w:val="18"/>
          <w:szCs w:val="18"/>
          <w:color w:val="auto"/>
        </w:rPr>
        <w:t>. The Company is a corporation duly organized, validly existing, and in good standing under the laws of the state of its formation and has all requisite corporate power and authority to carry on its business as now conducted. The Company is duly qualified to transact business and is in good standing in each jurisdiction in which the failure to so qualify would have a material adverse effect on its business or properties.</w:t>
      </w:r>
    </w:p>
    <w:p>
      <w:pPr>
        <w:spacing w:after="0" w:line="179" w:lineRule="exact"/>
        <w:rPr>
          <w:rFonts w:ascii="Times New Roman" w:cs="Times New Roman" w:eastAsia="Times New Roman" w:hAnsi="Times New Roman"/>
          <w:sz w:val="18"/>
          <w:szCs w:val="18"/>
          <w:color w:val="auto"/>
        </w:rPr>
      </w:pPr>
    </w:p>
    <w:p>
      <w:pPr>
        <w:jc w:val="both"/>
        <w:ind w:left="972" w:hanging="324"/>
        <w:spacing w:after="0" w:line="268" w:lineRule="auto"/>
        <w:tabs>
          <w:tab w:leader="none" w:pos="972"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Authorization; Binding Obligation</w:t>
      </w:r>
      <w:r>
        <w:rPr>
          <w:rFonts w:ascii="Times New Roman" w:cs="Times New Roman" w:eastAsia="Times New Roman" w:hAnsi="Times New Roman"/>
          <w:sz w:val="17"/>
          <w:szCs w:val="17"/>
          <w:color w:val="auto"/>
        </w:rPr>
        <w:t>. This Warrant has been duly executed by the Company and constitutes its legal, valid and binding obligation, enforceable against it in accordance with the terms of this Warrant. Except as may be limited by applicable bankruptcy, insolvency, reorganization or similar laws relating to or affecting the enforcement of creditors’ rights, all corporate action has been taken on the part of the Company, its officers, directors, and stockholders necessary for the authorization, execution and delivery of this Warrant. The Company has taken all corporate action required to make all the obligations of the Company reflected in the provisions of this Warrant the valid and enforceable obligations they purport to be. The issuance of this Warrant and the Shares issuable upon exercise of this Warrant will not be subject to preemptive rights of any stockholders of the Company. No consent, waiver, approval, authorization, exemption, registration, license or declaration is required to be made or obtained by the Company, other than those which have been made or obtained, in connection with</w:t>
      </w:r>
    </w:p>
    <w:p>
      <w:pPr>
        <w:ind w:left="972" w:right="20"/>
        <w:spacing w:after="0" w:line="260" w:lineRule="auto"/>
        <w:tabs>
          <w:tab w:leader="none" w:pos="1209"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or enforceability of this Warrant or (ii) the consummation of any of the transactions contemplated hereby, including the issuance of the Shares upon exercise of this Warrant.</w:t>
      </w:r>
    </w:p>
    <w:p>
      <w:pPr>
        <w:spacing w:after="0" w:line="181"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Other Instruments</w:t>
      </w:r>
      <w:r>
        <w:rPr>
          <w:rFonts w:ascii="Times New Roman" w:cs="Times New Roman" w:eastAsia="Times New Roman" w:hAnsi="Times New Roman"/>
          <w:sz w:val="18"/>
          <w:szCs w:val="18"/>
          <w:color w:val="auto"/>
        </w:rPr>
        <w:t>. The authorization, execution and delivery of the Warrant will not constitute or result in a default or violation of any law or regulation applicable to the Company or any term or provision of the Company’s Certificate of Incorporation or bylaws, or any material agreement or instrument by which it is bound or to which its properties or assets are subject.</w:t>
      </w:r>
    </w:p>
    <w:p>
      <w:pPr>
        <w:spacing w:after="0" w:line="175" w:lineRule="exact"/>
        <w:rPr>
          <w:rFonts w:ascii="Times New Roman" w:cs="Times New Roman" w:eastAsia="Times New Roman" w:hAnsi="Times New Roman"/>
          <w:sz w:val="18"/>
          <w:szCs w:val="18"/>
          <w:color w:val="auto"/>
        </w:rPr>
      </w:pPr>
    </w:p>
    <w:p>
      <w:pPr>
        <w:jc w:val="both"/>
        <w:ind w:left="972" w:hanging="324"/>
        <w:spacing w:after="0" w:line="254" w:lineRule="auto"/>
        <w:tabs>
          <w:tab w:leader="none" w:pos="97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This Warrant, and all the Shares which may be issued upon the exercise of this Warrant, and all securities, if any, issuable upon conversion of the Shares, shall, upon issuance, be duly authorized, validly issued, fully paid and non-assessable, and free of any liens and encumbrances (including preemptive or similar rights) except for restrictions on transfer provided for (i) in this Warrant, (ii) under applicable federal and state securities laws, or (iii) in the Company’s Certificate of Incorporation. Based in part upon the representations and warranties of the Holder in this Warrant, this Warrant and all the Shares issuable upon exercise of this Warrant will be issued in compliance with all applicable federal and state securities laws. The Company covenants that it shall at all times cause to be reserved and kept available out of its authorized and unissued capital stock such number of the Shares and other securities for which this Warrant may be exercisable or for which the Shares may be convertible as will be sufficient to permit the exercise in full of this Warrant.</w:t>
      </w:r>
    </w:p>
    <w:p>
      <w:pPr>
        <w:spacing w:after="0" w:line="187" w:lineRule="exact"/>
        <w:rPr>
          <w:rFonts w:ascii="Times New Roman" w:cs="Times New Roman" w:eastAsia="Times New Roman" w:hAnsi="Times New Roman"/>
          <w:sz w:val="18"/>
          <w:szCs w:val="18"/>
          <w:color w:val="auto"/>
        </w:rPr>
      </w:pPr>
    </w:p>
    <w:p>
      <w:pPr>
        <w:jc w:val="both"/>
        <w:ind w:left="972" w:hanging="324"/>
        <w:spacing w:after="0" w:line="256" w:lineRule="auto"/>
        <w:tabs>
          <w:tab w:leader="none" w:pos="97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The Company’s summary capitalization table attached hereto as </w:t>
      </w:r>
      <w:r>
        <w:rPr>
          <w:rFonts w:ascii="Times New Roman" w:cs="Times New Roman" w:eastAsia="Times New Roman" w:hAnsi="Times New Roman"/>
          <w:sz w:val="18"/>
          <w:szCs w:val="18"/>
          <w:b w:val="1"/>
          <w:bCs w:val="1"/>
          <w:color w:val="auto"/>
        </w:rPr>
        <w:t>Schedule 1</w:t>
      </w:r>
      <w:r>
        <w:rPr>
          <w:rFonts w:ascii="Times New Roman" w:cs="Times New Roman" w:eastAsia="Times New Roman" w:hAnsi="Times New Roman"/>
          <w:sz w:val="18"/>
          <w:szCs w:val="18"/>
          <w:color w:val="auto"/>
        </w:rPr>
        <w:t xml:space="preserve"> is true and complete, in all material respects, as of the Issuance Date. Except as described on </w:t>
      </w:r>
      <w:r>
        <w:rPr>
          <w:rFonts w:ascii="Times New Roman" w:cs="Times New Roman" w:eastAsia="Times New Roman" w:hAnsi="Times New Roman"/>
          <w:sz w:val="18"/>
          <w:szCs w:val="18"/>
          <w:b w:val="1"/>
          <w:bCs w:val="1"/>
          <w:color w:val="auto"/>
        </w:rPr>
        <w:t>Schedule 1</w:t>
      </w:r>
      <w:r>
        <w:rPr>
          <w:rFonts w:ascii="Times New Roman" w:cs="Times New Roman" w:eastAsia="Times New Roman" w:hAnsi="Times New Roman"/>
          <w:sz w:val="18"/>
          <w:szCs w:val="18"/>
          <w:color w:val="auto"/>
        </w:rPr>
        <w:t xml:space="preserve">, there are no outstanding warrants, options, convertible securities or other rights, agreements or arrangements of any character (other than equity grants promised to service providers in offer letters or similar agreements in the ordinary course of business, all of which grants will be made from the existing pool that is reflected in the fully diluted capitalization of the Company shown on </w:t>
      </w:r>
      <w:r>
        <w:rPr>
          <w:rFonts w:ascii="Times New Roman" w:cs="Times New Roman" w:eastAsia="Times New Roman" w:hAnsi="Times New Roman"/>
          <w:sz w:val="18"/>
          <w:szCs w:val="18"/>
          <w:b w:val="1"/>
          <w:bCs w:val="1"/>
          <w:color w:val="auto"/>
        </w:rPr>
        <w:t>Schedule 1</w:t>
      </w:r>
      <w:r>
        <w:rPr>
          <w:rFonts w:ascii="Times New Roman" w:cs="Times New Roman" w:eastAsia="Times New Roman" w:hAnsi="Times New Roman"/>
          <w:sz w:val="18"/>
          <w:szCs w:val="18"/>
          <w:color w:val="auto"/>
        </w:rPr>
        <w:t>) under which the Company and any of its subsidiaries is or may be obligated to issue any equity securities of any kind, and neither the Company nor any of its subsidiaries is currently in negotiations for the issuance of any equity securities of any kind.</w:t>
      </w:r>
    </w:p>
    <w:p>
      <w:pPr>
        <w:spacing w:after="0" w:line="186" w:lineRule="exact"/>
        <w:rPr>
          <w:rFonts w:ascii="Times New Roman" w:cs="Times New Roman" w:eastAsia="Times New Roman" w:hAnsi="Times New Roman"/>
          <w:sz w:val="18"/>
          <w:szCs w:val="18"/>
          <w:color w:val="auto"/>
        </w:rPr>
      </w:pPr>
    </w:p>
    <w:p>
      <w:pPr>
        <w:jc w:val="both"/>
        <w:ind w:left="972" w:hanging="324"/>
        <w:spacing w:after="0" w:line="255" w:lineRule="auto"/>
        <w:tabs>
          <w:tab w:leader="none" w:pos="97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 Registration</w:t>
      </w:r>
      <w:r>
        <w:rPr>
          <w:rFonts w:ascii="Times New Roman" w:cs="Times New Roman" w:eastAsia="Times New Roman" w:hAnsi="Times New Roman"/>
          <w:sz w:val="18"/>
          <w:szCs w:val="18"/>
          <w:color w:val="auto"/>
        </w:rPr>
        <w:t>. The Company shall take all such actions as may be necessary to ensure that all the Shares are issued without violation by the Company of any applicable law or governmental regulation or any requirements of any trading market or securities exchange upon which shares of the Company’s common stock or other securities constituting the Shares may be listed at the time of such exercise (except for official notice of issuance which shall be immediately delivered by the Company upon each such issuance). If the Unrestricted Conditions are satisfied at the time of exercise of this Warrant, the Company shall cause the Shares, immediately upon such exercise, to be listed on any such trading market or securities exchange upon which shares of common stock or other securities constituting the Shares are listed at the time of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268605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34" w:name="page35"/>
    <w:bookmarkEnd w:id="34"/>
    <w:p>
      <w:pPr>
        <w:jc w:val="both"/>
        <w:ind w:left="332" w:hanging="332"/>
        <w:spacing w:after="0" w:line="256" w:lineRule="auto"/>
        <w:tabs>
          <w:tab w:leader="none" w:pos="33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a Stockholder; No Liability</w:t>
      </w:r>
      <w:r>
        <w:rPr>
          <w:rFonts w:ascii="Times New Roman" w:cs="Times New Roman" w:eastAsia="Times New Roman" w:hAnsi="Times New Roman"/>
          <w:sz w:val="18"/>
          <w:szCs w:val="18"/>
          <w:color w:val="auto"/>
        </w:rPr>
        <w:t>. Except as specifically set forth herein, this Warrant, by itself,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 No provision hereof, in the absence of any affirmative action by the Holder to exercise this Warrant to purchase the Shares, and no enumeration herein of the rights or privileges of the Holder, shall give rise to any liability of the Holder for the purchase price of any Shares or as a stockholder of the Company, whether such liability is asserted by the Company or by creditors of the Company.</w:t>
      </w:r>
    </w:p>
    <w:p>
      <w:pPr>
        <w:spacing w:after="0" w:line="187"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Impairment.</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54" w:lineRule="auto"/>
        <w:tabs>
          <w:tab w:leader="none" w:pos="97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nothing contained in this Warrant shall affect, limit or impair the rights and remedies of the Holder or its affiliates (x) in their capacity as a lender, creditor, or similar, as applicable, to the Company or any of its subsidiaries or affiliates, or (y) pursuant to any other agreements or instruments entered into by the Holder (or its affiliates) and the Company or any of its subsidiaries or affiliates. Without limiting the generality of the foregoing, neither the Administrative Agent (as defined in the Loan Agreement) nor any of its affiliates, in exercising their rights as lenders will have any duty to consider (i) its (or its affiliates’) status as a direct or indirect shareholder of the Company and its subsidiaries, (ii) its (or its affiliates’) direct or indirect ownership of the Shares of the Company or any of its subsidiaries, or (iii) any duty it (or its affiliates) may have to any other direct or indirect shareholders of the Company and its subsidiaries, except as may be required under the applicable loan documents.</w:t>
      </w:r>
    </w:p>
    <w:p>
      <w:pPr>
        <w:spacing w:after="0" w:line="191" w:lineRule="exact"/>
        <w:rPr>
          <w:rFonts w:ascii="Times New Roman" w:cs="Times New Roman" w:eastAsia="Times New Roman" w:hAnsi="Times New Roman"/>
          <w:sz w:val="18"/>
          <w:szCs w:val="18"/>
          <w:color w:val="auto"/>
        </w:rPr>
      </w:pPr>
    </w:p>
    <w:p>
      <w:pPr>
        <w:jc w:val="both"/>
        <w:ind w:left="972" w:hanging="324"/>
        <w:spacing w:after="0" w:line="253" w:lineRule="auto"/>
        <w:tabs>
          <w:tab w:leader="none" w:pos="97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by amendment of its Certificate of Incorporation or bylaws, through any shareholders, voting or similar agreement, or through any reorganization, transfer of assets, consolidation, merger, dissolution, issue or sale of securities, or any other voluntary action, avoid or seek to avoid the observance or performance of any of the terms to be observed or performed by it hereunder, but shall at all times in good faith assist in the carrying out of all the provisions of this Warrant and in the taking of all such action as may reasonably be requested by the Holder in order to protect the exercise rights of the Holder against dilution or other impairment, consistent with the tenor and purpose of this Warrant. Without limiting the generality of the foregoing, the Company (x) will not increase the par value of any the Shares above the then-applicable Warrant Price, (y) will take all such action as may be necessary or appropriate in order that the Company may validly and legally issue fully paid and nonassessable Shares upon the exercise of this Warrant, and (z) will use commercially reasonable efforts to obtain all such authorizations, exemptions or consents from any public regulatory body having jurisdiction thereof, as may be, necessary to enable the Company to perform its obligations under this Warrant</w:t>
      </w:r>
      <w:r>
        <w:rPr>
          <w:rFonts w:ascii="Times New Roman" w:cs="Times New Roman" w:eastAsia="Times New Roman" w:hAnsi="Times New Roman"/>
          <w:sz w:val="18"/>
          <w:szCs w:val="18"/>
          <w:u w:val="single" w:color="auto"/>
          <w:color w:val="auto"/>
        </w:rPr>
        <w:t>.</w:t>
      </w:r>
    </w:p>
    <w:p>
      <w:pPr>
        <w:spacing w:after="0" w:line="194"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are not part of this Warrant and shall not affect the interpretation thereof.</w:t>
      </w:r>
    </w:p>
    <w:p>
      <w:pPr>
        <w:spacing w:after="0" w:line="225" w:lineRule="exact"/>
        <w:rPr>
          <w:rFonts w:ascii="Times New Roman" w:cs="Times New Roman" w:eastAsia="Times New Roman" w:hAnsi="Times New Roman"/>
          <w:sz w:val="18"/>
          <w:szCs w:val="18"/>
          <w:color w:val="auto"/>
        </w:rPr>
      </w:pPr>
    </w:p>
    <w:p>
      <w:pPr>
        <w:ind w:left="332" w:hanging="332"/>
        <w:spacing w:after="0" w:line="282" w:lineRule="auto"/>
        <w:tabs>
          <w:tab w:leader="none" w:pos="33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This Warrant and any provision hereof may be changed, waived, discharged or terminated only by an instrument in writing signed by the party against which enforcement of the same is sought.</w:t>
      </w:r>
    </w:p>
    <w:p>
      <w:pPr>
        <w:spacing w:after="0" w:line="161" w:lineRule="exact"/>
        <w:rPr>
          <w:rFonts w:ascii="Times New Roman" w:cs="Times New Roman" w:eastAsia="Times New Roman" w:hAnsi="Times New Roman"/>
          <w:sz w:val="18"/>
          <w:szCs w:val="18"/>
          <w:color w:val="auto"/>
        </w:rPr>
      </w:pPr>
    </w:p>
    <w:p>
      <w:pPr>
        <w:jc w:val="both"/>
        <w:ind w:left="332" w:hanging="332"/>
        <w:spacing w:after="0" w:line="266" w:lineRule="auto"/>
        <w:tabs>
          <w:tab w:leader="none" w:pos="33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request or other document required or permitted to be given or delivered to the Holder or the Company shall be delivered, or shall be sent by certified or registered mail, postage prepaid, to the Holder at its address as shown on the books of the Company or to the Company at the address indicated therefor in the first paragraph of this Warrant.</w:t>
      </w:r>
    </w:p>
    <w:p>
      <w:pPr>
        <w:spacing w:after="0" w:line="175" w:lineRule="exact"/>
        <w:rPr>
          <w:rFonts w:ascii="Times New Roman" w:cs="Times New Roman" w:eastAsia="Times New Roman" w:hAnsi="Times New Roman"/>
          <w:sz w:val="18"/>
          <w:szCs w:val="18"/>
          <w:color w:val="auto"/>
        </w:rPr>
      </w:pPr>
    </w:p>
    <w:p>
      <w:pPr>
        <w:ind w:left="332" w:hanging="332"/>
        <w:spacing w:after="0" w:line="282" w:lineRule="auto"/>
        <w:tabs>
          <w:tab w:leader="none" w:pos="33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Warrant shall be construed and enforced in accordance with, and the rights of the parties shall be governed by, the laws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251460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35" w:name="page36"/>
    <w:bookmarkEnd w:id="35"/>
    <w:p>
      <w:pPr>
        <w:jc w:val="both"/>
        <w:ind w:left="332" w:hanging="332"/>
        <w:spacing w:after="0" w:line="258" w:lineRule="auto"/>
        <w:tabs>
          <w:tab w:leader="none" w:pos="33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the Holder shall operate as a waiver of such right or otherwise prejudice the Holder’s rights, powers or remedies provided herein.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3" w:lineRule="exact"/>
        <w:rPr>
          <w:rFonts w:ascii="Times New Roman" w:cs="Times New Roman" w:eastAsia="Times New Roman" w:hAnsi="Times New Roman"/>
          <w:sz w:val="18"/>
          <w:szCs w:val="18"/>
          <w:color w:val="auto"/>
        </w:rPr>
      </w:pPr>
    </w:p>
    <w:p>
      <w:pPr>
        <w:jc w:val="both"/>
        <w:ind w:left="332" w:hanging="332"/>
        <w:spacing w:after="0" w:line="261" w:lineRule="auto"/>
        <w:tabs>
          <w:tab w:leader="none" w:pos="33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the Holder. The provisions of this Warrant are intended to be for the benefit of the Holder from time to time of this Warrant and shall be enforceable by the Holder or holder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262890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duly authorized officer.</w:t>
      </w:r>
    </w:p>
    <w:p>
      <w:pPr>
        <w:spacing w:after="0" w:line="225"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 2022</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DRAGONFLY ENERGY HOLDINGS CORP.</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Fully Diluted Capitalization of the Company as of the Issuance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Executed by the Registered Holder in Order to Exercise Warrants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Registered Holder irrevocably elects to exercise ______________ Warrants represented by this Warrant Certificate, and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the Shares issuable upon the exercise of such Warrants, and requests that Certificates for such shares shall be issued in the name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60693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693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563245</wp:posOffset>
            </wp:positionV>
            <wp:extent cx="60693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693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845820</wp:posOffset>
            </wp:positionV>
            <wp:extent cx="60693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693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1129030</wp:posOffset>
            </wp:positionV>
            <wp:extent cx="60693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TYPE OR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60693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SECURITY OR TAX IDENTIFICATION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 delivered to _____________________________________________________________________</w:t>
      </w:r>
    </w:p>
    <w:p>
      <w:pPr>
        <w:spacing w:after="0" w:line="22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(PLEASE PRINT OR TYPE NAME AND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if such number of Warrants shall not be all the Warrants evidenced by this Warrant Certificate, that a new Warrant Certificate for the balance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be registered in the name of, and delivered to, the Registered Holder at the address stated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1457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-127635</wp:posOffset>
            </wp:positionV>
            <wp:extent cx="34886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-127635</wp:posOffset>
            </wp:positionV>
            <wp:extent cx="34886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-127635</wp:posOffset>
            </wp:positionV>
            <wp:extent cx="34886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886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FORM OF TRANSFER</w:t>
      </w:r>
    </w:p>
    <w:p>
      <w:pPr>
        <w:spacing w:after="0" w:line="22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To Be Executed by the Registered Holder in Order to Transfer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_______________________ hereby sell, assign, and transfer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TYPE OR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(SOCIAL SECURITY OR TAX IDENTIFICATION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 delivered to _______________________________________________________________________</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PRINT OR TYPE NAME AND ADDRESS)</w:t>
      </w:r>
    </w:p>
    <w:p>
      <w:pPr>
        <w:spacing w:after="0" w:line="207" w:lineRule="exact"/>
        <w:rPr>
          <w:sz w:val="20"/>
          <w:szCs w:val="20"/>
          <w:color w:val="auto"/>
        </w:rPr>
      </w:pPr>
    </w:p>
    <w:p>
      <w:pPr>
        <w:spacing w:after="0"/>
        <w:tabs>
          <w:tab w:leader="none" w:pos="2140" w:val="left"/>
          <w:tab w:leader="none" w:pos="2480" w:val="left"/>
          <w:tab w:leader="none" w:pos="2880" w:val="left"/>
          <w:tab w:leader="none" w:pos="3700" w:val="left"/>
          <w:tab w:leader="none" w:pos="4720" w:val="left"/>
          <w:tab w:leader="none" w:pos="5080" w:val="left"/>
          <w:tab w:leader="none" w:pos="5520" w:val="left"/>
          <w:tab w:leader="none" w:pos="6260" w:val="left"/>
          <w:tab w:leader="none" w:pos="7260" w:val="left"/>
          <w:tab w:leader="none" w:pos="7680" w:val="left"/>
          <w:tab w:leader="none" w:pos="8360" w:val="left"/>
          <w:tab w:leader="none" w:pos="9360" w:val="left"/>
          <w:tab w:leader="none" w:pos="10240" w:val="left"/>
          <w:tab w:leader="none" w:pos="10680" w:val="left"/>
        </w:tabs>
        <w:rPr>
          <w:sz w:val="20"/>
          <w:szCs w:val="20"/>
          <w:color w:val="auto"/>
        </w:rPr>
      </w:pPr>
      <w:r>
        <w:rPr>
          <w:rFonts w:ascii="Times New Roman" w:cs="Times New Roman" w:eastAsia="Times New Roman" w:hAnsi="Times New Roman"/>
          <w:sz w:val="18"/>
          <w:szCs w:val="18"/>
          <w:color w:val="auto"/>
        </w:rPr>
        <w:t>______________________</w:t>
        <w:tab/>
        <w:t>of</w:t>
        <w:tab/>
        <w:t>the</w:t>
        <w:tab/>
        <w:t>Warrants</w:t>
        <w:tab/>
        <w:t>represented</w:t>
        <w:tab/>
        <w:t>by</w:t>
        <w:tab/>
        <w:t>this</w:t>
        <w:tab/>
        <w:t>Warrant</w:t>
        <w:tab/>
        <w:t>Certificate,</w:t>
        <w:tab/>
        <w:t>and</w:t>
        <w:tab/>
        <w:t>hereby</w:t>
        <w:tab/>
        <w:t>irrevocably</w:t>
        <w:tab/>
        <w:t>constitute</w:t>
        <w:tab/>
        <w:t>and</w:t>
        <w:tab/>
        <w:t>appoint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 Attorney to transfer this Warrant Certificate on the books of the Company, with full power of substitution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w:t>
      </w: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 signature to the assignment of the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ubscription</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orm must correspond to the name written upon the face of this</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ertificate in every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particular</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xml:space="preserve"> without alteration or enlargement or any change whatsoever</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xml:space="preserve"> and must be guaranteed by a commercial bank or trust company or a member firm of the </w:t>
      </w:r>
      <w:r>
        <w:rPr>
          <w:rFonts w:ascii="Times New Roman" w:cs="Times New Roman" w:eastAsia="Times New Roman" w:hAnsi="Times New Roman"/>
          <w:sz w:val="17"/>
          <w:szCs w:val="17"/>
          <w:color w:val="auto"/>
        </w:rPr>
        <w:t>NYSE A</w:t>
      </w:r>
      <w:r>
        <w:rPr>
          <w:rFonts w:ascii="Times New Roman" w:cs="Times New Roman" w:eastAsia="Times New Roman" w:hAnsi="Times New Roman"/>
          <w:sz w:val="12"/>
          <w:szCs w:val="12"/>
          <w:color w:val="auto"/>
        </w:rPr>
        <w:t>merican</w:t>
      </w:r>
      <w:r>
        <w:rPr>
          <w:rFonts w:ascii="Times New Roman" w:cs="Times New Roman" w:eastAsia="Times New Roman" w:hAnsi="Times New Roman"/>
          <w:sz w:val="17"/>
          <w:szCs w:val="17"/>
          <w:color w:val="auto"/>
        </w:rPr>
        <w:t>, N</w:t>
      </w:r>
      <w:r>
        <w:rPr>
          <w:rFonts w:ascii="Times New Roman" w:cs="Times New Roman" w:eastAsia="Times New Roman" w:hAnsi="Times New Roman"/>
          <w:sz w:val="12"/>
          <w:szCs w:val="12"/>
          <w:color w:val="auto"/>
        </w:rPr>
        <w:t>asdaq</w:t>
      </w:r>
      <w:r>
        <w:rPr>
          <w:rFonts w:ascii="Times New Roman" w:cs="Times New Roman" w:eastAsia="Times New Roman" w:hAnsi="Times New Roman"/>
          <w:sz w:val="17"/>
          <w:szCs w:val="17"/>
          <w:color w:val="auto"/>
        </w:rPr>
        <w:t>, N</w:t>
      </w:r>
      <w:r>
        <w:rPr>
          <w:rFonts w:ascii="Times New Roman" w:cs="Times New Roman" w:eastAsia="Times New Roman" w:hAnsi="Times New Roman"/>
          <w:sz w:val="12"/>
          <w:szCs w:val="12"/>
          <w:color w:val="auto"/>
        </w:rPr>
        <w:t xml:space="preserve">ew </w:t>
      </w:r>
      <w:r>
        <w:rPr>
          <w:rFonts w:ascii="Times New Roman" w:cs="Times New Roman" w:eastAsia="Times New Roman" w:hAnsi="Times New Roman"/>
          <w:sz w:val="17"/>
          <w:szCs w:val="17"/>
          <w:color w:val="auto"/>
        </w:rPr>
        <w:t>Y</w:t>
      </w:r>
      <w:r>
        <w:rPr>
          <w:rFonts w:ascii="Times New Roman" w:cs="Times New Roman" w:eastAsia="Times New Roman" w:hAnsi="Times New Roman"/>
          <w:sz w:val="12"/>
          <w:szCs w:val="12"/>
          <w:color w:val="auto"/>
        </w:rPr>
        <w:t xml:space="preserve">ork </w:t>
      </w:r>
      <w:r>
        <w:rPr>
          <w:rFonts w:ascii="Times New Roman" w:cs="Times New Roman" w:eastAsia="Times New Roman" w:hAnsi="Times New Roman"/>
          <w:sz w:val="17"/>
          <w:szCs w:val="17"/>
          <w:color w:val="auto"/>
        </w:rPr>
        <w:t>S</w:t>
      </w:r>
      <w:r>
        <w:rPr>
          <w:rFonts w:ascii="Times New Roman" w:cs="Times New Roman" w:eastAsia="Times New Roman" w:hAnsi="Times New Roman"/>
          <w:sz w:val="12"/>
          <w:szCs w:val="12"/>
          <w:color w:val="auto"/>
        </w:rPr>
        <w:t xml:space="preserve">tock </w:t>
      </w:r>
      <w:r>
        <w:rPr>
          <w:rFonts w:ascii="Times New Roman" w:cs="Times New Roman" w:eastAsia="Times New Roman" w:hAnsi="Times New Roman"/>
          <w:sz w:val="17"/>
          <w:szCs w:val="17"/>
          <w:color w:val="auto"/>
        </w:rPr>
        <w:t>E</w:t>
      </w:r>
      <w:r>
        <w:rPr>
          <w:rFonts w:ascii="Times New Roman" w:cs="Times New Roman" w:eastAsia="Times New Roman" w:hAnsi="Times New Roman"/>
          <w:sz w:val="12"/>
          <w:szCs w:val="12"/>
          <w:color w:val="auto"/>
        </w:rPr>
        <w:t>xchange</w:t>
      </w:r>
      <w:r>
        <w:rPr>
          <w:rFonts w:ascii="Times New Roman" w:cs="Times New Roman" w:eastAsia="Times New Roman" w:hAnsi="Times New Roman"/>
          <w:sz w:val="17"/>
          <w:szCs w:val="17"/>
          <w:color w:val="auto"/>
        </w:rPr>
        <w:t>, P</w:t>
      </w:r>
      <w:r>
        <w:rPr>
          <w:rFonts w:ascii="Times New Roman" w:cs="Times New Roman" w:eastAsia="Times New Roman" w:hAnsi="Times New Roman"/>
          <w:sz w:val="12"/>
          <w:szCs w:val="12"/>
          <w:color w:val="auto"/>
        </w:rPr>
        <w:t xml:space="preserve">acific </w:t>
      </w:r>
      <w:r>
        <w:rPr>
          <w:rFonts w:ascii="Times New Roman" w:cs="Times New Roman" w:eastAsia="Times New Roman" w:hAnsi="Times New Roman"/>
          <w:sz w:val="17"/>
          <w:szCs w:val="17"/>
          <w:color w:val="auto"/>
        </w:rPr>
        <w:t>S</w:t>
      </w:r>
      <w:r>
        <w:rPr>
          <w:rFonts w:ascii="Times New Roman" w:cs="Times New Roman" w:eastAsia="Times New Roman" w:hAnsi="Times New Roman"/>
          <w:sz w:val="12"/>
          <w:szCs w:val="12"/>
          <w:color w:val="auto"/>
        </w:rPr>
        <w:t xml:space="preserve">tock </w:t>
      </w:r>
      <w:r>
        <w:rPr>
          <w:rFonts w:ascii="Times New Roman" w:cs="Times New Roman" w:eastAsia="Times New Roman" w:hAnsi="Times New Roman"/>
          <w:sz w:val="17"/>
          <w:szCs w:val="17"/>
          <w:color w:val="auto"/>
        </w:rPr>
        <w:t>E</w:t>
      </w:r>
      <w:r>
        <w:rPr>
          <w:rFonts w:ascii="Times New Roman" w:cs="Times New Roman" w:eastAsia="Times New Roman" w:hAnsi="Times New Roman"/>
          <w:sz w:val="12"/>
          <w:szCs w:val="12"/>
          <w:color w:val="auto"/>
        </w:rPr>
        <w:t>xchange</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7"/>
          <w:szCs w:val="17"/>
          <w:color w:val="auto"/>
        </w:rPr>
        <w:t>C</w:t>
      </w:r>
      <w:r>
        <w:rPr>
          <w:rFonts w:ascii="Times New Roman" w:cs="Times New Roman" w:eastAsia="Times New Roman" w:hAnsi="Times New Roman"/>
          <w:sz w:val="12"/>
          <w:szCs w:val="12"/>
          <w:color w:val="auto"/>
        </w:rPr>
        <w:t xml:space="preserve">hicago </w:t>
      </w:r>
      <w:r>
        <w:rPr>
          <w:rFonts w:ascii="Times New Roman" w:cs="Times New Roman" w:eastAsia="Times New Roman" w:hAnsi="Times New Roman"/>
          <w:sz w:val="17"/>
          <w:szCs w:val="17"/>
          <w:color w:val="auto"/>
        </w:rPr>
        <w:t>S</w:t>
      </w:r>
      <w:r>
        <w:rPr>
          <w:rFonts w:ascii="Times New Roman" w:cs="Times New Roman" w:eastAsia="Times New Roman" w:hAnsi="Times New Roman"/>
          <w:sz w:val="12"/>
          <w:szCs w:val="12"/>
          <w:color w:val="auto"/>
        </w:rPr>
        <w:t xml:space="preserve">tock </w:t>
      </w:r>
      <w:r>
        <w:rPr>
          <w:rFonts w:ascii="Times New Roman" w:cs="Times New Roman" w:eastAsia="Times New Roman" w:hAnsi="Times New Roman"/>
          <w:sz w:val="17"/>
          <w:szCs w:val="17"/>
          <w:color w:val="auto"/>
        </w:rPr>
        <w:t>E</w:t>
      </w:r>
      <w:r>
        <w:rPr>
          <w:rFonts w:ascii="Times New Roman" w:cs="Times New Roman" w:eastAsia="Times New Roman" w:hAnsi="Times New Roman"/>
          <w:sz w:val="12"/>
          <w:szCs w:val="12"/>
          <w:color w:val="auto"/>
        </w:rPr>
        <w:t>xchange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lowerRoman"/>
      <w:start w:val="2"/>
    </w:lvl>
  </w:abstractNum>
  <w:abstractNum w:abstractNumId="3">
    <w:nsid w:val="6763845E"/>
    <w:multiLevelType w:val="hybridMultilevel"/>
    <w:lvl w:ilvl="0">
      <w:lvlJc w:val="left"/>
      <w:lvlText w:val="(%1)"/>
      <w:numFmt w:val="lowerRoman"/>
      <w:start w:val="2"/>
    </w:lvl>
  </w:abstractNum>
  <w:abstractNum w:abstractNumId="4">
    <w:nsid w:val="75A2A8D4"/>
    <w:multiLevelType w:val="hybridMultilevel"/>
    <w:lvl w:ilvl="0">
      <w:lvlJc w:val="left"/>
      <w:lvlText w:val="%1"/>
      <w:numFmt w:val="decimal"/>
      <w:start w:val="104"/>
    </w:lvl>
  </w:abstractNum>
  <w:abstractNum w:abstractNumId="5">
    <w:nsid w:val="8EDBDAB"/>
    <w:multiLevelType w:val="hybridMultilevel"/>
    <w:lvl w:ilvl="0">
      <w:lvlJc w:val="left"/>
      <w:lvlText w:val="%1."/>
      <w:numFmt w:val="decimal"/>
      <w:start w:val="1"/>
    </w:lvl>
    <w:lvl w:ilvl="1">
      <w:lvlJc w:val="left"/>
      <w:lvlText w:val="(%2)"/>
      <w:numFmt w:val="lowerLetter"/>
      <w:start w:val="1"/>
    </w:lvl>
  </w:abstractNum>
  <w:abstractNum w:abstractNumId="6">
    <w:nsid w:val="79838CB2"/>
    <w:multiLevelType w:val="hybridMultilevel"/>
    <w:lvl w:ilvl="0">
      <w:lvlJc w:val="left"/>
      <w:lvlText w:val="1"/>
      <w:numFmt w:val="bullet"/>
      <w:start w:val="1"/>
    </w:lvl>
  </w:abstractNum>
  <w:abstractNum w:abstractNumId="7">
    <w:nsid w:val="4353D0CD"/>
    <w:multiLevelType w:val="hybridMultilevel"/>
    <w:lvl w:ilvl="0">
      <w:lvlJc w:val="left"/>
      <w:lvlText w:val="%1"/>
      <w:numFmt w:val="decimal"/>
      <w:start w:val="1"/>
    </w:lvl>
    <w:lvl w:ilvl="1">
      <w:lvlJc w:val="left"/>
      <w:lvlText w:val="(%2)"/>
      <w:numFmt w:val="lowerLetter"/>
      <w:start w:val="4"/>
    </w:lvl>
  </w:abstractNum>
  <w:abstractNum w:abstractNumId="8">
    <w:nsid w:val="B03E0C6"/>
    <w:multiLevelType w:val="hybridMultilevel"/>
    <w:lvl w:ilvl="0">
      <w:lvlJc w:val="left"/>
      <w:lvlText w:val="%1."/>
      <w:numFmt w:val="decimal"/>
      <w:start w:val="2"/>
    </w:lvl>
    <w:lvl w:ilvl="1">
      <w:lvlJc w:val="left"/>
      <w:lvlText w:val="(%2)"/>
      <w:numFmt w:val="lowerLetter"/>
      <w:start w:val="1"/>
    </w:lvl>
  </w:abstractNum>
  <w:abstractNum w:abstractNumId="9">
    <w:nsid w:val="189A769B"/>
    <w:multiLevelType w:val="hybridMultilevel"/>
    <w:lvl w:ilvl="0">
      <w:lvlJc w:val="left"/>
      <w:lvlText w:val="%1"/>
      <w:numFmt w:val="decimal"/>
      <w:start w:val="1"/>
    </w:lvl>
    <w:lvl w:ilvl="1">
      <w:lvlJc w:val="left"/>
      <w:lvlText w:val="(%2)"/>
      <w:numFmt w:val="lowerLetter"/>
      <w:start w:val="4"/>
    </w:lvl>
  </w:abstractNum>
  <w:abstractNum w:abstractNumId="10">
    <w:nsid w:val="54E49EB4"/>
    <w:multiLevelType w:val="hybridMultilevel"/>
    <w:lvl w:ilvl="0">
      <w:lvlJc w:val="left"/>
      <w:lvlText w:val="%1."/>
      <w:numFmt w:val="decimal"/>
      <w:start w:val="3"/>
    </w:lvl>
    <w:lvl w:ilvl="1">
      <w:lvlJc w:val="left"/>
      <w:lvlText w:val="(%2)"/>
      <w:numFmt w:val="lowerLetter"/>
      <w:start w:val="1"/>
    </w:lvl>
  </w:abstractNum>
  <w:abstractNum w:abstractNumId="11">
    <w:nsid w:val="71F3245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2">
    <w:nsid w:val="2CA88611"/>
    <w:multiLevelType w:val="hybridMultilevel"/>
    <w:lvl w:ilvl="0">
      <w:lvlJc w:val="left"/>
      <w:lvlText w:val="(%1)"/>
      <w:numFmt w:val="lowerLetter"/>
      <w:start w:val="3"/>
    </w:lvl>
  </w:abstractNum>
  <w:abstractNum w:abstractNumId="13">
    <w:nsid w:val="836C40E"/>
    <w:multiLevelType w:val="hybridMultilevel"/>
    <w:lvl w:ilvl="0">
      <w:lvlJc w:val="left"/>
      <w:lvlText w:val="(%1)"/>
      <w:numFmt w:val="lowerLetter"/>
      <w:start w:val="4"/>
    </w:lvl>
  </w:abstractNum>
  <w:abstractNum w:abstractNumId="14">
    <w:nsid w:val="2901D82"/>
    <w:multiLevelType w:val="hybridMultilevel"/>
    <w:lvl w:ilvl="0">
      <w:lvlJc w:val="left"/>
      <w:lvlText w:val="%1."/>
      <w:numFmt w:val="decimal"/>
      <w:start w:val="5"/>
    </w:lvl>
    <w:lvl w:ilvl="1">
      <w:lvlJc w:val="left"/>
      <w:lvlText w:val="(%2)"/>
      <w:numFmt w:val="lowerLetter"/>
      <w:start w:val="1"/>
    </w:lvl>
  </w:abstractNum>
  <w:abstractNum w:abstractNumId="15">
    <w:nsid w:val="3A95F874"/>
    <w:multiLevelType w:val="hybridMultilevel"/>
    <w:lvl w:ilvl="0">
      <w:lvlJc w:val="left"/>
      <w:lvlText w:val="(%1)"/>
      <w:numFmt w:val="lowerLetter"/>
      <w:start w:val="4"/>
    </w:lvl>
    <w:lvl w:ilvl="1">
      <w:lvlJc w:val="left"/>
      <w:lvlText w:val="%2."/>
      <w:numFmt w:val="lowerRoman"/>
      <w:start w:val="1"/>
    </w:lvl>
  </w:abstractNum>
  <w:abstractNum w:abstractNumId="16">
    <w:nsid w:val="8138641"/>
    <w:multiLevelType w:val="hybridMultilevel"/>
    <w:lvl w:ilvl="0">
      <w:lvlJc w:val="left"/>
      <w:lvlText w:val="(%1)"/>
      <w:numFmt w:val="lowerLetter"/>
      <w:start w:val="6"/>
    </w:lvl>
  </w:abstractNum>
  <w:abstractNum w:abstractNumId="17">
    <w:nsid w:val="1E7FF521"/>
    <w:multiLevelType w:val="hybridMultilevel"/>
    <w:lvl w:ilvl="0">
      <w:lvlJc w:val="left"/>
      <w:lvlText w:val="%1"/>
      <w:numFmt w:val="decimal"/>
      <w:start w:val="1"/>
    </w:lvl>
    <w:lvl w:ilvl="1">
      <w:lvlJc w:val="left"/>
      <w:lvlText w:val="(%2)"/>
      <w:numFmt w:val="lowerLetter"/>
      <w:start w:val="11"/>
    </w:lvl>
  </w:abstractNum>
  <w:abstractNum w:abstractNumId="18">
    <w:nsid w:val="7C3DBD3D"/>
    <w:multiLevelType w:val="hybridMultilevel"/>
    <w:lvl w:ilvl="0">
      <w:lvlJc w:val="left"/>
      <w:lvlText w:val="%1."/>
      <w:numFmt w:val="decimal"/>
      <w:start w:val="6"/>
    </w:lvl>
    <w:lvl w:ilvl="1">
      <w:lvlJc w:val="left"/>
      <w:lvlText w:val="(%2)"/>
      <w:numFmt w:val="lowerLetter"/>
      <w:start w:val="1"/>
    </w:lvl>
  </w:abstractNum>
  <w:abstractNum w:abstractNumId="19">
    <w:nsid w:val="737B8DDC"/>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20">
    <w:nsid w:val="6CEAF087"/>
    <w:multiLevelType w:val="hybridMultilevel"/>
    <w:lvl w:ilvl="0">
      <w:lvlJc w:val="left"/>
      <w:lvlText w:val="%1"/>
      <w:numFmt w:val="decimal"/>
      <w:start w:val="1"/>
    </w:lvl>
    <w:lvl w:ilvl="1">
      <w:lvlJc w:val="left"/>
      <w:lvlText w:val="(%2)"/>
      <w:numFmt w:val="lowerLetter"/>
      <w:start w:val="5"/>
    </w:lvl>
  </w:abstractNum>
  <w:abstractNum w:abstractNumId="21">
    <w:nsid w:val="22221A70"/>
    <w:multiLevelType w:val="hybridMultilevel"/>
    <w:lvl w:ilvl="0">
      <w:lvlJc w:val="left"/>
      <w:lvlText w:val="%1."/>
      <w:numFmt w:val="decimal"/>
      <w:start w:val="10"/>
    </w:lvl>
    <w:lvl w:ilvl="1">
      <w:lvlJc w:val="left"/>
      <w:lvlText w:val="(%2)"/>
      <w:numFmt w:val="lowerLetter"/>
      <w:start w:val="1"/>
    </w:lvl>
  </w:abstractNum>
  <w:abstractNum w:abstractNumId="22">
    <w:nsid w:val="4516DDE9"/>
    <w:multiLevelType w:val="hybridMultilevel"/>
    <w:lvl w:ilvl="0">
      <w:lvlJc w:val="left"/>
      <w:lvlText w:val="%1."/>
      <w:numFmt w:val="decimal"/>
      <w:start w:val="12"/>
    </w:lvl>
  </w:abstractNum>
  <w:abstractNum w:abstractNumId="23">
    <w:nsid w:val="3006C83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4">
    <w:nsid w:val="614FD4A1"/>
    <w:multiLevelType w:val="hybridMultilevel"/>
    <w:lvl w:ilvl="0">
      <w:lvlJc w:val="left"/>
      <w:lvlText w:val="%1"/>
      <w:numFmt w:val="lowerLetter"/>
      <w:start w:val="1"/>
    </w:lvl>
    <w:lvl w:ilvl="1">
      <w:lvlJc w:val="left"/>
      <w:lvlText w:val="%2."/>
      <w:numFmt w:val="lowerRoman"/>
      <w:start w:val="3"/>
    </w:lvl>
  </w:abstractNum>
  <w:abstractNum w:abstractNumId="25">
    <w:nsid w:val="419AC241"/>
    <w:multiLevelType w:val="hybridMultilevel"/>
    <w:lvl w:ilvl="0">
      <w:lvlJc w:val="left"/>
      <w:lvlText w:val="(%1)"/>
      <w:numFmt w:val="lowerLetter"/>
      <w:start w:val="4"/>
    </w:lvl>
    <w:lvl w:ilvl="1">
      <w:lvlJc w:val="left"/>
      <w:lvlText w:val="%2"/>
      <w:numFmt w:val="lowerRoman"/>
      <w:start w:val="1"/>
    </w:lvl>
  </w:abstractNum>
  <w:abstractNum w:abstractNumId="26">
    <w:nsid w:val="5577F8E1"/>
    <w:multiLevelType w:val="hybridMultilevel"/>
    <w:lvl w:ilvl="0">
      <w:lvlJc w:val="left"/>
      <w:lvlText w:val="(%1)"/>
      <w:numFmt w:val="lowerLetter"/>
      <w:start w:val="5"/>
    </w:lvl>
  </w:abstractNum>
  <w:abstractNum w:abstractNumId="27">
    <w:nsid w:val="440BADFC"/>
    <w:multiLevelType w:val="hybridMultilevel"/>
    <w:lvl w:ilvl="0">
      <w:lvlJc w:val="left"/>
      <w:lvlText w:val="%1"/>
      <w:numFmt w:val="decimal"/>
      <w:start w:val="1"/>
    </w:lvl>
    <w:lvl w:ilvl="1">
      <w:lvlJc w:val="left"/>
      <w:lvlText w:val="(%2)"/>
      <w:numFmt w:val="lowerLetter"/>
      <w:start w:val="6"/>
    </w:lvl>
  </w:abstractNum>
  <w:abstractNum w:abstractNumId="28">
    <w:nsid w:val="5072367"/>
    <w:multiLevelType w:val="hybridMultilevel"/>
    <w:lvl w:ilvl="0">
      <w:lvlJc w:val="left"/>
      <w:lvlText w:val="%1."/>
      <w:numFmt w:val="decimal"/>
      <w:start w:val="2"/>
    </w:lvl>
    <w:lvl w:ilvl="1">
      <w:lvlJc w:val="left"/>
      <w:lvlText w:val="(%2)"/>
      <w:numFmt w:val="lowerLetter"/>
      <w:start w:val="1"/>
    </w:lvl>
  </w:abstractNum>
  <w:abstractNum w:abstractNumId="29">
    <w:nsid w:val="3804823E"/>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30">
    <w:nsid w:val="77465F0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1">
    <w:nsid w:val="7724C67E"/>
    <w:multiLevelType w:val="hybridMultilevel"/>
    <w:lvl w:ilvl="0">
      <w:lvlJc w:val="left"/>
      <w:lvlText w:val="(%1)"/>
      <w:numFmt w:val="lowerLetter"/>
      <w:start w:val="2"/>
    </w:lvl>
  </w:abstractNum>
  <w:abstractNum w:abstractNumId="32">
    <w:nsid w:val="5C482A97"/>
    <w:multiLevelType w:val="hybridMultilevel"/>
    <w:lvl w:ilvl="0">
      <w:lvlJc w:val="left"/>
      <w:lvlText w:val="(%1)"/>
      <w:numFmt w:val="lowerLetter"/>
      <w:start w:val="3"/>
    </w:lvl>
  </w:abstractNum>
  <w:abstractNum w:abstractNumId="33">
    <w:nsid w:val="2463B9EA"/>
    <w:multiLevelType w:val="hybridMultilevel"/>
    <w:lvl w:ilvl="0">
      <w:lvlJc w:val="left"/>
      <w:lvlText w:val="%1"/>
      <w:numFmt w:val="decimal"/>
      <w:start w:val="1"/>
    </w:lvl>
    <w:lvl w:ilvl="1">
      <w:lvlJc w:val="left"/>
      <w:lvlText w:val="(%2)"/>
      <w:numFmt w:val="lowerLetter"/>
      <w:start w:val="6"/>
    </w:lvl>
  </w:abstractNum>
  <w:abstractNum w:abstractNumId="34">
    <w:nsid w:val="5E884ADC"/>
    <w:multiLevelType w:val="hybridMultilevel"/>
    <w:lvl w:ilvl="0">
      <w:lvlJc w:val="left"/>
      <w:lvlText w:val="%1."/>
      <w:numFmt w:val="decimal"/>
      <w:start w:val="5"/>
    </w:lvl>
    <w:lvl w:ilvl="1">
      <w:lvlJc w:val="left"/>
      <w:lvlText w:val="(%2)"/>
      <w:numFmt w:val="lowerLetter"/>
      <w:start w:val="1"/>
    </w:lvl>
  </w:abstractNum>
  <w:abstractNum w:abstractNumId="35">
    <w:nsid w:val="51EAD36B"/>
    <w:multiLevelType w:val="hybridMultilevel"/>
    <w:lvl w:ilvl="0">
      <w:lvlJc w:val="left"/>
      <w:lvlText w:val="(%1)"/>
      <w:numFmt w:val="lowerLetter"/>
      <w:start w:val="2"/>
    </w:lvl>
    <w:lvl w:ilvl="1">
      <w:lvlJc w:val="left"/>
      <w:lvlText w:val="%2."/>
      <w:numFmt w:val="lowerRoman"/>
      <w:start w:val="1"/>
    </w:lvl>
  </w:abstractNum>
  <w:abstractNum w:abstractNumId="36">
    <w:nsid w:val="2D517796"/>
    <w:multiLevelType w:val="hybridMultilevel"/>
    <w:lvl w:ilvl="0">
      <w:lvlJc w:val="left"/>
      <w:lvlText w:val="%1"/>
      <w:numFmt w:val="lowerLetter"/>
      <w:start w:val="1"/>
    </w:lvl>
    <w:lvl w:ilvl="1">
      <w:lvlJc w:val="left"/>
      <w:lvlText w:val="%2."/>
      <w:numFmt w:val="lowerRoman"/>
      <w:start w:val="4"/>
    </w:lvl>
  </w:abstractNum>
  <w:abstractNum w:abstractNumId="37">
    <w:nsid w:val="580BD78F"/>
    <w:multiLevelType w:val="hybridMultilevel"/>
    <w:lvl w:ilvl="0">
      <w:lvlJc w:val="left"/>
      <w:lvlText w:val="(%1)"/>
      <w:numFmt w:val="lowerLetter"/>
      <w:start w:val="5"/>
    </w:lvl>
    <w:lvl w:ilvl="1">
      <w:lvlJc w:val="left"/>
      <w:lvlText w:val="%2"/>
      <w:numFmt w:val="lowerRoman"/>
      <w:start w:val="1"/>
    </w:lvl>
  </w:abstractNum>
  <w:abstractNum w:abstractNumId="38">
    <w:nsid w:val="153EA438"/>
    <w:multiLevelType w:val="hybridMultilevel"/>
    <w:lvl w:ilvl="0">
      <w:lvlJc w:val="left"/>
      <w:lvlText w:val="(%1)"/>
      <w:numFmt w:val="lowerLetter"/>
      <w:start w:val="8"/>
    </w:lvl>
  </w:abstractNum>
  <w:abstractNum w:abstractNumId="39">
    <w:nsid w:val="3855585C"/>
    <w:multiLevelType w:val="hybridMultilevel"/>
    <w:lvl w:ilvl="0">
      <w:lvlJc w:val="left"/>
      <w:lvlText w:val="%1."/>
      <w:numFmt w:val="decimal"/>
      <w:start w:val="6"/>
    </w:lvl>
    <w:lvl w:ilvl="1">
      <w:lvlJc w:val="left"/>
      <w:lvlText w:val="(%2)"/>
      <w:numFmt w:val="lowerLetter"/>
      <w:start w:val="1"/>
    </w:lvl>
  </w:abstractNum>
  <w:abstractNum w:abstractNumId="40">
    <w:nsid w:val="70A64E2A"/>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41">
    <w:nsid w:val="6A2342EC"/>
    <w:multiLevelType w:val="hybridMultilevel"/>
    <w:lvl w:ilvl="0">
      <w:lvlJc w:val="left"/>
      <w:lvlText w:val="%1."/>
      <w:numFmt w:val="decimal"/>
      <w:start w:val="10"/>
    </w:lvl>
    <w:lvl w:ilvl="1">
      <w:lvlJc w:val="left"/>
      <w:lvlText w:val="(%2)"/>
      <w:numFmt w:val="lowerLetter"/>
      <w:start w:val="1"/>
    </w:lvl>
  </w:abstractNum>
  <w:abstractNum w:abstractNumId="42">
    <w:nsid w:val="2A487CB0"/>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2022-09-29T16:27:59Z</dcterms:created>
  <dcterms:modified xsi:type="dcterms:W3CDTF">2022-09-29T16:27:59Z</dcterms:modified>
</cp:coreProperties>
</file>