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508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August 14,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5"/>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50814"/>
            <w:bookmarkEnd w:id="6"/>
            <w:r>
              <w:rPr>
                <w:rFonts w:ascii="Times New Roman;Times;Serif" w:hAnsi="Times New Roman;Times;Serif"/>
                <w:b/>
                <w:i w:val="false"/>
                <w:caps w:val="false"/>
                <w:smallCaps w:val="false"/>
                <w:sz w:val="20"/>
              </w:rPr>
              <w:t>001-40730</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4375" w:type="dxa"/>
        <w:jc w:val="left"/>
        <w:tblInd w:w="0" w:type="dxa"/>
        <w:tblLayout w:type="fixed"/>
        <w:tblCellMar>
          <w:top w:w="0" w:type="dxa"/>
          <w:left w:w="0" w:type="dxa"/>
          <w:bottom w:w="28" w:type="dxa"/>
          <w:right w:w="0" w:type="dxa"/>
        </w:tblCellMar>
      </w:tblPr>
      <w:tblGrid>
        <w:gridCol w:w="3395"/>
        <w:gridCol w:w="60"/>
        <w:gridCol w:w="920"/>
      </w:tblGrid>
      <w:tr>
        <w:trPr/>
        <w:tc>
          <w:tcPr>
            <w:tcW w:w="339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12915 Old Virginia Road </w:t>
            </w:r>
            <w:bookmarkStart w:id="9" w:name="xdx_906_edei--EntityAddressCityOrTown_c2"/>
            <w:bookmarkEnd w:id="9"/>
            <w:r>
              <w:rPr>
                <w:rFonts w:ascii="Times New Roman;Times;Serif" w:hAnsi="Times New Roman;Times;Serif"/>
                <w:b/>
                <w:i w:val="false"/>
                <w:caps w:val="false"/>
                <w:smallCaps w:val="false"/>
                <w:sz w:val="20"/>
              </w:rPr>
              <w:t xml:space="preserve">Reno, </w:t>
            </w:r>
            <w:bookmarkStart w:id="10" w:name="xdx_908_edei--EntityAddressStateOrProvin"/>
            <w:bookmarkEnd w:id="10"/>
            <w:r>
              <w:rPr>
                <w:rFonts w:ascii="Times New Roman;Times;Serif" w:hAnsi="Times New Roman;Times;Serif"/>
                <w:b/>
                <w:i w:val="false"/>
                <w:caps w:val="false"/>
                <w:smallCaps w:val="false"/>
                <w:sz w:val="20"/>
              </w:rPr>
              <w:t>Nevada</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6_edei--EntityAddressPostalZipCode"/>
            <w:bookmarkEnd w:id="11"/>
            <w:r>
              <w:rPr>
                <w:rFonts w:ascii="Times New Roman;Times;Serif" w:hAnsi="Times New Roman;Times;Serif"/>
                <w:b/>
                <w:i w:val="false"/>
                <w:caps w:val="false"/>
                <w:smallCaps w:val="false"/>
                <w:sz w:val="20"/>
              </w:rPr>
              <w:t>89521</w:t>
            </w:r>
          </w:p>
        </w:tc>
      </w:tr>
      <w:tr>
        <w:trPr/>
        <w:tc>
          <w:tcPr>
            <w:tcW w:w="33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12" w:name="xdx_90E_edei--CityAreaCode_c20250814__20"/>
      <w:bookmarkEnd w:id="12"/>
      <w:r>
        <w:rPr>
          <w:rFonts w:ascii="Times New Roman;Times;Serif" w:hAnsi="Times New Roman;Times;Serif"/>
          <w:b/>
          <w:i w:val="false"/>
          <w:caps w:val="false"/>
          <w:smallCaps w:val="false"/>
          <w:sz w:val="20"/>
          <w:u w:val="single"/>
        </w:rPr>
        <w:t xml:space="preserve">(775) </w:t>
      </w:r>
      <w:bookmarkStart w:id="13" w:name="xdx_907_edei--LocalPhoneNumber_c20250814"/>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A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7_edei--SolicitingMaterial_c202508"/>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7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50814"/>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50814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w:t>
            </w:r>
            <w:bookmarkStart w:id="20" w:name="xdx_906_edei--SecurityExchangeName_c2025"/>
            <w:bookmarkEnd w:id="20"/>
            <w:r>
              <w:rPr>
                <w:rFonts w:ascii="Times New Roman;Times;Serif" w:hAnsi="Times New Roman;Times;Serif"/>
                <w:b w:val="false"/>
                <w:i w:val="false"/>
                <w:caps w:val="false"/>
                <w:smallCaps w:val="false"/>
                <w:sz w:val="20"/>
              </w:rPr>
              <w:t xml:space="preserve"> 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12bTitle_c20250814"/>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7_edei--TradingSymbol_c20250814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9_edei--SecurityExchangeName_c2025"/>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4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5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14, 2025, Dragonfly Energy Holdings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an earnings release disclosing certain information regarding its results of operations for the second quarter ended June 30, 2025. Following the publication of the press release, the Company will host an earnings call at 4:30 p.m. (Eastern Time) on August 14, 2025, via a webcast. During the webcast, the Company’s financial results for the second quarter ended June 30, 2025 will be discussed. A copy of the press release is attached as Exhibit 99.1 hereto and incorporated in this Item 2.02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 99.1, is being furnished to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and shall not be deemed to be “filed” for the purposes of Section 18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28" w:type="dxa"/>
          <w:right w:w="0" w:type="dxa"/>
        </w:tblCellMar>
      </w:tblPr>
      <w:tblGrid>
        <w:gridCol w:w="980"/>
        <w:gridCol w:w="60"/>
        <w:gridCol w:w="6530"/>
      </w:tblGrid>
      <w:tr>
        <w:trPr/>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Dragonfly Energy Holdings Corp., dated August 14, 2025.</w:t>
              </w:r>
            </w:hyperlink>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8235" w:type="dxa"/>
        <w:jc w:val="left"/>
        <w:tblInd w:w="0" w:type="dxa"/>
        <w:tblLayout w:type="fixed"/>
        <w:tblCellMar>
          <w:top w:w="0" w:type="dxa"/>
          <w:left w:w="0" w:type="dxa"/>
          <w:bottom w:w="0" w:type="dxa"/>
          <w:right w:w="0" w:type="dxa"/>
        </w:tblCellMar>
      </w:tblPr>
      <w:tblGrid>
        <w:gridCol w:w="1970"/>
        <w:gridCol w:w="590"/>
        <w:gridCol w:w="5675"/>
      </w:tblGrid>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56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2025</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Denis Phares </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970"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954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419100"/>
                    </a:xfrm>
                    <a:prstGeom prst="rect">
                      <a:avLst/>
                    </a:prstGeom>
                  </pic:spPr>
                </pic:pic>
              </a:graphicData>
            </a:graphic>
          </wp:inline>
        </w:drawing>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Reports Second Quarter 2025 Results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Net Sales and Adjusted EBITDA Above Guidance Driven by 51% OEM Growth</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 Exchange and Public Offering Strengthen Financial Position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Guides to Third Quarter Net Sales of Approximately $15.9 Million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Second Quarter 2025 Financial Highlights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comparisons made are against the prior-year period)</w:t>
      </w:r>
    </w:p>
    <w:p>
      <w:pPr>
        <w:pStyle w:val="TextBody"/>
        <w:bidi w:val="0"/>
        <w:spacing w:before="0" w:after="0"/>
        <w:jc w:val="both"/>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170"/>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$16.2 million, compared to $13.2 million, up 23.0%.</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 net sales were $10.1 million, compared to $6.7 million, up 50.6%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28.3%, compared to 24.0%, up 430 basis points.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$(7.0) million, compared to $(13.6)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$(2.2) million, compared to $(6.2) million.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(August 14, 2025)</w:t>
      </w:r>
      <w:r>
        <w:rPr>
          <w:rFonts w:ascii="Times New Roman;Times;Serif" w:hAnsi="Times New Roman;Times;Serif"/>
          <w:b w:val="false"/>
          <w:i w:val="false"/>
          <w:caps w:val="false"/>
          <w:smallCaps w:val="false"/>
          <w:sz w:val="20"/>
        </w:rPr>
        <w:t xml:space="preserve"> — Dragonfly Energy Holdings Corp. (“Dragonfly Energy” or the “Company”) (Nasdaq: DFLI), an industry leader in energy storage and battery technology, today reported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financial and operational results for the second quarter ended June 30, 2025.</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report another strong quarter, with net sales increasing 23% year-over-year, driven by sustained demand from OEM customers despite continued economic uncertainty” commented Dr. Denis Phares, Chief Executive Officer. “We believe this performance demonstrates the resilience of our OEM partnerships, as we continue to see healthy adoption trends across our portfolio.”</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ongoing corporate optimization efforts continue to drive meaningful operational improvements, allowing us to strengthen our product development capabilities without increasing costs” continued Dr. Phares. “By reallocating in-house personnel, we successfully accelerated the design and manufacturing of fully integrated energy storage systems for several leading RV and heavy-duty trucking OEMs. One RV partner has adopted these systems as standard across select 2026 models, reflecting Dragonfly’s agility and commitment to delivering innovative, tailored solutions that meet our customer’s evolving needs.”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From a financial standpoint, we remain focused on strengthening our balance sheet to support growth and achieve profitability. The recent exchange of our remaining outstanding preferred shares simplified our capital structure and eliminated associated interest payments, while we believe the proceeds from our recent public offering enhanced our financial flexibility to pursue near-term strategic opportunities.”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2025 Financial and Operating Results</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result comparisons made are against the prior-year period unless otherwise noted)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Sales by Customer Type</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w:t>
      </w:r>
    </w:p>
    <w:p>
      <w:pPr>
        <w:pStyle w:val="TextBody"/>
        <w:bidi w:val="0"/>
        <w:spacing w:before="0" w:after="283"/>
        <w:jc w:val="left"/>
        <w:rPr/>
      </w:pPr>
      <w:r>
        <w:rPr/>
        <w:t> </w:t>
      </w:r>
    </w:p>
    <w:tbl>
      <w:tblPr>
        <w:tblW w:w="6322" w:type="dxa"/>
        <w:jc w:val="left"/>
        <w:tblInd w:w="0" w:type="dxa"/>
        <w:tblLayout w:type="fixed"/>
        <w:tblCellMar>
          <w:top w:w="0" w:type="dxa"/>
          <w:left w:w="0" w:type="dxa"/>
          <w:bottom w:w="0" w:type="dxa"/>
          <w:right w:w="0" w:type="dxa"/>
        </w:tblCellMar>
      </w:tblPr>
      <w:tblGrid>
        <w:gridCol w:w="1430"/>
        <w:gridCol w:w="60"/>
        <w:gridCol w:w="240"/>
        <w:gridCol w:w="1174"/>
        <w:gridCol w:w="75"/>
        <w:gridCol w:w="75"/>
        <w:gridCol w:w="240"/>
        <w:gridCol w:w="1174"/>
        <w:gridCol w:w="60"/>
        <w:gridCol w:w="60"/>
        <w:gridCol w:w="179"/>
        <w:gridCol w:w="1325"/>
        <w:gridCol w:w="23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42424"/>
              </w:rPr>
            </w:pPr>
            <w:r>
              <w:rPr>
                <w:color w:val="242424"/>
              </w:rPr>
              <w:t> </w:t>
            </w:r>
          </w:p>
        </w:tc>
        <w:tc>
          <w:tcPr>
            <w:tcW w:w="29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242424"/>
              </w:rPr>
            </w:pPr>
            <w:r>
              <w:rPr>
                <w:rFonts w:ascii="Times New Roman;Times;Serif" w:hAnsi="Times New Roman;Times;Serif"/>
                <w:b/>
                <w:color w:val="242424"/>
              </w:rPr>
              <w:t>Fiscal Quarter Ended</w:t>
            </w:r>
          </w:p>
        </w:tc>
        <w:tc>
          <w:tcPr>
            <w:tcW w:w="60" w:type="dxa"/>
            <w:tcBorders/>
            <w:vAlign w:val="center"/>
          </w:tcPr>
          <w:p>
            <w:pPr>
              <w:pStyle w:val="TableContents"/>
              <w:bidi w:val="0"/>
              <w:spacing w:before="0" w:after="283"/>
              <w:jc w:val="left"/>
              <w:rPr>
                <w:color w:val="242424"/>
              </w:rPr>
            </w:pPr>
            <w:r>
              <w:rPr>
                <w:color w:val="242424"/>
              </w:rPr>
              <w:t> </w:t>
            </w:r>
          </w:p>
        </w:tc>
        <w:tc>
          <w:tcPr>
            <w:tcW w:w="60" w:type="dxa"/>
            <w:tcBorders/>
            <w:vAlign w:val="center"/>
          </w:tcPr>
          <w:p>
            <w:pPr>
              <w:pStyle w:val="TableContents"/>
              <w:bidi w:val="0"/>
              <w:spacing w:before="0" w:after="283"/>
              <w:jc w:val="left"/>
              <w:rPr>
                <w:color w:val="242424"/>
              </w:rPr>
            </w:pPr>
            <w:r>
              <w:rPr>
                <w:color w:val="242424"/>
              </w:rPr>
              <w:t> </w:t>
            </w:r>
          </w:p>
        </w:tc>
        <w:tc>
          <w:tcPr>
            <w:tcW w:w="1504" w:type="dxa"/>
            <w:gridSpan w:val="2"/>
            <w:tcBorders/>
            <w:vAlign w:val="center"/>
          </w:tcPr>
          <w:p>
            <w:pPr>
              <w:pStyle w:val="TableContents"/>
              <w:bidi w:val="0"/>
              <w:spacing w:before="0" w:after="283"/>
              <w:jc w:val="left"/>
              <w:rPr>
                <w:color w:val="242424"/>
              </w:rPr>
            </w:pPr>
            <w:r>
              <w:rPr>
                <w:color w:val="242424"/>
              </w:rPr>
              <w:t> </w:t>
            </w:r>
          </w:p>
        </w:tc>
        <w:tc>
          <w:tcPr>
            <w:tcW w:w="230" w:type="dxa"/>
            <w:tcBorders/>
            <w:vAlign w:val="center"/>
          </w:tcPr>
          <w:p>
            <w:pPr>
              <w:pStyle w:val="TableContents"/>
              <w:bidi w:val="0"/>
              <w:spacing w:before="0" w:after="283"/>
              <w:jc w:val="left"/>
              <w:rPr>
                <w:color w:val="242424"/>
              </w:rPr>
            </w:pPr>
            <w:r>
              <w:rPr>
                <w:color w:val="242424"/>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2025</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Change (YoY)</w:t>
            </w:r>
          </w:p>
        </w:tc>
        <w:tc>
          <w:tcPr>
            <w:tcW w:w="23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b/>
                <w:color w:val="242424"/>
              </w:rPr>
            </w:pPr>
            <w:r>
              <w:rPr>
                <w:rFonts w:ascii="Times New Roman;Times;Serif" w:hAnsi="Times New Roman;Times;Serif"/>
                <w:b/>
                <w:color w:val="242424"/>
              </w:rPr>
              <w:t>OEM</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color w:val="242424"/>
              </w:rPr>
            </w:pPr>
            <w:r>
              <w:rPr>
                <w:rFonts w:ascii="Times New Roman;Times;Serif" w:hAnsi="Times New Roman;Times;Serif"/>
                <w:color w:val="242424"/>
              </w:rPr>
              <w:t>$</w:t>
            </w:r>
          </w:p>
        </w:tc>
        <w:tc>
          <w:tcPr>
            <w:tcW w:w="1174" w:type="dxa"/>
            <w:tcBorders/>
            <w:shd w:fill="CCEEFF" w:val="clear"/>
            <w:vAlign w:val="center"/>
          </w:tcPr>
          <w:p>
            <w:pPr>
              <w:pStyle w:val="TableContents"/>
              <w:bidi w:val="0"/>
              <w:spacing w:before="0" w:after="283"/>
              <w:jc w:val="right"/>
              <w:rPr>
                <w:rFonts w:ascii="Times New Roman;Times;Serif" w:hAnsi="Times New Roman;Times;Serif"/>
                <w:color w:val="242424"/>
              </w:rPr>
            </w:pPr>
            <w:r>
              <w:rPr>
                <w:rFonts w:ascii="Times New Roman;Times;Serif" w:hAnsi="Times New Roman;Times;Serif"/>
                <w:color w:val="242424"/>
              </w:rPr>
              <w:t>10,050</w:t>
            </w:r>
          </w:p>
        </w:tc>
        <w:tc>
          <w:tcPr>
            <w:tcW w:w="75" w:type="dxa"/>
            <w:tcBorders/>
            <w:shd w:fill="CCEEFF" w:val="clear"/>
            <w:vAlign w:val="center"/>
          </w:tcPr>
          <w:p>
            <w:pPr>
              <w:pStyle w:val="TableContents"/>
              <w:bidi w:val="0"/>
              <w:spacing w:before="0" w:after="283"/>
              <w:jc w:val="left"/>
              <w:rPr>
                <w:color w:val="242424"/>
              </w:rPr>
            </w:pPr>
            <w:r>
              <w:rPr>
                <w:color w:val="242424"/>
              </w:rPr>
              <w:t> </w:t>
            </w:r>
          </w:p>
        </w:tc>
        <w:tc>
          <w:tcPr>
            <w:tcW w:w="75" w:type="dxa"/>
            <w:tcBorders/>
            <w:shd w:fill="CCEEFF" w:val="clear"/>
            <w:vAlign w:val="center"/>
          </w:tcPr>
          <w:p>
            <w:pPr>
              <w:pStyle w:val="TableContents"/>
              <w:bidi w:val="0"/>
              <w:spacing w:before="0" w:after="283"/>
              <w:jc w:val="left"/>
              <w:rPr>
                <w:color w:val="242424"/>
              </w:rPr>
            </w:pPr>
            <w:r>
              <w:rPr>
                <w:color w:val="242424"/>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color w:val="242424"/>
              </w:rPr>
            </w:pPr>
            <w:r>
              <w:rPr>
                <w:rFonts w:ascii="Times New Roman;Times;Serif" w:hAnsi="Times New Roman;Times;Serif"/>
                <w:color w:val="242424"/>
              </w:rPr>
              <w:t>$</w:t>
            </w:r>
          </w:p>
        </w:tc>
        <w:tc>
          <w:tcPr>
            <w:tcW w:w="1174" w:type="dxa"/>
            <w:tcBorders/>
            <w:shd w:fill="CCEEFF" w:val="clear"/>
            <w:vAlign w:val="center"/>
          </w:tcPr>
          <w:p>
            <w:pPr>
              <w:pStyle w:val="TableContents"/>
              <w:bidi w:val="0"/>
              <w:spacing w:before="0" w:after="283"/>
              <w:jc w:val="right"/>
              <w:rPr>
                <w:rFonts w:ascii="Times New Roman;Times;Serif" w:hAnsi="Times New Roman;Times;Serif"/>
                <w:color w:val="242424"/>
              </w:rPr>
            </w:pPr>
            <w:r>
              <w:rPr>
                <w:rFonts w:ascii="Times New Roman;Times;Serif" w:hAnsi="Times New Roman;Times;Serif"/>
                <w:color w:val="242424"/>
              </w:rPr>
              <w:t>6,674</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179" w:type="dxa"/>
            <w:tcBorders/>
            <w:shd w:fill="CCEEFF" w:val="clear"/>
            <w:vAlign w:val="center"/>
          </w:tcPr>
          <w:p>
            <w:pPr>
              <w:pStyle w:val="TableContents"/>
              <w:bidi w:val="0"/>
              <w:spacing w:before="0" w:after="283"/>
              <w:jc w:val="left"/>
              <w:rPr>
                <w:color w:val="242424"/>
              </w:rPr>
            </w:pPr>
            <w:r>
              <w:rPr>
                <w:color w:val="242424"/>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color w:val="242424"/>
              </w:rPr>
            </w:pPr>
            <w:r>
              <w:rPr>
                <w:rFonts w:ascii="Times New Roman;Times;Serif" w:hAnsi="Times New Roman;Times;Serif"/>
                <w:color w:val="242424"/>
              </w:rPr>
              <w:t>50.6</w:t>
            </w:r>
          </w:p>
        </w:tc>
        <w:tc>
          <w:tcPr>
            <w:tcW w:w="230" w:type="dxa"/>
            <w:tcBorders/>
            <w:shd w:fill="CCEEFF" w:val="clear"/>
            <w:vAlign w:val="center"/>
          </w:tcPr>
          <w:p>
            <w:pPr>
              <w:pStyle w:val="TableContents"/>
              <w:bidi w:val="0"/>
              <w:spacing w:before="0" w:after="283"/>
              <w:jc w:val="left"/>
              <w:rPr>
                <w:rFonts w:ascii="Times New Roman;Times;Serif" w:hAnsi="Times New Roman;Times;Serif"/>
                <w:color w:val="242424"/>
              </w:rPr>
            </w:pPr>
            <w:r>
              <w:rPr>
                <w:rFonts w:ascii="Times New Roman;Times;Serif" w:hAnsi="Times New Roman;Times;Serif"/>
                <w:color w:val="242424"/>
              </w:rPr>
              <w:t>%</w:t>
            </w:r>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color w:val="242424"/>
              </w:rPr>
            </w:pPr>
            <w:r>
              <w:rPr>
                <w:rFonts w:ascii="Times New Roman;Times;Serif" w:hAnsi="Times New Roman;Times;Serif"/>
                <w:b/>
                <w:color w:val="242424"/>
              </w:rPr>
              <w:t>DTC</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color w:val="242424"/>
              </w:rPr>
            </w:pPr>
            <w:r>
              <w:rPr>
                <w:rFonts w:ascii="Times New Roman;Times;Serif" w:hAnsi="Times New Roman;Times;Serif"/>
                <w:color w:val="242424"/>
              </w:rPr>
              <w:t>$</w:t>
            </w:r>
          </w:p>
        </w:tc>
        <w:tc>
          <w:tcPr>
            <w:tcW w:w="1174" w:type="dxa"/>
            <w:tcBorders/>
            <w:shd w:fill="FFFFFF" w:val="clear"/>
            <w:vAlign w:val="center"/>
          </w:tcPr>
          <w:p>
            <w:pPr>
              <w:pStyle w:val="TableContents"/>
              <w:bidi w:val="0"/>
              <w:spacing w:before="0" w:after="283"/>
              <w:jc w:val="right"/>
              <w:rPr>
                <w:rFonts w:ascii="Times New Roman;Times;Serif" w:hAnsi="Times New Roman;Times;Serif"/>
                <w:color w:val="242424"/>
              </w:rPr>
            </w:pPr>
            <w:r>
              <w:rPr>
                <w:rFonts w:ascii="Times New Roman;Times;Serif" w:hAnsi="Times New Roman;Times;Serif"/>
                <w:color w:val="242424"/>
              </w:rPr>
              <w:t>5,948</w:t>
            </w:r>
          </w:p>
        </w:tc>
        <w:tc>
          <w:tcPr>
            <w:tcW w:w="75" w:type="dxa"/>
            <w:tcBorders/>
            <w:shd w:fill="FFFFFF" w:val="clear"/>
            <w:vAlign w:val="center"/>
          </w:tcPr>
          <w:p>
            <w:pPr>
              <w:pStyle w:val="TableContents"/>
              <w:bidi w:val="0"/>
              <w:spacing w:before="0" w:after="283"/>
              <w:jc w:val="left"/>
              <w:rPr>
                <w:color w:val="242424"/>
              </w:rPr>
            </w:pPr>
            <w:r>
              <w:rPr>
                <w:color w:val="242424"/>
              </w:rPr>
              <w:t> </w:t>
            </w:r>
          </w:p>
        </w:tc>
        <w:tc>
          <w:tcPr>
            <w:tcW w:w="75" w:type="dxa"/>
            <w:tcBorders/>
            <w:shd w:fill="FFFFFF" w:val="clear"/>
            <w:vAlign w:val="center"/>
          </w:tcPr>
          <w:p>
            <w:pPr>
              <w:pStyle w:val="TableContents"/>
              <w:bidi w:val="0"/>
              <w:spacing w:before="0" w:after="283"/>
              <w:jc w:val="left"/>
              <w:rPr>
                <w:color w:val="242424"/>
              </w:rPr>
            </w:pPr>
            <w:r>
              <w:rPr>
                <w:color w:val="242424"/>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color w:val="242424"/>
              </w:rPr>
            </w:pPr>
            <w:r>
              <w:rPr>
                <w:rFonts w:ascii="Times New Roman;Times;Serif" w:hAnsi="Times New Roman;Times;Serif"/>
                <w:color w:val="242424"/>
              </w:rPr>
              <w:t>$</w:t>
            </w:r>
          </w:p>
        </w:tc>
        <w:tc>
          <w:tcPr>
            <w:tcW w:w="1174" w:type="dxa"/>
            <w:tcBorders/>
            <w:shd w:fill="FFFFFF" w:val="clear"/>
            <w:vAlign w:val="center"/>
          </w:tcPr>
          <w:p>
            <w:pPr>
              <w:pStyle w:val="TableContents"/>
              <w:bidi w:val="0"/>
              <w:spacing w:before="0" w:after="283"/>
              <w:jc w:val="right"/>
              <w:rPr>
                <w:rFonts w:ascii="Times New Roman;Times;Serif" w:hAnsi="Times New Roman;Times;Serif"/>
                <w:color w:val="242424"/>
              </w:rPr>
            </w:pPr>
            <w:r>
              <w:rPr>
                <w:rFonts w:ascii="Times New Roman;Times;Serif" w:hAnsi="Times New Roman;Times;Serif"/>
                <w:color w:val="242424"/>
              </w:rPr>
              <w:t>6,534</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179" w:type="dxa"/>
            <w:tcBorders/>
            <w:shd w:fill="FFFFFF" w:val="clear"/>
            <w:vAlign w:val="center"/>
          </w:tcPr>
          <w:p>
            <w:pPr>
              <w:pStyle w:val="TableContents"/>
              <w:bidi w:val="0"/>
              <w:spacing w:before="0" w:after="283"/>
              <w:jc w:val="left"/>
              <w:rPr>
                <w:color w:val="242424"/>
              </w:rPr>
            </w:pPr>
            <w:r>
              <w:rPr>
                <w:color w:val="242424"/>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color w:val="242424"/>
              </w:rPr>
            </w:pPr>
            <w:r>
              <w:rPr>
                <w:rFonts w:ascii="Times New Roman;Times;Serif" w:hAnsi="Times New Roman;Times;Serif"/>
                <w:color w:val="242424"/>
              </w:rPr>
              <w:t>-9.0</w:t>
            </w:r>
          </w:p>
        </w:tc>
        <w:tc>
          <w:tcPr>
            <w:tcW w:w="230" w:type="dxa"/>
            <w:tcBorders/>
            <w:shd w:fill="FFFFFF" w:val="clear"/>
            <w:vAlign w:val="center"/>
          </w:tcPr>
          <w:p>
            <w:pPr>
              <w:pStyle w:val="TableContents"/>
              <w:bidi w:val="0"/>
              <w:spacing w:before="0" w:after="283"/>
              <w:jc w:val="left"/>
              <w:rPr>
                <w:rFonts w:ascii="Times New Roman;Times;Serif" w:hAnsi="Times New Roman;Times;Serif"/>
                <w:color w:val="242424"/>
              </w:rPr>
            </w:pPr>
            <w:r>
              <w:rPr>
                <w:rFonts w:ascii="Times New Roman;Times;Serif" w:hAnsi="Times New Roman;Times;Serif"/>
                <w:color w:val="242424"/>
              </w:rPr>
              <w:t>%</w:t>
            </w:r>
          </w:p>
        </w:tc>
      </w:tr>
      <w:tr>
        <w:trPr/>
        <w:tc>
          <w:tcPr>
            <w:tcW w:w="1430" w:type="dxa"/>
            <w:tcBorders/>
            <w:shd w:fill="CCEEFF" w:val="clear"/>
            <w:vAlign w:val="center"/>
          </w:tcPr>
          <w:p>
            <w:pPr>
              <w:pStyle w:val="TableContents"/>
              <w:bidi w:val="0"/>
              <w:spacing w:before="0" w:after="283"/>
              <w:jc w:val="left"/>
              <w:rPr>
                <w:rFonts w:ascii="Times New Roman;Times;Serif" w:hAnsi="Times New Roman;Times;Serif"/>
                <w:b/>
                <w:color w:val="242424"/>
              </w:rPr>
            </w:pPr>
            <w:r>
              <w:rPr>
                <w:rFonts w:ascii="Times New Roman;Times;Serif" w:hAnsi="Times New Roman;Times;Serif"/>
                <w:b/>
                <w:color w:val="242424"/>
              </w:rPr>
              <w:t>Licensing Fee</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color w:val="242424"/>
              </w:rPr>
            </w:pPr>
            <w:r>
              <w:rPr>
                <w:rFonts w:ascii="Times New Roman;Times;Serif" w:hAnsi="Times New Roman;Times;Serif"/>
                <w:color w:val="242424"/>
              </w:rPr>
              <w:t>$</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242424"/>
              </w:rPr>
            </w:pPr>
            <w:r>
              <w:rPr>
                <w:rFonts w:ascii="Times New Roman;Times;Serif" w:hAnsi="Times New Roman;Times;Serif"/>
                <w:color w:val="242424"/>
              </w:rPr>
              <w:t>250</w:t>
            </w:r>
          </w:p>
        </w:tc>
        <w:tc>
          <w:tcPr>
            <w:tcW w:w="75" w:type="dxa"/>
            <w:tcBorders/>
            <w:shd w:fill="CCEEFF" w:val="clear"/>
            <w:vAlign w:val="center"/>
          </w:tcPr>
          <w:p>
            <w:pPr>
              <w:pStyle w:val="TableContents"/>
              <w:bidi w:val="0"/>
              <w:spacing w:before="0" w:after="283"/>
              <w:jc w:val="left"/>
              <w:rPr>
                <w:color w:val="242424"/>
              </w:rPr>
            </w:pPr>
            <w:r>
              <w:rPr>
                <w:color w:val="242424"/>
              </w:rPr>
              <w:t> </w:t>
            </w:r>
          </w:p>
        </w:tc>
        <w:tc>
          <w:tcPr>
            <w:tcW w:w="75" w:type="dxa"/>
            <w:tcBorders/>
            <w:shd w:fill="CCEEFF" w:val="clear"/>
            <w:vAlign w:val="center"/>
          </w:tcPr>
          <w:p>
            <w:pPr>
              <w:pStyle w:val="TableContents"/>
              <w:bidi w:val="0"/>
              <w:spacing w:before="0" w:after="283"/>
              <w:jc w:val="left"/>
              <w:rPr>
                <w:color w:val="242424"/>
              </w:rPr>
            </w:pPr>
            <w:r>
              <w:rPr>
                <w:color w:val="242424"/>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olor w:val="242424"/>
              </w:rPr>
            </w:pPr>
            <w:r>
              <w:rPr>
                <w:color w:val="242424"/>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242424"/>
                <w:sz w:val="20"/>
              </w:rPr>
            </w:pPr>
            <w:r>
              <w:rPr>
                <w:rFonts w:ascii="Times New Roman;Times;Serif" w:hAnsi="Times New Roman;Times;Serif"/>
                <w:color w:val="242424"/>
                <w:sz w:val="20"/>
              </w:rPr>
              <w:t>N/A</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179" w:type="dxa"/>
            <w:tcBorders>
              <w:bottom w:val="single" w:sz="8" w:space="0" w:color="000000"/>
            </w:tcBorders>
            <w:shd w:fill="CCEEFF" w:val="clear"/>
            <w:tcMar>
              <w:bottom w:w="28" w:type="dxa"/>
            </w:tcMar>
            <w:vAlign w:val="center"/>
          </w:tcPr>
          <w:p>
            <w:pPr>
              <w:pStyle w:val="TableContents"/>
              <w:bidi w:val="0"/>
              <w:spacing w:before="0" w:after="283"/>
              <w:jc w:val="left"/>
              <w:rPr>
                <w:color w:val="242424"/>
              </w:rPr>
            </w:pPr>
            <w:r>
              <w:rPr>
                <w:color w:val="242424"/>
              </w:rPr>
              <w:t> </w:t>
            </w:r>
          </w:p>
        </w:tc>
        <w:tc>
          <w:tcPr>
            <w:tcW w:w="1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color w:val="242424"/>
                <w:sz w:val="20"/>
              </w:rPr>
            </w:pPr>
            <w:r>
              <w:rPr>
                <w:rFonts w:ascii="Times New Roman;Times;Serif" w:hAnsi="Times New Roman;Times;Serif"/>
                <w:color w:val="242424"/>
                <w:sz w:val="20"/>
              </w:rPr>
              <w:t>N/A</w:t>
            </w:r>
          </w:p>
        </w:tc>
        <w:tc>
          <w:tcPr>
            <w:tcW w:w="230" w:type="dxa"/>
            <w:tcBorders/>
            <w:shd w:fill="CCEEFF" w:val="clear"/>
            <w:vAlign w:val="center"/>
          </w:tcPr>
          <w:p>
            <w:pPr>
              <w:pStyle w:val="TableContents"/>
              <w:bidi w:val="0"/>
              <w:spacing w:before="0" w:after="283"/>
              <w:jc w:val="left"/>
              <w:rPr>
                <w:color w:val="242424"/>
              </w:rPr>
            </w:pPr>
            <w:r>
              <w:rPr>
                <w:color w:val="242424"/>
              </w:rPr>
              <w:t> </w:t>
            </w:r>
          </w:p>
        </w:tc>
      </w:tr>
      <w:tr>
        <w:trPr/>
        <w:tc>
          <w:tcPr>
            <w:tcW w:w="1430" w:type="dxa"/>
            <w:tcBorders/>
            <w:shd w:fill="FFFFFF" w:val="clear"/>
            <w:vAlign w:val="center"/>
          </w:tcPr>
          <w:p>
            <w:pPr>
              <w:pStyle w:val="TableContents"/>
              <w:bidi w:val="0"/>
              <w:spacing w:before="0" w:after="283"/>
              <w:jc w:val="left"/>
              <w:rPr>
                <w:rFonts w:ascii="Times New Roman;Times;Serif" w:hAnsi="Times New Roman;Times;Serif"/>
                <w:b/>
                <w:color w:val="242424"/>
              </w:rPr>
            </w:pPr>
            <w:r>
              <w:rPr>
                <w:rFonts w:ascii="Times New Roman;Times;Serif" w:hAnsi="Times New Roman;Times;Serif"/>
                <w:b/>
                <w:color w:val="242424"/>
              </w:rPr>
              <w:t>Net Sales</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color w:val="242424"/>
              </w:rPr>
            </w:pPr>
            <w:r>
              <w:rPr>
                <w:rFonts w:ascii="Times New Roman;Times;Serif" w:hAnsi="Times New Roman;Times;Serif"/>
                <w:color w:val="242424"/>
              </w:rPr>
              <w:t>$</w:t>
            </w:r>
          </w:p>
        </w:tc>
        <w:tc>
          <w:tcPr>
            <w:tcW w:w="1174" w:type="dxa"/>
            <w:tcBorders/>
            <w:shd w:fill="FFFFFF" w:val="clear"/>
            <w:vAlign w:val="center"/>
          </w:tcPr>
          <w:p>
            <w:pPr>
              <w:pStyle w:val="TableContents"/>
              <w:bidi w:val="0"/>
              <w:spacing w:before="0" w:after="283"/>
              <w:jc w:val="right"/>
              <w:rPr>
                <w:rFonts w:ascii="Times New Roman;Times;Serif" w:hAnsi="Times New Roman;Times;Serif"/>
                <w:color w:val="242424"/>
              </w:rPr>
            </w:pPr>
            <w:r>
              <w:rPr>
                <w:rFonts w:ascii="Times New Roman;Times;Serif" w:hAnsi="Times New Roman;Times;Serif"/>
                <w:color w:val="242424"/>
              </w:rPr>
              <w:t>16,248</w:t>
            </w:r>
          </w:p>
        </w:tc>
        <w:tc>
          <w:tcPr>
            <w:tcW w:w="75" w:type="dxa"/>
            <w:tcBorders/>
            <w:shd w:fill="FFFFFF" w:val="clear"/>
            <w:vAlign w:val="center"/>
          </w:tcPr>
          <w:p>
            <w:pPr>
              <w:pStyle w:val="TableContents"/>
              <w:bidi w:val="0"/>
              <w:spacing w:before="0" w:after="283"/>
              <w:jc w:val="left"/>
              <w:rPr>
                <w:color w:val="242424"/>
              </w:rPr>
            </w:pPr>
            <w:r>
              <w:rPr>
                <w:color w:val="242424"/>
              </w:rPr>
              <w:t> </w:t>
            </w:r>
          </w:p>
        </w:tc>
        <w:tc>
          <w:tcPr>
            <w:tcW w:w="75" w:type="dxa"/>
            <w:tcBorders/>
            <w:shd w:fill="FFFFFF" w:val="clear"/>
            <w:vAlign w:val="center"/>
          </w:tcPr>
          <w:p>
            <w:pPr>
              <w:pStyle w:val="TableContents"/>
              <w:bidi w:val="0"/>
              <w:spacing w:before="0" w:after="283"/>
              <w:jc w:val="left"/>
              <w:rPr>
                <w:color w:val="242424"/>
              </w:rPr>
            </w:pPr>
            <w:r>
              <w:rPr>
                <w:color w:val="242424"/>
              </w:rPr>
              <w:t> </w:t>
            </w:r>
          </w:p>
        </w:tc>
        <w:tc>
          <w:tcPr>
            <w:tcW w:w="240" w:type="dxa"/>
            <w:tcBorders/>
            <w:shd w:fill="FFFFFF" w:val="clear"/>
            <w:vAlign w:val="center"/>
          </w:tcPr>
          <w:p>
            <w:pPr>
              <w:pStyle w:val="TableContents"/>
              <w:bidi w:val="0"/>
              <w:spacing w:before="0" w:after="283"/>
              <w:jc w:val="left"/>
              <w:rPr>
                <w:rFonts w:ascii="Times New Roman;Times;Serif" w:hAnsi="Times New Roman;Times;Serif"/>
                <w:color w:val="242424"/>
              </w:rPr>
            </w:pPr>
            <w:r>
              <w:rPr>
                <w:rFonts w:ascii="Times New Roman;Times;Serif" w:hAnsi="Times New Roman;Times;Serif"/>
                <w:color w:val="242424"/>
              </w:rPr>
              <w:t>$</w:t>
            </w:r>
          </w:p>
        </w:tc>
        <w:tc>
          <w:tcPr>
            <w:tcW w:w="1174" w:type="dxa"/>
            <w:tcBorders/>
            <w:shd w:fill="FFFFFF" w:val="clear"/>
            <w:vAlign w:val="center"/>
          </w:tcPr>
          <w:p>
            <w:pPr>
              <w:pStyle w:val="TableContents"/>
              <w:bidi w:val="0"/>
              <w:spacing w:before="0" w:after="283"/>
              <w:jc w:val="right"/>
              <w:rPr>
                <w:rFonts w:ascii="Times New Roman;Times;Serif" w:hAnsi="Times New Roman;Times;Serif"/>
                <w:color w:val="242424"/>
              </w:rPr>
            </w:pPr>
            <w:r>
              <w:rPr>
                <w:rFonts w:ascii="Times New Roman;Times;Serif" w:hAnsi="Times New Roman;Times;Serif"/>
                <w:color w:val="242424"/>
              </w:rPr>
              <w:t>13,208</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179" w:type="dxa"/>
            <w:tcBorders/>
            <w:shd w:fill="FFFFFF" w:val="clear"/>
            <w:vAlign w:val="center"/>
          </w:tcPr>
          <w:p>
            <w:pPr>
              <w:pStyle w:val="TableContents"/>
              <w:bidi w:val="0"/>
              <w:spacing w:before="0" w:after="283"/>
              <w:jc w:val="left"/>
              <w:rPr>
                <w:color w:val="242424"/>
              </w:rPr>
            </w:pPr>
            <w:r>
              <w:rPr>
                <w:color w:val="242424"/>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color w:val="242424"/>
              </w:rPr>
            </w:pPr>
            <w:r>
              <w:rPr>
                <w:rFonts w:ascii="Times New Roman;Times;Serif" w:hAnsi="Times New Roman;Times;Serif"/>
                <w:color w:val="242424"/>
              </w:rPr>
              <w:t>23.0</w:t>
            </w:r>
          </w:p>
        </w:tc>
        <w:tc>
          <w:tcPr>
            <w:tcW w:w="230" w:type="dxa"/>
            <w:tcBorders/>
            <w:shd w:fill="FFFFFF" w:val="clear"/>
            <w:vAlign w:val="center"/>
          </w:tcPr>
          <w:p>
            <w:pPr>
              <w:pStyle w:val="TableContents"/>
              <w:bidi w:val="0"/>
              <w:spacing w:before="0" w:after="283"/>
              <w:jc w:val="left"/>
              <w:rPr>
                <w:rFonts w:ascii="Times New Roman;Times;Serif" w:hAnsi="Times New Roman;Times;Serif"/>
                <w:color w:val="242424"/>
              </w:rPr>
            </w:pPr>
            <w:r>
              <w:rPr>
                <w:rFonts w:ascii="Times New Roman;Times;Serif" w:hAnsi="Times New Roman;Times;Serif"/>
                <w:color w:val="242424"/>
              </w:rPr>
              <w:t>%</w:t>
            </w:r>
          </w:p>
        </w:tc>
      </w:tr>
    </w:tbl>
    <w:p>
      <w:pPr>
        <w:pStyle w:val="TextBody"/>
        <w:shd w:fill="FFFFFF" w:val="clear"/>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23.0% to $16.2 million. OEM net sales grew 50.6% to $10.1 million, led by continued strong adoption of our products at the factory level. DTC net sales were $5.9 million compared to $6.5 million, reflecting ongoing macroeconomic pressures.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45.4% to $4.6 million, and gross margin expanded 430 basis points to 28.3%, led by lower inventory costs, and improved fixed cost absorption due to higher volumes. Operating Expenses were $7.9 million, down from $9.9 million, which includes lower R&amp;D costs.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Loss of $(7.0) million, or $(0.58) per diluted share, compared to Net Loss of $(13.6) million or $(2.02) per diluted share. Adjusted EBITDA excluding stock-based compensation, changes in the fair market value of our warrants, and other one-time expenses, was $(2.2) million, compared to $(6.2) million.</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measure and should be considered only as supplemental to, and not as superior to, financial measures prepared in accordance with United States generally accepted accounting principles (“GAAP”). Please refer to the reconciliation of Adjusted EBITDA to its nearest GAAP measure in this release.</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and Outlook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performance in the quarter reflects the effectiveness of our strategic initiatives and the sustained market demand for our innovative energy storage solutions. Looking ahead to the third quarter, we anticipate net sales of $15.9 million, which represents an approximately 25</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year-over-year increase. Despite ongoing macroeconomic uncertainty, we believe Dragonfly remains well-positioned to deliver continued growth supported by deepening customer relationships, enhanced operational efficiency, and continued expansion into the heavy-duty trucking market” concluded Dr. Phares.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Q3 2025</w:t>
      </w:r>
      <w:r>
        <w:rPr>
          <w:rFonts w:ascii="Times New Roman;Times;Serif" w:hAnsi="Times New Roman;Times;Serif"/>
          <w:b/>
          <w:i w:val="false"/>
          <w:caps w:val="false"/>
          <w:smallCaps w:val="false"/>
          <w:sz w:val="20"/>
        </w:rPr>
        <w:t xml:space="preserve"> Guidance</w:t>
      </w:r>
    </w:p>
    <w:p>
      <w:pPr>
        <w:pStyle w:val="TextBody"/>
        <w:bidi w:val="0"/>
        <w:spacing w:before="0" w:after="0"/>
        <w:jc w:val="both"/>
        <w:rPr>
          <w:caps w:val="false"/>
          <w:smallCaps w:val="false"/>
        </w:rPr>
      </w:pPr>
      <w:r>
        <w:rPr>
          <w:caps w:val="false"/>
          <w:smallCaps w:val="false"/>
        </w:rPr>
        <w:t> </w:t>
      </w:r>
    </w:p>
    <w:tbl>
      <w:tblPr>
        <w:tblW w:w="4443" w:type="dxa"/>
        <w:jc w:val="left"/>
        <w:tblInd w:w="0" w:type="dxa"/>
        <w:tblLayout w:type="fixed"/>
        <w:tblCellMar>
          <w:top w:w="0" w:type="dxa"/>
          <w:left w:w="0" w:type="dxa"/>
          <w:bottom w:w="0" w:type="dxa"/>
          <w:right w:w="0" w:type="dxa"/>
        </w:tblCellMar>
      </w:tblPr>
      <w:tblGrid>
        <w:gridCol w:w="38"/>
        <w:gridCol w:w="170"/>
        <w:gridCol w:w="42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of approximately $15.9 million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of approximately $(2.7) million</w:t>
            </w:r>
            <w:r>
              <w:rPr>
                <w:rFonts w:ascii="Times New Roman;Times;Serif" w:hAnsi="Times New Roman;Times;Serif"/>
                <w:b/>
                <w:i w:val="false"/>
                <w:caps w:val="false"/>
                <w:smallCaps w:val="false"/>
                <w:sz w:val="20"/>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Company cannot reconcile its expected adjusted operating EBITDA under “Q3 2025 Guidance” without unreasonable effort because certain items that impact net (loss) income and other reconciling metrics are out of the Company’s control and/or cannot be reasonably predicted at this time. Actual results may vary from the guidance and the variations may be material.</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the Company believes is useful to investors and analysts because it illustrates the underlying financial and business trends relating to our core, recurring results of operations and enhances comparability between periods.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it should not be considered in isolation or as a substitute for analysis of net loss or other results as reported under GAAP. Some of these limitations are:</w:t>
      </w:r>
    </w:p>
    <w:p>
      <w:pPr>
        <w:pStyle w:val="TextBody"/>
        <w:shd w:fill="FFFFFF" w:val="clear"/>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cash expenditures, future requirements for capital expenditures, or contractual commitments;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the Company’s working capital needs;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tax expense or the cash requirements to pay taxes;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amortization and depreciation are non-cash charges, the assets being amortized and depreciated will often have to be replaced in the future and Adjusted EBITDA does not reflect any cash requirements for such replacements;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construed as an inference that the Company’s future results will be unaffected by unusual or non-recurring items for which the Company may adjust in historical periods;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the industry may calculate Adjusted EBITDA differently than the Company does, limiting its usefulness as a comparative measure.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Dragonfly Energy management team will host a conference call to discuss its second quarter 2025 financial and operational this afternoon, August 14, 2025, at 4:30PM Eastern Time. The call can be accessed live via webcast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through the Events and Presentations page within the Investor Relations section of Dragonfly Energy’s website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xml:space="preserve"> The call can also be accessed live via telephone by dialing (646) 564-2877, toll-free in North America (800) 549-8228, or for international callers +1 (289) 819-1520, and referencing conference ID: 61727. Please log in to the webcast or dial in to the call at least 10 minutes prior to the start of the event.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archive of the webcast will be available for a period of time shortly after the call on the Events and Presentations page on the Investor Relations section of Dragonfly Energy’s website, along with the earnings press release.</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 Energy</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Dragonfly Energy and its commitment to clean energy advancements, visit </w:t>
      </w:r>
      <w:r>
        <w:rPr>
          <w:rFonts w:ascii="Times New Roman;Times;Serif" w:hAnsi="Times New Roman;Times;Serif"/>
          <w:b w:val="false"/>
          <w:i w:val="false"/>
          <w:caps w:val="false"/>
          <w:smallCaps w:val="false"/>
          <w:sz w:val="20"/>
          <w:u w:val="single"/>
        </w:rPr>
        <w:t>https://investors.dragonflyenergy.com/.</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the third quarter of 2025,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2024 to be filed with the SEC and in the Company’s subsequent filings with the SEC available at </w:t>
      </w:r>
      <w:r>
        <w:rPr>
          <w:rFonts w:ascii="Times New Roman;Times;Serif" w:hAnsi="Times New Roman;Times;Serif"/>
          <w:b w:val="false"/>
          <w:i w:val="false"/>
          <w:caps w:val="false"/>
          <w:smallCaps w:val="false"/>
          <w:sz w:val="20"/>
          <w:u w:val="single"/>
        </w:rPr>
        <w:t>www.sec.gov.</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shd w:fill="FFFFFF" w:val="clear"/>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Tables</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80"/>
        <w:gridCol w:w="60"/>
        <w:gridCol w:w="166"/>
        <w:gridCol w:w="900"/>
        <w:gridCol w:w="95"/>
        <w:gridCol w:w="60"/>
        <w:gridCol w:w="207"/>
        <w:gridCol w:w="1124"/>
        <w:gridCol w:w="113"/>
      </w:tblGrid>
      <w:tr>
        <w:trPr/>
        <w:tc>
          <w:tcPr>
            <w:tcW w:w="7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5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 of</w:t>
            </w:r>
          </w:p>
        </w:tc>
        <w:tc>
          <w:tcPr>
            <w:tcW w:w="113" w:type="dxa"/>
            <w:tcBorders/>
            <w:vAlign w:val="center"/>
          </w:tcPr>
          <w:p>
            <w:pPr>
              <w:pStyle w:val="TableContents"/>
              <w:bidi w:val="0"/>
              <w:spacing w:before="0" w:after="283"/>
              <w:jc w:val="center"/>
              <w:rPr/>
            </w:pPr>
            <w:r>
              <w:rPr/>
              <w:t> </w:t>
            </w:r>
          </w:p>
        </w:tc>
      </w:tr>
      <w:tr>
        <w:trPr/>
        <w:tc>
          <w:tcPr>
            <w:tcW w:w="74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June 30, 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December 31, 2024</w:t>
            </w:r>
          </w:p>
        </w:tc>
        <w:tc>
          <w:tcPr>
            <w:tcW w:w="113" w:type="dxa"/>
            <w:tcBorders/>
            <w:vAlign w:val="center"/>
          </w:tcPr>
          <w:p>
            <w:pPr>
              <w:pStyle w:val="TableContents"/>
              <w:bidi w:val="0"/>
              <w:spacing w:before="0" w:after="283"/>
              <w:jc w:val="center"/>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4,849</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2,416</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21,716</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income tax</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Assets held for sale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32,925</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Property and Equipment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22,107</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right of use asset,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19,737</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Assets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71,774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75,214</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Current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10,716</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4,129</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tariffs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1,915</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settlement, current portion</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Uncertain tax position liability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current portion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2,926</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lease liability, current portion</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22,396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21,855</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Long-Term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 net of current portion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3,583</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Warrant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5,133</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settlement, net of current portion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 current portion, net of debt issuance costs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29,646</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22,588</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Long-Term Liabilities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64,737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62,763</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87,133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84,618</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Commitments and Contingencies (See Note 5)</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Series A Preferred stock</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rPr>
            </w:pPr>
            <w:r>
              <w:rPr>
                <w:rFonts w:ascii="Times New Roman;Times;Serif" w:hAnsi="Times New Roman;Times;Serif"/>
                <w:b w:val="false"/>
                <w:i w:val="false"/>
                <w:caps w:val="false"/>
                <w:smallCaps w:val="false"/>
              </w:rPr>
              <w:t>Preferred stock - Series A 5,000 shares at $0.0001 par value, authorized, 136 and 0 shares issued and outstanding as of June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Stockholders’ (Deficit) Equity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4,995,000 shares at $0.0001 par value, authorized, no shares issued and outstanding as of June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400,000,000 shares at $0.0001 par value, authorized, 37,426,379 and 7,232,650 shares issued and outstanding as of June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3" w:type="dxa"/>
            <w:tcBorders/>
            <w:shd w:fill="CCEEFF" w:val="clear"/>
            <w:vAlign w:val="center"/>
          </w:tcPr>
          <w:p>
            <w:pPr>
              <w:pStyle w:val="TableContents"/>
              <w:bidi w:val="0"/>
              <w:spacing w:before="0" w:after="283"/>
              <w:jc w:val="left"/>
              <w:rPr/>
            </w:pPr>
            <w:r>
              <w:rPr/>
              <w:t> </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 in capital</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1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72,749</w:t>
            </w:r>
          </w:p>
        </w:tc>
        <w:tc>
          <w:tcPr>
            <w:tcW w:w="113" w:type="dxa"/>
            <w:tcBorders/>
            <w:shd w:fill="FFFFFF" w:val="clear"/>
            <w:vAlign w:val="center"/>
          </w:tcPr>
          <w:p>
            <w:pPr>
              <w:pStyle w:val="TableContents"/>
              <w:bidi w:val="0"/>
              <w:spacing w:before="0" w:after="283"/>
              <w:jc w:val="left"/>
              <w:rPr/>
            </w:pPr>
            <w:r>
              <w:rPr/>
              <w:t> </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(95,985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(82,154</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748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Stockholders’ (Deficit)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(16,604</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(9,404</w:t>
            </w:r>
          </w:p>
        </w:tc>
        <w:tc>
          <w:tcPr>
            <w:tcW w:w="113"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748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Liabilities, Series A Preferred Stock and Stockholders’ Deficit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71,774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75,214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Interim Consolidated Statement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 in Thousands, except share and per share data)</w:t>
      </w:r>
    </w:p>
    <w:p>
      <w:pPr>
        <w:pStyle w:val="TextBody"/>
        <w:bidi w:val="0"/>
        <w:spacing w:before="0" w:after="0"/>
        <w:jc w:val="center"/>
        <w:rPr>
          <w:caps w:val="false"/>
          <w:smallCaps w:val="false"/>
        </w:rPr>
      </w:pPr>
      <w:r>
        <w:rPr>
          <w:caps w:val="false"/>
          <w:smallCaps w:val="false"/>
        </w:rPr>
        <w:t> </w:t>
      </w:r>
    </w:p>
    <w:tbl>
      <w:tblPr>
        <w:tblW w:w="7955" w:type="dxa"/>
        <w:jc w:val="left"/>
        <w:tblInd w:w="0" w:type="dxa"/>
        <w:tblLayout w:type="fixed"/>
        <w:tblCellMar>
          <w:top w:w="0" w:type="dxa"/>
          <w:left w:w="0" w:type="dxa"/>
          <w:bottom w:w="0" w:type="dxa"/>
          <w:right w:w="0" w:type="dxa"/>
        </w:tblCellMar>
      </w:tblPr>
      <w:tblGrid>
        <w:gridCol w:w="5270"/>
        <w:gridCol w:w="60"/>
        <w:gridCol w:w="140"/>
        <w:gridCol w:w="1100"/>
        <w:gridCol w:w="95"/>
        <w:gridCol w:w="60"/>
        <w:gridCol w:w="140"/>
        <w:gridCol w:w="980"/>
        <w:gridCol w:w="110"/>
      </w:tblGrid>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Sales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13,208</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Cost of Goods Sold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10,041</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3,167</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1,531</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5,704</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Selling and marketing</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2,681</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9,916</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Total 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(3,753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(6,878</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 Before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Income Tax (Benefit)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Per Share- Basic &amp;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(0.58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Shares- Basic &amp;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12,188,071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6,741,537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in thousands)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(13,831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(23,994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debt discount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2,428</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(5,507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interest expense (paid-in-kind)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4,582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right of 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(1,246</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10,125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tariffs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settlement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16,583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(7,865</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(7,411</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(1,324</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(1,621</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(1,324</w:t>
            </w:r>
          </w:p>
        </w:tc>
        <w:tc>
          <w:tcPr>
            <w:tcW w:w="11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public offering (ATM),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 of public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preferred stock offering, net of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Repayment of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exercise of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Financing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721</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(8,014</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 -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Cash and cash equivalents -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2,733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4,699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Non-Cash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property and equipment, not yet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right of use asset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18,653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leasehold improvements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Conversion of preferred stock to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Recognition of warrant liability - Investor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4,796</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Settlement of accrued liability for employee stock purchase plan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Reclassification of assets held for sale to machinery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Measures (Unaudited)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reconciliations of EBITDA and Adjusted EBITDA to the most directly comparable GAAP financial measure for each of the periods indicated.</w:t>
      </w:r>
    </w:p>
    <w:p>
      <w:pPr>
        <w:pStyle w:val="TextBody"/>
        <w:bidi w:val="0"/>
        <w:spacing w:before="0" w:after="0"/>
        <w:jc w:val="left"/>
        <w:rPr>
          <w:caps w:val="false"/>
          <w:smallCaps w:val="false"/>
        </w:rPr>
      </w:pPr>
      <w:r>
        <w:rPr>
          <w:caps w:val="false"/>
          <w:smallCaps w:val="false"/>
        </w:rPr>
        <w:t> </w:t>
      </w:r>
    </w:p>
    <w:tbl>
      <w:tblPr>
        <w:tblW w:w="6837" w:type="dxa"/>
        <w:jc w:val="left"/>
        <w:tblInd w:w="0" w:type="dxa"/>
        <w:tblLayout w:type="fixed"/>
        <w:tblCellMar>
          <w:top w:w="0" w:type="dxa"/>
          <w:left w:w="0" w:type="dxa"/>
          <w:bottom w:w="0" w:type="dxa"/>
          <w:right w:w="0" w:type="dxa"/>
        </w:tblCellMar>
      </w:tblPr>
      <w:tblGrid>
        <w:gridCol w:w="4460"/>
        <w:gridCol w:w="60"/>
        <w:gridCol w:w="169"/>
        <w:gridCol w:w="768"/>
        <w:gridCol w:w="115"/>
        <w:gridCol w:w="72"/>
        <w:gridCol w:w="169"/>
        <w:gridCol w:w="914"/>
        <w:gridCol w:w="110"/>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3"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r>
          </w:p>
        </w:tc>
        <w:tc>
          <w:tcPr>
            <w:tcW w:w="11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5"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 Calculation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 Income Before Taxes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(7,034</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(13,627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Expense</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5,442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4,878</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EBITDA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(1,101</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(8,418</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EBITDA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Stock - Based Compensation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237</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Financing expenses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Prior year tariff estimate adjustment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w:t>
            </w:r>
          </w:p>
        </w:tc>
        <w:tc>
          <w:tcPr>
            <w:tcW w:w="115"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Litigation Fees and loss on Settlement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115"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(1,689</w:t>
            </w:r>
          </w:p>
        </w:tc>
        <w:tc>
          <w:tcPr>
            <w:tcW w:w="1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1,981</w:t>
            </w:r>
          </w:p>
        </w:tc>
        <w:tc>
          <w:tcPr>
            <w:tcW w:w="110" w:type="dxa"/>
            <w:tcBorders/>
            <w:shd w:fill="FFFFFF" w:val="cle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(2,241</w:t>
            </w:r>
          </w:p>
        </w:tc>
        <w:tc>
          <w:tcPr>
            <w:tcW w:w="1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(6,200</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Prouty</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Szymon Serowiecki</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AdvisIRy Partners</w:t>
      </w:r>
    </w:p>
    <w:p>
      <w:pPr>
        <w:pStyle w:val="TextBody"/>
        <w:bidi w:val="0"/>
        <w:spacing w:before="0" w:after="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DragonflyIR@advisiry.com</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3670</Words>
  <Characters>20664</Characters>
  <CharactersWithSpaces>24796</CharactersWithSpaces>
  <Paragraphs>1754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