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both"/>
        <w:ind w:left="6220" w:hanging="1570"/>
        <w:spacing w:after="0" w:line="25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b w:val="1"/>
          <w:bCs w:val="1"/>
          <w:color w:val="auto"/>
        </w:rPr>
        <w:t>Filed by Chardan NexTech Acquisition 2 Corp. pursuant to Rule 425 under the Securities Act of 1933 and deemed filed pursuant to Rule 14a-12 under the Securities Exchange Act of 1934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Subject Company: Chardan NexTech Acquisition 2 Corp.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Commission File No.: 001-40730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-705485</wp:posOffset>
            </wp:positionH>
            <wp:positionV relativeFrom="paragraph">
              <wp:posOffset>5327650</wp:posOffset>
            </wp:positionV>
            <wp:extent cx="7132320" cy="8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467995</wp:posOffset>
            </wp:positionH>
            <wp:positionV relativeFrom="paragraph">
              <wp:posOffset>149860</wp:posOffset>
            </wp:positionV>
            <wp:extent cx="4826000" cy="469773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6000" cy="46977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0" w:num="1">
        <w:col w:w="10120"/>
      </w:cols>
      <w:pgMar w:left="1440" w:top="459" w:right="3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2022-05-17T05:17:32Z</dcterms:created>
  <dcterms:modified xsi:type="dcterms:W3CDTF">2022-05-17T05:17:32Z</dcterms:modified>
</cp:coreProperties>
</file>