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6,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20"/>
                <w:szCs w:val="20"/>
                <w:color w:val="auto"/>
              </w:rPr>
            </w:pPr>
          </w:p>
        </w:tc>
        <w:tc>
          <w:tcPr>
            <w:tcW w:w="380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1190 Trademark Drive #108</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Redeemable warrants, exercisable for common stock</w:t>
            </w:r>
          </w:p>
        </w:tc>
        <w:tc>
          <w:tcPr>
            <w:tcW w:w="2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efforts to reduce expenses by Dragonfly Energy Holdings Corp. (the “Company”), the Board of Directors of the Company (the “Board”) approved reducing the size of the Board, and in connection therewith, on May 6, 2025 and May 7, 2025, respectively, each of Dr. Karina Montilla Edmonds and Mr. Jonathan Bellows resigned as a member of the Board, effective immediately. Each of Dr. Edmonds’ and Mr. Bellows’ decision to resign was not the result of any disagreement with the Company, its management, the Board or any committee of the Board. As a result of the resignations, the Board was reduced to five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May 8, 2025</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540" w:type="dxa"/>
            <w:vAlign w:val="bottom"/>
          </w:tcPr>
          <w:p>
            <w:pPr>
              <w:spacing w:after="0"/>
              <w:rPr>
                <w:sz w:val="18"/>
                <w:szCs w:val="18"/>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2025-05-08T16:00:42Z</dcterms:created>
  <dcterms:modified xsi:type="dcterms:W3CDTF">2025-05-08T16:00:42Z</dcterms:modified>
</cp:coreProperties>
</file>