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t>Filed by Chardan NexTech Acquisition 2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3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Chardan NexTech Acquisition 2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280035</wp:posOffset>
            </wp:positionV>
            <wp:extent cx="1337310" cy="900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31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EMAIL SUBJECT: </w:t>
      </w:r>
      <w:r>
        <w:rPr>
          <w:rFonts w:ascii="Arial" w:cs="Arial" w:eastAsia="Arial" w:hAnsi="Arial"/>
          <w:sz w:val="18"/>
          <w:szCs w:val="18"/>
          <w:color w:val="auto"/>
        </w:rPr>
        <w:t>Dragonfly Energy to Become Publicly Traded Company on the Nasdaq Stock Exchange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Dear Colleagues,</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Today, I am thrilled to announce a significant milestone for Dragonfly Energy. We plan to become a public company and list our stock on the Nasdaq Stock Exchange. This milestone is similar to an initial public offering (IPO), accomplished through a business combination with a special purpose acquisition company (SPAC), Chardan NexTech Acquisition 2 Corp. (Nasdaq: CNTQ). Bloomberg covered this news a short while ago. In addition, we issued a news release this morning at 7:00 AM ET to officially announce this transaction.</w:t>
      </w:r>
    </w:p>
    <w:p>
      <w:pPr>
        <w:spacing w:after="0" w:line="187"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Because Chardan NexTech Acquisition 2 Corp. is already publicly traded, Dragonfly will become a public company. Once the de-SPAC process is complete, we expect Dragonfly to trade on Nasdaq under the ticker symbol “DFLI.” We expect to complete the transaction sometime in the second half of 2022. We will continue to operate under the Dragonfly name and there will be no meaningful changes to the team or how we operate day to day. It’s business as usual at Dragonfly.</w:t>
      </w:r>
    </w:p>
    <w:p>
      <w:pPr>
        <w:spacing w:after="0" w:line="187"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Attaining this milestone has been a team effort, and this event will help us accelerate our growth by deepening relationships with our customers, entering new markets which are still dominated by lead-acid batteries, and helping to bring our new revolutionary All-Solid-State-Batteries (‘ASSB’) technology from development to full production. As a public company, we will be even better positioned to meet the needs of our customers and partners for energy storage solutions that replace lead-acid batteries. We are excited to kick off the next chapter in our journey.</w:t>
      </w:r>
    </w:p>
    <w:p>
      <w:pPr>
        <w:spacing w:after="0" w:line="171" w:lineRule="exact"/>
        <w:rPr>
          <w:sz w:val="24"/>
          <w:szCs w:val="24"/>
          <w:color w:val="auto"/>
        </w:rPr>
      </w:pPr>
    </w:p>
    <w:p>
      <w:pPr>
        <w:jc w:val="both"/>
        <w:spacing w:after="0" w:line="275" w:lineRule="auto"/>
        <w:rPr>
          <w:sz w:val="20"/>
          <w:szCs w:val="20"/>
          <w:color w:val="auto"/>
        </w:rPr>
      </w:pPr>
      <w:r>
        <w:rPr>
          <w:rFonts w:ascii="Arial" w:cs="Arial" w:eastAsia="Arial" w:hAnsi="Arial"/>
          <w:sz w:val="17"/>
          <w:szCs w:val="17"/>
          <w:color w:val="auto"/>
        </w:rPr>
        <w:t>However, as we enter this new chapter, there are some rules we must all follow. The U.S. Securities and Exchange Commission (SEC) has strict guidelines governing external communications. To avoid delays or any other repercussions the SEC might impose if we do not adhere to these rules, we must avoid speaking publicly about this process and our business metrics and financials. Accordingly, we ask that you refrain from making statements about our company or our performance in open forums (e.g., online, to friends, on Facebook, Twitter, LinkedIn, via email, to existing or prospective customers, etc.). Please see the attached guidelines for posting on social media about this event.</w:t>
      </w:r>
    </w:p>
    <w:p>
      <w:pPr>
        <w:spacing w:after="0" w:line="172" w:lineRule="exact"/>
        <w:rPr>
          <w:sz w:val="24"/>
          <w:szCs w:val="24"/>
          <w:color w:val="auto"/>
        </w:rPr>
      </w:pPr>
    </w:p>
    <w:p>
      <w:pPr>
        <w:jc w:val="both"/>
        <w:spacing w:after="0" w:line="266" w:lineRule="auto"/>
        <w:rPr>
          <w:sz w:val="20"/>
          <w:szCs w:val="20"/>
          <w:color w:val="auto"/>
        </w:rPr>
      </w:pPr>
      <w:r>
        <w:rPr>
          <w:rFonts w:ascii="Arial" w:cs="Arial" w:eastAsia="Arial" w:hAnsi="Arial"/>
          <w:sz w:val="18"/>
          <w:szCs w:val="18"/>
          <w:color w:val="auto"/>
        </w:rPr>
        <w:t xml:space="preserve">Should you receive any questions about the transaction from press </w:t>
      </w:r>
      <w:r>
        <w:rPr>
          <w:rFonts w:ascii="Arial" w:cs="Arial" w:eastAsia="Arial" w:hAnsi="Arial"/>
          <w:sz w:val="18"/>
          <w:szCs w:val="18"/>
          <w:b w:val="1"/>
          <w:bCs w:val="1"/>
          <w:color w:val="auto"/>
        </w:rPr>
        <w:t>or any other external parties</w:t>
      </w:r>
      <w:r>
        <w:rPr>
          <w:rFonts w:ascii="Arial" w:cs="Arial" w:eastAsia="Arial" w:hAnsi="Arial"/>
          <w:sz w:val="18"/>
          <w:szCs w:val="18"/>
          <w:color w:val="auto"/>
        </w:rPr>
        <w:t xml:space="preserve">, please forward the details to </w:t>
      </w:r>
      <w:r>
        <w:rPr>
          <w:rFonts w:ascii="Arial" w:cs="Arial" w:eastAsia="Arial" w:hAnsi="Arial"/>
          <w:sz w:val="18"/>
          <w:szCs w:val="18"/>
          <w:u w:val="single" w:color="auto"/>
          <w:color w:val="auto"/>
        </w:rPr>
        <w:t>Dragonfly@icrinc.com</w:t>
      </w:r>
      <w:r>
        <w:rPr>
          <w:rFonts w:ascii="Arial" w:cs="Arial" w:eastAsia="Arial" w:hAnsi="Arial"/>
          <w:sz w:val="18"/>
          <w:szCs w:val="18"/>
          <w:color w:val="auto"/>
        </w:rPr>
        <w:t xml:space="preserve"> who can help handle outside requests appropriately during this sensitive time. Understanding that communications are highly regulated through this process, please know that we will continue to share updates with you as we have more to report.</w:t>
      </w:r>
    </w:p>
    <w:p>
      <w:pPr>
        <w:spacing w:after="0" w:line="18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It is an exciting time for all of us at Dragonfly and we want to thank you all for your continued hard work and dedication. I look forward to keeping you apprised of our progress throughout this process.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Dr. Denis Phares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Founder &amp; CEO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Dragonfly Energy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3122930</wp:posOffset>
            </wp:positionH>
            <wp:positionV relativeFrom="page">
              <wp:posOffset>586105</wp:posOffset>
            </wp:positionV>
            <wp:extent cx="1337310" cy="900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3731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This communication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communication,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Dragonfly,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its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CNTQ’s Form S-1 (File Nos. 333-252449 and 333-253016), Annual Report on Form 10-K for the year ended December 31, 2021 and registration statement on Form S-4 with the SEC, which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communication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which will be provided in a Current Report on Form 8-K to be filed by CNTQ with the SEC and available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586105</wp:posOffset>
            </wp:positionV>
            <wp:extent cx="1337310" cy="900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31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communication relates to a proposed transaction between CNTQ and Dragonfly. CNTQ intends to file a registration statement on Form S-4 with the SEC, which will include a document that serves as a prospectus and proxy statement of CNTQ, referred to as a proxy statement/prospectus. A proxy statement/prospectus will be sent to all CNTQ stockholders. CNTQ also will file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Investors and security holders will be able to obtain free copies of the registration statement, the proxy statement/prospectus and all other relevant documents filed or that will be filed with the SEC by CNTQ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documents filed by CNTQ with the SEC also may be obtained by contacting Chardan NexTech Acquisition 2 Corp. at 17 State Street, 21st Floor, New York, New York 10004, or by calling (646) 465-9001.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THE SEC NOR ANY STATE SECURITIES REGULATORY AGENCY HAS APPROVED OR DISAPPROVED THE TRANSACTIONS DESCRIBED IN THIS COMMUNICATION, PASSED UPON THE MERITS OR FAIRNESS OF THE BUSINESS COMBINATION OR RELATED TRANSACTIONS OR PASSED UPON THE ADEQUACY OR ACCURACY OF THE DISCLOSURE IN THIS COMMUNICATION. ANY REPRESENTATION TO THE CONTRARY CONSTITUTES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will be contained in the proxy statement/prospectus when available.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586105</wp:posOffset>
            </wp:positionV>
            <wp:extent cx="1337310" cy="900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3731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communication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2022-05-16T16:15:57Z</dcterms:created>
  <dcterms:modified xsi:type="dcterms:W3CDTF">2022-05-16T16:15:57Z</dcterms:modified>
</cp:coreProperties>
</file>