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UNDER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25" w:lineRule="exact"/>
        <w:rPr>
          <w:sz w:val="24"/>
          <w:szCs w:val="24"/>
          <w:color w:val="auto"/>
        </w:rPr>
      </w:pPr>
    </w:p>
    <w:p>
      <w:pPr>
        <w:ind w:left="4360" w:right="1860" w:hanging="4352"/>
        <w:spacing w:after="0" w:line="500" w:lineRule="auto"/>
        <w:tabs>
          <w:tab w:leader="none" w:pos="208"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001-40730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DRAGONFLY ENERGY HOLDINGS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768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0"/>
              </w:rPr>
              <w:t>Nevada</w:t>
            </w:r>
          </w:p>
        </w:tc>
        <w:tc>
          <w:tcPr>
            <w:tcW w:w="3560" w:type="dxa"/>
            <w:vAlign w:val="bottom"/>
          </w:tcPr>
          <w:p>
            <w:pPr>
              <w:jc w:val="right"/>
              <w:ind w:right="2230"/>
              <w:spacing w:after="0"/>
              <w:rPr>
                <w:sz w:val="20"/>
                <w:szCs w:val="20"/>
                <w:color w:val="auto"/>
              </w:rPr>
            </w:pPr>
            <w:r>
              <w:rPr>
                <w:rFonts w:ascii="Arial" w:cs="Arial" w:eastAsia="Arial" w:hAnsi="Arial"/>
                <w:sz w:val="18"/>
                <w:szCs w:val="18"/>
                <w:b w:val="1"/>
                <w:bCs w:val="1"/>
                <w:color w:val="auto"/>
              </w:rPr>
              <w:t>85-1873463</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ind w:left="24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7680" w:type="dxa"/>
            <w:vAlign w:val="bottom"/>
            <w:gridSpan w:val="3"/>
          </w:tcPr>
          <w:p>
            <w:pPr>
              <w:jc w:val="center"/>
              <w:ind w:right="2160"/>
              <w:spacing w:after="0"/>
              <w:rPr>
                <w:sz w:val="20"/>
                <w:szCs w:val="20"/>
                <w:color w:val="auto"/>
              </w:rPr>
            </w:pPr>
            <w:r>
              <w:rPr>
                <w:rFonts w:ascii="Arial" w:cs="Arial" w:eastAsia="Arial" w:hAnsi="Arial"/>
                <w:sz w:val="18"/>
                <w:szCs w:val="18"/>
                <w:color w:val="auto"/>
                <w:w w:val="92"/>
              </w:rPr>
              <w:t>incorporation or organization)</w:t>
            </w:r>
          </w:p>
        </w:tc>
        <w:tc>
          <w:tcPr>
            <w:tcW w:w="356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680" w:type="dxa"/>
            <w:vAlign w:val="bottom"/>
            <w:gridSpan w:val="3"/>
          </w:tcPr>
          <w:p>
            <w:pPr>
              <w:jc w:val="center"/>
              <w:ind w:right="2200"/>
              <w:spacing w:after="0"/>
              <w:rPr>
                <w:sz w:val="20"/>
                <w:szCs w:val="20"/>
                <w:color w:val="auto"/>
              </w:rPr>
            </w:pPr>
            <w:r>
              <w:rPr>
                <w:rFonts w:ascii="Arial" w:cs="Arial" w:eastAsia="Arial" w:hAnsi="Arial"/>
                <w:sz w:val="18"/>
                <w:szCs w:val="18"/>
                <w:b w:val="1"/>
                <w:bCs w:val="1"/>
                <w:color w:val="auto"/>
                <w:w w:val="93"/>
              </w:rPr>
              <w:t>1190 Trademark Drive #108</w:t>
            </w:r>
          </w:p>
        </w:tc>
        <w:tc>
          <w:tcPr>
            <w:tcW w:w="3560" w:type="dxa"/>
            <w:vAlign w:val="bottom"/>
          </w:tcPr>
          <w:p>
            <w:pPr>
              <w:spacing w:after="0"/>
              <w:rPr>
                <w:sz w:val="24"/>
                <w:szCs w:val="24"/>
                <w:color w:val="auto"/>
              </w:rPr>
            </w:pPr>
          </w:p>
        </w:tc>
      </w:tr>
      <w:tr>
        <w:trPr>
          <w:trHeight w:val="241"/>
        </w:trPr>
        <w:tc>
          <w:tcPr>
            <w:tcW w:w="7680" w:type="dxa"/>
            <w:vAlign w:val="bottom"/>
            <w:gridSpan w:val="3"/>
          </w:tcPr>
          <w:p>
            <w:pPr>
              <w:jc w:val="center"/>
              <w:ind w:right="2160"/>
              <w:spacing w:after="0"/>
              <w:rPr>
                <w:sz w:val="20"/>
                <w:szCs w:val="20"/>
                <w:color w:val="auto"/>
              </w:rPr>
            </w:pPr>
            <w:r>
              <w:rPr>
                <w:rFonts w:ascii="Arial" w:cs="Arial" w:eastAsia="Arial" w:hAnsi="Arial"/>
                <w:sz w:val="18"/>
                <w:szCs w:val="18"/>
                <w:b w:val="1"/>
                <w:bCs w:val="1"/>
                <w:color w:val="auto"/>
                <w:w w:val="90"/>
              </w:rPr>
              <w:t>Reno, Nevada</w:t>
            </w:r>
          </w:p>
        </w:tc>
        <w:tc>
          <w:tcPr>
            <w:tcW w:w="3560" w:type="dxa"/>
            <w:vAlign w:val="bottom"/>
          </w:tcPr>
          <w:p>
            <w:pPr>
              <w:jc w:val="right"/>
              <w:ind w:right="2430"/>
              <w:spacing w:after="0"/>
              <w:rPr>
                <w:sz w:val="20"/>
                <w:szCs w:val="20"/>
                <w:color w:val="auto"/>
              </w:rPr>
            </w:pPr>
            <w:r>
              <w:rPr>
                <w:rFonts w:ascii="Arial" w:cs="Arial" w:eastAsia="Arial" w:hAnsi="Arial"/>
                <w:sz w:val="18"/>
                <w:szCs w:val="18"/>
                <w:b w:val="1"/>
                <w:bCs w:val="1"/>
                <w:color w:val="auto"/>
              </w:rPr>
              <w:t>89521</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3560" w:type="dxa"/>
            <w:vAlign w:val="bottom"/>
            <w:tcBorders>
              <w:top w:val="single" w:sz="8" w:color="auto"/>
            </w:tcBorders>
          </w:tcPr>
          <w:p>
            <w:pPr>
              <w:jc w:val="center"/>
              <w:ind w:right="1830"/>
              <w:spacing w:after="0"/>
              <w:rPr>
                <w:sz w:val="20"/>
                <w:szCs w:val="20"/>
                <w:color w:val="auto"/>
              </w:rPr>
            </w:pPr>
            <w:r>
              <w:rPr>
                <w:rFonts w:ascii="Arial" w:cs="Arial" w:eastAsia="Arial" w:hAnsi="Arial"/>
                <w:sz w:val="18"/>
                <w:szCs w:val="18"/>
                <w:color w:val="auto"/>
                <w:w w:val="94"/>
              </w:rPr>
              <w:t>(Zip Code)</w:t>
            </w:r>
          </w:p>
        </w:tc>
      </w:tr>
      <w:tr>
        <w:trPr>
          <w:trHeight w:val="403"/>
        </w:trPr>
        <w:tc>
          <w:tcPr>
            <w:tcW w:w="7680" w:type="dxa"/>
            <w:vAlign w:val="bottom"/>
            <w:gridSpan w:val="3"/>
          </w:tcPr>
          <w:p>
            <w:pPr>
              <w:jc w:val="right"/>
              <w:ind w:right="1500"/>
              <w:spacing w:after="0"/>
              <w:rPr>
                <w:sz w:val="20"/>
                <w:szCs w:val="20"/>
                <w:color w:val="auto"/>
              </w:rPr>
            </w:pPr>
            <w:r>
              <w:rPr>
                <w:rFonts w:ascii="Arial" w:cs="Arial" w:eastAsia="Arial" w:hAnsi="Arial"/>
                <w:sz w:val="18"/>
                <w:szCs w:val="18"/>
                <w:b w:val="1"/>
                <w:bCs w:val="1"/>
                <w:color w:val="auto"/>
              </w:rPr>
              <w:t>(775) 622-3448</w:t>
            </w:r>
          </w:p>
        </w:tc>
        <w:tc>
          <w:tcPr>
            <w:tcW w:w="3560" w:type="dxa"/>
            <w:vAlign w:val="bottom"/>
          </w:tcPr>
          <w:p>
            <w:pPr>
              <w:spacing w:after="0"/>
              <w:rPr>
                <w:sz w:val="24"/>
                <w:szCs w:val="24"/>
                <w:color w:val="auto"/>
              </w:rPr>
            </w:pPr>
          </w:p>
        </w:tc>
      </w:tr>
      <w:tr>
        <w:trPr>
          <w:trHeight w:val="230"/>
        </w:trPr>
        <w:tc>
          <w:tcPr>
            <w:tcW w:w="7680" w:type="dxa"/>
            <w:vAlign w:val="bottom"/>
            <w:gridSpan w:val="3"/>
          </w:tcPr>
          <w:p>
            <w:pPr>
              <w:jc w:val="center"/>
              <w:ind w:left="3470"/>
              <w:spacing w:after="0"/>
              <w:rPr>
                <w:sz w:val="20"/>
                <w:szCs w:val="20"/>
                <w:color w:val="auto"/>
              </w:rPr>
            </w:pPr>
            <w:r>
              <w:rPr>
                <w:rFonts w:ascii="Arial" w:cs="Arial" w:eastAsia="Arial" w:hAnsi="Arial"/>
                <w:sz w:val="18"/>
                <w:szCs w:val="18"/>
                <w:color w:val="auto"/>
                <w:w w:val="89"/>
              </w:rPr>
              <w:t>(Registrant’s telephone number, including area code)</w:t>
            </w:r>
          </w:p>
        </w:tc>
        <w:tc>
          <w:tcPr>
            <w:tcW w:w="35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4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par value $0.0001 per share</w:t>
            </w:r>
          </w:p>
        </w:tc>
        <w:tc>
          <w:tcPr>
            <w:tcW w:w="240" w:type="dxa"/>
            <w:vAlign w:val="bottom"/>
          </w:tcPr>
          <w:p>
            <w:pPr>
              <w:spacing w:after="0"/>
              <w:rPr>
                <w:sz w:val="17"/>
                <w:szCs w:val="17"/>
                <w:color w:val="auto"/>
              </w:rPr>
            </w:pPr>
          </w:p>
        </w:tc>
        <w:tc>
          <w:tcPr>
            <w:tcW w:w="2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rPr>
              <w:t>DFLI</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The Nasdaq Global Market</w:t>
            </w:r>
          </w:p>
        </w:tc>
      </w:tr>
      <w:tr>
        <w:trPr>
          <w:trHeight w:val="216"/>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Redeemable Warrants, exercisable for common stock at an</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rPr>
              <w:t>DFLIW</w:t>
            </w:r>
          </w:p>
        </w:tc>
        <w:tc>
          <w:tcPr>
            <w:tcW w:w="4480" w:type="dxa"/>
            <w:vAlign w:val="bottom"/>
          </w:tcPr>
          <w:p>
            <w:pPr>
              <w:jc w:val="center"/>
              <w:spacing w:after="0"/>
              <w:rPr>
                <w:sz w:val="20"/>
                <w:szCs w:val="20"/>
                <w:color w:val="auto"/>
              </w:rPr>
            </w:pPr>
            <w:r>
              <w:rPr>
                <w:rFonts w:ascii="Arial" w:cs="Arial" w:eastAsia="Arial" w:hAnsi="Arial"/>
                <w:sz w:val="18"/>
                <w:szCs w:val="18"/>
                <w:color w:val="auto"/>
                <w:w w:val="91"/>
              </w:rPr>
              <w:t>The Nasdaq Capital Market</w:t>
            </w:r>
          </w:p>
        </w:tc>
      </w:tr>
      <w:tr>
        <w:trPr>
          <w:trHeight w:val="230"/>
        </w:trPr>
        <w:tc>
          <w:tcPr>
            <w:tcW w:w="4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exercise price of $11.50 per share, subject to adjustment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6" w:right="339" w:bottom="752" w:gutter="0" w:footer="0" w:header="0"/>
        </w:sectPr>
      </w:pPr>
    </w:p>
    <w:p>
      <w:pPr>
        <w:spacing w:after="0" w:line="139" w:lineRule="exact"/>
        <w:rPr>
          <w:sz w:val="24"/>
          <w:szCs w:val="24"/>
          <w:color w:val="auto"/>
        </w:rPr>
      </w:pPr>
    </w:p>
    <w:p>
      <w:pPr>
        <w:ind w:left="14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93" w:lineRule="exact"/>
        <w:rPr>
          <w:sz w:val="24"/>
          <w:szCs w:val="24"/>
          <w:color w:val="auto"/>
        </w:rPr>
      </w:pPr>
    </w:p>
    <w:p>
      <w:pPr>
        <w:ind w:left="142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620"/>
          </w:cols>
          <w:pgMar w:left="320" w:top="746" w:right="339" w:bottom="752" w:gutter="0" w:footer="0" w:header="0"/>
          <w:type w:val="continuous"/>
        </w:sectPr>
      </w:pPr>
    </w:p>
    <w:p>
      <w:pPr>
        <w:spacing w:after="0" w:line="32"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7"/>
          <w:szCs w:val="17"/>
          <w:color w:val="auto"/>
        </w:rPr>
        <w:t>As of August 16, 2023, there were 58,780,316 shares of the registrant’s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75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0"/>
              </w:rPr>
              <w:t>Page No.</w:t>
            </w:r>
          </w:p>
        </w:tc>
      </w:tr>
      <w:tr>
        <w:trPr>
          <w:trHeight w:val="183"/>
        </w:trPr>
        <w:tc>
          <w:tcPr>
            <w:tcW w:w="3080" w:type="dxa"/>
            <w:vAlign w:val="bottom"/>
            <w:tcBorders>
              <w:bottom w:val="single" w:sz="8" w:color="0000EE"/>
            </w:tcBorders>
            <w:gridSpan w:val="9"/>
            <w:shd w:val="clear" w:color="auto" w:fill="CCEEFF"/>
          </w:tcPr>
          <w:p>
            <w:pPr>
              <w:spacing w:after="0" w:line="162" w:lineRule="exact"/>
              <w:rPr>
                <w:sz w:val="20"/>
                <w:szCs w:val="20"/>
                <w:color w:val="auto"/>
              </w:rPr>
            </w:pPr>
            <w:r>
              <w:rPr>
                <w:rFonts w:ascii="Arial" w:cs="Arial" w:eastAsia="Arial" w:hAnsi="Arial"/>
                <w:sz w:val="18"/>
                <w:szCs w:val="18"/>
                <w:b w:val="1"/>
                <w:bCs w:val="1"/>
                <w:color w:val="0000EE"/>
              </w:rPr>
              <w:t>PART I. FINANCIAL INFORMATION</w:t>
            </w:r>
          </w:p>
        </w:tc>
        <w:tc>
          <w:tcPr>
            <w:tcW w:w="7400" w:type="dxa"/>
            <w:vAlign w:val="bottom"/>
            <w:tcBorders>
              <w:bottom w:val="single" w:sz="8" w:color="CCEEFF"/>
            </w:tcBorders>
            <w:gridSpan w:val="11"/>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176"/>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640" w:type="dxa"/>
            <w:vAlign w:val="bottom"/>
            <w:gridSpan w:val="18"/>
          </w:tcPr>
          <w:p>
            <w:pPr>
              <w:spacing w:after="0" w:line="176" w:lineRule="exact"/>
              <w:rPr>
                <w:sz w:val="20"/>
                <w:szCs w:val="20"/>
                <w:color w:val="auto"/>
              </w:rPr>
            </w:pPr>
            <w:r>
              <w:rPr>
                <w:rFonts w:ascii="Arial" w:cs="Arial" w:eastAsia="Arial" w:hAnsi="Arial"/>
                <w:sz w:val="18"/>
                <w:szCs w:val="18"/>
                <w:color w:val="0000EE"/>
              </w:rPr>
              <w:t>Financial Statements (Unaudited)</w:t>
            </w:r>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Balance Sheets as of June 30, 2023 and December 31, 2022</w:t>
            </w:r>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40" w:type="dxa"/>
            <w:vAlign w:val="bottom"/>
            <w:gridSpan w:val="18"/>
          </w:tcPr>
          <w:p>
            <w:pPr>
              <w:spacing w:after="0" w:line="176" w:lineRule="exact"/>
              <w:rPr>
                <w:sz w:val="20"/>
                <w:szCs w:val="20"/>
                <w:color w:val="auto"/>
              </w:rPr>
            </w:pPr>
            <w:r>
              <w:rPr>
                <w:rFonts w:ascii="Arial" w:cs="Arial" w:eastAsia="Arial" w:hAnsi="Arial"/>
                <w:sz w:val="18"/>
                <w:szCs w:val="18"/>
                <w:color w:val="0000EE"/>
              </w:rPr>
              <w:t>Condensed Consolidated Statements of Operations for the three and six months ended June 30, 2023 and 2022</w:t>
            </w:r>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w w:val="99"/>
              </w:rPr>
              <w:t>Condensed Consolidated Statements of Shareholders’ Equity for the three and six months ended June 30, 2023 and 2022</w:t>
            </w:r>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176"/>
        </w:trPr>
        <w:tc>
          <w:tcPr>
            <w:tcW w:w="7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680" w:type="dxa"/>
            <w:vAlign w:val="bottom"/>
            <w:tcBorders>
              <w:top w:val="single" w:sz="8" w:color="0000EE"/>
            </w:tcBorders>
            <w:gridSpan w:val="17"/>
          </w:tcPr>
          <w:p>
            <w:pPr>
              <w:spacing w:after="0" w:line="176" w:lineRule="exact"/>
              <w:rPr>
                <w:sz w:val="20"/>
                <w:szCs w:val="20"/>
                <w:color w:val="auto"/>
              </w:rPr>
            </w:pPr>
            <w:r>
              <w:rPr>
                <w:rFonts w:ascii="Arial" w:cs="Arial" w:eastAsia="Arial" w:hAnsi="Arial"/>
                <w:sz w:val="18"/>
                <w:szCs w:val="18"/>
                <w:color w:val="0000EE"/>
              </w:rPr>
              <w:t>Condensed Consolidated Statements of Cash Flows for the six months ended June 30, 2023 and 2022</w:t>
            </w:r>
          </w:p>
        </w:tc>
        <w:tc>
          <w:tcPr>
            <w:tcW w:w="96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88"/>
              </w:rPr>
              <w:t>Notes to Condensed Consolidated Financial Statements</w:t>
            </w:r>
          </w:p>
        </w:tc>
        <w:tc>
          <w:tcPr>
            <w:tcW w:w="5640" w:type="dxa"/>
            <w:vAlign w:val="bottom"/>
            <w:tcBorders>
              <w:bottom w:val="single" w:sz="8" w:color="CCEEFF"/>
            </w:tcBorders>
            <w:gridSpan w:val="7"/>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8</w:t>
            </w: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9640" w:type="dxa"/>
            <w:vAlign w:val="bottom"/>
            <w:gridSpan w:val="18"/>
          </w:tcPr>
          <w:p>
            <w:pPr>
              <w:spacing w:after="0" w:line="176" w:lineRule="exact"/>
              <w:rPr>
                <w:sz w:val="20"/>
                <w:szCs w:val="20"/>
                <w:color w:val="auto"/>
              </w:rPr>
            </w:pPr>
            <w:r>
              <w:rPr>
                <w:rFonts w:ascii="Arial" w:cs="Arial" w:eastAsia="Arial" w:hAnsi="Arial"/>
                <w:sz w:val="18"/>
                <w:szCs w:val="18"/>
                <w:color w:val="0000EE"/>
              </w:rPr>
              <w:t>Management’s Discussion and Analysis of the Results of Operations</w:t>
            </w:r>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432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91"/>
              </w:rPr>
              <w:t>Quantitative and Qualitative Disclosures about Market Risk</w:t>
            </w:r>
          </w:p>
        </w:tc>
        <w:tc>
          <w:tcPr>
            <w:tcW w:w="5320" w:type="dxa"/>
            <w:vAlign w:val="bottom"/>
            <w:tcBorders>
              <w:bottom w:val="single" w:sz="8" w:color="CCEEFF"/>
            </w:tcBorders>
            <w:gridSpan w:val="6"/>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4.</w:t>
            </w:r>
          </w:p>
        </w:tc>
        <w:tc>
          <w:tcPr>
            <w:tcW w:w="9640" w:type="dxa"/>
            <w:vAlign w:val="bottom"/>
            <w:gridSpan w:val="18"/>
          </w:tcPr>
          <w:p>
            <w:pPr>
              <w:spacing w:after="0" w:line="176" w:lineRule="exact"/>
              <w:rPr>
                <w:sz w:val="20"/>
                <w:szCs w:val="20"/>
                <w:color w:val="auto"/>
              </w:rPr>
            </w:pPr>
            <w:r>
              <w:rPr>
                <w:rFonts w:ascii="Arial" w:cs="Arial" w:eastAsia="Arial" w:hAnsi="Arial"/>
                <w:sz w:val="18"/>
                <w:szCs w:val="18"/>
                <w:color w:val="0000EE"/>
              </w:rPr>
              <w:t>Controls and Procedures</w:t>
            </w:r>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780" w:type="dxa"/>
            <w:vAlign w:val="bottom"/>
            <w:tcBorders>
              <w:bottom w:val="single" w:sz="8" w:color="0000EE"/>
            </w:tcBorders>
            <w:gridSpan w:val="8"/>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II. OTHER INFORMATION</w:t>
            </w:r>
          </w:p>
        </w:tc>
        <w:tc>
          <w:tcPr>
            <w:tcW w:w="7700" w:type="dxa"/>
            <w:vAlign w:val="bottom"/>
            <w:tcBorders>
              <w:bottom w:val="single" w:sz="8" w:color="CCEEFF"/>
            </w:tcBorders>
            <w:gridSpan w:val="12"/>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176"/>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640" w:type="dxa"/>
            <w:vAlign w:val="bottom"/>
            <w:gridSpan w:val="18"/>
          </w:tcPr>
          <w:p>
            <w:pPr>
              <w:spacing w:after="0" w:line="176" w:lineRule="exact"/>
              <w:rPr>
                <w:sz w:val="20"/>
                <w:szCs w:val="20"/>
                <w:color w:val="auto"/>
              </w:rPr>
            </w:pPr>
            <w:r>
              <w:rPr>
                <w:rFonts w:ascii="Arial" w:cs="Arial" w:eastAsia="Arial" w:hAnsi="Arial"/>
                <w:sz w:val="18"/>
                <w:szCs w:val="18"/>
                <w:color w:val="0000EE"/>
              </w:rPr>
              <w:t>Legal Proceedings</w:t>
            </w:r>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6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9640" w:type="dxa"/>
            <w:vAlign w:val="bottom"/>
            <w:gridSpan w:val="18"/>
          </w:tcPr>
          <w:p>
            <w:pPr>
              <w:spacing w:after="0" w:line="176" w:lineRule="exact"/>
              <w:rPr>
                <w:sz w:val="20"/>
                <w:szCs w:val="20"/>
                <w:color w:val="auto"/>
              </w:rPr>
            </w:pPr>
            <w:r>
              <w:rPr>
                <w:rFonts w:ascii="Arial" w:cs="Arial" w:eastAsia="Arial" w:hAnsi="Arial"/>
                <w:sz w:val="18"/>
                <w:szCs w:val="18"/>
                <w:color w:val="0000EE"/>
              </w:rPr>
              <w:t>Recent Sales of Unregistered Securities</w:t>
            </w:r>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6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175"/>
        </w:trPr>
        <w:tc>
          <w:tcPr>
            <w:tcW w:w="8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8"/>
          </w:tcPr>
          <w:p>
            <w:pPr>
              <w:spacing w:after="0" w:line="176" w:lineRule="exact"/>
              <w:rPr>
                <w:sz w:val="20"/>
                <w:szCs w:val="20"/>
                <w:color w:val="auto"/>
              </w:rPr>
            </w:pPr>
            <w:r>
              <w:rPr>
                <w:rFonts w:ascii="Arial" w:cs="Arial" w:eastAsia="Arial" w:hAnsi="Arial"/>
                <w:sz w:val="18"/>
                <w:szCs w:val="18"/>
                <w:color w:val="0000EE"/>
              </w:rPr>
              <w:t>Mine Safety Disclosures</w:t>
            </w:r>
          </w:p>
        </w:tc>
        <w:tc>
          <w:tcPr>
            <w:tcW w:w="7320" w:type="dxa"/>
            <w:vAlign w:val="bottom"/>
            <w:tcBorders>
              <w:top w:val="single" w:sz="8" w:color="CCEEFF"/>
            </w:tcBorders>
            <w:gridSpan w:val="10"/>
          </w:tcPr>
          <w:p>
            <w:pPr>
              <w:spacing w:after="0"/>
              <w:rPr>
                <w:sz w:val="15"/>
                <w:szCs w:val="15"/>
                <w:color w:val="auto"/>
              </w:rPr>
            </w:pPr>
          </w:p>
        </w:tc>
        <w:tc>
          <w:tcPr>
            <w:tcW w:w="7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2"/>
              </w:rPr>
              <w:t>Other Information</w:t>
            </w:r>
          </w:p>
        </w:tc>
        <w:tc>
          <w:tcPr>
            <w:tcW w:w="8320" w:type="dxa"/>
            <w:vAlign w:val="bottom"/>
            <w:tcBorders>
              <w:bottom w:val="single" w:sz="8" w:color="CCEEFF"/>
            </w:tcBorders>
            <w:gridSpan w:val="15"/>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176"/>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6.</w:t>
            </w:r>
          </w:p>
        </w:tc>
        <w:tc>
          <w:tcPr>
            <w:tcW w:w="9640" w:type="dxa"/>
            <w:vAlign w:val="bottom"/>
            <w:gridSpan w:val="18"/>
          </w:tcPr>
          <w:p>
            <w:pPr>
              <w:spacing w:after="0" w:line="176" w:lineRule="exact"/>
              <w:rPr>
                <w:sz w:val="20"/>
                <w:szCs w:val="20"/>
                <w:color w:val="auto"/>
              </w:rPr>
            </w:pPr>
            <w:r>
              <w:rPr>
                <w:rFonts w:ascii="Arial" w:cs="Arial" w:eastAsia="Arial" w:hAnsi="Arial"/>
                <w:sz w:val="18"/>
                <w:szCs w:val="18"/>
                <w:color w:val="0000EE"/>
              </w:rPr>
              <w:t>Exhibits</w:t>
            </w:r>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w w:val="95"/>
              </w:rPr>
              <w:t>Signatures</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45</w:t>
            </w:r>
          </w:p>
        </w:tc>
      </w:tr>
      <w:tr>
        <w:trPr>
          <w:trHeight w:val="439"/>
        </w:trPr>
        <w:tc>
          <w:tcPr>
            <w:tcW w:w="7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940" w:type="dxa"/>
            <w:vAlign w:val="bottom"/>
            <w:tcBorders>
              <w:top w:val="single" w:sz="8" w:color="CCEEFF"/>
              <w:bottom w:val="single" w:sz="8" w:color="auto"/>
            </w:tcBorders>
            <w:gridSpan w:val="13"/>
          </w:tcPr>
          <w:p>
            <w:pPr>
              <w:ind w:left="4740"/>
              <w:spacing w:after="0"/>
              <w:rPr>
                <w:sz w:val="20"/>
                <w:szCs w:val="20"/>
                <w:color w:val="auto"/>
              </w:rPr>
            </w:pPr>
            <w:r>
              <w:rPr>
                <w:rFonts w:ascii="Arial" w:cs="Arial" w:eastAsia="Arial" w:hAnsi="Arial"/>
                <w:sz w:val="18"/>
                <w:szCs w:val="18"/>
                <w:color w:val="auto"/>
              </w:rPr>
              <w:t>2</w:t>
            </w:r>
          </w:p>
        </w:tc>
        <w:tc>
          <w:tcPr>
            <w:tcW w:w="120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 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color w:val="auto"/>
              </w:rPr>
              <w:t>As of</w:t>
            </w:r>
          </w:p>
        </w:tc>
        <w:tc>
          <w:tcPr>
            <w:tcW w:w="1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780"/>
              <w:spacing w:after="0"/>
              <w:rPr>
                <w:sz w:val="20"/>
                <w:szCs w:val="20"/>
                <w:color w:val="auto"/>
              </w:rPr>
            </w:pPr>
            <w:r>
              <w:rPr>
                <w:rFonts w:ascii="Arial" w:cs="Arial" w:eastAsia="Arial" w:hAnsi="Arial"/>
                <w:sz w:val="18"/>
                <w:szCs w:val="18"/>
                <w:color w:val="auto"/>
              </w:rPr>
              <w:t>June 30, 2023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w w:val="92"/>
              </w:rPr>
              <w:t>December 31, 2022</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Cash</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32,952</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17,781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credit losses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44,198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49,846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Prepaid inventory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2,942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income tax</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84,231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73,489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line="203" w:lineRule="exact"/>
              <w:rPr>
                <w:sz w:val="20"/>
                <w:szCs w:val="20"/>
                <w:color w:val="auto"/>
              </w:rPr>
            </w:pPr>
            <w:r>
              <w:rPr>
                <w:rFonts w:ascii="Arial" w:cs="Arial" w:eastAsia="Arial" w:hAnsi="Arial"/>
                <w:sz w:val="18"/>
                <w:szCs w:val="18"/>
                <w:b w:val="1"/>
                <w:bCs w:val="1"/>
                <w:color w:val="auto"/>
              </w:rPr>
              <w:t>Property and Equipment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Machinery and equipment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15,932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Office furniture and equipment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60" w:type="dxa"/>
            <w:vAlign w:val="bottom"/>
          </w:tcPr>
          <w:p>
            <w:pPr>
              <w:ind w:left="180"/>
              <w:spacing w:after="0"/>
              <w:rPr>
                <w:sz w:val="20"/>
                <w:szCs w:val="20"/>
                <w:color w:val="auto"/>
              </w:rPr>
            </w:pPr>
            <w:r>
              <w:rPr>
                <w:rFonts w:ascii="Arial" w:cs="Arial" w:eastAsia="Arial" w:hAnsi="Arial"/>
                <w:sz w:val="18"/>
                <w:szCs w:val="18"/>
                <w:color w:val="auto"/>
              </w:rPr>
              <w:t>Vehicle</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60" w:type="dxa"/>
            <w:vAlign w:val="bottom"/>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(2,180)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Arial" w:cs="Arial" w:eastAsia="Arial" w:hAnsi="Arial"/>
                <w:sz w:val="18"/>
                <w:szCs w:val="18"/>
                <w:color w:val="auto"/>
              </w:rPr>
              <w:t>Operating lease right of use asset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3,912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4,513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103,930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88,762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19,990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13,475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other liabilities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9,758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Uncertain tax position liability</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Notes payable, current portion, net of deferred financing fees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22,372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19,242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liability, current portion</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1,239</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53,639</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40,566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Warrant liabilities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14,637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32,831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expenses-long term</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8"/>
                <w:szCs w:val="18"/>
                <w:color w:val="auto"/>
              </w:rPr>
              <w:t>Operating lease liability, net of current portion</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2,890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3,541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60" w:type="dxa"/>
            <w:vAlign w:val="bottom"/>
            <w:tcBorders>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71,717</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77,430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(See Note 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170,000,000 shares at $0.0001 par value, authorized, 58,504,541 and</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43,272,728 shares issued and outstanding as of June 30, 2023 and December 31, 2022,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760" w:type="dxa"/>
            <w:vAlign w:val="bottom"/>
          </w:tcPr>
          <w:p>
            <w:pPr>
              <w:ind w:left="180"/>
              <w:spacing w:after="0" w:line="201" w:lineRule="exact"/>
              <w:rPr>
                <w:sz w:val="20"/>
                <w:szCs w:val="20"/>
                <w:color w:val="auto"/>
              </w:rPr>
            </w:pPr>
            <w:r>
              <w:rPr>
                <w:rFonts w:ascii="Arial" w:cs="Arial" w:eastAsia="Arial" w:hAnsi="Arial"/>
                <w:sz w:val="18"/>
                <w:szCs w:val="18"/>
                <w:color w:val="auto"/>
                <w:w w:val="91"/>
              </w:rPr>
              <w:t>Preferred stock, 5,000,000 shares at $0.0001 par value, authorized, no shares issued and</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outstanding as of June 30, 2023 and December 31, 2022, respectively</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66,148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60" w:type="dxa"/>
            <w:vAlign w:val="bottom"/>
          </w:tcPr>
          <w:p>
            <w:pPr>
              <w:spacing w:after="0"/>
              <w:rPr>
                <w:sz w:val="20"/>
                <w:szCs w:val="20"/>
                <w:color w:val="auto"/>
              </w:rPr>
            </w:pPr>
            <w:r>
              <w:rPr>
                <w:rFonts w:ascii="Arial" w:cs="Arial" w:eastAsia="Arial" w:hAnsi="Arial"/>
                <w:sz w:val="18"/>
                <w:szCs w:val="18"/>
                <w:color w:val="auto"/>
              </w:rPr>
              <w:t>Retained deficit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(33,941)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(27,133)</w:t>
            </w: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103,930</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88,762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and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INTERIM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gridSpan w:val="5"/>
          </w:tcPr>
          <w:p>
            <w:pPr>
              <w:jc w:val="right"/>
              <w:ind w:right="941"/>
              <w:spacing w:after="0"/>
              <w:rPr>
                <w:sz w:val="20"/>
                <w:szCs w:val="20"/>
                <w:color w:val="auto"/>
              </w:rPr>
            </w:pPr>
            <w:r>
              <w:rPr>
                <w:rFonts w:ascii="Arial" w:cs="Arial" w:eastAsia="Arial" w:hAnsi="Arial"/>
                <w:sz w:val="18"/>
                <w:szCs w:val="18"/>
                <w:color w:val="auto"/>
              </w:rPr>
              <w:t>For The Three Months Ended</w:t>
            </w:r>
          </w:p>
        </w:tc>
        <w:tc>
          <w:tcPr>
            <w:tcW w:w="340" w:type="dxa"/>
            <w:vAlign w:val="bottom"/>
          </w:tcPr>
          <w:p>
            <w:pPr>
              <w:spacing w:after="0"/>
              <w:rPr>
                <w:sz w:val="18"/>
                <w:szCs w:val="18"/>
                <w:color w:val="auto"/>
              </w:rPr>
            </w:pPr>
          </w:p>
        </w:tc>
        <w:tc>
          <w:tcPr>
            <w:tcW w:w="3220" w:type="dxa"/>
            <w:vAlign w:val="bottom"/>
            <w:gridSpan w:val="6"/>
          </w:tcPr>
          <w:p>
            <w:pPr>
              <w:jc w:val="right"/>
              <w:ind w:right="860"/>
              <w:spacing w:after="0"/>
              <w:rPr>
                <w:sz w:val="20"/>
                <w:szCs w:val="20"/>
                <w:color w:val="auto"/>
              </w:rPr>
            </w:pPr>
            <w:r>
              <w:rPr>
                <w:rFonts w:ascii="Arial" w:cs="Arial" w:eastAsia="Arial" w:hAnsi="Arial"/>
                <w:sz w:val="18"/>
                <w:szCs w:val="18"/>
                <w:color w:val="auto"/>
              </w:rPr>
              <w:t>For The Six Months Ended</w:t>
            </w: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June 30,</w:t>
            </w:r>
          </w:p>
        </w:tc>
        <w:tc>
          <w:tcPr>
            <w:tcW w:w="12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June 30,</w:t>
            </w: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19,274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21,622</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38,065</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39,925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Goods Sold</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15,176</w:t>
            </w: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14,594</w:t>
            </w:r>
          </w:p>
        </w:tc>
        <w:tc>
          <w:tcPr>
            <w:tcW w:w="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29,224</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4,098</w:t>
            </w: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7,028</w:t>
            </w:r>
          </w:p>
        </w:tc>
        <w:tc>
          <w:tcPr>
            <w:tcW w:w="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8,841</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8"/>
                <w:szCs w:val="18"/>
                <w:color w:val="auto"/>
              </w:rPr>
            </w:pPr>
          </w:p>
        </w:tc>
        <w:tc>
          <w:tcPr>
            <w:tcW w:w="1580" w:type="dxa"/>
            <w:vAlign w:val="bottom"/>
            <w:gridSpan w:val="2"/>
          </w:tcPr>
          <w:p>
            <w:pPr>
              <w:jc w:val="right"/>
              <w:ind w:right="261"/>
              <w:spacing w:after="0"/>
              <w:rPr>
                <w:sz w:val="20"/>
                <w:szCs w:val="20"/>
                <w:color w:val="auto"/>
              </w:rPr>
            </w:pPr>
            <w:r>
              <w:rPr>
                <w:rFonts w:ascii="Arial" w:cs="Arial" w:eastAsia="Arial" w:hAnsi="Arial"/>
                <w:sz w:val="18"/>
                <w:szCs w:val="18"/>
                <w:color w:val="auto"/>
              </w:rPr>
              <w:t>1,067</w:t>
            </w: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859</w:t>
            </w:r>
          </w:p>
        </w:tc>
        <w:tc>
          <w:tcPr>
            <w:tcW w:w="34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1,947</w:t>
            </w:r>
          </w:p>
        </w:tc>
        <w:tc>
          <w:tcPr>
            <w:tcW w:w="3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7,614</w:t>
            </w: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3,816</w:t>
            </w:r>
          </w:p>
        </w:tc>
        <w:tc>
          <w:tcPr>
            <w:tcW w:w="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17,109</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20"/>
                <w:szCs w:val="20"/>
                <w:color w:val="auto"/>
              </w:rPr>
            </w:pPr>
          </w:p>
        </w:tc>
        <w:tc>
          <w:tcPr>
            <w:tcW w:w="1580" w:type="dxa"/>
            <w:vAlign w:val="bottom"/>
            <w:gridSpan w:val="2"/>
          </w:tcPr>
          <w:p>
            <w:pPr>
              <w:jc w:val="right"/>
              <w:ind w:right="261"/>
              <w:spacing w:after="0"/>
              <w:rPr>
                <w:sz w:val="20"/>
                <w:szCs w:val="20"/>
                <w:color w:val="auto"/>
              </w:rPr>
            </w:pPr>
            <w:r>
              <w:rPr>
                <w:rFonts w:ascii="Arial" w:cs="Arial" w:eastAsia="Arial" w:hAnsi="Arial"/>
                <w:sz w:val="18"/>
                <w:szCs w:val="18"/>
                <w:color w:val="auto"/>
              </w:rPr>
              <w:t>3,808</w:t>
            </w:r>
          </w:p>
        </w:tc>
        <w:tc>
          <w:tcPr>
            <w:tcW w:w="360" w:type="dxa"/>
            <w:vAlign w:val="bottom"/>
          </w:tcPr>
          <w:p>
            <w:pPr>
              <w:spacing w:after="0"/>
              <w:rPr>
                <w:sz w:val="20"/>
                <w:szCs w:val="20"/>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2,881</w:t>
            </w:r>
          </w:p>
        </w:tc>
        <w:tc>
          <w:tcPr>
            <w:tcW w:w="340" w:type="dxa"/>
            <w:vAlign w:val="bottom"/>
          </w:tcPr>
          <w:p>
            <w:pPr>
              <w:spacing w:after="0"/>
              <w:rPr>
                <w:sz w:val="20"/>
                <w:szCs w:val="20"/>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7,992</w:t>
            </w:r>
          </w:p>
        </w:tc>
        <w:tc>
          <w:tcPr>
            <w:tcW w:w="3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5,973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tcPr>
          <w:p>
            <w:pPr>
              <w:spacing w:after="0"/>
              <w:rPr>
                <w:sz w:val="20"/>
                <w:szCs w:val="20"/>
                <w:color w:val="auto"/>
              </w:rPr>
            </w:pPr>
          </w:p>
        </w:tc>
        <w:tc>
          <w:tcPr>
            <w:tcW w:w="1580" w:type="dxa"/>
            <w:vAlign w:val="bottom"/>
            <w:gridSpan w:val="2"/>
          </w:tcPr>
          <w:p>
            <w:pPr>
              <w:jc w:val="right"/>
              <w:ind w:right="261"/>
              <w:spacing w:after="0"/>
              <w:rPr>
                <w:sz w:val="20"/>
                <w:szCs w:val="20"/>
                <w:color w:val="auto"/>
              </w:rPr>
            </w:pPr>
            <w:r>
              <w:rPr>
                <w:rFonts w:ascii="Arial" w:cs="Arial" w:eastAsia="Arial" w:hAnsi="Arial"/>
                <w:sz w:val="18"/>
                <w:szCs w:val="18"/>
                <w:color w:val="auto"/>
              </w:rPr>
              <w:t>12,489</w:t>
            </w:r>
          </w:p>
        </w:tc>
        <w:tc>
          <w:tcPr>
            <w:tcW w:w="360" w:type="dxa"/>
            <w:vAlign w:val="bottom"/>
          </w:tcPr>
          <w:p>
            <w:pPr>
              <w:spacing w:after="0"/>
              <w:rPr>
                <w:sz w:val="20"/>
                <w:szCs w:val="20"/>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7,556</w:t>
            </w:r>
          </w:p>
        </w:tc>
        <w:tc>
          <w:tcPr>
            <w:tcW w:w="340" w:type="dxa"/>
            <w:vAlign w:val="bottom"/>
          </w:tcPr>
          <w:p>
            <w:pPr>
              <w:spacing w:after="0"/>
              <w:rPr>
                <w:sz w:val="20"/>
                <w:szCs w:val="20"/>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27,048</w:t>
            </w:r>
          </w:p>
        </w:tc>
        <w:tc>
          <w:tcPr>
            <w:tcW w:w="3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14,613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tcPr>
          <w:p>
            <w:pPr>
              <w:spacing w:after="0"/>
              <w:rPr>
                <w:sz w:val="18"/>
                <w:szCs w:val="18"/>
                <w:color w:val="auto"/>
              </w:rPr>
            </w:pPr>
          </w:p>
        </w:tc>
        <w:tc>
          <w:tcPr>
            <w:tcW w:w="1580" w:type="dxa"/>
            <w:vAlign w:val="bottom"/>
            <w:gridSpan w:val="2"/>
          </w:tcPr>
          <w:p>
            <w:pPr>
              <w:jc w:val="right"/>
              <w:ind w:right="201"/>
              <w:spacing w:after="0"/>
              <w:rPr>
                <w:sz w:val="20"/>
                <w:szCs w:val="20"/>
                <w:color w:val="auto"/>
              </w:rPr>
            </w:pPr>
            <w:r>
              <w:rPr>
                <w:rFonts w:ascii="Arial" w:cs="Arial" w:eastAsia="Arial" w:hAnsi="Arial"/>
                <w:sz w:val="18"/>
                <w:szCs w:val="18"/>
                <w:color w:val="auto"/>
              </w:rPr>
              <w:t>(8,391)</w:t>
            </w: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(528)</w:t>
            </w:r>
          </w:p>
        </w:tc>
        <w:tc>
          <w:tcPr>
            <w:tcW w:w="34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(18,207)</w:t>
            </w:r>
          </w:p>
        </w:tc>
        <w:tc>
          <w:tcPr>
            <w:tcW w:w="38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(4,113)</w:t>
            </w: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(1,228)</w:t>
            </w:r>
          </w:p>
        </w:tc>
        <w:tc>
          <w:tcPr>
            <w:tcW w:w="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(7,928)</w:t>
            </w:r>
          </w:p>
        </w:tc>
        <w:tc>
          <w:tcPr>
            <w:tcW w:w="3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36"/>
        </w:trPr>
        <w:tc>
          <w:tcPr>
            <w:tcW w:w="3840" w:type="dxa"/>
            <w:vAlign w:val="bottom"/>
          </w:tcPr>
          <w:p>
            <w:pPr>
              <w:ind w:left="180"/>
              <w:spacing w:after="0"/>
              <w:rPr>
                <w:sz w:val="20"/>
                <w:szCs w:val="20"/>
                <w:color w:val="auto"/>
              </w:rPr>
            </w:pPr>
            <w:r>
              <w:rPr>
                <w:rFonts w:ascii="Arial" w:cs="Arial" w:eastAsia="Arial" w:hAnsi="Arial"/>
                <w:sz w:val="18"/>
                <w:szCs w:val="18"/>
                <w:color w:val="auto"/>
                <w:w w:val="99"/>
              </w:rPr>
              <w:t>Change in fair market value of warrant liability</w:t>
            </w:r>
          </w:p>
        </w:tc>
        <w:tc>
          <w:tcPr>
            <w:tcW w:w="360" w:type="dxa"/>
            <w:vAlign w:val="bottom"/>
          </w:tcPr>
          <w:p>
            <w:pPr>
              <w:spacing w:after="0"/>
              <w:rPr>
                <w:sz w:val="20"/>
                <w:szCs w:val="20"/>
                <w:color w:val="auto"/>
              </w:rPr>
            </w:pPr>
          </w:p>
        </w:tc>
        <w:tc>
          <w:tcPr>
            <w:tcW w:w="1580" w:type="dxa"/>
            <w:vAlign w:val="bottom"/>
            <w:gridSpan w:val="2"/>
          </w:tcPr>
          <w:p>
            <w:pPr>
              <w:jc w:val="right"/>
              <w:ind w:right="261"/>
              <w:spacing w:after="0"/>
              <w:rPr>
                <w:sz w:val="20"/>
                <w:szCs w:val="20"/>
                <w:color w:val="auto"/>
              </w:rPr>
            </w:pPr>
            <w:r>
              <w:rPr>
                <w:rFonts w:ascii="Arial" w:cs="Arial" w:eastAsia="Arial" w:hAnsi="Arial"/>
                <w:sz w:val="18"/>
                <w:szCs w:val="18"/>
                <w:color w:val="auto"/>
              </w:rPr>
              <w:t>804</w:t>
            </w:r>
          </w:p>
        </w:tc>
        <w:tc>
          <w:tcPr>
            <w:tcW w:w="360" w:type="dxa"/>
            <w:vAlign w:val="bottom"/>
          </w:tcPr>
          <w:p>
            <w:pPr>
              <w:spacing w:after="0"/>
              <w:rPr>
                <w:sz w:val="20"/>
                <w:szCs w:val="20"/>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19,327</w:t>
            </w:r>
          </w:p>
        </w:tc>
        <w:tc>
          <w:tcPr>
            <w:tcW w:w="3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(Expense</w:t>
            </w:r>
            <w:r>
              <w:rPr>
                <w:rFonts w:ascii="Arial" w:cs="Arial" w:eastAsia="Arial" w:hAnsi="Arial"/>
                <w:sz w:val="18"/>
                <w:szCs w:val="18"/>
                <w:color w:val="auto"/>
              </w:rPr>
              <w:t>)</w:t>
            </w:r>
            <w:r>
              <w:rPr>
                <w:rFonts w:ascii="Arial" w:cs="Arial" w:eastAsia="Arial" w:hAnsi="Arial"/>
                <w:sz w:val="18"/>
                <w:szCs w:val="18"/>
                <w:b w:val="1"/>
                <w:bCs w:val="1"/>
                <w:color w:val="auto"/>
              </w:rPr>
              <w:t xml:space="preserve"> Income</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3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(11,700)</w:t>
            </w:r>
          </w:p>
        </w:tc>
        <w:tc>
          <w:tcPr>
            <w:tcW w:w="3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(1,756)</w:t>
            </w:r>
          </w:p>
        </w:tc>
        <w:tc>
          <w:tcPr>
            <w:tcW w:w="3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(6,808)</w:t>
            </w:r>
          </w:p>
        </w:tc>
        <w:tc>
          <w:tcPr>
            <w:tcW w:w="38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 Expense</w:t>
            </w:r>
          </w:p>
        </w:tc>
        <w:tc>
          <w:tcPr>
            <w:tcW w:w="3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(287)</w:t>
            </w:r>
          </w:p>
        </w:tc>
        <w:tc>
          <w:tcPr>
            <w:tcW w:w="3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(11,700)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(1,469)</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(6,808)</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Basic</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(0.25)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(0.04)</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(0.15)</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Per Share- 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38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(0.25</w:t>
            </w:r>
          </w:p>
        </w:tc>
        <w:tc>
          <w:tcPr>
            <w:tcW w:w="3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(0.04</w:t>
            </w:r>
          </w:p>
        </w:tc>
        <w:tc>
          <w:tcPr>
            <w:tcW w:w="32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(0.15</w:t>
            </w:r>
          </w:p>
        </w:tc>
        <w:tc>
          <w:tcPr>
            <w:tcW w:w="3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8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Basic</w:t>
            </w: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47,418,269</w:t>
            </w:r>
          </w:p>
        </w:tc>
        <w:tc>
          <w:tcPr>
            <w:tcW w:w="3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36,616,430</w:t>
            </w:r>
          </w:p>
        </w:tc>
        <w:tc>
          <w:tcPr>
            <w:tcW w:w="3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46,263,591</w:t>
            </w:r>
          </w:p>
        </w:tc>
        <w:tc>
          <w:tcPr>
            <w:tcW w:w="3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36,579,990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Diluted</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47,418,269</w:t>
            </w:r>
          </w:p>
        </w:tc>
        <w:tc>
          <w:tcPr>
            <w:tcW w:w="34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36,616,430</w:t>
            </w:r>
          </w:p>
        </w:tc>
        <w:tc>
          <w:tcPr>
            <w:tcW w:w="32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46,263,591</w:t>
            </w:r>
          </w:p>
        </w:tc>
        <w:tc>
          <w:tcPr>
            <w:tcW w:w="32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36,579,990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and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JUNE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540" w:type="dxa"/>
            <w:vAlign w:val="bottom"/>
            <w:gridSpan w:val="5"/>
          </w:tcPr>
          <w:p>
            <w:pPr>
              <w:jc w:val="right"/>
              <w:ind w:right="1000"/>
              <w:spacing w:after="0"/>
              <w:rPr>
                <w:sz w:val="20"/>
                <w:szCs w:val="20"/>
                <w:color w:val="auto"/>
              </w:rPr>
            </w:pPr>
            <w:r>
              <w:rPr>
                <w:rFonts w:ascii="Arial" w:cs="Arial" w:eastAsia="Arial" w:hAnsi="Arial"/>
                <w:sz w:val="18"/>
                <w:szCs w:val="18"/>
                <w:color w:val="auto"/>
              </w:rPr>
              <w:t>Redeemable</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820" w:type="dxa"/>
            <w:vAlign w:val="bottom"/>
          </w:tcPr>
          <w:p>
            <w:pPr>
              <w:spacing w:after="0"/>
              <w:rPr>
                <w:sz w:val="21"/>
                <w:szCs w:val="21"/>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8"/>
                <w:szCs w:val="18"/>
                <w:color w:val="auto"/>
              </w:rPr>
              <w:t>Preferred Stock</w:t>
            </w:r>
          </w:p>
        </w:tc>
        <w:tc>
          <w:tcPr>
            <w:tcW w:w="2000" w:type="dxa"/>
            <w:vAlign w:val="bottom"/>
            <w:gridSpan w:val="3"/>
          </w:tcPr>
          <w:p>
            <w:pPr>
              <w:jc w:val="right"/>
              <w:ind w:right="303"/>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Paid-In</w:t>
            </w:r>
          </w:p>
        </w:tc>
        <w:tc>
          <w:tcPr>
            <w:tcW w:w="12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132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Amount</w:t>
            </w:r>
          </w:p>
        </w:tc>
        <w:tc>
          <w:tcPr>
            <w:tcW w:w="340" w:type="dxa"/>
            <w:vAlign w:val="bottom"/>
          </w:tcPr>
          <w:p>
            <w:pPr>
              <w:spacing w:after="0"/>
              <w:rPr>
                <w:sz w:val="20"/>
                <w:szCs w:val="20"/>
                <w:color w:val="auto"/>
              </w:rPr>
            </w:pPr>
          </w:p>
        </w:tc>
        <w:tc>
          <w:tcPr>
            <w:tcW w:w="124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color w:val="auto"/>
              </w:rPr>
              <w:t>Shares</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1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Capital</w:t>
            </w: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(Deficit)</w:t>
            </w:r>
          </w:p>
        </w:tc>
        <w:tc>
          <w:tcPr>
            <w:tcW w:w="180" w:type="dxa"/>
            <w:vAlign w:val="bottom"/>
          </w:tcPr>
          <w:p>
            <w:pPr>
              <w:spacing w:after="0"/>
              <w:rPr>
                <w:sz w:val="20"/>
                <w:szCs w:val="20"/>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1, 2022</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20,875,475</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12,438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14,061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Retroactive application of</w:t>
            </w: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recapitalization</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15,621,523</w:t>
            </w:r>
          </w:p>
        </w:tc>
        <w:tc>
          <w:tcPr>
            <w:tcW w:w="76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8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Adjusted balance, beginning of</w:t>
            </w:r>
          </w:p>
        </w:tc>
        <w:tc>
          <w:tcPr>
            <w:tcW w:w="100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period</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36,496,998</w:t>
            </w:r>
          </w:p>
        </w:tc>
        <w:tc>
          <w:tcPr>
            <w:tcW w:w="760" w:type="dxa"/>
            <w:vAlign w:val="bottom"/>
          </w:tcPr>
          <w:p>
            <w:pPr>
              <w:spacing w:after="0"/>
              <w:rPr>
                <w:sz w:val="20"/>
                <w:szCs w:val="20"/>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3,619</w:t>
            </w:r>
          </w:p>
        </w:tc>
        <w:tc>
          <w:tcPr>
            <w:tcW w:w="120" w:type="dxa"/>
            <w:vAlign w:val="bottom"/>
          </w:tcPr>
          <w:p>
            <w:pPr>
              <w:spacing w:after="0"/>
              <w:rPr>
                <w:sz w:val="20"/>
                <w:szCs w:val="20"/>
                <w:color w:val="auto"/>
              </w:rPr>
            </w:pPr>
          </w:p>
        </w:tc>
        <w:tc>
          <w:tcPr>
            <w:tcW w:w="1100" w:type="dxa"/>
            <w:vAlign w:val="bottom"/>
            <w:gridSpan w:val="2"/>
          </w:tcPr>
          <w:p>
            <w:pPr>
              <w:jc w:val="right"/>
              <w:ind w:right="241"/>
              <w:spacing w:after="0"/>
              <w:rPr>
                <w:sz w:val="20"/>
                <w:szCs w:val="20"/>
                <w:color w:val="auto"/>
              </w:rPr>
            </w:pPr>
            <w:r>
              <w:rPr>
                <w:rFonts w:ascii="Arial" w:cs="Arial" w:eastAsia="Arial" w:hAnsi="Arial"/>
                <w:sz w:val="18"/>
                <w:szCs w:val="18"/>
                <w:color w:val="auto"/>
              </w:rPr>
              <w:t>12,438</w:t>
            </w: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16,061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(2,298)</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100,374</w:t>
            </w:r>
          </w:p>
        </w:tc>
        <w:tc>
          <w:tcPr>
            <w:tcW w:w="7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2022</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36,597,372</w:t>
            </w:r>
          </w:p>
        </w:tc>
        <w:tc>
          <w:tcPr>
            <w:tcW w:w="7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4,020</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10,140</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14,164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2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ind w:left="720"/>
              <w:spacing w:after="0"/>
              <w:rPr>
                <w:sz w:val="20"/>
                <w:szCs w:val="20"/>
                <w:color w:val="auto"/>
              </w:rPr>
            </w:pPr>
            <w:r>
              <w:rPr>
                <w:rFonts w:ascii="Arial" w:cs="Arial" w:eastAsia="Arial" w:hAnsi="Arial"/>
                <w:sz w:val="8"/>
                <w:szCs w:val="8"/>
                <w:color w:val="auto"/>
                <w:w w:val="73"/>
              </w:rPr>
              <w:t>-</w:t>
            </w:r>
          </w:p>
        </w:tc>
        <w:tc>
          <w:tcPr>
            <w:tcW w:w="34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(1,469)</w:t>
            </w:r>
          </w:p>
        </w:tc>
        <w:tc>
          <w:tcPr>
            <w:tcW w:w="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(1,469)</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152,366</w:t>
            </w:r>
          </w:p>
        </w:tc>
        <w:tc>
          <w:tcPr>
            <w:tcW w:w="760" w:type="dxa"/>
            <w:vAlign w:val="bottom"/>
          </w:tcPr>
          <w:p>
            <w:pPr>
              <w:spacing w:after="0"/>
              <w:rPr>
                <w:sz w:val="20"/>
                <w:szCs w:val="20"/>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11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82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820" w:type="dxa"/>
            <w:vAlign w:val="bottom"/>
          </w:tcPr>
          <w:p>
            <w:pPr>
              <w:spacing w:after="0"/>
              <w:rPr>
                <w:sz w:val="20"/>
                <w:szCs w:val="20"/>
                <w:color w:val="auto"/>
              </w:rPr>
            </w:pPr>
            <w:r>
              <w:rPr>
                <w:rFonts w:ascii="Arial" w:cs="Arial" w:eastAsia="Arial" w:hAnsi="Arial"/>
                <w:sz w:val="18"/>
                <w:szCs w:val="18"/>
                <w:b w:val="1"/>
                <w:bCs w:val="1"/>
                <w:color w:val="auto"/>
              </w:rPr>
              <w:t>Balance – June 30, 2022</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36,749,738</w:t>
            </w:r>
          </w:p>
        </w:tc>
        <w:tc>
          <w:tcPr>
            <w:tcW w:w="760" w:type="dxa"/>
            <w:vAlign w:val="bottom"/>
          </w:tcPr>
          <w:p>
            <w:pPr>
              <w:spacing w:after="0"/>
              <w:rPr>
                <w:sz w:val="24"/>
                <w:szCs w:val="24"/>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4,540</w:t>
            </w:r>
          </w:p>
        </w:tc>
        <w:tc>
          <w:tcPr>
            <w:tcW w:w="120" w:type="dxa"/>
            <w:vAlign w:val="bottom"/>
          </w:tcPr>
          <w:p>
            <w:pPr>
              <w:spacing w:after="0"/>
              <w:rPr>
                <w:sz w:val="24"/>
                <w:szCs w:val="24"/>
                <w:color w:val="auto"/>
              </w:rPr>
            </w:pPr>
          </w:p>
        </w:tc>
        <w:tc>
          <w:tcPr>
            <w:tcW w:w="1100" w:type="dxa"/>
            <w:vAlign w:val="bottom"/>
            <w:gridSpan w:val="2"/>
          </w:tcPr>
          <w:p>
            <w:pPr>
              <w:jc w:val="right"/>
              <w:ind w:right="241"/>
              <w:spacing w:after="0"/>
              <w:rPr>
                <w:sz w:val="20"/>
                <w:szCs w:val="20"/>
                <w:color w:val="auto"/>
              </w:rPr>
            </w:pPr>
            <w:r>
              <w:rPr>
                <w:rFonts w:ascii="Arial" w:cs="Arial" w:eastAsia="Arial" w:hAnsi="Arial"/>
                <w:sz w:val="18"/>
                <w:szCs w:val="18"/>
                <w:color w:val="auto"/>
              </w:rPr>
              <w:t>8,671</w:t>
            </w:r>
          </w:p>
        </w:tc>
        <w:tc>
          <w:tcPr>
            <w:tcW w:w="18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13,215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Balance -January 1, 2023</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43,272,728</w:t>
            </w:r>
          </w:p>
        </w:tc>
        <w:tc>
          <w:tcPr>
            <w:tcW w:w="760" w:type="dxa"/>
            <w:vAlign w:val="bottom"/>
          </w:tcPr>
          <w:p>
            <w:pPr>
              <w:spacing w:after="0"/>
              <w:rPr>
                <w:sz w:val="18"/>
                <w:szCs w:val="18"/>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38,461</w:t>
            </w:r>
          </w:p>
        </w:tc>
        <w:tc>
          <w:tcPr>
            <w:tcW w:w="120" w:type="dxa"/>
            <w:vAlign w:val="bottom"/>
          </w:tcPr>
          <w:p>
            <w:pPr>
              <w:spacing w:after="0"/>
              <w:rPr>
                <w:sz w:val="18"/>
                <w:szCs w:val="18"/>
                <w:color w:val="auto"/>
              </w:rPr>
            </w:pPr>
          </w:p>
        </w:tc>
        <w:tc>
          <w:tcPr>
            <w:tcW w:w="1100" w:type="dxa"/>
            <w:vAlign w:val="bottom"/>
            <w:gridSpan w:val="2"/>
          </w:tcPr>
          <w:p>
            <w:pPr>
              <w:jc w:val="right"/>
              <w:ind w:right="181"/>
              <w:spacing w:after="0"/>
              <w:rPr>
                <w:sz w:val="20"/>
                <w:szCs w:val="20"/>
                <w:color w:val="auto"/>
              </w:rPr>
            </w:pPr>
            <w:r>
              <w:rPr>
                <w:rFonts w:ascii="Arial" w:cs="Arial" w:eastAsia="Arial" w:hAnsi="Arial"/>
                <w:sz w:val="18"/>
                <w:szCs w:val="18"/>
                <w:color w:val="auto"/>
              </w:rPr>
              <w:t>(27,133)</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11,332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4,892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Common stock issued in public</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offering (ATM), net of costs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73,500</w:t>
            </w:r>
          </w:p>
        </w:tc>
        <w:tc>
          <w:tcPr>
            <w:tcW w:w="760" w:type="dxa"/>
            <w:vAlign w:val="bottom"/>
          </w:tcPr>
          <w:p>
            <w:pPr>
              <w:spacing w:after="0"/>
              <w:rPr>
                <w:sz w:val="20"/>
                <w:szCs w:val="20"/>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0"/>
                <w:szCs w:val="20"/>
                <w:color w:val="auto"/>
              </w:rPr>
            </w:pPr>
          </w:p>
        </w:tc>
        <w:tc>
          <w:tcPr>
            <w:tcW w:w="11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36,009</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Exercise of public warrants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64,971</w:t>
            </w:r>
          </w:p>
        </w:tc>
        <w:tc>
          <w:tcPr>
            <w:tcW w:w="760" w:type="dxa"/>
            <w:vAlign w:val="bottom"/>
          </w:tcPr>
          <w:p>
            <w:pPr>
              <w:spacing w:after="0"/>
              <w:rPr>
                <w:sz w:val="18"/>
                <w:szCs w:val="18"/>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Cashless exercise of liability</w:t>
            </w: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classified warrants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2,348,294</w:t>
            </w:r>
          </w:p>
        </w:tc>
        <w:tc>
          <w:tcPr>
            <w:tcW w:w="7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10,166</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10,167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4,487</w:t>
            </w:r>
          </w:p>
        </w:tc>
        <w:tc>
          <w:tcPr>
            <w:tcW w:w="120" w:type="dxa"/>
            <w:vAlign w:val="bottom"/>
          </w:tcPr>
          <w:p>
            <w:pPr>
              <w:spacing w:after="0"/>
              <w:rPr>
                <w:sz w:val="20"/>
                <w:szCs w:val="20"/>
                <w:color w:val="auto"/>
              </w:rPr>
            </w:pPr>
          </w:p>
        </w:tc>
        <w:tc>
          <w:tcPr>
            <w:tcW w:w="11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4,487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820" w:type="dxa"/>
            <w:vAlign w:val="bottom"/>
          </w:tcPr>
          <w:p>
            <w:pPr>
              <w:spacing w:after="0"/>
              <w:rPr>
                <w:sz w:val="20"/>
                <w:szCs w:val="20"/>
                <w:color w:val="auto"/>
              </w:rPr>
            </w:pPr>
            <w:r>
              <w:rPr>
                <w:rFonts w:ascii="Arial" w:cs="Arial" w:eastAsia="Arial" w:hAnsi="Arial"/>
                <w:sz w:val="18"/>
                <w:szCs w:val="18"/>
                <w:b w:val="1"/>
                <w:bCs w:val="1"/>
                <w:color w:val="auto"/>
              </w:rPr>
              <w:t>Balance – March 31, 2023</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45,795,502</w:t>
            </w: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54,551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1"/>
              <w:spacing w:after="0"/>
              <w:rPr>
                <w:sz w:val="20"/>
                <w:szCs w:val="20"/>
                <w:color w:val="auto"/>
              </w:rPr>
            </w:pPr>
            <w:r>
              <w:rPr>
                <w:rFonts w:ascii="Arial" w:cs="Arial" w:eastAsia="Arial" w:hAnsi="Arial"/>
                <w:sz w:val="18"/>
                <w:szCs w:val="18"/>
                <w:color w:val="auto"/>
              </w:rPr>
              <w:t>(22,241)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32,315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8"/>
                <w:szCs w:val="8"/>
                <w:color w:val="auto"/>
                <w:w w:val="73"/>
              </w:rPr>
              <w:t>-</w:t>
            </w:r>
          </w:p>
        </w:tc>
        <w:tc>
          <w:tcPr>
            <w:tcW w:w="3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(11,700)</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(11,700)</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Common stock issued in public</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offering, net of costs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11,405,000</w:t>
            </w:r>
          </w:p>
        </w:tc>
        <w:tc>
          <w:tcPr>
            <w:tcW w:w="760" w:type="dxa"/>
            <w:vAlign w:val="bottom"/>
          </w:tcPr>
          <w:p>
            <w:pPr>
              <w:spacing w:after="0"/>
              <w:rPr>
                <w:sz w:val="20"/>
                <w:szCs w:val="20"/>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7,877</w:t>
            </w:r>
          </w:p>
        </w:tc>
        <w:tc>
          <w:tcPr>
            <w:tcW w:w="120" w:type="dxa"/>
            <w:vAlign w:val="bottom"/>
          </w:tcPr>
          <w:p>
            <w:pPr>
              <w:spacing w:after="0"/>
              <w:rPr>
                <w:sz w:val="20"/>
                <w:szCs w:val="20"/>
                <w:color w:val="auto"/>
              </w:rPr>
            </w:pPr>
          </w:p>
        </w:tc>
        <w:tc>
          <w:tcPr>
            <w:tcW w:w="11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7,878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in public</w:t>
            </w: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offering (ATM), net of costs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7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69,012</w:t>
            </w:r>
          </w:p>
        </w:tc>
        <w:tc>
          <w:tcPr>
            <w:tcW w:w="760" w:type="dxa"/>
            <w:vAlign w:val="bottom"/>
          </w:tcPr>
          <w:p>
            <w:pPr>
              <w:spacing w:after="0"/>
              <w:rPr>
                <w:sz w:val="18"/>
                <w:szCs w:val="18"/>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Cashless exercise of liability</w:t>
            </w: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classified warrants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748,029</w:t>
            </w:r>
          </w:p>
        </w:tc>
        <w:tc>
          <w:tcPr>
            <w:tcW w:w="7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2,462</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Shares issued for vested restricted</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stock units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461,998</w:t>
            </w:r>
          </w:p>
        </w:tc>
        <w:tc>
          <w:tcPr>
            <w:tcW w:w="760" w:type="dxa"/>
            <w:vAlign w:val="bottom"/>
          </w:tcPr>
          <w:p>
            <w:pPr>
              <w:spacing w:after="0"/>
              <w:rPr>
                <w:sz w:val="20"/>
                <w:szCs w:val="20"/>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Balance - June 30, 2023</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8"/>
                <w:szCs w:val="8"/>
                <w:color w:val="auto"/>
                <w:w w:val="73"/>
              </w:rPr>
              <w:t>-</w:t>
            </w: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58,504,541</w:t>
            </w:r>
          </w:p>
        </w:tc>
        <w:tc>
          <w:tcPr>
            <w:tcW w:w="32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w:t>
            </w: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66,148</w:t>
            </w: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(33,941</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32,213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and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ind w:left="340" w:right="2340"/>
        <w:spacing w:after="0" w:line="263" w:lineRule="auto"/>
        <w:rPr>
          <w:sz w:val="20"/>
          <w:szCs w:val="20"/>
          <w:color w:val="auto"/>
        </w:rPr>
      </w:pPr>
      <w:r>
        <w:rPr>
          <w:rFonts w:ascii="Arial" w:cs="Arial" w:eastAsia="Arial" w:hAnsi="Arial"/>
          <w:sz w:val="18"/>
          <w:szCs w:val="18"/>
          <w:b w:val="1"/>
          <w:bCs w:val="1"/>
          <w:color w:val="auto"/>
        </w:rPr>
        <w:t>DRAGONFLY ENERGY HOLDINGS CORP. UNAUDITED CONDENSED CONSOLIDATED STATEMENTS OF CASH FLOWS FOR THE SIX MONTHS ENDED JUNE 30, 2023 AND 2022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80" w:type="dxa"/>
            <w:vAlign w:val="bottom"/>
          </w:tcPr>
          <w:p>
            <w:pPr>
              <w:spacing w:after="0"/>
              <w:rPr>
                <w:sz w:val="20"/>
                <w:szCs w:val="20"/>
                <w:color w:val="auto"/>
              </w:rPr>
            </w:pPr>
          </w:p>
        </w:tc>
        <w:tc>
          <w:tcPr>
            <w:tcW w:w="2860" w:type="dxa"/>
            <w:vAlign w:val="bottom"/>
            <w:gridSpan w:val="2"/>
          </w:tcPr>
          <w:p>
            <w:pPr>
              <w:jc w:val="right"/>
              <w:ind w:right="120"/>
              <w:spacing w:after="0"/>
              <w:rPr>
                <w:sz w:val="20"/>
                <w:szCs w:val="20"/>
                <w:color w:val="auto"/>
              </w:rPr>
            </w:pPr>
            <w:r>
              <w:rPr>
                <w:rFonts w:ascii="Arial" w:cs="Arial" w:eastAsia="Arial" w:hAnsi="Arial"/>
                <w:sz w:val="18"/>
                <w:szCs w:val="18"/>
                <w:color w:val="auto"/>
              </w:rPr>
              <w:t>2023</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0"/>
                <w:szCs w:val="20"/>
                <w:color w:val="auto"/>
              </w:rPr>
            </w:pPr>
          </w:p>
        </w:tc>
      </w:tr>
      <w:tr>
        <w:trPr>
          <w:trHeight w:val="216"/>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Net Loss</w:t>
            </w:r>
          </w:p>
        </w:tc>
        <w:tc>
          <w:tcPr>
            <w:tcW w:w="2860" w:type="dxa"/>
            <w:vAlign w:val="bottom"/>
            <w:gridSpan w:val="2"/>
          </w:tcPr>
          <w:p>
            <w:pPr>
              <w:jc w:val="right"/>
              <w:ind w:right="116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(6,808)   $</w:t>
            </w:r>
          </w:p>
        </w:tc>
        <w:tc>
          <w:tcPr>
            <w:tcW w:w="1580" w:type="dxa"/>
            <w:vAlign w:val="bottom"/>
            <w:gridSpan w:val="2"/>
          </w:tcPr>
          <w:p>
            <w:pPr>
              <w:jc w:val="right"/>
              <w:ind w:right="1"/>
              <w:spacing w:after="0"/>
              <w:rPr>
                <w:sz w:val="20"/>
                <w:szCs w:val="20"/>
                <w:color w:val="auto"/>
              </w:rPr>
            </w:pPr>
            <w:r>
              <w:rPr>
                <w:rFonts w:ascii="Arial" w:cs="Arial" w:eastAsia="Arial" w:hAnsi="Arial"/>
                <w:sz w:val="18"/>
                <w:szCs w:val="18"/>
                <w:color w:val="auto"/>
              </w:rPr>
              <w:t>(3,767)</w:t>
            </w:r>
          </w:p>
        </w:tc>
      </w:tr>
      <w:tr>
        <w:trPr>
          <w:trHeight w:val="216"/>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w:t>
            </w:r>
          </w:p>
        </w:tc>
        <w:tc>
          <w:tcPr>
            <w:tcW w:w="16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Used in Operating Activities</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based compensation</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5,441</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719</w:t>
            </w: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Amortization of debt discount</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Arial" w:cs="Arial" w:eastAsia="Arial" w:hAnsi="Arial"/>
                <w:sz w:val="18"/>
                <w:szCs w:val="18"/>
                <w:color w:val="auto"/>
              </w:rPr>
              <w:t>620</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1,196</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market value of warrant liability</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(19,327)</w:t>
            </w: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Deferred tax liability</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580" w:type="dxa"/>
            <w:vAlign w:val="bottom"/>
            <w:gridSpan w:val="2"/>
          </w:tcPr>
          <w:p>
            <w:pPr>
              <w:jc w:val="right"/>
              <w:ind w:right="1"/>
              <w:spacing w:after="0"/>
              <w:rPr>
                <w:sz w:val="20"/>
                <w:szCs w:val="20"/>
                <w:color w:val="auto"/>
              </w:rPr>
            </w:pPr>
            <w:r>
              <w:rPr>
                <w:rFonts w:ascii="Arial" w:cs="Arial" w:eastAsia="Arial" w:hAnsi="Arial"/>
                <w:sz w:val="18"/>
                <w:szCs w:val="18"/>
                <w:color w:val="auto"/>
              </w:rPr>
              <w:t>(819)</w:t>
            </w: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interest expense (Paid-in Kind)</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2,510</w:t>
            </w: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Provision for doubtful accounts</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Arial" w:cs="Arial" w:eastAsia="Arial" w:hAnsi="Arial"/>
                <w:sz w:val="18"/>
                <w:szCs w:val="18"/>
                <w:color w:val="auto"/>
              </w:rPr>
              <w:t>93</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593</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389</w:t>
            </w: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Loss on disposal of property and equipment</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Arial" w:cs="Arial" w:eastAsia="Arial" w:hAnsi="Arial"/>
                <w:sz w:val="18"/>
                <w:szCs w:val="18"/>
                <w:color w:val="auto"/>
              </w:rPr>
              <w:t>116</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(821)</w:t>
            </w:r>
          </w:p>
        </w:tc>
        <w:tc>
          <w:tcPr>
            <w:tcW w:w="440" w:type="dxa"/>
            <w:vAlign w:val="bottom"/>
          </w:tcPr>
          <w:p>
            <w:pPr>
              <w:spacing w:after="0"/>
              <w:rPr>
                <w:sz w:val="18"/>
                <w:szCs w:val="18"/>
                <w:color w:val="auto"/>
              </w:rPr>
            </w:pPr>
          </w:p>
        </w:tc>
        <w:tc>
          <w:tcPr>
            <w:tcW w:w="1580" w:type="dxa"/>
            <w:vAlign w:val="bottom"/>
            <w:gridSpan w:val="2"/>
          </w:tcPr>
          <w:p>
            <w:pPr>
              <w:jc w:val="right"/>
              <w:ind w:right="1"/>
              <w:spacing w:after="0"/>
              <w:rPr>
                <w:sz w:val="20"/>
                <w:szCs w:val="20"/>
                <w:color w:val="auto"/>
              </w:rPr>
            </w:pPr>
            <w:r>
              <w:rPr>
                <w:rFonts w:ascii="Arial" w:cs="Arial" w:eastAsia="Arial" w:hAnsi="Arial"/>
                <w:sz w:val="18"/>
                <w:szCs w:val="18"/>
                <w:color w:val="auto"/>
              </w:rPr>
              <w:t>(3,876)</w:t>
            </w: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5,648</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(15,141)</w:t>
            </w: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Arial" w:cs="Arial" w:eastAsia="Arial" w:hAnsi="Arial"/>
                <w:sz w:val="18"/>
                <w:szCs w:val="18"/>
                <w:color w:val="auto"/>
              </w:rPr>
              <w:t>425</w:t>
            </w:r>
          </w:p>
        </w:tc>
        <w:tc>
          <w:tcPr>
            <w:tcW w:w="440" w:type="dxa"/>
            <w:vAlign w:val="bottom"/>
          </w:tcPr>
          <w:p>
            <w:pPr>
              <w:spacing w:after="0"/>
              <w:rPr>
                <w:sz w:val="18"/>
                <w:szCs w:val="18"/>
                <w:color w:val="auto"/>
              </w:rPr>
            </w:pPr>
          </w:p>
        </w:tc>
        <w:tc>
          <w:tcPr>
            <w:tcW w:w="1580" w:type="dxa"/>
            <w:vAlign w:val="bottom"/>
            <w:gridSpan w:val="2"/>
          </w:tcPr>
          <w:p>
            <w:pPr>
              <w:jc w:val="right"/>
              <w:ind w:right="1"/>
              <w:spacing w:after="0"/>
              <w:rPr>
                <w:sz w:val="20"/>
                <w:szCs w:val="20"/>
                <w:color w:val="auto"/>
              </w:rPr>
            </w:pPr>
            <w:r>
              <w:rPr>
                <w:rFonts w:ascii="Arial" w:cs="Arial" w:eastAsia="Arial" w:hAnsi="Arial"/>
                <w:sz w:val="18"/>
                <w:szCs w:val="18"/>
                <w:color w:val="auto"/>
              </w:rPr>
              <w:t>(1,236)</w:t>
            </w: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inventory</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(940)</w:t>
            </w: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18"/>
                <w:szCs w:val="18"/>
                <w:color w:val="auto"/>
              </w:rPr>
            </w:pPr>
          </w:p>
        </w:tc>
        <w:tc>
          <w:tcPr>
            <w:tcW w:w="1580" w:type="dxa"/>
            <w:vAlign w:val="bottom"/>
            <w:gridSpan w:val="2"/>
          </w:tcPr>
          <w:p>
            <w:pPr>
              <w:jc w:val="right"/>
              <w:ind w:right="1"/>
              <w:spacing w:after="0"/>
              <w:rPr>
                <w:sz w:val="20"/>
                <w:szCs w:val="20"/>
                <w:color w:val="auto"/>
              </w:rPr>
            </w:pPr>
            <w:r>
              <w:rPr>
                <w:rFonts w:ascii="Arial" w:cs="Arial" w:eastAsia="Arial" w:hAnsi="Arial"/>
                <w:sz w:val="18"/>
                <w:szCs w:val="18"/>
                <w:color w:val="auto"/>
              </w:rPr>
              <w:t>(1,962)</w:t>
            </w: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601</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551</w:t>
            </w: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1580" w:type="dxa"/>
            <w:vAlign w:val="bottom"/>
            <w:gridSpan w:val="2"/>
          </w:tcPr>
          <w:p>
            <w:pPr>
              <w:jc w:val="right"/>
              <w:ind w:right="1"/>
              <w:spacing w:after="0"/>
              <w:rPr>
                <w:sz w:val="20"/>
                <w:szCs w:val="20"/>
                <w:color w:val="auto"/>
              </w:rPr>
            </w:pPr>
            <w:r>
              <w:rPr>
                <w:rFonts w:ascii="Arial" w:cs="Arial" w:eastAsia="Arial" w:hAnsi="Arial"/>
                <w:sz w:val="18"/>
                <w:szCs w:val="18"/>
                <w:color w:val="auto"/>
              </w:rPr>
              <w:t>(973)</w:t>
            </w: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6,272</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820</w:t>
            </w:r>
          </w:p>
        </w:tc>
      </w:tr>
      <w:tr>
        <w:trPr>
          <w:trHeight w:val="237"/>
        </w:trPr>
        <w:tc>
          <w:tcPr>
            <w:tcW w:w="5380" w:type="dxa"/>
            <w:vAlign w:val="bottom"/>
          </w:tcPr>
          <w:p>
            <w:pPr>
              <w:ind w:left="360"/>
              <w:spacing w:after="0"/>
              <w:rPr>
                <w:sz w:val="20"/>
                <w:szCs w:val="20"/>
                <w:color w:val="auto"/>
              </w:rPr>
            </w:pPr>
            <w:r>
              <w:rPr>
                <w:rFonts w:ascii="Arial" w:cs="Arial" w:eastAsia="Arial" w:hAnsi="Arial"/>
                <w:sz w:val="18"/>
                <w:szCs w:val="18"/>
                <w:color w:val="auto"/>
              </w:rPr>
              <w:t>Customer deposits</w:t>
            </w:r>
          </w:p>
        </w:tc>
        <w:tc>
          <w:tcPr>
            <w:tcW w:w="1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(86)</w:t>
            </w:r>
          </w:p>
        </w:tc>
        <w:tc>
          <w:tcPr>
            <w:tcW w:w="440" w:type="dxa"/>
            <w:vAlign w:val="bottom"/>
          </w:tcPr>
          <w:p>
            <w:pPr>
              <w:spacing w:after="0"/>
              <w:rPr>
                <w:sz w:val="20"/>
                <w:szCs w:val="20"/>
                <w:color w:val="auto"/>
              </w:rPr>
            </w:pPr>
          </w:p>
        </w:tc>
        <w:tc>
          <w:tcPr>
            <w:tcW w:w="1580" w:type="dxa"/>
            <w:vAlign w:val="bottom"/>
            <w:gridSpan w:val="2"/>
          </w:tcPr>
          <w:p>
            <w:pPr>
              <w:jc w:val="right"/>
              <w:ind w:right="1"/>
              <w:spacing w:after="0"/>
              <w:rPr>
                <w:sz w:val="20"/>
                <w:szCs w:val="20"/>
                <w:color w:val="auto"/>
              </w:rPr>
            </w:pPr>
            <w:r>
              <w:rPr>
                <w:rFonts w:ascii="Arial" w:cs="Arial" w:eastAsia="Arial" w:hAnsi="Arial"/>
                <w:sz w:val="18"/>
                <w:szCs w:val="18"/>
                <w:color w:val="auto"/>
              </w:rPr>
              <w:t>(183)</w:t>
            </w:r>
          </w:p>
        </w:tc>
      </w:tr>
      <w:tr>
        <w:trPr>
          <w:trHeight w:val="236"/>
        </w:trPr>
        <w:tc>
          <w:tcPr>
            <w:tcW w:w="538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Adjustments</w:t>
            </w:r>
          </w:p>
        </w:tc>
        <w:tc>
          <w:tcPr>
            <w:tcW w:w="16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(16,145</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8"/>
                <w:szCs w:val="8"/>
                <w:color w:val="auto"/>
                <w:w w:val="73"/>
              </w:rPr>
              <w:t>)</w:t>
            </w:r>
          </w:p>
        </w:tc>
      </w:tr>
      <w:tr>
        <w:trPr>
          <w:trHeight w:val="210"/>
        </w:trPr>
        <w:tc>
          <w:tcPr>
            <w:tcW w:w="5380" w:type="dxa"/>
            <w:vAlign w:val="bottom"/>
            <w:tcBorders>
              <w:bottom w:val="single" w:sz="8" w:color="CCEEFF"/>
            </w:tcBorders>
          </w:tcPr>
          <w:p>
            <w:pPr>
              <w:ind w:left="720"/>
              <w:spacing w:after="0" w:line="203" w:lineRule="exact"/>
              <w:rPr>
                <w:sz w:val="20"/>
                <w:szCs w:val="20"/>
                <w:color w:val="auto"/>
              </w:rPr>
            </w:pPr>
            <w:r>
              <w:rPr>
                <w:rFonts w:ascii="Arial" w:cs="Arial" w:eastAsia="Arial" w:hAnsi="Arial"/>
                <w:sz w:val="18"/>
                <w:szCs w:val="18"/>
                <w:color w:val="auto"/>
              </w:rPr>
              <w:t>Net Cash Used in Operating Activities</w:t>
            </w:r>
          </w:p>
        </w:tc>
        <w:tc>
          <w:tcPr>
            <w:tcW w:w="16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(5,639</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(19,912</w:t>
            </w:r>
          </w:p>
        </w:tc>
        <w:tc>
          <w:tcPr>
            <w:tcW w:w="80" w:type="dxa"/>
            <w:vAlign w:val="bottom"/>
            <w:tcBorders>
              <w:bottom w:val="single" w:sz="8" w:color="CCEEFF"/>
            </w:tcBorders>
          </w:tcPr>
          <w:p>
            <w:pPr>
              <w:jc w:val="right"/>
              <w:ind w:right="1"/>
              <w:spacing w:after="0"/>
              <w:rPr>
                <w:sz w:val="20"/>
                <w:szCs w:val="20"/>
                <w:color w:val="auto"/>
              </w:rPr>
            </w:pPr>
            <w:r>
              <w:rPr>
                <w:rFonts w:ascii="Arial" w:cs="Arial" w:eastAsia="Arial" w:hAnsi="Arial"/>
                <w:sz w:val="8"/>
                <w:szCs w:val="8"/>
                <w:color w:val="auto"/>
                <w:w w:val="73"/>
              </w:rPr>
              <w:t>)</w:t>
            </w:r>
          </w:p>
        </w:tc>
      </w:tr>
      <w:tr>
        <w:trPr>
          <w:trHeight w:val="216"/>
        </w:trPr>
        <w:tc>
          <w:tcPr>
            <w:tcW w:w="5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16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(2,571)</w:t>
            </w: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(4,819)</w:t>
            </w:r>
          </w:p>
        </w:tc>
      </w:tr>
      <w:tr>
        <w:trPr>
          <w:trHeight w:val="203"/>
        </w:trPr>
        <w:tc>
          <w:tcPr>
            <w:tcW w:w="5380" w:type="dxa"/>
            <w:vAlign w:val="bottom"/>
            <w:tcBorders>
              <w:top w:val="single" w:sz="8" w:color="CCEEFF"/>
            </w:tcBorders>
          </w:tcPr>
          <w:p>
            <w:pPr>
              <w:ind w:left="720"/>
              <w:spacing w:after="0" w:line="203" w:lineRule="exact"/>
              <w:rPr>
                <w:sz w:val="20"/>
                <w:szCs w:val="20"/>
                <w:color w:val="auto"/>
              </w:rPr>
            </w:pPr>
            <w:r>
              <w:rPr>
                <w:rFonts w:ascii="Arial" w:cs="Arial" w:eastAsia="Arial" w:hAnsi="Arial"/>
                <w:sz w:val="18"/>
                <w:szCs w:val="18"/>
                <w:color w:val="auto"/>
              </w:rPr>
              <w:t>Net Cash Used in Investing Activities</w:t>
            </w:r>
          </w:p>
        </w:tc>
        <w:tc>
          <w:tcPr>
            <w:tcW w:w="160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(2,571</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(4,819</w:t>
            </w:r>
          </w:p>
        </w:tc>
        <w:tc>
          <w:tcPr>
            <w:tcW w:w="80" w:type="dxa"/>
            <w:vAlign w:val="bottom"/>
            <w:tcBorders>
              <w:top w:val="single" w:sz="8" w:color="CCEEFF"/>
            </w:tcBorders>
          </w:tcPr>
          <w:p>
            <w:pPr>
              <w:jc w:val="right"/>
              <w:ind w:right="1"/>
              <w:spacing w:after="0"/>
              <w:rPr>
                <w:sz w:val="20"/>
                <w:szCs w:val="20"/>
                <w:color w:val="auto"/>
              </w:rPr>
            </w:pPr>
            <w:r>
              <w:rPr>
                <w:rFonts w:ascii="Arial" w:cs="Arial" w:eastAsia="Arial" w:hAnsi="Arial"/>
                <w:sz w:val="8"/>
                <w:szCs w:val="8"/>
                <w:color w:val="auto"/>
                <w:w w:val="73"/>
              </w:rPr>
              <w:t>)</w:t>
            </w:r>
          </w:p>
        </w:tc>
      </w:tr>
      <w:tr>
        <w:trPr>
          <w:trHeight w:val="27"/>
        </w:trPr>
        <w:tc>
          <w:tcPr>
            <w:tcW w:w="5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5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and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(continued from previous page)</w:t>
            </w:r>
          </w:p>
        </w:tc>
        <w:tc>
          <w:tcPr>
            <w:tcW w:w="15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Proceeds from public offering, net</w:t>
            </w: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22,002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offering costs</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Proceeds from public offering (ATM), net</w:t>
            </w: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note payable, related party</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Repayment of note payable, related party</w:t>
            </w: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public warrants</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480" w:type="dxa"/>
            <w:vAlign w:val="bottom"/>
          </w:tcPr>
          <w:p>
            <w:pPr>
              <w:ind w:left="180"/>
              <w:spacing w:after="0"/>
              <w:rPr>
                <w:sz w:val="20"/>
                <w:szCs w:val="20"/>
                <w:color w:val="auto"/>
              </w:rPr>
            </w:pPr>
            <w:r>
              <w:rPr>
                <w:rFonts w:ascii="Arial" w:cs="Arial" w:eastAsia="Arial" w:hAnsi="Arial"/>
                <w:sz w:val="18"/>
                <w:szCs w:val="18"/>
                <w:color w:val="auto"/>
              </w:rPr>
              <w:t>Proceeds from exercise of options</w:t>
            </w: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15,171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(24,531)</w:t>
            </w: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Beginning cash</w:t>
            </w: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17,781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28,630</w:t>
            </w:r>
          </w:p>
        </w:tc>
        <w:tc>
          <w:tcPr>
            <w:tcW w:w="0" w:type="dxa"/>
            <w:vAlign w:val="bottom"/>
          </w:tcPr>
          <w:p>
            <w:pPr>
              <w:spacing w:after="0"/>
              <w:rPr>
                <w:sz w:val="1"/>
                <w:szCs w:val="1"/>
                <w:color w:val="auto"/>
              </w:rPr>
            </w:pPr>
          </w:p>
        </w:tc>
      </w:tr>
      <w:tr>
        <w:trPr>
          <w:trHeight w:val="229"/>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cash</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480" w:type="dxa"/>
            <w:vAlign w:val="bottom"/>
          </w:tcPr>
          <w:p>
            <w:pPr>
              <w:ind w:left="360"/>
              <w:spacing w:after="0"/>
              <w:rPr>
                <w:sz w:val="20"/>
                <w:szCs w:val="20"/>
                <w:color w:val="auto"/>
              </w:rPr>
            </w:pPr>
            <w:r>
              <w:rPr>
                <w:rFonts w:ascii="Arial" w:cs="Arial" w:eastAsia="Arial" w:hAnsi="Arial"/>
                <w:sz w:val="18"/>
                <w:szCs w:val="18"/>
                <w:color w:val="auto"/>
              </w:rPr>
              <w:t>Cash paid for income taxes</w:t>
            </w:r>
          </w:p>
        </w:tc>
        <w:tc>
          <w:tcPr>
            <w:tcW w:w="1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237</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5480" w:type="dxa"/>
            <w:vAlign w:val="bottom"/>
            <w:tcBorders>
              <w:top w:val="single" w:sz="8" w:color="CCEEFF"/>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Cash paid for interest</w:t>
            </w:r>
          </w:p>
        </w:tc>
        <w:tc>
          <w:tcPr>
            <w:tcW w:w="15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4,361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Supplemental Non-Cash Items</w:t>
            </w:r>
          </w:p>
        </w:tc>
        <w:tc>
          <w:tcPr>
            <w:tcW w:w="1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 of options exercised</w:t>
            </w:r>
          </w:p>
        </w:tc>
        <w:tc>
          <w:tcPr>
            <w:tcW w:w="19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Purchases of property and equipment, not yet paid</w:t>
            </w:r>
          </w:p>
        </w:tc>
        <w:tc>
          <w:tcPr>
            <w:tcW w:w="150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80" w:type="dxa"/>
            <w:vAlign w:val="bottom"/>
            <w:tcBorders>
              <w:bottom w:val="single" w:sz="8" w:color="CCEEFF"/>
            </w:tcBorders>
            <w:vMerge w:val="continue"/>
          </w:tcPr>
          <w:p>
            <w:pPr>
              <w:spacing w:after="0"/>
              <w:rPr>
                <w:sz w:val="20"/>
                <w:szCs w:val="20"/>
                <w:color w:val="auto"/>
              </w:rPr>
            </w:pPr>
          </w:p>
        </w:tc>
        <w:tc>
          <w:tcPr>
            <w:tcW w:w="150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3,583</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480" w:type="dxa"/>
            <w:vAlign w:val="bottom"/>
            <w:tcBorders>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Cashless exercise of liability classified warrants</w:t>
            </w:r>
          </w:p>
        </w:tc>
        <w:tc>
          <w:tcPr>
            <w:tcW w:w="15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12,628</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and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Dragonfly Energy Holdings Corp. (“New Dragonfly” or the “Company”) sells lithium-ion battery packs for use in a wide variety of applications. The Company sells to distributors under the Dragonfly Energy brand name, and sells direct to consumers under the trade name Battleborn Batteries. In addition, the Company develops technology for improved lithium-ion battery manufacturing and assembly methods.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7, 2022, a merger transaction between Chardan NexTech Acquisition 2 Corporation (“CNTQ”), Dragonfly Energy Corp. (“Legacy Dragonfly”), and Bronco Merger Sub, Inc. (“Merger Sub”) was completed pursuant to which Merger Sub was merged with and into Legacy Dragonfly, with Legacy Dragonfly surviving the merger. As a result of the merger, Legacy Dragonfly became a wholly owned subsidiary of New Dragonfly.</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New Dragonfly was the legal acquirer of Legacy Dragonfly in the merger, Legacy Dragonfly was deemed to be the accounting acquirer, and the historical financial statements of Legacy Dragonfly became the basis for the historical financial statements of New Dragonfly upon the closing of the merger. New Dragonfly together with its wholly owned subsidiary, Dragonfly Energy Corp., is referred to hereinafter as the “Company.”</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the historical financial statements of Legacy Dragonfly became the historical financial statements of the Company upon the consummation of the merger. As a result, the financial statements included in this Quarterly Report reflect (i) the historical operating results of Legacy Dragonfly prior to the merger; (ii) the combined results of CNTQ and Legacy Dragonfly following the close of the merger; (iii) the assets and liabilities of Legacy Dragonfly at their historical cost and (iv) the Legacy Dragonfly’s equity structure for all periods presented, as affected by the recapitalization presentation after completion of the merger.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and related notes have been prepared in accordance with accounting principles generally accepted in the United States of America (“U.S. GAAP”) and present the consolidated financial statements of the Company and its wholly owned subsidiary. All significant intercompany transactions and balances are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and related notes have been prepared in accordance with U.S. GAAP for interim financial information, and with the rules and regulations of the United States Securities and Exchange Commission (the “SEC”) set forth in Article 8 of Regulation S X. Accordingly, they do not include all of the information and footnotes required by U.S. GAAP for complete financial statements. The unaudited interim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condensed and consolidated financial statements should be read along with the Annual Report filed of the Company for the annual period ended December 31, 2022. The consolidated balance sheet as of December 31, 2022 was derived from the audited consolidated financial statements as of and for the year then ended.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Going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that might result from the outcome of this uncertainty.</w:t>
      </w:r>
    </w:p>
    <w:p>
      <w:pPr>
        <w:spacing w:after="0" w:line="18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For the six months ended June 30, 2023 and 2022, the Company incurred loss from operations and had negative cash flow from operations. As of June 30, 2023, the Company had $32,952 in cash and working capital of $30,592. The Company’s ability to achieve profitability and positive cash flow depends on its ability to increase revenue, contain its expenses and maintain compliance with the financial covenants in its outstanding indebtedness agreements.</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Company’s senior secured term loan facility in an aggregate principal amount of $75,000 (the “Term Loan”), the Company is obligated to comply with certain financial covenants, which include maintaining a maximum senior leverage ratio, minimum liquidity, a springing fixed charge coverage ratio, and maximum capital expenditures (See Note 6). On March 29, 2023, the Company obtained a waiver from the Term Loan administrative agent and lenders of its failures to satisfy the fixed charge coverage ratio and maximum senior leverage ratio with respect to the minimum cash requirements under the Term Loan during the quarter ended March 31, 2023. While the Company was in compliance with its covenants for the quarter ended June 30, 2023, it is probable that the Company will fail to meet these covenants within the next twelve months.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may need to raise additional debt and/or equity financings to fund our operations,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standards: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June 2016, the Financial Accounting Standards Board (“FASB”) issued Accounting Standards Update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determined that this change does not have a material impact to the financial statements or financial statement disclosures.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recently adopted accounting standards that had a material impact on the Company’s financial statements. There were no recently issued accounting standards not yet adopted which would have a material effect on the Company’s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trade receivables are recorded when billed and represent claims against third parties that will be settled in cash. Generally, payment is due from customers within 30 – 90 days of the invoice date and the contracts do not have significant financing components. Trade accounts receivables are recorded gross and are net of any applicable allowance. The Company has an allowance for doubtful accounts as of June 30, 2023 and December 31, 2022 of $131 and $90,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Inventories (Note 4),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 reserves. Inventory that is in excess of current and projected use is reduced by an allowance to a level that approximates its estimate of future demand. Products that are determined to be obsolete are written down to net realizable value. As of June 30, 2023 and December 31, 2022, no such reserves were necessary.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six months ended June 30, 2023 and 2022 was $593 and $389, respectively. Depreciation expense for the three months ended June 30, 2023 and 2022 was $296 and $197, respectively. The various classes of property and equipment and estimated useful lives are as follows:</w:t>
      </w:r>
    </w:p>
    <w:tbl>
      <w:tblPr>
        <w:tblLayout w:type="fixed"/>
        <w:tblInd w:w="660" w:type="dxa"/>
        <w:tblCellMar>
          <w:top w:w="0" w:type="dxa"/>
          <w:left w:w="0" w:type="dxa"/>
          <w:bottom w:w="0" w:type="dxa"/>
          <w:right w:w="0" w:type="dxa"/>
        </w:tblCellMar>
      </w:tblPr>
      <w:tr>
        <w:trPr>
          <w:trHeight w:val="205"/>
        </w:trPr>
        <w:tc>
          <w:tcPr>
            <w:tcW w:w="3800" w:type="dxa"/>
            <w:vAlign w:val="bottom"/>
          </w:tcPr>
          <w:p>
            <w:pPr>
              <w:spacing w:after="0" w:line="205" w:lineRule="exact"/>
              <w:rPr>
                <w:sz w:val="20"/>
                <w:szCs w:val="20"/>
                <w:color w:val="auto"/>
              </w:rPr>
            </w:pPr>
            <w:r>
              <w:rPr>
                <w:rFonts w:ascii="Arial" w:cs="Arial" w:eastAsia="Arial" w:hAnsi="Arial"/>
                <w:sz w:val="18"/>
                <w:szCs w:val="18"/>
                <w:color w:val="auto"/>
              </w:rPr>
              <w:t>Office furniture and equipment</w:t>
            </w:r>
          </w:p>
        </w:tc>
        <w:tc>
          <w:tcPr>
            <w:tcW w:w="3420" w:type="dxa"/>
            <w:vAlign w:val="bottom"/>
          </w:tcPr>
          <w:p>
            <w:pPr>
              <w:jc w:val="center"/>
              <w:ind w:left="1470"/>
              <w:spacing w:after="0" w:line="205" w:lineRule="exact"/>
              <w:rPr>
                <w:sz w:val="20"/>
                <w:szCs w:val="20"/>
                <w:color w:val="auto"/>
              </w:rPr>
            </w:pPr>
            <w:r>
              <w:rPr>
                <w:rFonts w:ascii="Arial" w:cs="Arial" w:eastAsia="Arial" w:hAnsi="Arial"/>
                <w:sz w:val="18"/>
                <w:szCs w:val="18"/>
                <w:color w:val="auto"/>
                <w:w w:val="87"/>
              </w:rPr>
              <w:t>3 to 7 years</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Vehicles</w:t>
            </w:r>
          </w:p>
        </w:tc>
        <w:tc>
          <w:tcPr>
            <w:tcW w:w="3420" w:type="dxa"/>
            <w:vAlign w:val="bottom"/>
          </w:tcPr>
          <w:p>
            <w:pPr>
              <w:jc w:val="center"/>
              <w:ind w:left="1450"/>
              <w:spacing w:after="0"/>
              <w:rPr>
                <w:sz w:val="20"/>
                <w:szCs w:val="20"/>
                <w:color w:val="auto"/>
              </w:rPr>
            </w:pPr>
            <w:r>
              <w:rPr>
                <w:rFonts w:ascii="Arial" w:cs="Arial" w:eastAsia="Arial" w:hAnsi="Arial"/>
                <w:sz w:val="18"/>
                <w:szCs w:val="18"/>
                <w:color w:val="auto"/>
                <w:w w:val="88"/>
              </w:rPr>
              <w:t>5 years</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420" w:type="dxa"/>
            <w:vAlign w:val="bottom"/>
          </w:tcPr>
          <w:p>
            <w:pPr>
              <w:jc w:val="center"/>
              <w:ind w:left="1470"/>
              <w:spacing w:after="0"/>
              <w:rPr>
                <w:sz w:val="20"/>
                <w:szCs w:val="20"/>
                <w:color w:val="auto"/>
              </w:rPr>
            </w:pPr>
            <w:r>
              <w:rPr>
                <w:rFonts w:ascii="Arial" w:cs="Arial" w:eastAsia="Arial" w:hAnsi="Arial"/>
                <w:sz w:val="18"/>
                <w:szCs w:val="18"/>
                <w:color w:val="auto"/>
                <w:w w:val="87"/>
              </w:rPr>
              <w:t>3 to 7 years</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420" w:type="dxa"/>
            <w:vAlign w:val="bottom"/>
          </w:tcPr>
          <w:p>
            <w:pPr>
              <w:jc w:val="center"/>
              <w:ind w:left="1470"/>
              <w:spacing w:after="0"/>
              <w:rPr>
                <w:sz w:val="20"/>
                <w:szCs w:val="20"/>
                <w:color w:val="auto"/>
              </w:rPr>
            </w:pPr>
            <w:r>
              <w:rPr>
                <w:rFonts w:ascii="Arial" w:cs="Arial" w:eastAsia="Arial" w:hAnsi="Arial"/>
                <w:sz w:val="18"/>
                <w:szCs w:val="18"/>
                <w:color w:val="auto"/>
                <w:w w:val="89"/>
              </w:rPr>
              <w:t>Remaining Term of Lease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Accounting Standards Codification (“ASC”) 480, Distinguishing Liabilities from Equity (“ASC 480”), and ASC 815, Derivatives and Hedging (“ASC 815”),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require equity classification are measured at fair value upon issuance and are not subsequently remeasured unless they are required to be reclassified.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receive payments at the onset of the contract before delivery of goods for customers in the retail channel. Payment terms for distributors and OEMs are typically due within 30-90 days after shipment. In such instances, the Company records a customer deposit liability. The Company recognizes these contract liabilities as sales after the revenue criteria are met. As of June 30, 2023 and December 31, 2022, the contract liability related to the Company’s customer deposits approximated $152 and $238, respectively. The Company recognized $221 of the contract liability pertaining to the year ended December 31, 2022 during the six months ended June 30, 2023. The entire contract liability balance of $434 as of January 1, 2022 was recognized as revenue during the six months ended June 30,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w w:val="89"/>
              </w:rPr>
              <w:t>Disaggregation of Revenue</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52"/>
        </w:trPr>
        <w:tc>
          <w:tcPr>
            <w:tcW w:w="6080" w:type="dxa"/>
            <w:vAlign w:val="bottom"/>
            <w:gridSpan w:val="6"/>
          </w:tcPr>
          <w:p>
            <w:pPr>
              <w:spacing w:after="0"/>
              <w:rPr>
                <w:sz w:val="20"/>
                <w:szCs w:val="20"/>
                <w:color w:val="auto"/>
              </w:rPr>
            </w:pPr>
            <w:r>
              <w:rPr>
                <w:rFonts w:ascii="Arial" w:cs="Arial" w:eastAsia="Arial" w:hAnsi="Arial"/>
                <w:sz w:val="18"/>
                <w:szCs w:val="18"/>
                <w:color w:val="auto"/>
                <w:w w:val="95"/>
              </w:rPr>
              <w:t>The following table present our disaggregated revenues by distribution channel:</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gridSpan w:val="5"/>
          </w:tcPr>
          <w:p>
            <w:pPr>
              <w:ind w:left="60"/>
              <w:spacing w:after="0"/>
              <w:rPr>
                <w:sz w:val="20"/>
                <w:szCs w:val="20"/>
                <w:color w:val="auto"/>
              </w:rPr>
            </w:pPr>
            <w:r>
              <w:rPr>
                <w:rFonts w:ascii="Arial" w:cs="Arial" w:eastAsia="Arial" w:hAnsi="Arial"/>
                <w:sz w:val="18"/>
                <w:szCs w:val="18"/>
                <w:color w:val="auto"/>
              </w:rPr>
              <w:t>For The Three Months Ended June 30,</w:t>
            </w:r>
          </w:p>
        </w:tc>
        <w:tc>
          <w:tcPr>
            <w:tcW w:w="160" w:type="dxa"/>
            <w:vAlign w:val="bottom"/>
          </w:tcPr>
          <w:p>
            <w:pPr>
              <w:spacing w:after="0"/>
              <w:rPr>
                <w:sz w:val="20"/>
                <w:szCs w:val="20"/>
                <w:color w:val="auto"/>
              </w:rPr>
            </w:pPr>
          </w:p>
        </w:tc>
        <w:tc>
          <w:tcPr>
            <w:tcW w:w="3020" w:type="dxa"/>
            <w:vAlign w:val="bottom"/>
            <w:gridSpan w:val="6"/>
          </w:tcPr>
          <w:p>
            <w:pPr>
              <w:ind w:left="80"/>
              <w:spacing w:after="0"/>
              <w:rPr>
                <w:sz w:val="20"/>
                <w:szCs w:val="20"/>
                <w:color w:val="auto"/>
              </w:rPr>
            </w:pPr>
            <w:r>
              <w:rPr>
                <w:rFonts w:ascii="Arial" w:cs="Arial" w:eastAsia="Arial" w:hAnsi="Arial"/>
                <w:sz w:val="18"/>
                <w:szCs w:val="18"/>
                <w:color w:val="auto"/>
              </w:rPr>
              <w:t>For The Six Months Ended June 30,</w:t>
            </w:r>
          </w:p>
        </w:tc>
      </w:tr>
      <w:tr>
        <w:trPr>
          <w:trHeight w:val="237"/>
        </w:trPr>
        <w:tc>
          <w:tcPr>
            <w:tcW w:w="900" w:type="dxa"/>
            <w:vAlign w:val="bottom"/>
          </w:tcPr>
          <w:p>
            <w:pPr>
              <w:spacing w:after="0"/>
              <w:rPr>
                <w:sz w:val="20"/>
                <w:szCs w:val="20"/>
                <w:color w:val="auto"/>
              </w:rPr>
            </w:pPr>
          </w:p>
        </w:tc>
        <w:tc>
          <w:tcPr>
            <w:tcW w:w="3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Sales</w:t>
            </w:r>
          </w:p>
        </w:tc>
        <w:tc>
          <w:tcPr>
            <w:tcW w:w="1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3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28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900" w:type="dxa"/>
            <w:vAlign w:val="bottom"/>
          </w:tcPr>
          <w:p>
            <w:pPr>
              <w:spacing w:after="0"/>
              <w:rPr>
                <w:sz w:val="18"/>
                <w:szCs w:val="18"/>
                <w:color w:val="auto"/>
              </w:rPr>
            </w:pP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Retail</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Distributor</w:t>
            </w:r>
          </w:p>
        </w:tc>
        <w:tc>
          <w:tcPr>
            <w:tcW w:w="1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4,143</w:t>
            </w:r>
          </w:p>
        </w:tc>
        <w:tc>
          <w:tcPr>
            <w:tcW w:w="3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2,534</w:t>
            </w:r>
          </w:p>
        </w:tc>
        <w:tc>
          <w:tcPr>
            <w:tcW w:w="1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7,111</w:t>
            </w:r>
          </w:p>
        </w:tc>
        <w:tc>
          <w:tcPr>
            <w:tcW w:w="3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4,621</w:t>
            </w:r>
          </w:p>
        </w:tc>
        <w:tc>
          <w:tcPr>
            <w:tcW w:w="80" w:type="dxa"/>
            <w:vAlign w:val="bottom"/>
          </w:tcPr>
          <w:p>
            <w:pPr>
              <w:spacing w:after="0"/>
              <w:rPr>
                <w:sz w:val="18"/>
                <w:szCs w:val="18"/>
                <w:color w:val="auto"/>
              </w:rPr>
            </w:pPr>
          </w:p>
        </w:tc>
      </w:tr>
      <w:tr>
        <w:trPr>
          <w:trHeight w:val="249"/>
        </w:trPr>
        <w:tc>
          <w:tcPr>
            <w:tcW w:w="900" w:type="dxa"/>
            <w:vAlign w:val="bottom"/>
          </w:tcPr>
          <w:p>
            <w:pPr>
              <w:spacing w:after="0"/>
              <w:rPr>
                <w:sz w:val="21"/>
                <w:szCs w:val="21"/>
                <w:color w:val="auto"/>
              </w:rPr>
            </w:pP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Original equipment manufacture</w:t>
            </w:r>
          </w:p>
        </w:tc>
        <w:tc>
          <w:tcPr>
            <w:tcW w:w="1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9,302</w:t>
            </w:r>
          </w:p>
        </w:tc>
        <w:tc>
          <w:tcPr>
            <w:tcW w:w="3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7,238</w:t>
            </w:r>
          </w:p>
        </w:tc>
        <w:tc>
          <w:tcPr>
            <w:tcW w:w="1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18,056</w:t>
            </w:r>
          </w:p>
        </w:tc>
        <w:tc>
          <w:tcPr>
            <w:tcW w:w="3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10,419</w:t>
            </w:r>
          </w:p>
        </w:tc>
        <w:tc>
          <w:tcPr>
            <w:tcW w:w="80" w:type="dxa"/>
            <w:vAlign w:val="bottom"/>
            <w:shd w:val="clear" w:color="auto" w:fill="CCEEFF"/>
          </w:tcPr>
          <w:p>
            <w:pPr>
              <w:spacing w:after="0"/>
              <w:rPr>
                <w:sz w:val="21"/>
                <w:szCs w:val="21"/>
                <w:color w:val="auto"/>
              </w:rPr>
            </w:pPr>
          </w:p>
        </w:tc>
      </w:tr>
      <w:tr>
        <w:trPr>
          <w:trHeight w:val="217"/>
        </w:trPr>
        <w:tc>
          <w:tcPr>
            <w:tcW w:w="900" w:type="dxa"/>
            <w:vAlign w:val="bottom"/>
          </w:tcPr>
          <w:p>
            <w:pPr>
              <w:spacing w:after="0"/>
              <w:rPr>
                <w:sz w:val="18"/>
                <w:szCs w:val="18"/>
                <w:color w:val="auto"/>
              </w:rPr>
            </w:pPr>
          </w:p>
        </w:tc>
        <w:tc>
          <w:tcPr>
            <w:tcW w:w="3440" w:type="dxa"/>
            <w:vAlign w:val="bottom"/>
            <w:tcBorders>
              <w:top w:val="single" w:sz="8" w:color="CCEEFF"/>
            </w:tcBorders>
            <w:gridSpan w:val="2"/>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19,274</w:t>
            </w: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21,622</w:t>
            </w: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38,065</w:t>
            </w: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39,925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-1096645</wp:posOffset>
            </wp:positionV>
            <wp:extent cx="285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Shipping and Handling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$1,958 and $2,534 for the six months ended June 30, 2023 and 2022, respectively. Shipping and handling costs associated with outbound freight totaled $951 and $1,306 for the three months ended June 30, 2023 and 2022,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Warranty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our warranties and record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June 30, 2023 and December 31, 2022 to be $329 and $328, respectively.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Concentrations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Receivables from two customers comprised approximately 22% and 20%, respectively, of accounts receivable as of June 30, 2023. Receivables from three customers comprised approximately 18%, 10% and 10%, respectively, of accounts receivable as of December 31, 2022. There are no other significant accounts receivable concentration.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from one customer comprised approximately 26% of revenue for the six months ended June 30, 2023. One customer accounted for approximately 11% of the Company’s total revenue for the six months ended June 30, 2022. Sales from one customer comprised approximately 27% of revenue for the three months ended June 30, 2023. One customer accounted for approximately 15% of the Company’s total revenue for the three months ended June 30, 2022.</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Payables to two vendors comprised approximately 56% and 10%, respectively, of accounts payables as of June 30, 2023. Payables to one vendor comprised approximately 61% of accounts payables as of December 31, 2022.</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June 30, 2023, one vendor accounted for approximately 22% of the Company’s total purchases. For the six months ended June 30, 2022, one vendor accounted for approximately 26% of the Company’s total purchases. For the three months ended June 30, 2023, one vendor accounted for approximately 10% of the Company’s total purchases. For the three months ended June 30, 2022, two vendors accounted for approximately 17% and 15%, respectively, of the Company’s total purchases.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expenses advertising costs as they are incurred and are included in selling and marketing expenses.. Advertising expenses amounted to $1,270 and $1,262 for the six months ended June 30, 2023 and 2022, respectively. Advertising expenses amounted to $683 and $481 for the three months ended June 30, 2023 and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accounts for stock-based compensation arrangements with employees and non-employee consultants using a fair value method which requires the recognition of compensation expense for costs related to all stock-based payments, including stock option</w:t>
      </w:r>
      <w:r>
        <w:rPr>
          <w:rFonts w:ascii="Arial" w:cs="Arial" w:eastAsia="Arial" w:hAnsi="Arial"/>
          <w:sz w:val="16"/>
          <w:szCs w:val="16"/>
          <w:b w:val="1"/>
          <w:bCs w:val="1"/>
          <w:color w:val="auto"/>
        </w:rPr>
        <w:t>s</w:t>
      </w:r>
      <w:r>
        <w:rPr>
          <w:rFonts w:ascii="Arial" w:cs="Arial" w:eastAsia="Arial" w:hAnsi="Arial"/>
          <w:sz w:val="16"/>
          <w:szCs w:val="16"/>
          <w:color w:val="auto"/>
        </w:rPr>
        <w:t xml:space="preserve"> (Note 11). The fair value method requires the Company to estimate the fair value of stock-based payment awards to employees and non-employees on the date of grant using an option pricing model. Stock based compensation costs are based on the fair value of the underlying option calculated using the Black Scholes option pricing model and recognized as expense on a straight-line basis over the requisite service period, which is the vesting period. Restricted stock unit awards are valued based on the closing trading value of the Company’s common stock, par value $0.0001, per share (the “Common Stock”) on the date of grant and then amortized on a straight-line basis over the requisite service period of the award. The Company measures equity-based compensation awards granted to non-employees at fair value as the awards vest and recognizes the resulting value as compensation expense at each financial reporting period.</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income tax assets and liabilities are determined based on the estimated future tax effects of net operating loss, credit carryforwards and temporary differences between the tax basis of assets and liabilities and their respective financial reporting amounts measured at the current enacted tax rates. The Company recognizes a tax benefit for an uncertain tax position only if it is more likely than not that the tax position will be sustained on examination by taxing authorities, based on the technical merits of the position. The Company has a liability of $128 as of June 30, 2023, and December 31, 2022 of uncertain tax positions. The Company’s accounting policy is to include penalties and interest related to income taxes if any, in selling, general and administrative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6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18"/>
          <w:szCs w:val="18"/>
          <w:color w:val="auto"/>
        </w:rPr>
        <w:t>Level 1 inputs are quoted prices (unadjusted) in active markets for identical assets or liabilities.</w:t>
      </w:r>
    </w:p>
    <w:p>
      <w:pPr>
        <w:spacing w:after="0" w:line="28" w:lineRule="exact"/>
        <w:rPr>
          <w:rFonts w:ascii="Arial" w:cs="Arial" w:eastAsia="Arial" w:hAnsi="Arial"/>
          <w:sz w:val="22"/>
          <w:szCs w:val="22"/>
          <w:color w:val="auto"/>
        </w:rPr>
      </w:pPr>
    </w:p>
    <w:p>
      <w:pPr>
        <w:ind w:left="340" w:hanging="332"/>
        <w:spacing w:after="0" w:line="235" w:lineRule="auto"/>
        <w:tabs>
          <w:tab w:leader="none" w:pos="340" w:val="left"/>
        </w:tabs>
        <w:numPr>
          <w:ilvl w:val="0"/>
          <w:numId w:val="3"/>
        </w:numPr>
        <w:rPr>
          <w:rFonts w:ascii="Arial" w:cs="Arial" w:eastAsia="Arial" w:hAnsi="Arial"/>
          <w:sz w:val="19"/>
          <w:szCs w:val="19"/>
          <w:color w:val="auto"/>
        </w:rPr>
      </w:pPr>
      <w:r>
        <w:rPr>
          <w:rFonts w:ascii="Arial" w:cs="Arial" w:eastAsia="Arial" w:hAnsi="Arial"/>
          <w:sz w:val="16"/>
          <w:szCs w:val="16"/>
          <w:color w:val="auto"/>
        </w:rPr>
        <w:t>Level 2 inputs are inputs other than quoted prices included within Level 1 that are observable for a similar asset or liability, either directly or indirectly.</w:t>
      </w:r>
    </w:p>
    <w:p>
      <w:pPr>
        <w:spacing w:after="0" w:line="29" w:lineRule="exact"/>
        <w:rPr>
          <w:rFonts w:ascii="Arial" w:cs="Arial" w:eastAsia="Arial" w:hAnsi="Arial"/>
          <w:sz w:val="19"/>
          <w:szCs w:val="19"/>
          <w:color w:val="auto"/>
        </w:rPr>
      </w:pPr>
    </w:p>
    <w:p>
      <w:pPr>
        <w:ind w:left="340" w:hanging="332"/>
        <w:spacing w:after="0" w:line="224"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18"/>
          <w:szCs w:val="18"/>
          <w:color w:val="auto"/>
        </w:rPr>
        <w:t>Level 3 inputs are unobservable inputs that reflect the Company’s own assumptions about the inputs that market participants would use in pricing the asset or liability.</w:t>
      </w: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assets and liabilities that were measured at fair value in the Condensed Consolidated Balance Sheets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Carrying Amount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Fair Value</w:t>
            </w:r>
          </w:p>
        </w:tc>
        <w:tc>
          <w:tcPr>
            <w:tcW w:w="200" w:type="dxa"/>
            <w:vAlign w:val="bottom"/>
          </w:tcPr>
          <w:p>
            <w:pPr>
              <w:spacing w:after="0"/>
              <w:rPr>
                <w:sz w:val="20"/>
                <w:szCs w:val="20"/>
                <w:color w:val="auto"/>
              </w:rPr>
            </w:pPr>
          </w:p>
        </w:tc>
        <w:tc>
          <w:tcPr>
            <w:tcW w:w="1400" w:type="dxa"/>
            <w:vAlign w:val="bottom"/>
          </w:tcPr>
          <w:p>
            <w:pPr>
              <w:jc w:val="right"/>
              <w:ind w:right="258"/>
              <w:spacing w:after="0"/>
              <w:rPr>
                <w:sz w:val="20"/>
                <w:szCs w:val="20"/>
                <w:color w:val="auto"/>
              </w:rPr>
            </w:pPr>
            <w:r>
              <w:rPr>
                <w:rFonts w:ascii="Arial" w:cs="Arial" w:eastAsia="Arial" w:hAnsi="Arial"/>
                <w:sz w:val="18"/>
                <w:szCs w:val="18"/>
                <w:color w:val="auto"/>
              </w:rPr>
              <w:t>(Level 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color w:val="auto"/>
              </w:rPr>
              <w:t>(Level 3)</w:t>
            </w:r>
          </w:p>
        </w:tc>
      </w:tr>
      <w:tr>
        <w:trPr>
          <w:trHeight w:val="223"/>
        </w:trPr>
        <w:tc>
          <w:tcPr>
            <w:tcW w:w="74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As of June 30, 2023</w:t>
            </w: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196"/>
        </w:trPr>
        <w:tc>
          <w:tcPr>
            <w:tcW w:w="7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Liabilities</w:t>
            </w:r>
          </w:p>
        </w:tc>
        <w:tc>
          <w:tcPr>
            <w:tcW w:w="1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Warrant liability- Term Loan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875</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875</w:t>
            </w:r>
          </w:p>
        </w:tc>
        <w:tc>
          <w:tcPr>
            <w:tcW w:w="1600" w:type="dxa"/>
            <w:vAlign w:val="bottom"/>
            <w:gridSpan w:val="2"/>
          </w:tcPr>
          <w:p>
            <w:pPr>
              <w:jc w:val="right"/>
              <w:ind w:right="1238"/>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320"/>
              <w:spacing w:after="0"/>
              <w:rPr>
                <w:sz w:val="20"/>
                <w:szCs w:val="20"/>
                <w:color w:val="auto"/>
              </w:rPr>
            </w:pPr>
            <w:r>
              <w:rPr>
                <w:rFonts w:ascii="Arial" w:cs="Arial" w:eastAsia="Arial" w:hAnsi="Arial"/>
                <w:sz w:val="16"/>
                <w:szCs w:val="16"/>
                <w:color w:val="auto"/>
                <w:w w:val="74"/>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r>
      <w:tr>
        <w:trPr>
          <w:trHeight w:val="202"/>
        </w:trPr>
        <w:tc>
          <w:tcPr>
            <w:tcW w:w="2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Warrant liability- June public</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w:t>
            </w:r>
          </w:p>
        </w:tc>
        <w:tc>
          <w:tcPr>
            <w:tcW w:w="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13,612</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13,612</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13,612</w:t>
            </w:r>
          </w:p>
        </w:tc>
      </w:tr>
      <w:tr>
        <w:trPr>
          <w:trHeight w:val="202"/>
        </w:trPr>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Warrant liability- Private</w:t>
            </w: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2500" w:type="dxa"/>
            <w:vAlign w:val="bottom"/>
            <w:gridSpan w:val="2"/>
          </w:tcPr>
          <w:p>
            <w:pPr>
              <w:spacing w:after="0"/>
              <w:rPr>
                <w:sz w:val="20"/>
                <w:szCs w:val="20"/>
                <w:color w:val="auto"/>
              </w:rPr>
            </w:pPr>
            <w:r>
              <w:rPr>
                <w:rFonts w:ascii="Arial" w:cs="Arial" w:eastAsia="Arial" w:hAnsi="Arial"/>
                <w:sz w:val="18"/>
                <w:szCs w:val="18"/>
                <w:color w:val="auto"/>
              </w:rPr>
              <w:t>placement warrants</w:t>
            </w:r>
          </w:p>
        </w:tc>
        <w:tc>
          <w:tcPr>
            <w:tcW w:w="8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80" w:type="dxa"/>
            <w:vAlign w:val="bottom"/>
            <w:gridSpan w:val="2"/>
          </w:tcPr>
          <w:p>
            <w:pPr>
              <w:jc w:val="right"/>
              <w:ind w:right="32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2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123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Sheets on a recurring basis as of December 31, 2022: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Carrying Amount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Fair Value</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40" w:type="dxa"/>
            <w:vAlign w:val="bottom"/>
          </w:tcPr>
          <w:p>
            <w:pPr>
              <w:spacing w:after="0"/>
              <w:rPr>
                <w:sz w:val="20"/>
                <w:szCs w:val="20"/>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(Level 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ind w:left="160"/>
              <w:spacing w:after="0"/>
              <w:rPr>
                <w:sz w:val="20"/>
                <w:szCs w:val="20"/>
                <w:color w:val="auto"/>
              </w:rPr>
            </w:pPr>
            <w:r>
              <w:rPr>
                <w:rFonts w:ascii="Arial" w:cs="Arial" w:eastAsia="Arial" w:hAnsi="Arial"/>
                <w:sz w:val="18"/>
                <w:szCs w:val="18"/>
                <w:color w:val="auto"/>
              </w:rPr>
              <w:t>(Level 3)</w:t>
            </w:r>
          </w:p>
        </w:tc>
      </w:tr>
      <w:tr>
        <w:trPr>
          <w:trHeight w:val="223"/>
        </w:trPr>
        <w:tc>
          <w:tcPr>
            <w:tcW w:w="74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080" w:type="dxa"/>
            <w:vAlign w:val="bottom"/>
            <w:tcBorders>
              <w:top w:val="single" w:sz="8" w:color="auto"/>
              <w:bottom w:val="single" w:sz="8" w:color="auto"/>
            </w:tcBorders>
            <w:gridSpan w:val="4"/>
          </w:tcPr>
          <w:p>
            <w:pPr>
              <w:ind w:left="40"/>
              <w:spacing w:after="0"/>
              <w:rPr>
                <w:sz w:val="20"/>
                <w:szCs w:val="20"/>
                <w:color w:val="auto"/>
              </w:rPr>
            </w:pPr>
            <w:r>
              <w:rPr>
                <w:rFonts w:ascii="Arial" w:cs="Arial" w:eastAsia="Arial" w:hAnsi="Arial"/>
                <w:sz w:val="18"/>
                <w:szCs w:val="18"/>
                <w:color w:val="auto"/>
                <w:w w:val="98"/>
              </w:rPr>
              <w:t>As of December 31, 2022</w:t>
            </w: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196"/>
        </w:trPr>
        <w:tc>
          <w:tcPr>
            <w:tcW w:w="7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Liabilities</w:t>
            </w:r>
          </w:p>
        </w:tc>
        <w:tc>
          <w:tcPr>
            <w:tcW w:w="1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Warrant liability- Term Loan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30,841</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30,841</w:t>
            </w:r>
          </w:p>
        </w:tc>
        <w:tc>
          <w:tcPr>
            <w:tcW w:w="5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30,841</w:t>
            </w:r>
          </w:p>
        </w:tc>
        <w:tc>
          <w:tcPr>
            <w:tcW w:w="80" w:type="dxa"/>
            <w:vAlign w:val="bottom"/>
          </w:tcPr>
          <w:p>
            <w:pPr>
              <w:spacing w:after="0"/>
              <w:rPr>
                <w:sz w:val="18"/>
                <w:szCs w:val="18"/>
                <w:color w:val="auto"/>
              </w:rPr>
            </w:pPr>
          </w:p>
        </w:tc>
      </w:tr>
      <w:tr>
        <w:trPr>
          <w:trHeight w:val="202"/>
        </w:trPr>
        <w:tc>
          <w:tcPr>
            <w:tcW w:w="2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Warrant liability- Private</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4"/>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placement warrants</w:t>
            </w:r>
          </w:p>
        </w:tc>
        <w:tc>
          <w:tcPr>
            <w:tcW w:w="8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1,990</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1,990</w:t>
            </w:r>
          </w:p>
        </w:tc>
        <w:tc>
          <w:tcPr>
            <w:tcW w:w="3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1,990</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r>
      <w:tr>
        <w:trPr>
          <w:trHeight w:val="217"/>
        </w:trPr>
        <w:tc>
          <w:tcPr>
            <w:tcW w:w="25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32,831</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32,831</w:t>
            </w: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30,841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accounts receivable and accounts payable are considered level 1 and approximate fair value as of June 30, 2023 and December 31, 2022 because of the relatively short maturity of these instruments.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the term loan as of June 30, 2023 and December 31, 2022 approximates fair value as the interest rate does not differ significantly from the current market rates available to the Company for similar debt and is considered level 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5880" w:type="dxa"/>
            <w:vAlign w:val="bottom"/>
            <w:gridSpan w:val="2"/>
          </w:tcPr>
          <w:p>
            <w:pPr>
              <w:ind w:left="20"/>
              <w:spacing w:after="0"/>
              <w:rPr>
                <w:sz w:val="20"/>
                <w:szCs w:val="20"/>
                <w:color w:val="auto"/>
              </w:rPr>
            </w:pPr>
            <w:r>
              <w:rPr>
                <w:rFonts w:ascii="Arial" w:cs="Arial" w:eastAsia="Arial" w:hAnsi="Arial"/>
                <w:sz w:val="18"/>
                <w:szCs w:val="18"/>
                <w:b w:val="1"/>
                <w:bCs w:val="1"/>
                <w:color w:val="auto"/>
              </w:rPr>
              <w:t>- INVENTORY</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gridSpan w:val="3"/>
          </w:tcPr>
          <w:p>
            <w:pPr>
              <w:spacing w:after="0"/>
              <w:rPr>
                <w:sz w:val="20"/>
                <w:szCs w:val="20"/>
                <w:color w:val="auto"/>
              </w:rPr>
            </w:pPr>
            <w:r>
              <w:rPr>
                <w:rFonts w:ascii="Arial" w:cs="Arial" w:eastAsia="Arial" w:hAnsi="Arial"/>
                <w:sz w:val="18"/>
                <w:szCs w:val="18"/>
                <w:color w:val="auto"/>
              </w:rPr>
              <w:t>Inventory consists of the following:</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Raw material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Finished goods</w:t>
            </w:r>
          </w:p>
        </w:tc>
        <w:tc>
          <w:tcPr>
            <w:tcW w:w="2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5,485</w:t>
            </w:r>
          </w:p>
        </w:tc>
        <w:tc>
          <w:tcPr>
            <w:tcW w:w="12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7,260</w:t>
            </w: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inventory</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Arial" w:cs="Arial" w:eastAsia="Arial" w:hAnsi="Arial"/>
                <w:sz w:val="18"/>
                <w:szCs w:val="18"/>
                <w:b w:val="1"/>
                <w:bCs w:val="1"/>
                <w:color w:val="auto"/>
              </w:rPr>
              <w:t>NOTE 5</w:t>
            </w:r>
          </w:p>
        </w:tc>
        <w:tc>
          <w:tcPr>
            <w:tcW w:w="58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COMMITMENTS AND CONTINGENCIES</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 w:type="dxa"/>
            <w:vAlign w:val="bottom"/>
            <w:vMerge w:val="continue"/>
          </w:tcPr>
          <w:p>
            <w:pPr>
              <w:spacing w:after="0"/>
              <w:rPr>
                <w:sz w:val="24"/>
                <w:szCs w:val="24"/>
                <w:color w:val="auto"/>
              </w:rPr>
            </w:pPr>
          </w:p>
        </w:tc>
        <w:tc>
          <w:tcPr>
            <w:tcW w:w="58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leases related to the main office, warehouse space, research and development lab, and engineering office, all located in Reno, Nevada. The leases require annual escalating monthly payments ranging from $111 to $128.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 As of June 30, 2023, the lease has not commenced as the Company does not have control over the asset.</w:t>
      </w:r>
    </w:p>
    <w:p>
      <w:pPr>
        <w:sectPr>
          <w:pgSz w:w="11900" w:h="16838" w:orient="portrait"/>
          <w:cols w:equalWidth="0" w:num="1">
            <w:col w:w="11240"/>
          </w:cols>
          <w:pgMar w:left="320" w:top="661" w:right="3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breakout of the operating leases as of:</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Short-term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498919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Long-term operating lease liabilities</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40640</wp:posOffset>
            </wp:positionV>
            <wp:extent cx="4989195"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57"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Weighted average remaining lease term</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2,890</w:t>
            </w: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3,541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4,129</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3.1 years</w:t>
            </w:r>
          </w:p>
        </w:tc>
        <w:tc>
          <w:tcPr>
            <w:tcW w:w="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3.6 years</w:t>
            </w: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700" w:space="720"/>
            <w:col w:w="4820"/>
          </w:cols>
          <w:pgMar w:left="320" w:top="661" w:right="339" w:bottom="1440" w:gutter="0" w:footer="0" w:header="0"/>
          <w:type w:val="continuous"/>
        </w:sect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Assumptions used in determining our incremental borrowing rate include our implied credit rating and an estimate of secured borrowing rates based on comparable market data.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5" w:name="page16"/>
    <w:bookmarkEnd w:id="15"/>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 AND CONTINGENCIES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the future minimum lease payments under these operating leases are as follows:</w:t>
      </w:r>
    </w:p>
    <w:p>
      <w:pPr>
        <w:spacing w:after="0" w:line="235" w:lineRule="exact"/>
        <w:rPr>
          <w:sz w:val="20"/>
          <w:szCs w:val="20"/>
          <w:color w:val="auto"/>
        </w:rPr>
      </w:pPr>
    </w:p>
    <w:tbl>
      <w:tblPr>
        <w:tblLayout w:type="fixed"/>
        <w:tblInd w:w="1960" w:type="dxa"/>
        <w:tblCellMar>
          <w:top w:w="0" w:type="dxa"/>
          <w:left w:w="0" w:type="dxa"/>
          <w:bottom w:w="0" w:type="dxa"/>
          <w:right w:w="0" w:type="dxa"/>
        </w:tblCellMar>
      </w:tblPr>
      <w:tr>
        <w:trPr>
          <w:trHeight w:val="241"/>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Fiscal Years Ending</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40" w:type="dxa"/>
            <w:vAlign w:val="bottom"/>
            <w:tcBorders>
              <w:bottom w:val="single" w:sz="8" w:color="CCEEFF"/>
            </w:tcBorders>
          </w:tcPr>
          <w:p>
            <w:pPr>
              <w:spacing w:after="0"/>
              <w:rPr>
                <w:sz w:val="20"/>
                <w:szCs w:val="20"/>
                <w:color w:val="auto"/>
              </w:rPr>
            </w:pPr>
          </w:p>
        </w:tc>
      </w:tr>
      <w:tr>
        <w:trPr>
          <w:trHeight w:val="257"/>
        </w:trPr>
        <w:tc>
          <w:tcPr>
            <w:tcW w:w="52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December 31, 2023 </w:t>
            </w:r>
            <w:r>
              <w:rPr>
                <w:rFonts w:ascii="Arial" w:cs="Arial" w:eastAsia="Arial" w:hAnsi="Arial"/>
                <w:sz w:val="29"/>
                <w:szCs w:val="29"/>
                <w:color w:val="auto"/>
                <w:vertAlign w:val="superscript"/>
              </w:rPr>
              <w:t>(1)</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704</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December 31, 2024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1,435</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1,435</w:t>
            </w: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December 31, 2026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893</w:t>
            </w:r>
          </w:p>
        </w:tc>
      </w:tr>
      <w:tr>
        <w:trPr>
          <w:trHeight w:val="236"/>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52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Less imputed interest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338</w:t>
            </w:r>
          </w:p>
        </w:tc>
        <w:tc>
          <w:tcPr>
            <w:tcW w:w="40" w:type="dxa"/>
            <w:vAlign w:val="bottom"/>
            <w:tcBorders>
              <w:bottom w:val="single" w:sz="8" w:color="CCEEFF"/>
            </w:tcBorders>
          </w:tcPr>
          <w:p>
            <w:pPr>
              <w:spacing w:after="0"/>
              <w:rPr>
                <w:sz w:val="18"/>
                <w:szCs w:val="18"/>
                <w:color w:val="auto"/>
              </w:rPr>
            </w:pPr>
          </w:p>
        </w:tc>
      </w:tr>
      <w:tr>
        <w:trPr>
          <w:trHeight w:val="230"/>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7680" w:type="dxa"/>
            <w:vAlign w:val="bottom"/>
            <w:gridSpan w:val="10"/>
          </w:tcPr>
          <w:p>
            <w:pPr>
              <w:ind w:left="100"/>
              <w:spacing w:after="0"/>
              <w:rPr>
                <w:sz w:val="20"/>
                <w:szCs w:val="20"/>
                <w:color w:val="auto"/>
              </w:rPr>
            </w:pPr>
            <w:r>
              <w:rPr>
                <w:rFonts w:ascii="Arial" w:cs="Arial" w:eastAsia="Arial" w:hAnsi="Arial"/>
                <w:sz w:val="29"/>
                <w:szCs w:val="29"/>
                <w:color w:val="auto"/>
                <w:w w:val="96"/>
                <w:vertAlign w:val="superscript"/>
              </w:rPr>
              <w:t>(1)</w:t>
            </w:r>
            <w:r>
              <w:rPr>
                <w:rFonts w:ascii="Arial" w:cs="Arial" w:eastAsia="Arial" w:hAnsi="Arial"/>
                <w:sz w:val="18"/>
                <w:szCs w:val="18"/>
                <w:color w:val="auto"/>
                <w:w w:val="96"/>
              </w:rPr>
              <w:t>Represents scheduled payments for the remaining six-month period ending December 31, 2023</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8"/>
        </w:trPr>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60" w:type="dxa"/>
            <w:vAlign w:val="bottom"/>
            <w:gridSpan w:val="5"/>
          </w:tcPr>
          <w:p>
            <w:pPr>
              <w:ind w:left="300"/>
              <w:spacing w:after="0"/>
              <w:rPr>
                <w:sz w:val="20"/>
                <w:szCs w:val="20"/>
                <w:color w:val="auto"/>
              </w:rPr>
            </w:pPr>
            <w:r>
              <w:rPr>
                <w:rFonts w:ascii="Arial" w:cs="Arial" w:eastAsia="Arial" w:hAnsi="Arial"/>
                <w:sz w:val="18"/>
                <w:szCs w:val="18"/>
                <w:color w:val="auto"/>
              </w:rPr>
              <w:t>For The Three Months Ended</w:t>
            </w:r>
          </w:p>
        </w:tc>
        <w:tc>
          <w:tcPr>
            <w:tcW w:w="360" w:type="dxa"/>
            <w:vAlign w:val="bottom"/>
          </w:tcPr>
          <w:p>
            <w:pPr>
              <w:spacing w:after="0"/>
              <w:rPr>
                <w:sz w:val="24"/>
                <w:szCs w:val="24"/>
                <w:color w:val="auto"/>
              </w:rPr>
            </w:pPr>
          </w:p>
        </w:tc>
        <w:tc>
          <w:tcPr>
            <w:tcW w:w="3200" w:type="dxa"/>
            <w:vAlign w:val="bottom"/>
            <w:gridSpan w:val="5"/>
          </w:tcPr>
          <w:p>
            <w:pPr>
              <w:ind w:left="360"/>
              <w:spacing w:after="0"/>
              <w:rPr>
                <w:sz w:val="20"/>
                <w:szCs w:val="20"/>
                <w:color w:val="auto"/>
              </w:rPr>
            </w:pPr>
            <w:r>
              <w:rPr>
                <w:rFonts w:ascii="Arial" w:cs="Arial" w:eastAsia="Arial" w:hAnsi="Arial"/>
                <w:sz w:val="18"/>
                <w:szCs w:val="18"/>
                <w:color w:val="auto"/>
              </w:rPr>
              <w:t>For The Six Months Ended</w:t>
            </w:r>
          </w:p>
        </w:tc>
      </w:tr>
      <w:tr>
        <w:trPr>
          <w:trHeight w:val="237"/>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color w:val="auto"/>
              </w:rPr>
              <w:t>June 30,</w:t>
            </w:r>
          </w:p>
        </w:tc>
        <w:tc>
          <w:tcPr>
            <w:tcW w:w="11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June 30,</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1920" w:type="dxa"/>
            <w:vAlign w:val="bottom"/>
          </w:tcPr>
          <w:p>
            <w:pPr>
              <w:spacing w:after="0"/>
              <w:rPr>
                <w:sz w:val="20"/>
                <w:szCs w:val="20"/>
                <w:color w:val="auto"/>
              </w:rPr>
            </w:pPr>
            <w:r>
              <w:rPr>
                <w:rFonts w:ascii="Arial" w:cs="Arial" w:eastAsia="Arial" w:hAnsi="Arial"/>
                <w:sz w:val="18"/>
                <w:szCs w:val="18"/>
                <w:color w:val="auto"/>
              </w:rPr>
              <w:t>Lease cost</w:t>
            </w:r>
          </w:p>
        </w:tc>
        <w:tc>
          <w:tcPr>
            <w:tcW w:w="1700" w:type="dxa"/>
            <w:vAlign w:val="bottom"/>
            <w:gridSpan w:val="2"/>
          </w:tcPr>
          <w:p>
            <w:pPr>
              <w:ind w:left="240"/>
              <w:spacing w:after="0"/>
              <w:rPr>
                <w:sz w:val="20"/>
                <w:szCs w:val="20"/>
                <w:color w:val="auto"/>
              </w:rPr>
            </w:pPr>
            <w:r>
              <w:rPr>
                <w:rFonts w:ascii="Arial" w:cs="Arial" w:eastAsia="Arial" w:hAnsi="Arial"/>
                <w:sz w:val="18"/>
                <w:szCs w:val="18"/>
                <w:color w:val="auto"/>
              </w:rPr>
              <w:t>Classification</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r>
      <w:tr>
        <w:trPr>
          <w:trHeight w:val="216"/>
        </w:trPr>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Cost of goods sold</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1920" w:type="dxa"/>
            <w:vAlign w:val="bottom"/>
          </w:tcPr>
          <w:p>
            <w:pPr>
              <w:spacing w:after="0"/>
              <w:rPr>
                <w:sz w:val="17"/>
                <w:szCs w:val="17"/>
                <w:color w:val="auto"/>
              </w:rPr>
            </w:pPr>
          </w:p>
        </w:tc>
        <w:tc>
          <w:tcPr>
            <w:tcW w:w="170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Research and</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Operating lease cost</w:t>
            </w:r>
          </w:p>
        </w:tc>
        <w:tc>
          <w:tcPr>
            <w:tcW w:w="1700" w:type="dxa"/>
            <w:vAlign w:val="bottom"/>
            <w:gridSpan w:val="2"/>
          </w:tcPr>
          <w:p>
            <w:pPr>
              <w:ind w:left="240"/>
              <w:spacing w:after="0"/>
              <w:rPr>
                <w:sz w:val="20"/>
                <w:szCs w:val="20"/>
                <w:color w:val="auto"/>
              </w:rPr>
            </w:pPr>
            <w:r>
              <w:rPr>
                <w:rFonts w:ascii="Arial" w:cs="Arial" w:eastAsia="Arial" w:hAnsi="Arial"/>
                <w:sz w:val="18"/>
                <w:szCs w:val="18"/>
                <w:color w:val="auto"/>
              </w:rPr>
              <w:t>development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202"/>
        </w:trPr>
        <w:tc>
          <w:tcPr>
            <w:tcW w:w="19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General and</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administration</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02"/>
        </w:trPr>
        <w:tc>
          <w:tcPr>
            <w:tcW w:w="1920" w:type="dxa"/>
            <w:vAlign w:val="bottom"/>
          </w:tcPr>
          <w:p>
            <w:pPr>
              <w:spacing w:after="0"/>
              <w:rPr>
                <w:sz w:val="17"/>
                <w:szCs w:val="17"/>
                <w:color w:val="auto"/>
              </w:rPr>
            </w:pPr>
          </w:p>
        </w:tc>
        <w:tc>
          <w:tcPr>
            <w:tcW w:w="170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Selling and</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97"/>
        </w:trPr>
        <w:tc>
          <w:tcPr>
            <w:tcW w:w="1920" w:type="dxa"/>
            <w:vAlign w:val="bottom"/>
          </w:tcPr>
          <w:p>
            <w:pPr>
              <w:spacing w:after="0"/>
              <w:rPr>
                <w:sz w:val="20"/>
                <w:szCs w:val="20"/>
                <w:color w:val="auto"/>
              </w:rPr>
            </w:pPr>
            <w:r>
              <w:rPr>
                <w:rFonts w:ascii="Arial" w:cs="Arial" w:eastAsia="Arial" w:hAnsi="Arial"/>
                <w:sz w:val="18"/>
                <w:szCs w:val="18"/>
                <w:color w:val="auto"/>
              </w:rPr>
              <w:t>Operating lease cost</w:t>
            </w:r>
          </w:p>
        </w:tc>
        <w:tc>
          <w:tcPr>
            <w:tcW w:w="1700" w:type="dxa"/>
            <w:vAlign w:val="bottom"/>
            <w:gridSpan w:val="2"/>
          </w:tcPr>
          <w:p>
            <w:pPr>
              <w:ind w:left="240"/>
              <w:spacing w:after="0"/>
              <w:rPr>
                <w:sz w:val="20"/>
                <w:szCs w:val="20"/>
                <w:color w:val="auto"/>
              </w:rPr>
            </w:pPr>
            <w:r>
              <w:rPr>
                <w:rFonts w:ascii="Arial" w:cs="Arial" w:eastAsia="Arial" w:hAnsi="Arial"/>
                <w:sz w:val="18"/>
                <w:szCs w:val="18"/>
                <w:color w:val="auto"/>
              </w:rPr>
              <w:t>marketing</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4"/>
                <w:szCs w:val="24"/>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4"/>
                <w:szCs w:val="2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197"/>
        </w:trPr>
        <w:tc>
          <w:tcPr>
            <w:tcW w:w="19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lease cost</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435</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788</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Earnout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former holders of shares of Legacy Dragonfly common stock (including shares received as a result of the conversion of Legacy Dragonfly Preferred Stock into New Dragonfly Common Stock) are entitled to receive their pro rata share of up to 40,000,000 additional shares of common stock (the “Earnout Shares”). The Earnout Shares are issuable in three tranches. The first tranche of 15,000,000 shares is issuable if New Dragonfly’s 2023 total audited revenue is equal to or greater than $250,000 and New Dragonfly’s 2023 audited operating income is equal to or greater than $35,000.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7 for further discussion regarding contingent consideration arising from the April 2022 asset purchase agreement with Thomason Jones Company, LLC.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6 -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Trust Indenture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24, 2021, the Company entered into agreements to issue $45,000 in fixed rate senior notes (Series 2021-6 Notes) pursuant to a Trust Indenture held by UMB Bank, as trustee and disbursing agent, and Newlight Capital, LLC as servicer. The trust and debt documents also require a Lender Collateral Residual Value Insurance Policy (the “Insurance Policy”, with UMB Bank as named insured for $45,000), and a placement agent, which is Tribe Capital Markets, LLC.</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merger on October 7, 2022 (the “Closing Date”), the Company entered into a Term Loan, Guarantee and Security Agreement (see “Term Loan Agreement” below) and the outstanding principal balance for the Series 2021-6 Notes underlying the Trust Indenture was paid in full. A loss on extinguishment of $4,824 was recognized upon settlement. During the six months ended June 30, 2022, a total of $1,254 of interest expense was incurred under the debt. Amortization of the debt issuance costs amounted to $1,197 during the six months ended June 30, 2022. During the three months ended June 30, 2022, a total of $635 of interest expense was incurred under the debt. Amortization of the debt issuance costs amounted to $584 during the three months ended June 30, 2022.</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Agreement</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October 7, 2022, in connection with the merger, CNTQ, Legacy Dragonfly and CCM Investments 5 LLC, an affiliate of CCM LLC (“CCM 5”, and in connection with the Term Loan, the “Chardan Lender”), and EICF Agent LLC (“EIP” and, collectively with the Chardan Lender, the “Initial Term Loan Lenders”) entered into the Term Loan Agreement setting forth the terms of the Term Loan. The Chardan Lender backstopped its commitment under the Debt Commitment Letter by entering into a backstop commitment letter, dated as of May 20, 2022 (the “Backstop Commitment Letter”), with a certain third 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Term Loan amortizes in the amount of 5% per annum (or $937.5 on the first day of each calendar quarter) beginning 24 months after the Closing Date and matures on the fourth anniversary of the Closing Date (“Maturity Date”). The Term Loan accrues interest (i) until April 1, 2023, at a per annum rate equal to the adjusted Secured Overnight Financing Rate (“SOFR”) plus a margin equal to 13.5%, of which 7% will be payable in cash and 6.5% will be paid in kind, (ii) thereafter until October 1, 2024, at a per annum rate equal to adjusted SOFR plus 7% payable in cash plus an amount ranging from 4.5% to 6.5%, depending on the senior leverage ratio of the consolidated company, which will be paid in 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7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to optional prepayments by the Company upon written notice, the Term Loan Agreement provides for mandatory prepayments upon receipt of proceeds from certain transactions or casualty events. Beginning on the date the financial statements for the year ended December 31, 2023 are required to be delivered to the Term Loan Lenders, the Company will be required to prepay the Term Loan based on excess cash flow, as defined in the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Unless the obligations under the Term Loan are accelerated under the terms of the agreement, the maturity date will be October 7, 2026.</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The Term Loan Lenders have been granted a first priority lien, and security interest in, the mortgaged properties underlying the Company’s mortgages.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Agreement (Continued)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six months ended June 30, 2023, a total of $3,651 and $7,147, respectively, of interest expense was incurred under the debt.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the debt issuance costs amounted to $401 and $620, respectively, during the three and six months ended June 30, 2023.</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balance of $22,372 on June 30, 2023 consisted of $75,000 in principal, plus $3,702 Paid-in-Kind (PIK) interest, less $56,330 in unamortized debt discount related to the debt issuance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Maximum Senior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Senior Leverage Ratio is the ratio of (a) consolidated indebtedness, as defined, on such date minus 100% of the unrestricted cash and cash equivalents held (subject to adjustment) to (b) Consolidated earnings before interest, tax and amortization (“EBITDA”) for the trailing twelve (12) fiscal month period most recently ended. If liquidity, as defined, for any fiscal quarter is less than $17,500, the Senior Leverage Ratio shall not be permitted, as of the last day of any fiscal quarter ending during any period set forth below, to exceed the ratio set forth opposite such period in the table below:</w:t>
      </w:r>
    </w:p>
    <w:p>
      <w:pPr>
        <w:spacing w:after="0" w:line="2" w:lineRule="exact"/>
        <w:rPr>
          <w:sz w:val="20"/>
          <w:szCs w:val="20"/>
          <w:color w:val="auto"/>
        </w:rPr>
      </w:pPr>
    </w:p>
    <w:tbl>
      <w:tblPr>
        <w:tblLayout w:type="fixed"/>
        <w:tblInd w:w="700" w:type="dxa"/>
        <w:tblCellMar>
          <w:top w:w="0" w:type="dxa"/>
          <w:left w:w="0" w:type="dxa"/>
          <w:bottom w:w="0" w:type="dxa"/>
          <w:right w:w="0" w:type="dxa"/>
        </w:tblCellMar>
      </w:tblPr>
      <w:tr>
        <w:trPr>
          <w:trHeight w:val="236"/>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Test Period Ending</w:t>
            </w:r>
          </w:p>
        </w:tc>
        <w:tc>
          <w:tcPr>
            <w:tcW w:w="1580" w:type="dxa"/>
            <w:vAlign w:val="bottom"/>
          </w:tcPr>
          <w:p>
            <w:pPr>
              <w:ind w:left="200"/>
              <w:spacing w:after="0"/>
              <w:rPr>
                <w:sz w:val="20"/>
                <w:szCs w:val="20"/>
                <w:color w:val="auto"/>
              </w:rPr>
            </w:pPr>
            <w:r>
              <w:rPr>
                <w:rFonts w:ascii="Arial" w:cs="Arial" w:eastAsia="Arial" w:hAnsi="Arial"/>
                <w:sz w:val="18"/>
                <w:szCs w:val="18"/>
                <w:b w:val="1"/>
                <w:bCs w:val="1"/>
                <w:color w:val="auto"/>
              </w:rPr>
              <w:t>Leverage Ratio</w:t>
            </w:r>
          </w:p>
        </w:tc>
      </w:tr>
      <w:tr>
        <w:trPr>
          <w:trHeight w:val="216"/>
        </w:trPr>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2022 - March 31, 2023</w:t>
            </w:r>
          </w:p>
        </w:tc>
        <w:tc>
          <w:tcPr>
            <w:tcW w:w="1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6.75 to 1.00</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June 30, 2023 - September 30, 2023</w:t>
            </w:r>
          </w:p>
        </w:tc>
        <w:tc>
          <w:tcPr>
            <w:tcW w:w="1580" w:type="dxa"/>
            <w:vAlign w:val="bottom"/>
          </w:tcPr>
          <w:p>
            <w:pPr>
              <w:ind w:left="720"/>
              <w:spacing w:after="0"/>
              <w:rPr>
                <w:sz w:val="20"/>
                <w:szCs w:val="20"/>
                <w:color w:val="auto"/>
              </w:rPr>
            </w:pPr>
            <w:r>
              <w:rPr>
                <w:rFonts w:ascii="Arial" w:cs="Arial" w:eastAsia="Arial" w:hAnsi="Arial"/>
                <w:sz w:val="18"/>
                <w:szCs w:val="18"/>
                <w:color w:val="auto"/>
                <w:w w:val="88"/>
              </w:rPr>
              <w:t>6.00 to 1.00</w:t>
            </w: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2023 - March 31, 2024</w:t>
            </w:r>
          </w:p>
        </w:tc>
        <w:tc>
          <w:tcPr>
            <w:tcW w:w="1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5.00 to 1.00</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June 30, 2024 - September 30, 2024</w:t>
            </w:r>
          </w:p>
        </w:tc>
        <w:tc>
          <w:tcPr>
            <w:tcW w:w="1580" w:type="dxa"/>
            <w:vAlign w:val="bottom"/>
          </w:tcPr>
          <w:p>
            <w:pPr>
              <w:ind w:left="720"/>
              <w:spacing w:after="0"/>
              <w:rPr>
                <w:sz w:val="20"/>
                <w:szCs w:val="20"/>
                <w:color w:val="auto"/>
              </w:rPr>
            </w:pPr>
            <w:r>
              <w:rPr>
                <w:rFonts w:ascii="Arial" w:cs="Arial" w:eastAsia="Arial" w:hAnsi="Arial"/>
                <w:sz w:val="18"/>
                <w:szCs w:val="18"/>
                <w:color w:val="auto"/>
                <w:w w:val="88"/>
              </w:rPr>
              <w:t>4.00 to 1.00</w:t>
            </w: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2024 - March 31, 2025</w:t>
            </w:r>
          </w:p>
        </w:tc>
        <w:tc>
          <w:tcPr>
            <w:tcW w:w="1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3.25 to 1.00</w:t>
            </w: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June 30, 2025 and thereafter</w:t>
            </w:r>
          </w:p>
        </w:tc>
        <w:tc>
          <w:tcPr>
            <w:tcW w:w="1580" w:type="dxa"/>
            <w:vAlign w:val="bottom"/>
          </w:tcPr>
          <w:p>
            <w:pPr>
              <w:ind w:left="720"/>
              <w:spacing w:after="0"/>
              <w:rPr>
                <w:sz w:val="20"/>
                <w:szCs w:val="20"/>
                <w:color w:val="auto"/>
              </w:rPr>
            </w:pPr>
            <w:r>
              <w:rPr>
                <w:rFonts w:ascii="Arial" w:cs="Arial" w:eastAsia="Arial" w:hAnsi="Arial"/>
                <w:sz w:val="18"/>
                <w:szCs w:val="18"/>
                <w:color w:val="auto"/>
                <w:w w:val="88"/>
              </w:rPr>
              <w:t>3.00 to 1.00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shall not permit their Liquidity (determined on a consolidated basis) to be less than $10,000 as of the last day of each fiscal month (commencing with month ending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Charge Coverage Ratio</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Fixed Charge Coverage Ratio is the ratio of consolidated EBITDA (less capital expenditures and certain other adjustments) to consolidated fixed charges, as defined in the agreement. If Liquidity is less than $17,500 as of the last day of any fiscal quarter (commencing with the quarter ending December 31, 2022), then the Company shall not permit the Fixed Charge Coverage Ratio for the trailing four quarterly periods ending on the last day of any such quarter to be less than 1.15 to 1.00.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consolidated EBITDA for the trailing twelve-month period ending on the most recently completed fiscal quarter is less than $15,000, then the level of capital expenditures is limited.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was in compliance with its covenants as of June 30, 2023 and December 31, 2022. During the three months ended March 31, 2023, the Company determined it would fail to satisfy the fixed charge coverage ratio and maximum senior leverage ratio for the quarter. On March 29, 2023, the Company obtained a waiver from the Administrative Agent and the Term Loan Lenders of its failures to satisfy the fixed charge coverage ratio and maximum senior leverage ratio with respect to the minimum cash requirements under the Term Loan during the quarter ended March 31, 2023. As a result of the uncertainty of maintaining compliance with financial covenants the Company has continued to classify the entire term loan balance within current liabilities on the balance sheet..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NOTE 6 - DEBT (CONTINUED)</w:t>
            </w: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i w:val="1"/>
                <w:iCs w:val="1"/>
                <w:color w:val="auto"/>
              </w:rPr>
              <w:t>Future Debt Maturities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At June 30, 2023, the future debt maturities are as follows: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For Year Ended December 31,</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960" w:type="dxa"/>
            <w:vAlign w:val="bottom"/>
          </w:tcPr>
          <w:p>
            <w:pPr>
              <w:spacing w:after="0"/>
              <w:rPr>
                <w:sz w:val="22"/>
                <w:szCs w:val="22"/>
                <w:color w:val="auto"/>
              </w:rPr>
            </w:pPr>
          </w:p>
        </w:tc>
        <w:tc>
          <w:tcPr>
            <w:tcW w:w="53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2023 </w:t>
            </w:r>
            <w:r>
              <w:rPr>
                <w:rFonts w:ascii="Arial" w:cs="Arial" w:eastAsia="Arial" w:hAnsi="Arial"/>
                <w:sz w:val="29"/>
                <w:szCs w:val="29"/>
                <w:color w:val="auto"/>
                <w:vertAlign w:val="superscript"/>
              </w:rPr>
              <w:t>(1)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2026</w:t>
            </w:r>
          </w:p>
        </w:tc>
        <w:tc>
          <w:tcPr>
            <w:tcW w:w="4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80,620</w:t>
            </w:r>
          </w:p>
        </w:tc>
        <w:tc>
          <w:tcPr>
            <w:tcW w:w="0" w:type="dxa"/>
            <w:vAlign w:val="bottom"/>
          </w:tcPr>
          <w:p>
            <w:pPr>
              <w:spacing w:after="0"/>
              <w:rPr>
                <w:sz w:val="1"/>
                <w:szCs w:val="1"/>
                <w:color w:val="auto"/>
              </w:rPr>
            </w:pPr>
          </w:p>
        </w:tc>
      </w:tr>
      <w:tr>
        <w:trPr>
          <w:trHeight w:val="236"/>
        </w:trPr>
        <w:tc>
          <w:tcPr>
            <w:tcW w:w="1960" w:type="dxa"/>
            <w:vAlign w:val="bottom"/>
          </w:tcPr>
          <w:p>
            <w:pPr>
              <w:spacing w:after="0"/>
              <w:rPr>
                <w:sz w:val="20"/>
                <w:szCs w:val="20"/>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85,308</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960" w:type="dxa"/>
            <w:vAlign w:val="bottom"/>
          </w:tcPr>
          <w:p>
            <w:pPr>
              <w:spacing w:after="0"/>
              <w:rPr>
                <w:sz w:val="22"/>
                <w:szCs w:val="22"/>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Estimated interest paid-in-kind</w:t>
            </w: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(6,606</w:t>
            </w:r>
          </w:p>
        </w:tc>
        <w:tc>
          <w:tcPr>
            <w:tcW w:w="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1960" w:type="dxa"/>
            <w:vAlign w:val="bottom"/>
          </w:tcPr>
          <w:p>
            <w:pPr>
              <w:spacing w:after="0"/>
              <w:rPr>
                <w:sz w:val="17"/>
                <w:szCs w:val="17"/>
                <w:color w:val="auto"/>
              </w:rPr>
            </w:pPr>
          </w:p>
        </w:tc>
        <w:tc>
          <w:tcPr>
            <w:tcW w:w="53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debt</w:t>
            </w: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78,702</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5360" w:type="dxa"/>
            <w:vAlign w:val="bottom"/>
            <w:vMerge w:val="restart"/>
          </w:tcPr>
          <w:p>
            <w:pPr>
              <w:spacing w:after="0"/>
              <w:rPr>
                <w:sz w:val="20"/>
                <w:szCs w:val="20"/>
                <w:color w:val="auto"/>
              </w:rPr>
            </w:pPr>
            <w:r>
              <w:rPr>
                <w:rFonts w:ascii="Arial" w:cs="Arial" w:eastAsia="Arial" w:hAnsi="Arial"/>
                <w:sz w:val="18"/>
                <w:szCs w:val="18"/>
                <w:color w:val="auto"/>
              </w:rPr>
              <w:t>Less: Unamortized debt issuance costs, noncurrent</w:t>
            </w: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1960" w:type="dxa"/>
            <w:vAlign w:val="bottom"/>
          </w:tcPr>
          <w:p>
            <w:pPr>
              <w:spacing w:after="0"/>
              <w:rPr>
                <w:sz w:val="20"/>
                <w:szCs w:val="20"/>
                <w:color w:val="auto"/>
              </w:rPr>
            </w:pPr>
          </w:p>
        </w:tc>
        <w:tc>
          <w:tcPr>
            <w:tcW w:w="536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(56,330</w:t>
            </w:r>
          </w:p>
        </w:tc>
        <w:tc>
          <w:tcPr>
            <w:tcW w:w="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960" w:type="dxa"/>
            <w:vAlign w:val="bottom"/>
          </w:tcPr>
          <w:p>
            <w:pPr>
              <w:spacing w:after="0"/>
              <w:rPr>
                <w:sz w:val="18"/>
                <w:szCs w:val="18"/>
                <w:color w:val="auto"/>
              </w:rPr>
            </w:pPr>
          </w:p>
        </w:tc>
        <w:tc>
          <w:tcPr>
            <w:tcW w:w="53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carrying amount</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22,372</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960" w:type="dxa"/>
            <w:vAlign w:val="bottom"/>
          </w:tcPr>
          <w:p>
            <w:pPr>
              <w:spacing w:after="0"/>
              <w:rPr>
                <w:sz w:val="22"/>
                <w:szCs w:val="22"/>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 of debt</w:t>
            </w: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(22,372</w:t>
            </w:r>
          </w:p>
        </w:tc>
        <w:tc>
          <w:tcPr>
            <w:tcW w:w="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53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long-term debt</w:t>
            </w: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60" w:hanging="257"/>
        <w:spacing w:after="0"/>
        <w:tabs>
          <w:tab w:leader="none" w:pos="36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Represents scheduled payments for the remaining six-month period ending December 31, 2023</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ASSET PURCHASE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Bourns Production,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 2022, the Company entered into an asset purchase agreement (the “APA”) with Bourns Productions, Inc., a Nevada corporation (“Bourns Productions”) pursuant to which the Company acquired machinery, equipment and a lease for a podcast studio from Bourns Productions as set forth in the APA for a purchase price of $197 which approximated fair market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Thomason Jones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2022, the Company entered into an Asset Purchase Agreement (the “April 2022 Asset Purchase Agreement”) with William Thomason, Richard Jones, and Thomason Jones Company, LLC (“Thomason Jones”) whereby the Company acquired inventory and intellectual property assets for up to $700 cash plus contingent payments of $1,000 each to William Thomason and Richard Jones (the “Earn Out”). The Company determined the contingent consideration to be recognized as contingent compensation to Mr. Thomason and Mr. Jones. The Company concluded the purchase price to be $444 and was allocated in its entirety to inventory.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Compensation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within twenty-four months of the Agreement the Company realizes $3,000 in gross sales of product either (a) sold under the Wakespeed brand and/or (b) which incorporates any portion of Purchased IP as listed within the agreement, then the Company will pay to Thomason and Jones each the amount of $1,000 as soon as reasonably practicable. This payment may be made in cash or common stock, in the sole discretion of the Company. As a result, the Company determined that a liability should be recorded ratably over the 24-month period. The Company recognized immediate compensation expense within sales and marketing of $417 on October 1, 2022 for amounts that should have been accrued for during the period April 2022 through September 2022. In October 2022, the Company determined the sales goals will most likely be achieved within 18 months. As a result, the Company changed its estimate prospectively and accelerated the accrual as if the sales goals would be achieved within an 18-month period from the date of acquisition. As a result, the Company recorded an accrual related to the Earn Out in the amount of $1,909 and $782 as of June 30, 2023 and December 31, 2022, respectively.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spacing w:after="0" w:line="29" w:lineRule="exact"/>
        <w:rPr>
          <w:sz w:val="20"/>
          <w:szCs w:val="20"/>
          <w:color w:val="auto"/>
        </w:rPr>
      </w:pPr>
    </w:p>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loaned its Chief Financial Officer $469 to repay amounts owed by him to his former employer and entered into a related Promissory Note with a maturity date of March 1, 2026. The loan was forgiven in full in March of 2022 and was recorded within general and administrative expense.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25, 2022, the Company entered into a separation and release of claims agreement with its Chief Operating Officer (“COO”). As consideration for the COO’s execution of the agreement, the Company agreed to pay the employee a lump sum payment of $100 which is included in general and administrative expenses in the statements of operations, payments equivalent to $1,000 divided into 24 monthly payments commencing on December 1, 2022, and all outstanding equity-based compensation awards to become fully vested and exercisable. The COO shall have 12 months from the termination date to exercise outstanding options.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2023, the Company entered into an agreement with its former COO in which the COO waived their rights to a transaction bonus resulting from the merger transaction (Note 1) in lieu of a Company van. The Company accounted for the cost of the van as an employee bonus, resulting in $116 of general and administrative expense for the current period.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5, 2023, the Company entered into a convertible promissory note (the “Note”) with a board member in the amount of $1,000, or the Principal Amount. Upon execution of the Note and funding of the original principal sum, a payment of $100 (the “Loan Fee”) was fully earned as of the date of the Note and was due and payable in full in cash on April 4, 2023. The Company paid the Principal Amount and the Loan Fee on April 1, 2023 and April 4, 2023, respectively.</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April 26, 2023, the Company entered into a separation and release of claims agreement with its Chief Legal Officer (“CLO”). As consideration for the CLO’s execution of the agreement, the Company agreed to pay the employee payments equivalent to $720 for wages and benefits divided into 24 monthly payments commencing on June 1, 2023, and all outstanding equity-based compensation awards to become fully vested and exercisable resulting in an expense of $76. The CLO shall have 3 months from the termination date to exercise outstanding options. The three-month period ended on July 26, 2023 in which the options were not exercised and the options were forfeited as a result.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 classified as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Warrants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Each Public Warrant entitles the holder to the right to purchase one share of common stock at an exercise price of $11.50 per share. No fractional shares will be issued upon exercise of the Public Warrants. The Company may elect to redeem the Public Warrants subject to certain conditions, in whole and not in part, at a price of $0.01 per Public Warrant if (i) 30 days’ prior written notice of redemption is provided to the holders, and (ii) the last reported sale price of the Company’s common stock equals or exceeds $16.00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9,487,500 Public Warrants issued and outstanding. The Public Warrants are not precluded from equity classification and are accounted for as such on the date of issuance, and each balance sheet date thereafter.</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2023, the Company received proceeds from public warrant exercises of $747 in exchange for 64,971 common shares.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receive any proceeds from public warrants during the three months ended June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2023 Offering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entry into the underwriting agreement as further described in Note 10 of the financial statements, (the “June 2023 Offering”) the Company issued (i) underwriters warrants to purchase up to an aggregate of 570,250 shares of Common Stock (the “Underwriters’ Warrants”) which are exercisable upon issuance and will expire on June 20, 2028. The initial exercise price of the Underwriters’ Warrants is $2.50 per share, which equals 125% of the per share public offering price in the June 2023 Offering and (ii) warrants to purchase up to 10,000,000 shares of Common Stock to the investors in the offering together with shares of Common Stock (the “Investor Warrants”), at the combined public offering price of $2.00 per share of Common Stock and accompanying Warrant, less underwriting discounts and commissions . The Company also granted the underwriters a 45-day over-allotment option to purchase up to an additional 1,500,000 shares of Common Stock and/or Investor Warrants to purchase up to 1,500,000 shares of Common Stock at the public offering price per security, less underwriting discounts and commissions. The underwriters exercised its over-allotment option to purchase an additional 1,405,000 shares of Common Stock and Investor Warrants to purchase up to 1,405,000 shares of Common Stock. The Company accounts for the Investor Warrants issued in connection with the Offering in accordance with the guidance contained in ASC 815-40. Such guidance provides that because the Investor Warrants do not meet the criteria for equity treatment thereunder, each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It was determined that the Underwriters’ Warrants were not precluded from equity treatment and have been accounted for as such.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Underwriter Warrants:</w:t>
      </w:r>
    </w:p>
    <w:p>
      <w:pPr>
        <w:spacing w:after="0" w:line="225" w:lineRule="exact"/>
        <w:rPr>
          <w:sz w:val="20"/>
          <w:szCs w:val="20"/>
          <w:color w:val="auto"/>
        </w:rPr>
      </w:pPr>
    </w:p>
    <w:p>
      <w:pPr>
        <w:jc w:val="center"/>
        <w:ind w:left="7100"/>
        <w:spacing w:after="0"/>
        <w:rPr>
          <w:sz w:val="20"/>
          <w:szCs w:val="20"/>
          <w:color w:val="auto"/>
        </w:rPr>
      </w:pPr>
      <w:r>
        <w:rPr>
          <w:rFonts w:ascii="Arial" w:cs="Arial" w:eastAsia="Arial" w:hAnsi="Arial"/>
          <w:sz w:val="18"/>
          <w:szCs w:val="18"/>
          <w:color w:val="auto"/>
        </w:rPr>
        <w:t>Common Stock</w:t>
      </w:r>
    </w:p>
    <w:p>
      <w:pPr>
        <w:spacing w:after="0" w:line="23" w:lineRule="exact"/>
        <w:rPr>
          <w:sz w:val="20"/>
          <w:szCs w:val="20"/>
          <w:color w:val="auto"/>
        </w:rPr>
      </w:pPr>
    </w:p>
    <w:p>
      <w:pPr>
        <w:jc w:val="center"/>
        <w:ind w:left="7100"/>
        <w:spacing w:after="0"/>
        <w:rPr>
          <w:sz w:val="20"/>
          <w:szCs w:val="20"/>
          <w:color w:val="auto"/>
        </w:rPr>
      </w:pPr>
      <w:r>
        <w:rPr>
          <w:rFonts w:ascii="Arial" w:cs="Arial" w:eastAsia="Arial" w:hAnsi="Arial"/>
          <w:sz w:val="18"/>
          <w:szCs w:val="18"/>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 w:lineRule="exact"/>
        <w:rPr>
          <w:sz w:val="20"/>
          <w:szCs w:val="20"/>
          <w:color w:val="auto"/>
        </w:rPr>
      </w:pPr>
    </w:p>
    <w:p>
      <w:pPr>
        <w:ind w:left="1140"/>
        <w:spacing w:after="0"/>
        <w:tabs>
          <w:tab w:leader="none" w:pos="9960" w:val="left"/>
        </w:tabs>
        <w:rPr>
          <w:sz w:val="20"/>
          <w:szCs w:val="20"/>
          <w:color w:val="auto"/>
        </w:rPr>
      </w:pPr>
      <w:r>
        <w:rPr>
          <w:rFonts w:ascii="Arial" w:cs="Arial" w:eastAsia="Arial" w:hAnsi="Arial"/>
          <w:sz w:val="18"/>
          <w:szCs w:val="18"/>
          <w:color w:val="auto"/>
        </w:rPr>
        <w:t>Warrants Outstanding, January 1, 2023</w:t>
      </w:r>
      <w:r>
        <w:rPr>
          <w:sz w:val="20"/>
          <w:szCs w:val="20"/>
          <w:color w:val="auto"/>
        </w:rPr>
        <w:tab/>
      </w:r>
      <w:r>
        <w:rPr>
          <w:rFonts w:ascii="Arial" w:cs="Arial" w:eastAsia="Arial" w:hAnsi="Arial"/>
          <w:sz w:val="18"/>
          <w:szCs w:val="18"/>
          <w:color w:val="auto"/>
        </w:rPr>
        <w:t>-</w:t>
      </w:r>
    </w:p>
    <w:p>
      <w:pPr>
        <w:sectPr>
          <w:pgSz w:w="11900" w:h="16868" w:orient="portrait"/>
          <w:cols w:equalWidth="0" w:num="1">
            <w:col w:w="11240"/>
          </w:cols>
          <w:pgMar w:left="320" w:top="661" w:right="339" w:bottom="0" w:gutter="0" w:footer="0" w:header="0"/>
        </w:sectPr>
      </w:pPr>
    </w:p>
    <w:bookmarkStart w:id="21" w:name="page22"/>
    <w:bookmarkEnd w:id="21"/>
    <w:tbl>
      <w:tblPr>
        <w:tblLayout w:type="fixed"/>
        <w:tblInd w:w="20" w:type="dxa"/>
        <w:tblCellMar>
          <w:top w:w="0" w:type="dxa"/>
          <w:left w:w="0" w:type="dxa"/>
          <w:bottom w:w="0" w:type="dxa"/>
          <w:right w:w="0" w:type="dxa"/>
        </w:tblCellMar>
      </w:tblPr>
      <w:tr>
        <w:trPr>
          <w:trHeight w:val="257"/>
        </w:trPr>
        <w:tc>
          <w:tcPr>
            <w:tcW w:w="7200" w:type="dxa"/>
            <w:vAlign w:val="bottom"/>
            <w:gridSpan w:val="2"/>
          </w:tcPr>
          <w:p>
            <w:pPr>
              <w:spacing w:after="0"/>
              <w:rPr>
                <w:sz w:val="20"/>
                <w:szCs w:val="20"/>
                <w:color w:val="auto"/>
              </w:rPr>
            </w:pPr>
            <w:r>
              <w:rPr>
                <w:rFonts w:ascii="Arial" w:cs="Arial" w:eastAsia="Arial" w:hAnsi="Arial"/>
                <w:sz w:val="18"/>
                <w:szCs w:val="18"/>
                <w:color w:val="auto"/>
              </w:rPr>
              <w:t>Warrants issued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570,250</w:t>
            </w:r>
          </w:p>
        </w:tc>
        <w:tc>
          <w:tcPr>
            <w:tcW w:w="80" w:type="dxa"/>
            <w:vAlign w:val="bottom"/>
          </w:tcPr>
          <w:p>
            <w:pPr>
              <w:spacing w:after="0"/>
              <w:rPr>
                <w:sz w:val="22"/>
                <w:szCs w:val="22"/>
                <w:color w:val="auto"/>
              </w:rPr>
            </w:pPr>
          </w:p>
        </w:tc>
      </w:tr>
      <w:tr>
        <w:trPr>
          <w:trHeight w:val="223"/>
        </w:trPr>
        <w:tc>
          <w:tcPr>
            <w:tcW w:w="20" w:type="dxa"/>
            <w:vAlign w:val="bottom"/>
          </w:tcPr>
          <w:p>
            <w:pPr>
              <w:spacing w:after="0"/>
              <w:rPr>
                <w:sz w:val="19"/>
                <w:szCs w:val="19"/>
                <w:color w:val="auto"/>
              </w:rPr>
            </w:pPr>
          </w:p>
        </w:tc>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June 30, 2023</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570,250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20" w:right="1039" w:hanging="5532"/>
        <w:spacing w:after="0" w:line="527" w:lineRule="auto"/>
        <w:rPr>
          <w:sz w:val="20"/>
          <w:szCs w:val="20"/>
          <w:color w:val="auto"/>
        </w:rPr>
      </w:pPr>
      <w:r>
        <w:rPr>
          <w:rFonts w:ascii="Arial" w:cs="Arial" w:eastAsia="Arial" w:hAnsi="Arial"/>
          <w:sz w:val="18"/>
          <w:szCs w:val="18"/>
          <w:color w:val="auto"/>
        </w:rPr>
        <w:t>There were no underwriter warrants issued, exercised and outstanding from the period January 1, 2022 through June 30, 2022.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-156210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WARRANTS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 classified as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Warrants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Private Placement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During the six months ended June 30, 2023, private placement warrant holders exercised 3,126,472 warrants on a cashless basis, with the Company agreeing to issue 1,100,000 shares of common stock in connection with such exercise. There were 1,501,386 and 4,627,858 private warrants issued and outstanding as of June 30, 2023 and December 31, 2022,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Warrants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the entry into the Term Loan Agreement, and as a required term and condition thereof, the Company issued (i) the penny warrants to the Term Loan Lenders exercisable to purchase an aggregate of 2,593,056 shares (the “Penny Warrants”) and (ii) the $10 warrants to issue warrants to the Term Loan Lenders exercisable to purchase an aggregate of 1,600,000 shares of common stock at $10 per share (the “$10 Warrants” and, together with the Penny Warrants, the “Term Loan Warrants”). The $10 Warrants were exercised on a cashless basis on October 10, 2022, with the Company issuing 457,142 shares of Common Stock in connection with such exercise. During the three months ended June 30, 2023, penny warrant holders exercised 750,000 warrants on a cashless basis, with the Company agreeing to issue 748,029 shares of common stock in connection with such exercise. The Company concluded the warrants are not considered indexed to the Company’s stock and to be accounted for as liabilities under ASC 815. As such, the estimated fair value is recognized as a liability each reporting period, with changes in the fair value recognized within income each period.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line="62" w:lineRule="exact"/>
        <w:rPr>
          <w:sz w:val="20"/>
          <w:szCs w:val="20"/>
          <w:color w:val="auto"/>
        </w:rPr>
      </w:pPr>
    </w:p>
    <w:p>
      <w:pPr>
        <w:jc w:val="center"/>
        <w:ind w:left="2340" w:right="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WARRANTS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 classified as Liability (Continued)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significant inputs to the Black-Scholes method for the fair value of the Penny Warrants:</w:t>
      </w:r>
    </w:p>
    <w:p>
      <w:pPr>
        <w:spacing w:after="0" w:line="237"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As of</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As of</w:t>
            </w:r>
          </w:p>
        </w:tc>
      </w:tr>
      <w:tr>
        <w:trPr>
          <w:trHeight w:val="237"/>
        </w:trPr>
        <w:tc>
          <w:tcPr>
            <w:tcW w:w="2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June 30, 2023</w:t>
            </w:r>
          </w:p>
        </w:tc>
        <w:tc>
          <w:tcPr>
            <w:tcW w:w="80" w:type="dxa"/>
            <w:vAlign w:val="bottom"/>
          </w:tcPr>
          <w:p>
            <w:pPr>
              <w:spacing w:after="0"/>
              <w:rPr>
                <w:sz w:val="20"/>
                <w:szCs w:val="20"/>
                <w:color w:val="auto"/>
              </w:rPr>
            </w:pP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December 31, 2022</w:t>
            </w:r>
          </w:p>
        </w:tc>
      </w:tr>
      <w:tr>
        <w:trPr>
          <w:trHeight w:val="216"/>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price</w:t>
            </w:r>
          </w:p>
        </w:tc>
        <w:tc>
          <w:tcPr>
            <w:tcW w:w="1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Exercise price</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Term (in years)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9.77</w:t>
            </w:r>
          </w:p>
        </w:tc>
        <w:tc>
          <w:tcPr>
            <w:tcW w:w="1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90.00%</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Risk-free rate</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significant inputs to the Black-Scholes method for the fair value of the June Offering Warrants:</w:t>
      </w:r>
    </w:p>
    <w:p>
      <w:pPr>
        <w:spacing w:after="0" w:line="248"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As of</w:t>
            </w:r>
          </w:p>
        </w:tc>
      </w:tr>
      <w:tr>
        <w:trPr>
          <w:trHeight w:val="216"/>
        </w:trPr>
        <w:tc>
          <w:tcPr>
            <w:tcW w:w="3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June 20, 2023</w:t>
            </w:r>
          </w:p>
        </w:tc>
      </w:tr>
      <w:tr>
        <w:trPr>
          <w:trHeight w:val="216"/>
        </w:trPr>
        <w:tc>
          <w:tcPr>
            <w:tcW w:w="3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As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(Initial</w:t>
            </w:r>
          </w:p>
        </w:tc>
      </w:tr>
      <w:tr>
        <w:trPr>
          <w:trHeight w:val="237"/>
        </w:trPr>
        <w:tc>
          <w:tcPr>
            <w:tcW w:w="3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June 30, 2023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Measurement)</w:t>
            </w:r>
          </w:p>
        </w:tc>
      </w:tr>
      <w:tr>
        <w:trPr>
          <w:trHeight w:val="216"/>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price</w:t>
            </w:r>
          </w:p>
        </w:tc>
        <w:tc>
          <w:tcPr>
            <w:tcW w:w="1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Exercise price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Term (in years)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118.00%</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Risk-free rate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roll-forward of the Company’s warrants from January 1, 2023 to June 30, 2023:</w:t>
      </w:r>
    </w:p>
    <w:p>
      <w:pPr>
        <w:sectPr>
          <w:pgSz w:w="11900" w:h="16900" w:orient="portrait"/>
          <w:cols w:equalWidth="0" w:num="1">
            <w:col w:w="10139"/>
          </w:cols>
          <w:pgMar w:left="320" w:top="661" w:right="1440"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426085</wp:posOffset>
            </wp:positionV>
            <wp:extent cx="427736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Warrants Outstanding, January 1, 2023</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Exercise of warrants</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Warrants Outstanding,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-115570</wp:posOffset>
            </wp:positionV>
            <wp:extent cx="427736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839"/>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jc w:val="center"/>
        <w:ind w:right="2839"/>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4,627,858</w:t>
      </w:r>
    </w:p>
    <w:p>
      <w:pPr>
        <w:spacing w:after="0" w:line="35"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(3,126,472)</w:t>
      </w:r>
    </w:p>
    <w:p>
      <w:pPr>
        <w:spacing w:after="0" w:line="4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1,501,386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39370</wp:posOffset>
            </wp:positionV>
            <wp:extent cx="8058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5440" w:space="720"/>
            <w:col w:w="3979"/>
          </w:cols>
          <w:pgMar w:left="320" w:top="661" w:right="1440" w:bottom="0" w:gutter="0" w:footer="0" w:header="0"/>
          <w:type w:val="continuous"/>
        </w:sectPr>
      </w:pP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There were no private warrants issued, exercised and outstanding from the period January 1, 2022 through June 30, 2022.</w:t>
      </w:r>
    </w:p>
    <w:p>
      <w:pPr>
        <w:sectPr>
          <w:pgSz w:w="11900" w:h="16900" w:orient="portrait"/>
          <w:cols w:equalWidth="0" w:num="1">
            <w:col w:w="10139"/>
          </w:cols>
          <w:pgMar w:left="320" w:top="661" w:right="1440" w:bottom="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Public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426085</wp:posOffset>
            </wp:positionV>
            <wp:extent cx="427736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Warrants Outstanding, January 1, 2023</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Exercise of warrants</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Warrants Outstanding,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-115570</wp:posOffset>
            </wp:positionV>
            <wp:extent cx="427736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839"/>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jc w:val="center"/>
        <w:ind w:right="2839"/>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jc w:val="right"/>
        <w:ind w:right="2779"/>
        <w:spacing w:after="0"/>
        <w:rPr>
          <w:sz w:val="20"/>
          <w:szCs w:val="20"/>
          <w:color w:val="auto"/>
        </w:rPr>
      </w:pPr>
      <w:r>
        <w:rPr>
          <w:rFonts w:ascii="Arial" w:cs="Arial" w:eastAsia="Arial" w:hAnsi="Arial"/>
          <w:sz w:val="18"/>
          <w:szCs w:val="18"/>
          <w:color w:val="auto"/>
        </w:rPr>
        <w:t>9,487,500</w:t>
      </w:r>
    </w:p>
    <w:p>
      <w:pPr>
        <w:spacing w:after="0" w:line="23"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(64,971)</w:t>
      </w:r>
    </w:p>
    <w:p>
      <w:pPr>
        <w:spacing w:after="0" w:line="4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9,422,529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39370</wp:posOffset>
            </wp:positionV>
            <wp:extent cx="8058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5440" w:space="720"/>
            <w:col w:w="3979"/>
          </w:cols>
          <w:pgMar w:left="320" w:top="661" w:right="1440" w:bottom="0" w:gutter="0" w:footer="0" w:header="0"/>
          <w:type w:val="continuous"/>
        </w:sectPr>
      </w:pP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There were no public warrants issued, exercised and outstanding from the period January 1, 2022 through June 30, 2022.</w:t>
      </w:r>
    </w:p>
    <w:p>
      <w:pPr>
        <w:sectPr>
          <w:pgSz w:w="11900" w:h="16900" w:orient="portrait"/>
          <w:cols w:equalWidth="0" w:num="1">
            <w:col w:w="10139"/>
          </w:cols>
          <w:pgMar w:left="320" w:top="661" w:right="1440" w:bottom="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Term Loan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426085</wp:posOffset>
            </wp:positionV>
            <wp:extent cx="427736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Warrants Outstanding, January 1, 2023</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Exercise of warrants</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Warrants Outstanding,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-115570</wp:posOffset>
            </wp:positionV>
            <wp:extent cx="427736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839"/>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jc w:val="center"/>
        <w:ind w:right="2839"/>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2,593,056</w:t>
      </w:r>
    </w:p>
    <w:p>
      <w:pPr>
        <w:spacing w:after="0" w:line="35"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(2,000,000)</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593,056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39370</wp:posOffset>
            </wp:positionV>
            <wp:extent cx="8058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5440" w:space="720"/>
            <w:col w:w="3979"/>
          </w:cols>
          <w:pgMar w:left="320" w:top="661" w:right="1440" w:bottom="0" w:gutter="0" w:footer="0" w:header="0"/>
          <w:type w:val="continuous"/>
        </w:sectPr>
      </w:pP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term loan warrants issued, exercised and outstanding from the period January 1, 2022 through June 30,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Investor Warrants:</w:t>
            </w: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7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Common Stock</w:t>
            </w:r>
          </w:p>
        </w:tc>
      </w:tr>
      <w:tr>
        <w:trPr>
          <w:trHeight w:val="237"/>
        </w:trPr>
        <w:tc>
          <w:tcPr>
            <w:tcW w:w="7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Warrants</w:t>
            </w:r>
          </w:p>
        </w:tc>
      </w:tr>
      <w:tr>
        <w:trPr>
          <w:trHeight w:val="216"/>
        </w:trPr>
        <w:tc>
          <w:tcPr>
            <w:tcW w:w="70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January 1, 2023</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9"/>
        </w:trPr>
        <w:tc>
          <w:tcPr>
            <w:tcW w:w="70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Warrants issued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11,405,000</w:t>
            </w:r>
          </w:p>
        </w:tc>
        <w:tc>
          <w:tcPr>
            <w:tcW w:w="60" w:type="dxa"/>
            <w:vAlign w:val="bottom"/>
          </w:tcPr>
          <w:p>
            <w:pPr>
              <w:spacing w:after="0"/>
              <w:rPr>
                <w:sz w:val="19"/>
                <w:szCs w:val="19"/>
                <w:color w:val="auto"/>
              </w:rPr>
            </w:pPr>
          </w:p>
        </w:tc>
      </w:tr>
    </w:tbl>
    <w:p>
      <w:pPr>
        <w:spacing w:after="0" w:line="20" w:lineRule="exact"/>
        <w:rPr>
          <w:sz w:val="20"/>
          <w:szCs w:val="20"/>
          <w:color w:val="auto"/>
        </w:rPr>
      </w:pPr>
    </w:p>
    <w:p>
      <w:pPr>
        <w:sectPr>
          <w:pgSz w:w="11900" w:h="16900" w:orient="portrait"/>
          <w:cols w:equalWidth="0" w:num="1">
            <w:col w:w="10139"/>
          </w:cols>
          <w:pgMar w:left="320" w:top="661" w:right="1440" w:bottom="0" w:gutter="0" w:footer="0" w:header="0"/>
          <w:type w:val="continuous"/>
        </w:sectPr>
      </w:pPr>
    </w:p>
    <w:bookmarkStart w:id="24" w:name="page25"/>
    <w:bookmarkEnd w:id="24"/>
    <w:tbl>
      <w:tblPr>
        <w:tblLayout w:type="fixed"/>
        <w:tblInd w:w="700" w:type="dxa"/>
        <w:tblCellMar>
          <w:top w:w="0" w:type="dxa"/>
          <w:left w:w="0" w:type="dxa"/>
          <w:bottom w:w="0" w:type="dxa"/>
          <w:right w:w="0" w:type="dxa"/>
        </w:tblCellMar>
      </w:tblPr>
      <w:tr>
        <w:trPr>
          <w:trHeight w:val="243"/>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June 30, 2023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11,405,000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0"/>
        </w:trPr>
        <w:tc>
          <w:tcPr>
            <w:tcW w:w="54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investor warrants issued, exercised and outstanding from the period January 1, 2022 through June 30, 2022.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a roll forward of the aggregate fair values of the Company’s warrant liabilities for which fair value is determined by Level 3 Inputs. The only class of warrants that were determined to be Level 3 are the term loan warrants.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Warrant Liability</w:t>
            </w:r>
          </w:p>
        </w:tc>
        <w:tc>
          <w:tcPr>
            <w:tcW w:w="3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January 1, 2023</w:t>
            </w:r>
          </w:p>
        </w:tc>
        <w:tc>
          <w:tcPr>
            <w:tcW w:w="17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30,841</w:t>
            </w:r>
          </w:p>
        </w:tc>
        <w:tc>
          <w:tcPr>
            <w:tcW w:w="80" w:type="dxa"/>
            <w:vAlign w:val="bottom"/>
            <w:tcBorders>
              <w:top w:val="single" w:sz="8" w:color="CCEEFF"/>
            </w:tcBorders>
            <w:shd w:val="clear" w:color="auto" w:fill="CCEEFF"/>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Issuance of warrants</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13,762</w:t>
            </w:r>
          </w:p>
        </w:tc>
        <w:tc>
          <w:tcPr>
            <w:tcW w:w="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(11,284)</w:t>
            </w: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Change in fair value of warrants</w:t>
            </w:r>
          </w:p>
        </w:tc>
        <w:tc>
          <w:tcPr>
            <w:tcW w:w="1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(18,832)</w:t>
            </w:r>
          </w:p>
        </w:tc>
        <w:tc>
          <w:tcPr>
            <w:tcW w:w="3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June 30, 2023</w:t>
            </w:r>
          </w:p>
        </w:tc>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780" w:type="dxa"/>
            <w:vAlign w:val="bottom"/>
            <w:vMerge w:val="restart"/>
          </w:tcPr>
          <w:p>
            <w:pPr>
              <w:jc w:val="right"/>
              <w:ind w:right="250"/>
              <w:spacing w:after="0"/>
              <w:rPr>
                <w:sz w:val="20"/>
                <w:szCs w:val="20"/>
                <w:color w:val="auto"/>
              </w:rPr>
            </w:pPr>
            <w:r>
              <w:rPr>
                <w:rFonts w:ascii="Arial" w:cs="Arial" w:eastAsia="Arial" w:hAnsi="Arial"/>
                <w:sz w:val="18"/>
                <w:szCs w:val="18"/>
                <w:color w:val="auto"/>
              </w:rPr>
              <w:t>23</w:t>
            </w: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vMerge w:val="continue"/>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11240"/>
          </w:cols>
          <w:pgMar w:left="320" w:top="140" w:right="339" w:bottom="1440" w:gutter="0" w:footer="0" w:header="0"/>
        </w:sectPr>
      </w:pPr>
    </w:p>
    <w:bookmarkStart w:id="25" w:name="page26"/>
    <w:bookmarkEnd w:id="25"/>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STOCK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authorized to issue up to 170,000,000 shares of common stock with $0.0001 par value. Common stockholders are entitled to dividends if and when declared by the Board of Directors subject to the rights of the preferred stockholders. As of June 30, 2023 and December 31, 2022, there were 58,504,541 and 43,272,728 shares issued and outstanding. No dividends on common stock had been declared by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2023 and 2022, the Company had reserved shares of common stock for issuance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8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June 30,</w:t>
            </w:r>
          </w:p>
        </w:tc>
        <w:tc>
          <w:tcPr>
            <w:tcW w:w="1600" w:type="dxa"/>
            <w:vAlign w:val="bottom"/>
            <w:gridSpan w:val="3"/>
          </w:tcPr>
          <w:p>
            <w:pPr>
              <w:ind w:left="42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558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Options issued and outstanding</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3,443,099</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4,008,139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Common stock outstanding</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58,504,541</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36,749,738</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w:t>
            </w: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23,492,221</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Earnout shares</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40,000,000</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5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Shares available for future issuance</w:t>
            </w: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4,434,916</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622,491</w:t>
            </w:r>
          </w:p>
        </w:tc>
        <w:tc>
          <w:tcPr>
            <w:tcW w:w="60" w:type="dxa"/>
            <w:vAlign w:val="bottom"/>
            <w:shd w:val="clear" w:color="auto" w:fill="CCEEFF"/>
          </w:tcPr>
          <w:p>
            <w:pPr>
              <w:spacing w:after="0"/>
              <w:rPr>
                <w:sz w:val="21"/>
                <w:szCs w:val="21"/>
                <w:color w:val="auto"/>
              </w:rPr>
            </w:pPr>
          </w:p>
        </w:tc>
      </w:tr>
      <w:tr>
        <w:trPr>
          <w:trHeight w:val="217"/>
        </w:trPr>
        <w:tc>
          <w:tcPr>
            <w:tcW w:w="55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129,874,777</w:t>
            </w:r>
          </w:p>
        </w:tc>
        <w:tc>
          <w:tcPr>
            <w:tcW w:w="260" w:type="dxa"/>
            <w:vAlign w:val="bottom"/>
            <w:tcBorders>
              <w:top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41,380,368</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ChEF Equity Facility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and Chardan Capital Markets LLC, a New York limited liability company (“CCM LLC”) entered into a purchase agreement (the “Purchase Agreement”) and a Registration Rights Agreement (the “ChEF RRA”) in connection with the merger. Pursuant to the Purchase Agreement, the Company has the right to sell to CCM LLC an amount of shares of Common Stock, up to a maximum aggregate purchase price of $150 million, pursuant to the terms of the Purchase Agreement. In addition, the Company appointed LifeSci Capital, LLC as “qualified independent underwriter” with respect to the transactions contemplated by the Purchase Agreement. Under the terms of the Purchase Agreement, the Company issued 98,500 shares pursuant to the Purchase Agreement with CCM LLC for aggregate net proceeds to the Company of $671 from the period January 1, 2023 through June 30, 2023.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2023 Offering</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June 2023 Offering, the Company sold an aggregate of (i) 10,000,000 shares of its Common Stock and, (ii) accompanying Investor Warrants to purchase up to 10,000,000 shares of Common Stock, at the combined public offering price of $2.00 per share and accompanying Investor Warrant, less underwriting discounts and commissions, and (iii) the Underwriters’ Warrants. In addition, the Company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w:t>
      </w:r>
    </w:p>
    <w:p>
      <w:pPr>
        <w:spacing w:after="0" w:line="3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Investor Warrants are exercisable for five years from the closing date of the June 2023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at an exercise price of $2.50 per share and will expire on June 20, 2028.</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granted the underwriters a 45-day over-allotment option to purchase up to an additional 1,500,000 shares of Common Stock and/or Warrants to purchase up to an aggregate of 1,500,000 shares of Common Stock at the public offering price per security, less underwriting discounts and commissions, of which the underwriters exercised for 1,405,000 shares of Common Stock and Investor Warrants to purchase up to 1,405,000 shares of Common Stock and the remaining was not exercised within the 45-day window.</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received gross proceeds of $22,810 and incurred $2,074 of offering related costs. The gross proceeds were first allocated to the liability classified warrants based upon the transaction date fair value and then to the equity classified warrants with the residual allocated to the common shares. The offering related costs were allocated based on the relative fair value of all instruments, of which $1,169 was accounted for as a reduction of additional-paid-in-capital and $905 was recorded within general and administrative expenses. The Company accounted for the investor warrants issued in connection with the Public Offering and the exercise of the underwriters’ over-allotment option in accordance with the guidance contained in ASC 815-40. Such guidance provides that the warrants described above are precluded from equity classification. The fair value of the warrants were recorded as a liability in the amount of $13,762 on issuance and are being fair valued at each reporting period.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Share-based compensation expense for options and RSUs totaling $5,441 and $719 was recognized in the Company’s consolidated statements of operations for the six months ended June 30, 2023 and 2022, respectively. Share-based compensation expense for options and RSUs totaling $954 and $431 was recognized in the Company’s consolidated statements of operations for the three months ended June 30, 2023 and 2022,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for the six months ended June 30, 2023 and 2022 was allocated as follows:</w:t>
      </w:r>
    </w:p>
    <w:p>
      <w:pPr>
        <w:sectPr>
          <w:pgSz w:w="11900" w:h="16838" w:orient="portrait"/>
          <w:cols w:equalWidth="0" w:num="1">
            <w:col w:w="11240"/>
          </w:cols>
          <w:pgMar w:left="320" w:top="66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Selling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1"/>
                <w:szCs w:val="21"/>
                <w:color w:val="auto"/>
              </w:rPr>
            </w:pPr>
          </w:p>
        </w:tc>
      </w:tr>
      <w:tr>
        <w:trPr>
          <w:trHeight w:val="202"/>
        </w:trPr>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75</w:t>
            </w:r>
          </w:p>
        </w:tc>
        <w:tc>
          <w:tcPr>
            <w:tcW w:w="320" w:type="dxa"/>
            <w:vAlign w:val="bottom"/>
          </w:tcPr>
          <w:p>
            <w:pPr>
              <w:spacing w:after="0"/>
              <w:rPr>
                <w:sz w:val="17"/>
                <w:szCs w:val="17"/>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auto"/>
              </w:rPr>
              <w:t>143</w:t>
            </w:r>
          </w:p>
        </w:tc>
        <w:tc>
          <w:tcPr>
            <w:tcW w:w="20" w:type="dxa"/>
            <w:vAlign w:val="bottom"/>
          </w:tcPr>
          <w:p>
            <w:pPr>
              <w:spacing w:after="0"/>
              <w:rPr>
                <w:sz w:val="17"/>
                <w:szCs w:val="17"/>
                <w:color w:val="auto"/>
              </w:rPr>
            </w:pPr>
          </w:p>
        </w:tc>
      </w:tr>
      <w:tr>
        <w:trPr>
          <w:trHeight w:val="216"/>
        </w:trPr>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r>
      <w:tr>
        <w:trPr>
          <w:trHeight w:val="229"/>
        </w:trPr>
        <w:tc>
          <w:tcPr>
            <w:tcW w:w="38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971</w:t>
            </w:r>
          </w:p>
        </w:tc>
        <w:tc>
          <w:tcPr>
            <w:tcW w:w="3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r>
      <w:tr>
        <w:trPr>
          <w:trHeight w:val="237"/>
        </w:trPr>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4,346</w:t>
            </w:r>
          </w:p>
        </w:tc>
        <w:tc>
          <w:tcPr>
            <w:tcW w:w="3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r>
      <w:tr>
        <w:trPr>
          <w:trHeight w:val="229"/>
        </w:trPr>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5,441</w:t>
            </w:r>
          </w:p>
        </w:tc>
        <w:tc>
          <w:tcPr>
            <w:tcW w:w="3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719</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-753745</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-471170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-179070</wp:posOffset>
            </wp:positionV>
            <wp:extent cx="713232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20" w:space="720"/>
            <w:col w:w="3800"/>
          </w:cols>
          <w:pgMar w:left="320" w:top="661" w:right="339"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for the three months ended June 30, 2023 and 2022 was allocated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Cost of goods sold</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gridSpan w:val="4"/>
          </w:tcPr>
          <w:p>
            <w:pPr>
              <w:spacing w:after="0"/>
              <w:rPr>
                <w:sz w:val="20"/>
                <w:szCs w:val="20"/>
                <w:color w:val="auto"/>
              </w:rPr>
            </w:pPr>
            <w:r>
              <w:rPr>
                <w:rFonts w:ascii="Arial" w:cs="Arial" w:eastAsia="Arial" w:hAnsi="Arial"/>
                <w:sz w:val="18"/>
                <w:szCs w:val="18"/>
                <w:color w:val="auto"/>
                <w:w w:val="96"/>
              </w:rPr>
              <w:t>Research and development</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7"/>
        </w:trPr>
        <w:tc>
          <w:tcPr>
            <w:tcW w:w="3860" w:type="dxa"/>
            <w:vAlign w:val="bottom"/>
            <w:gridSpan w:val="6"/>
          </w:tcPr>
          <w:p>
            <w:pPr>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gridSpan w:val="9"/>
            <w:vMerge w:val="restart"/>
          </w:tcPr>
          <w:p>
            <w:pPr>
              <w:spacing w:after="0"/>
              <w:rPr>
                <w:sz w:val="20"/>
                <w:szCs w:val="20"/>
                <w:color w:val="auto"/>
              </w:rPr>
            </w:pPr>
            <w:r>
              <w:rPr>
                <w:rFonts w:ascii="Arial" w:cs="Arial" w:eastAsia="Arial" w:hAnsi="Arial"/>
                <w:sz w:val="18"/>
                <w:szCs w:val="18"/>
                <w:color w:val="auto"/>
                <w:w w:val="95"/>
              </w:rPr>
              <w:t>A summary of the Company’s option activity and related information follows:</w:t>
            </w: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80" w:type="dxa"/>
            <w:vAlign w:val="bottom"/>
            <w:gridSpan w:val="9"/>
            <w:vMerge w:val="continue"/>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Weighted-Average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vMerge w:val="restart"/>
          </w:tcPr>
          <w:p>
            <w:pPr>
              <w:jc w:val="right"/>
              <w:ind w:right="74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Weighted-Average</w:t>
            </w:r>
          </w:p>
        </w:tc>
        <w:tc>
          <w:tcPr>
            <w:tcW w:w="240" w:type="dxa"/>
            <w:vAlign w:val="bottom"/>
          </w:tcPr>
          <w:p>
            <w:pPr>
              <w:spacing w:after="0"/>
              <w:rPr>
                <w:sz w:val="18"/>
                <w:szCs w:val="18"/>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Remaining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right"/>
              <w:ind w:right="440"/>
              <w:spacing w:after="0" w:line="179" w:lineRule="exact"/>
              <w:rPr>
                <w:sz w:val="20"/>
                <w:szCs w:val="20"/>
                <w:color w:val="auto"/>
              </w:rPr>
            </w:pPr>
            <w:r>
              <w:rPr>
                <w:rFonts w:ascii="Arial" w:cs="Arial" w:eastAsia="Arial" w:hAnsi="Arial"/>
                <w:sz w:val="18"/>
                <w:szCs w:val="18"/>
                <w:color w:val="auto"/>
                <w:w w:val="89"/>
              </w:rPr>
              <w:t>Weighted-Average</w:t>
            </w:r>
          </w:p>
        </w:tc>
        <w:tc>
          <w:tcPr>
            <w:tcW w:w="100" w:type="dxa"/>
            <w:vAlign w:val="bottom"/>
          </w:tcPr>
          <w:p>
            <w:pPr>
              <w:spacing w:after="0"/>
              <w:rPr>
                <w:sz w:val="15"/>
                <w:szCs w:val="15"/>
                <w:color w:val="auto"/>
              </w:rPr>
            </w:pPr>
          </w:p>
        </w:tc>
        <w:tc>
          <w:tcPr>
            <w:tcW w:w="1560" w:type="dxa"/>
            <w:vAlign w:val="bottom"/>
            <w:gridSpan w:val="2"/>
          </w:tcPr>
          <w:p>
            <w:pPr>
              <w:jc w:val="center"/>
              <w:ind w:right="180"/>
              <w:spacing w:after="0" w:line="179" w:lineRule="exact"/>
              <w:rPr>
                <w:sz w:val="20"/>
                <w:szCs w:val="20"/>
                <w:color w:val="auto"/>
              </w:rPr>
            </w:pPr>
            <w:r>
              <w:rPr>
                <w:rFonts w:ascii="Arial" w:cs="Arial" w:eastAsia="Arial" w:hAnsi="Arial"/>
                <w:sz w:val="18"/>
                <w:szCs w:val="18"/>
                <w:color w:val="auto"/>
                <w:w w:val="91"/>
              </w:rPr>
              <w:t>Grant Date Fair</w:t>
            </w:r>
          </w:p>
        </w:tc>
        <w:tc>
          <w:tcPr>
            <w:tcW w:w="240" w:type="dxa"/>
            <w:vAlign w:val="bottom"/>
          </w:tcPr>
          <w:p>
            <w:pPr>
              <w:spacing w:after="0"/>
              <w:rPr>
                <w:sz w:val="15"/>
                <w:szCs w:val="15"/>
                <w:color w:val="auto"/>
              </w:rPr>
            </w:pPr>
          </w:p>
        </w:tc>
        <w:tc>
          <w:tcPr>
            <w:tcW w:w="1780" w:type="dxa"/>
            <w:vAlign w:val="bottom"/>
            <w:gridSpan w:val="3"/>
          </w:tcPr>
          <w:p>
            <w:pPr>
              <w:jc w:val="center"/>
              <w:ind w:right="220"/>
              <w:spacing w:after="0" w:line="179" w:lineRule="exact"/>
              <w:rPr>
                <w:sz w:val="20"/>
                <w:szCs w:val="20"/>
                <w:color w:val="auto"/>
              </w:rPr>
            </w:pPr>
            <w:r>
              <w:rPr>
                <w:rFonts w:ascii="Arial" w:cs="Arial" w:eastAsia="Arial" w:hAnsi="Arial"/>
                <w:sz w:val="18"/>
                <w:szCs w:val="18"/>
                <w:color w:val="auto"/>
                <w:w w:val="95"/>
              </w:rPr>
              <w:t>Contractual Life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200"/>
              <w:spacing w:after="0" w:line="179" w:lineRule="exact"/>
              <w:rPr>
                <w:sz w:val="20"/>
                <w:szCs w:val="20"/>
                <w:color w:val="auto"/>
              </w:rPr>
            </w:pPr>
            <w:r>
              <w:rPr>
                <w:rFonts w:ascii="Arial" w:cs="Arial" w:eastAsia="Arial" w:hAnsi="Arial"/>
                <w:sz w:val="18"/>
                <w:szCs w:val="18"/>
                <w:color w:val="auto"/>
                <w:w w:val="92"/>
              </w:rPr>
              <w:t>Aggregate intrinsic</w:t>
            </w:r>
          </w:p>
        </w:tc>
        <w:tc>
          <w:tcPr>
            <w:tcW w:w="0" w:type="dxa"/>
            <w:vAlign w:val="bottom"/>
          </w:tcPr>
          <w:p>
            <w:pPr>
              <w:spacing w:after="0"/>
              <w:rPr>
                <w:sz w:val="1"/>
                <w:szCs w:val="1"/>
                <w:color w:val="auto"/>
              </w:rPr>
            </w:pPr>
          </w:p>
        </w:tc>
      </w:tr>
      <w:tr>
        <w:trPr>
          <w:trHeight w:val="274"/>
        </w:trPr>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gridSpan w:val="2"/>
          </w:tcPr>
          <w:p>
            <w:pPr>
              <w:jc w:val="right"/>
              <w:ind w:right="740"/>
              <w:spacing w:after="0" w:line="267" w:lineRule="exact"/>
              <w:rPr>
                <w:sz w:val="20"/>
                <w:szCs w:val="20"/>
                <w:color w:val="auto"/>
              </w:rPr>
            </w:pPr>
            <w:r>
              <w:rPr>
                <w:rFonts w:ascii="Arial" w:cs="Arial" w:eastAsia="Arial" w:hAnsi="Arial"/>
                <w:sz w:val="18"/>
                <w:szCs w:val="18"/>
                <w:color w:val="auto"/>
              </w:rPr>
              <w:t xml:space="preserve">Options </w:t>
            </w:r>
            <w:r>
              <w:rPr>
                <w:rFonts w:ascii="Arial" w:cs="Arial" w:eastAsia="Arial" w:hAnsi="Arial"/>
                <w:sz w:val="29"/>
                <w:szCs w:val="29"/>
                <w:color w:val="auto"/>
                <w:vertAlign w:val="superscript"/>
              </w:rPr>
              <w:t>(1)</w:t>
            </w:r>
          </w:p>
        </w:tc>
        <w:tc>
          <w:tcPr>
            <w:tcW w:w="120" w:type="dxa"/>
            <w:vAlign w:val="bottom"/>
          </w:tcPr>
          <w:p>
            <w:pPr>
              <w:spacing w:after="0"/>
              <w:rPr>
                <w:sz w:val="23"/>
                <w:szCs w:val="23"/>
                <w:color w:val="auto"/>
              </w:rPr>
            </w:pPr>
          </w:p>
        </w:tc>
        <w:tc>
          <w:tcPr>
            <w:tcW w:w="1800" w:type="dxa"/>
            <w:vAlign w:val="bottom"/>
            <w:gridSpan w:val="2"/>
          </w:tcPr>
          <w:p>
            <w:pPr>
              <w:jc w:val="right"/>
              <w:ind w:right="600"/>
              <w:spacing w:after="0"/>
              <w:rPr>
                <w:sz w:val="20"/>
                <w:szCs w:val="20"/>
                <w:color w:val="auto"/>
              </w:rPr>
            </w:pPr>
            <w:r>
              <w:rPr>
                <w:rFonts w:ascii="Arial" w:cs="Arial" w:eastAsia="Arial" w:hAnsi="Arial"/>
                <w:sz w:val="18"/>
                <w:szCs w:val="18"/>
                <w:color w:val="auto"/>
              </w:rPr>
              <w:t>Exercise Price</w:t>
            </w:r>
          </w:p>
        </w:tc>
        <w:tc>
          <w:tcPr>
            <w:tcW w:w="100" w:type="dxa"/>
            <w:vAlign w:val="bottom"/>
          </w:tcPr>
          <w:p>
            <w:pPr>
              <w:spacing w:after="0"/>
              <w:rPr>
                <w:sz w:val="23"/>
                <w:szCs w:val="23"/>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Value</w:t>
            </w:r>
          </w:p>
        </w:tc>
        <w:tc>
          <w:tcPr>
            <w:tcW w:w="240" w:type="dxa"/>
            <w:vAlign w:val="bottom"/>
          </w:tcPr>
          <w:p>
            <w:pPr>
              <w:spacing w:after="0"/>
              <w:rPr>
                <w:sz w:val="23"/>
                <w:szCs w:val="23"/>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(in years)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value</w:t>
            </w:r>
          </w:p>
        </w:tc>
        <w:tc>
          <w:tcPr>
            <w:tcW w:w="0" w:type="dxa"/>
            <w:vAlign w:val="bottom"/>
          </w:tcPr>
          <w:p>
            <w:pPr>
              <w:spacing w:after="0"/>
              <w:rPr>
                <w:sz w:val="1"/>
                <w:szCs w:val="1"/>
                <w:color w:val="auto"/>
              </w:rPr>
            </w:pPr>
          </w:p>
        </w:tc>
      </w:tr>
      <w:tr>
        <w:trPr>
          <w:trHeight w:val="188"/>
        </w:trPr>
        <w:tc>
          <w:tcPr>
            <w:tcW w:w="7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6"/>
              </w:rPr>
              <w:t>Balances,</w:t>
            </w:r>
          </w:p>
        </w:tc>
        <w:tc>
          <w:tcPr>
            <w:tcW w:w="660" w:type="dxa"/>
            <w:vAlign w:val="bottom"/>
            <w:tcBorders>
              <w:top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90"/>
              </w:rPr>
              <w:t>January</w:t>
            </w:r>
          </w:p>
        </w:tc>
        <w:tc>
          <w:tcPr>
            <w:tcW w:w="480" w:type="dxa"/>
            <w:vAlign w:val="bottom"/>
            <w:tcBorders>
              <w:top w:val="single" w:sz="8" w:color="CCEEFF"/>
            </w:tcBorders>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1,</w:t>
            </w:r>
          </w:p>
        </w:tc>
        <w:tc>
          <w:tcPr>
            <w:tcW w:w="22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3,690,955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602,275</w:t>
            </w:r>
          </w:p>
        </w:tc>
        <w:tc>
          <w:tcPr>
            <w:tcW w:w="1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(30,468)</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440" w:type="dxa"/>
            <w:vAlign w:val="bottom"/>
            <w:gridSpan w:val="2"/>
          </w:tcPr>
          <w:p>
            <w:pPr>
              <w:spacing w:after="0"/>
              <w:rPr>
                <w:sz w:val="20"/>
                <w:szCs w:val="20"/>
                <w:color w:val="auto"/>
              </w:rPr>
            </w:pPr>
            <w:r>
              <w:rPr>
                <w:rFonts w:ascii="Arial" w:cs="Arial" w:eastAsia="Arial" w:hAnsi="Arial"/>
                <w:sz w:val="18"/>
                <w:szCs w:val="18"/>
                <w:color w:val="auto"/>
                <w:w w:val="98"/>
              </w:rPr>
              <w:t>Options exercised</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(254,623)</w:t>
            </w:r>
          </w:p>
        </w:tc>
        <w:tc>
          <w:tcPr>
            <w:tcW w:w="12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0"/>
                <w:szCs w:val="20"/>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7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6"/>
              </w:rPr>
              <w:t>Balances,</w:t>
            </w:r>
          </w:p>
        </w:tc>
        <w:tc>
          <w:tcPr>
            <w:tcW w:w="660" w:type="dxa"/>
            <w:vAlign w:val="bottom"/>
            <w:tcBorders>
              <w:top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June</w:t>
            </w:r>
          </w:p>
        </w:tc>
        <w:tc>
          <w:tcPr>
            <w:tcW w:w="480" w:type="dxa"/>
            <w:vAlign w:val="bottom"/>
            <w:tcBorders>
              <w:top w:val="single" w:sz="8" w:color="CCEEFF"/>
            </w:tcBorders>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87"/>
              </w:rPr>
              <w:t>30,</w:t>
            </w:r>
          </w:p>
        </w:tc>
        <w:tc>
          <w:tcPr>
            <w:tcW w:w="22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4,008,139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Balances,</w:t>
            </w:r>
          </w:p>
        </w:tc>
        <w:tc>
          <w:tcPr>
            <w:tcW w:w="6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0"/>
              </w:rPr>
              <w:t>January</w:t>
            </w:r>
          </w:p>
        </w:tc>
        <w:tc>
          <w:tcPr>
            <w:tcW w:w="48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3,642,958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35,989</w:t>
            </w: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143,607</w:t>
            </w:r>
          </w:p>
        </w:tc>
        <w:tc>
          <w:tcPr>
            <w:tcW w:w="1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3.82</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(238,345)</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36"/>
        </w:trPr>
        <w:tc>
          <w:tcPr>
            <w:tcW w:w="1440" w:type="dxa"/>
            <w:vAlign w:val="bottom"/>
            <w:gridSpan w:val="2"/>
          </w:tcPr>
          <w:p>
            <w:pPr>
              <w:spacing w:after="0"/>
              <w:rPr>
                <w:sz w:val="20"/>
                <w:szCs w:val="20"/>
                <w:color w:val="auto"/>
              </w:rPr>
            </w:pPr>
            <w:r>
              <w:rPr>
                <w:rFonts w:ascii="Arial" w:cs="Arial" w:eastAsia="Arial" w:hAnsi="Arial"/>
                <w:sz w:val="18"/>
                <w:szCs w:val="18"/>
                <w:color w:val="auto"/>
                <w:w w:val="98"/>
              </w:rPr>
              <w:t>Options exercised</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(105,121)</w:t>
            </w:r>
          </w:p>
        </w:tc>
        <w:tc>
          <w:tcPr>
            <w:tcW w:w="12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0"/>
                <w:szCs w:val="20"/>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5.91</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188"/>
        </w:trPr>
        <w:tc>
          <w:tcPr>
            <w:tcW w:w="7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6"/>
              </w:rPr>
              <w:t>Balances,</w:t>
            </w:r>
          </w:p>
        </w:tc>
        <w:tc>
          <w:tcPr>
            <w:tcW w:w="660" w:type="dxa"/>
            <w:vAlign w:val="bottom"/>
            <w:tcBorders>
              <w:top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June</w:t>
            </w:r>
          </w:p>
        </w:tc>
        <w:tc>
          <w:tcPr>
            <w:tcW w:w="480" w:type="dxa"/>
            <w:vAlign w:val="bottom"/>
            <w:tcBorders>
              <w:top w:val="single" w:sz="8" w:color="CCEEFF"/>
            </w:tcBorders>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87"/>
              </w:rPr>
              <w:t>30,</w:t>
            </w:r>
          </w:p>
        </w:tc>
        <w:tc>
          <w:tcPr>
            <w:tcW w:w="22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3,443,099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22"/>
                <w:szCs w:val="22"/>
                <w:color w:val="auto"/>
              </w:rPr>
            </w:pPr>
          </w:p>
        </w:tc>
        <w:tc>
          <w:tcPr>
            <w:tcW w:w="1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gridSpan w:val="2"/>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June 30, 2023</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gridSpan w:val="4"/>
          </w:tcPr>
          <w:p>
            <w:pPr>
              <w:spacing w:after="0"/>
              <w:rPr>
                <w:sz w:val="20"/>
                <w:szCs w:val="20"/>
                <w:color w:val="auto"/>
              </w:rPr>
            </w:pPr>
            <w:r>
              <w:rPr>
                <w:rFonts w:ascii="Arial" w:cs="Arial" w:eastAsia="Arial" w:hAnsi="Arial"/>
                <w:sz w:val="18"/>
                <w:szCs w:val="18"/>
                <w:color w:val="auto"/>
              </w:rPr>
              <w:t>Vested and Exercisable</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2,164,874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3"/>
          </w:tcPr>
          <w:p>
            <w:pPr>
              <w:jc w:val="right"/>
              <w:ind w:right="220"/>
              <w:spacing w:after="0"/>
              <w:rPr>
                <w:sz w:val="20"/>
                <w:szCs w:val="20"/>
                <w:color w:val="auto"/>
              </w:rPr>
            </w:pPr>
            <w:r>
              <w:rPr>
                <w:rFonts w:ascii="Arial" w:cs="Arial" w:eastAsia="Arial" w:hAnsi="Arial"/>
                <w:sz w:val="18"/>
                <w:szCs w:val="18"/>
                <w:color w:val="auto"/>
              </w:rPr>
              <w:t>4.89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02"/>
        </w:trPr>
        <w:tc>
          <w:tcPr>
            <w:tcW w:w="21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Vested and expected to</w:t>
            </w: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vest</w:t>
            </w:r>
          </w:p>
        </w:tc>
        <w:tc>
          <w:tcPr>
            <w:tcW w:w="6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3,443,099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right="20" w:hanging="292"/>
        <w:spacing w:after="0" w:line="308" w:lineRule="auto"/>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Number of options and weighted average exercise price has been adjusted to reflect the exchange of Legacy Dragonfly’s stock options for New Dragonfly stock options at an exchange ratio of approximately 1.182 as a result of the merger. See Note 1 for additional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7, 2022, the Company granted 180,000 restricted stock units under the 2022 plan which vest one year from the grant date. The fair value of the restricted stock units on the date of grant was $2,520, which is recognized as compensation expense over the requisite service period based on the value of the underlying shares on the date of grant. On February 10, 2023, the Company granted 461,998 restricted stock units under the 2022 plan which vested immediately. The fair value of the restricted stock units on the date of grant was $3,464 and was recorded as compensation expense during the six months ended June 30, 2023. During the first six months of 2023, the Company granted an additional 28,000 restricted stock units which have not vested. The fair value of the 28,000 unvested restricted stock units was $105 and an expense of $7 was recorded during the six months ended June 30, 2023.</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0" w:gutter="0" w:footer="0" w:header="0"/>
          <w:type w:val="continuous"/>
        </w:sectPr>
      </w:pPr>
    </w:p>
    <w:bookmarkStart w:id="27" w:name="page28"/>
    <w:bookmarkEnd w:id="27"/>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grants of restricted stock units prior to October 7, 2022. The following table presents the restricted stock units activity for the six months ended June 30, 2023:</w:t>
      </w:r>
    </w:p>
    <w:p>
      <w:pPr>
        <w:sectPr>
          <w:pgSz w:w="11900" w:h="16838" w:orient="portrait"/>
          <w:cols w:equalWidth="0" w:num="1">
            <w:col w:w="11240"/>
          </w:cols>
          <w:pgMar w:left="320" w:top="66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640"/>
        <w:spacing w:after="0" w:line="260" w:lineRule="auto"/>
        <w:rPr>
          <w:sz w:val="20"/>
          <w:szCs w:val="20"/>
          <w:color w:val="auto"/>
        </w:rPr>
      </w:pPr>
      <w:r>
        <w:rPr>
          <w:rFonts w:ascii="Arial" w:cs="Arial" w:eastAsia="Arial" w:hAnsi="Arial"/>
          <w:sz w:val="18"/>
          <w:szCs w:val="18"/>
          <w:color w:val="auto"/>
        </w:rPr>
        <w:t>Unvested shares at January 1, 2023 Granted and unvested Vested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Unvested shares, June 30, 2023</w:t>
      </w: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Vested and exercisable as of June 30, 2023</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60" w:type="dxa"/>
            <w:vAlign w:val="bottom"/>
            <w:gridSpan w:val="3"/>
          </w:tcPr>
          <w:p>
            <w:pPr>
              <w:jc w:val="right"/>
              <w:ind w:right="580"/>
              <w:spacing w:after="0"/>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color w:val="auto"/>
                <w:w w:val="99"/>
              </w:rPr>
              <w:t>Weighted-Average</w:t>
            </w:r>
          </w:p>
        </w:tc>
      </w:tr>
      <w:tr>
        <w:trPr>
          <w:trHeight w:val="237"/>
        </w:trPr>
        <w:tc>
          <w:tcPr>
            <w:tcW w:w="1760" w:type="dxa"/>
            <w:vAlign w:val="bottom"/>
            <w:gridSpan w:val="3"/>
          </w:tcPr>
          <w:p>
            <w:pPr>
              <w:jc w:val="right"/>
              <w:ind w:right="72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color w:val="auto"/>
              </w:rPr>
              <w:t>Fair Market Value</w:t>
            </w:r>
          </w:p>
        </w:tc>
      </w:tr>
      <w:tr>
        <w:trPr>
          <w:trHeight w:val="202"/>
        </w:trPr>
        <w:tc>
          <w:tcPr>
            <w:tcW w:w="1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180,000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14.00</w:t>
            </w:r>
          </w:p>
        </w:tc>
        <w:tc>
          <w:tcPr>
            <w:tcW w:w="20" w:type="dxa"/>
            <w:vAlign w:val="bottom"/>
          </w:tcPr>
          <w:p>
            <w:pPr>
              <w:spacing w:after="0"/>
              <w:rPr>
                <w:sz w:val="17"/>
                <w:szCs w:val="17"/>
                <w:color w:val="auto"/>
              </w:rPr>
            </w:pPr>
          </w:p>
        </w:tc>
      </w:tr>
      <w:tr>
        <w:trPr>
          <w:trHeight w:val="216"/>
        </w:trPr>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489,998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7.29</w:t>
            </w:r>
          </w:p>
        </w:tc>
      </w:tr>
      <w:tr>
        <w:trPr>
          <w:trHeight w:val="251"/>
        </w:trPr>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(461,998)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r>
      <w:tr>
        <w:trPr>
          <w:trHeight w:val="229"/>
        </w:trPr>
        <w:tc>
          <w:tcPr>
            <w:tcW w:w="1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208,000</w:t>
            </w:r>
          </w:p>
        </w:tc>
        <w:tc>
          <w:tcPr>
            <w:tcW w:w="140" w:type="dxa"/>
            <w:vAlign w:val="bottom"/>
          </w:tcPr>
          <w:p>
            <w:pPr>
              <w:spacing w:after="0"/>
              <w:rPr>
                <w:sz w:val="19"/>
                <w:szCs w:val="19"/>
                <w:color w:val="auto"/>
              </w:rPr>
            </w:pPr>
          </w:p>
        </w:tc>
        <w:tc>
          <w:tcPr>
            <w:tcW w:w="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14.00</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-890905</wp:posOffset>
            </wp:positionV>
            <wp:extent cx="534924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9240" cy="14605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-607695</wp:posOffset>
            </wp:positionV>
            <wp:extent cx="534924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49240" cy="15430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-290830</wp:posOffset>
            </wp:positionV>
            <wp:extent cx="534924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80" w:space="720"/>
            <w:col w:w="6340"/>
          </w:cols>
          <w:pgMar w:left="320" w:top="661" w:right="339" w:bottom="0" w:gutter="0" w:footer="0" w:header="0"/>
          <w:type w:val="continuous"/>
        </w:sectPr>
      </w:pP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there were 4,434,916 shares of unissued authorized and available for future awards under the 2022 Equity Incentive Plan and Employee Stock Purchase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SUPPLIER AGREEMENT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9, 2023, Ioneer Rhyolite Ridge LLC (“Seller”), an emerging lithium-boron producer, and the Company announced a commercial offtake agreement partnership whereby the Seller is developing the Rhyolite Ridge Project which, once completed, is expected to produce lithium carbonate, and boric acid (the “Project”). Beginning on the supply start date which is the date the Seller notifies the Company that the project is fully completed and commissioned in accordance with the engineering, procurement and construction contract, and for the duration of the supply period, the Company shall purchase and receive product from Seller, on the terms and conditions of the agreement. The agreement calls for a minimum annual purchase requirement. The agreement becomes effective when the seller has informed the Company that the seller has made a positive financial investment decision in respect of the project.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LOSS PER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follows the </w:t>
      </w:r>
      <w:r>
        <w:rPr>
          <w:rFonts w:ascii="Arial" w:cs="Arial" w:eastAsia="Arial" w:hAnsi="Arial"/>
          <w:sz w:val="18"/>
          <w:szCs w:val="18"/>
          <w:i w:val="1"/>
          <w:iCs w:val="1"/>
          <w:color w:val="auto"/>
        </w:rPr>
        <w:t>two</w:t>
      </w:r>
      <w:r>
        <w:rPr>
          <w:rFonts w:ascii="Arial" w:cs="Arial" w:eastAsia="Arial" w:hAnsi="Arial"/>
          <w:sz w:val="18"/>
          <w:szCs w:val="18"/>
          <w:color w:val="auto"/>
        </w:rPr>
        <w:t xml:space="preserve">-class method when computing net loss per share as the Company has issued warrants that meet the definition of participating securities. The </w:t>
      </w:r>
      <w:r>
        <w:rPr>
          <w:rFonts w:ascii="Arial" w:cs="Arial" w:eastAsia="Arial" w:hAnsi="Arial"/>
          <w:sz w:val="18"/>
          <w:szCs w:val="18"/>
          <w:i w:val="1"/>
          <w:iCs w:val="1"/>
          <w:color w:val="auto"/>
        </w:rPr>
        <w:t>two</w:t>
      </w:r>
      <w:r>
        <w:rPr>
          <w:rFonts w:ascii="Arial" w:cs="Arial" w:eastAsia="Arial" w:hAnsi="Arial"/>
          <w:sz w:val="18"/>
          <w:szCs w:val="18"/>
          <w:color w:val="auto"/>
        </w:rPr>
        <w:t xml:space="preserve">-class method determines net loss per share for each class of common and participating securities according to dividends declared or accumulated and participation rights in undistributed earnings. The </w:t>
      </w:r>
      <w:r>
        <w:rPr>
          <w:rFonts w:ascii="Arial" w:cs="Arial" w:eastAsia="Arial" w:hAnsi="Arial"/>
          <w:sz w:val="18"/>
          <w:szCs w:val="18"/>
          <w:i w:val="1"/>
          <w:iCs w:val="1"/>
          <w:color w:val="auto"/>
        </w:rPr>
        <w:t>two</w:t>
      </w:r>
      <w:r>
        <w:rPr>
          <w:rFonts w:ascii="Arial" w:cs="Arial" w:eastAsia="Arial" w:hAnsi="Arial"/>
          <w:sz w:val="18"/>
          <w:szCs w:val="18"/>
          <w:color w:val="auto"/>
        </w:rPr>
        <w:t>-class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Basic net loss per common share is computed by dividing net loss attributable to common stockholders by the weighted average number of common shares outstanding. In addition, in computing the dilutive effect of convertible securities, the numerator is adjusted to add back any convertible preferred dividends. Diluted net loss per common share is computed by dividing net loss attributable to common stockholders by the weighted average number of common shares that would have been outstanding during the period assuming the issuance of common shares for all potential dilutive common shares outstanding. Potential common shares consist of potential future exercises of outstanding stock options and common stock warrants. Because the inclusion of potential common shares would be anti-dilutive for all periods presented, they have been excluded from the calculation.</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Company’s common stock warrants contractually entitle the holders of such securities to participate in dividends but do </w:t>
      </w:r>
      <w:r>
        <w:rPr>
          <w:rFonts w:ascii="Arial" w:cs="Arial" w:eastAsia="Arial" w:hAnsi="Arial"/>
          <w:sz w:val="18"/>
          <w:szCs w:val="18"/>
          <w:i w:val="1"/>
          <w:iCs w:val="1"/>
          <w:color w:val="auto"/>
        </w:rPr>
        <w:t>not</w:t>
      </w:r>
      <w:r>
        <w:rPr>
          <w:rFonts w:ascii="Arial" w:cs="Arial" w:eastAsia="Arial" w:hAnsi="Arial"/>
          <w:sz w:val="18"/>
          <w:szCs w:val="18"/>
          <w:color w:val="auto"/>
        </w:rPr>
        <w:t xml:space="preserve"> contractually require the holders of such securities to participate in losses of the Company. Accordingly, in periods in which the Company reports a net loss, such losses are </w:t>
      </w:r>
      <w:r>
        <w:rPr>
          <w:rFonts w:ascii="Arial" w:cs="Arial" w:eastAsia="Arial" w:hAnsi="Arial"/>
          <w:sz w:val="18"/>
          <w:szCs w:val="18"/>
          <w:i w:val="1"/>
          <w:iCs w:val="1"/>
          <w:color w:val="auto"/>
        </w:rPr>
        <w:t>not</w:t>
      </w:r>
      <w:r>
        <w:rPr>
          <w:rFonts w:ascii="Arial" w:cs="Arial" w:eastAsia="Arial" w:hAnsi="Arial"/>
          <w:sz w:val="18"/>
          <w:szCs w:val="18"/>
          <w:color w:val="auto"/>
        </w:rPr>
        <w:t xml:space="preserve"> allocated to such participating securities. In periods in which the Company reports a net loss attributable to common stockholders, diluted net loss per share attributable to common stockholders is the same as basic net loss per share attributable to common stockholders, since dilutive common shares are </w:t>
      </w:r>
      <w:r>
        <w:rPr>
          <w:rFonts w:ascii="Arial" w:cs="Arial" w:eastAsia="Arial" w:hAnsi="Arial"/>
          <w:sz w:val="18"/>
          <w:szCs w:val="18"/>
          <w:i w:val="1"/>
          <w:iCs w:val="1"/>
          <w:color w:val="auto"/>
        </w:rPr>
        <w:t>not</w:t>
      </w:r>
      <w:r>
        <w:rPr>
          <w:rFonts w:ascii="Arial" w:cs="Arial" w:eastAsia="Arial" w:hAnsi="Arial"/>
          <w:sz w:val="18"/>
          <w:szCs w:val="18"/>
          <w:color w:val="auto"/>
        </w:rPr>
        <w:t xml:space="preserve"> assumed to have been issued if their effect is anti-dilutive. The Company reported a net loss attributable to common stockholders for the three and six months ended June 30, 2023 and 2022.</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information needed to compute basic and diluted loss per share for the three and six months ended June 30, 2023 and 2022:</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5"/>
          </w:tcPr>
          <w:p>
            <w:pPr>
              <w:jc w:val="right"/>
              <w:ind w:right="1160"/>
              <w:spacing w:after="0"/>
              <w:rPr>
                <w:sz w:val="20"/>
                <w:szCs w:val="20"/>
                <w:color w:val="auto"/>
              </w:rPr>
            </w:pPr>
            <w:r>
              <w:rPr>
                <w:rFonts w:ascii="Arial" w:cs="Arial" w:eastAsia="Arial" w:hAnsi="Arial"/>
                <w:sz w:val="18"/>
                <w:szCs w:val="18"/>
                <w:color w:val="auto"/>
              </w:rPr>
              <w:t>For The Three Months</w:t>
            </w:r>
          </w:p>
        </w:tc>
        <w:tc>
          <w:tcPr>
            <w:tcW w:w="320" w:type="dxa"/>
            <w:vAlign w:val="bottom"/>
          </w:tcPr>
          <w:p>
            <w:pPr>
              <w:spacing w:after="0"/>
              <w:rPr>
                <w:sz w:val="18"/>
                <w:szCs w:val="18"/>
                <w:color w:val="auto"/>
              </w:rPr>
            </w:pPr>
          </w:p>
        </w:tc>
        <w:tc>
          <w:tcPr>
            <w:tcW w:w="3000" w:type="dxa"/>
            <w:vAlign w:val="bottom"/>
            <w:gridSpan w:val="6"/>
          </w:tcPr>
          <w:p>
            <w:pPr>
              <w:jc w:val="right"/>
              <w:ind w:right="980"/>
              <w:spacing w:after="0"/>
              <w:rPr>
                <w:sz w:val="20"/>
                <w:szCs w:val="20"/>
                <w:color w:val="auto"/>
              </w:rPr>
            </w:pPr>
            <w:r>
              <w:rPr>
                <w:rFonts w:ascii="Arial" w:cs="Arial" w:eastAsia="Arial" w:hAnsi="Arial"/>
                <w:sz w:val="18"/>
                <w:szCs w:val="18"/>
                <w:color w:val="auto"/>
              </w:rPr>
              <w:t>For The Six Months</w:t>
            </w:r>
          </w:p>
        </w:tc>
      </w:tr>
      <w:tr>
        <w:trPr>
          <w:trHeight w:val="237"/>
        </w:trPr>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Ended June 30,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Ended 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41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(11,700)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(1,469)</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(6,808)</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(3,767)</w:t>
            </w:r>
          </w:p>
        </w:tc>
      </w:tr>
      <w:tr>
        <w:trPr>
          <w:trHeight w:val="197"/>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4100" w:type="dxa"/>
            <w:vAlign w:val="bottom"/>
          </w:tcPr>
          <w:p>
            <w:pPr>
              <w:spacing w:after="0" w:line="201" w:lineRule="exact"/>
              <w:rPr>
                <w:sz w:val="20"/>
                <w:szCs w:val="20"/>
                <w:color w:val="auto"/>
              </w:rPr>
            </w:pPr>
            <w:r>
              <w:rPr>
                <w:rFonts w:ascii="Arial" w:cs="Arial" w:eastAsia="Arial" w:hAnsi="Arial"/>
                <w:sz w:val="18"/>
                <w:szCs w:val="18"/>
                <w:color w:val="auto"/>
                <w:w w:val="92"/>
              </w:rPr>
              <w:t>Weighted average common shares outstanding used to</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compute net loss per share, basic and diluted</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47,418,269</w:t>
            </w:r>
          </w:p>
        </w:tc>
        <w:tc>
          <w:tcPr>
            <w:tcW w:w="48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36,616,430</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46,263,591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36,579,990</w:t>
            </w:r>
          </w:p>
        </w:tc>
      </w:tr>
      <w:tr>
        <w:trPr>
          <w:trHeight w:val="198"/>
        </w:trPr>
        <w:tc>
          <w:tcPr>
            <w:tcW w:w="41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loss per share of common stock, basic and</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(0.04)</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(0.15)</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9"/>
        </w:trPr>
        <w:tc>
          <w:tcPr>
            <w:tcW w:w="4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0" w:gutter="0" w:footer="0" w:header="0"/>
          <w:type w:val="continuous"/>
        </w:sectPr>
      </w:pPr>
    </w:p>
    <w:bookmarkStart w:id="28" w:name="page29"/>
    <w:bookmarkEnd w:id="28"/>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number of potential shares of common stock that have been excluded from diluted net loss per share because their effect was anti-dilutive:</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2040" w:type="dxa"/>
            <w:vAlign w:val="bottom"/>
            <w:gridSpan w:val="2"/>
          </w:tcPr>
          <w:p>
            <w:pPr>
              <w:jc w:val="right"/>
              <w:ind w:right="680"/>
              <w:spacing w:after="0"/>
              <w:rPr>
                <w:sz w:val="20"/>
                <w:szCs w:val="20"/>
                <w:color w:val="auto"/>
              </w:rPr>
            </w:pPr>
            <w:r>
              <w:rPr>
                <w:rFonts w:ascii="Arial" w:cs="Arial" w:eastAsia="Arial" w:hAnsi="Arial"/>
                <w:sz w:val="18"/>
                <w:szCs w:val="18"/>
                <w:color w:val="auto"/>
              </w:rPr>
              <w:t>June 30, 2023</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June 30, 2022</w:t>
            </w:r>
          </w:p>
        </w:tc>
      </w:tr>
      <w:tr>
        <w:trPr>
          <w:trHeight w:val="216"/>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23,492,221</w:t>
            </w:r>
          </w:p>
        </w:tc>
        <w:tc>
          <w:tcPr>
            <w:tcW w:w="3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208,000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3,443,099</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4,008,139</w:t>
            </w:r>
          </w:p>
        </w:tc>
        <w:tc>
          <w:tcPr>
            <w:tcW w:w="80" w:type="dxa"/>
            <w:vAlign w:val="bottom"/>
            <w:shd w:val="clear" w:color="auto" w:fill="CCEEFF"/>
          </w:tcPr>
          <w:p>
            <w:pPr>
              <w:spacing w:after="0"/>
              <w:rPr>
                <w:sz w:val="20"/>
                <w:szCs w:val="20"/>
                <w:color w:val="auto"/>
              </w:rPr>
            </w:pPr>
          </w:p>
        </w:tc>
      </w:tr>
      <w:tr>
        <w:trPr>
          <w:trHeight w:val="203"/>
        </w:trPr>
        <w:tc>
          <w:tcPr>
            <w:tcW w:w="62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Weighted average number of common shares-basic</w:t>
            </w: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27,143,320</w:t>
            </w:r>
          </w:p>
        </w:tc>
        <w:tc>
          <w:tcPr>
            <w:tcW w:w="320" w:type="dxa"/>
            <w:vAlign w:val="bottom"/>
            <w:tcBorders>
              <w:top w:val="single" w:sz="8" w:color="CCEE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4,008,139</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6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tax provision and the resulting effective tax rate for interim periods is determined based upon its estimated annual effective tax rate adjusted for the effect of discrete items arising in that quarter. The Company recorded an income tax expense (benefit) of $0 and ($814) during the six months ended June 30, 2023 and 2022, respectively. The effective tax rate differs from the U.S. statutory tax rate primarily due to the valuation allowances on the Company’s deferred tax assets as it is more likely than not that some or all the Company’s deferred tax assets will not be realized. The Company’s policy is to recognize interest and penalties associated with uncertain tax benefits as part of the income tax provision and include accrued interest and penalties with the related income tax liability on the Company’s condensed consolidated balance sheets. The Company has not recognized any interest and penalties in its condensed consolidated statements of operations, nor has it accrued for or made payments for interest and penalties.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Subsequent to the period ending June 30, 2023, and through August 8, 2023, 273,100 investor warrants were exercised for net proceeds of $546.</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July 2023, upon a request from the Company’s lenders under the term loan agreement, the Company repaid $5,275 of principal to satisfy a portion of its outstanding principal under the term loan agreement.</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July 6, 2023, the Company opened a 12-month time deposit account at Wells Fargo Commercial Banking amounting to $315 with fixed interest rate of 2%, payable on a monthly basis. The time deposit account has a current maturity date of July 6, 2024 and is subject to automatic annual renewal.</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of 2023, the Company was notified by its largest RV OEM customer that, due to weaker demand for its products and their subsequent focus on reducing costs, it would no longer install the Company’s storage solutions as standard equipment, but rather return to offering those solutions as an option to dealers and consumers. While this customer is not moving to a different solution or competitor, the Company expects this change in strategy to have a material limiting effect on the Company’s revenue throughout the remainder of 2023.</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August 20, 2023, upon mutual agreement between the Company and Mr. Marchetti, Mr. Marchetti resigned from his position as the Company’s Chief Financial Officer. Mr. Marchetti will continue in the role of Senior Vice President, Operations. In connection with Mr. Marchetti’s resignation, on August 20, 2023, the Board appointed Denis Phares, the Company’s President, Chief Executive Officer, and Chairman of the Board, to succeed Mr. Marchetti as the Company’s interim Chief Financial Officer. Dr. Phares will continue his duties as President, Chief Executive Officer, and Chairman of the Board. The Company intends to commence a search for a full time Chief Financial Officer.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References in this report (the “Quarterly Report”) to “we,” “us,” “our” or the “Company” refer to Dragonfly Energy Holdings Corp., a Nevada corporation. References to our “Sponsor” refer to Chardan NexTech Investments 2 LLC, a Delaware limited liability company and references to “Legacy Dragonfly” refer to Dragonfly Energy Corp., a Nevada corporation and our wholly-owned subsidiary. The following discussion and analysis of the Company’s financial condition and results of operations should be read in conjunction with the unaudited condensed consolidated financial statements and the notes thereto contained elsewhere in this Quarterly Report. Certain information contained in the discussion and analysis set forth below includes forward-looking statements that involve risks and uncertainties.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As a result of the completion of the Business Combination (as defined herein), the financial statements of Legacy Dragonfly are now the financial statements of us. Prior to the Business Combination, we had no operating assets but, upon consummation of the Business Combination, the business and operating assets of Legacy Dragonfly acquired by us became our sole business and operating assets. Accordingly, the financial statements of Legacy Dragonfly and their respective subsidiaries as they existed prior to the Business Combination and reflecting the sole business and operating assets of the Company going forward, are now the financial statements of us.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financial statements and the related notes and the other financial information included elsewhere in this Quarterly Report and with our audited consolidated financial statements (and notes thereto) for the year ended December 31, 2022 included in our Annual Report on Form 10-K filed with the Securities and Exchange Commission (“SEC”), particularly those under “Risk Factors.” This discussion contains forward-looking statements that involve risks and uncertainties. Our actual results could differ materially from those anticipated in these forward-looking statements as a result of various factors, including those discussed below and elsewhere in this Quarterly Report. We undertake no obligation to update these forward-looking statements to reflect events or circumstances after the date of this report or to reflect actual outcomes.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 LOOKING-STATEMENTS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Quarterly Report on Form 10-Q contains forward-looking statements made pursuant to the safe harbor provisions of the Private Securities Litigation Reform Act of 1995 under Section 27A of the Securities Act of 1933, as amended (the “Securities Act”), and Section 21E of the Securities Exchange Act of 1934, as amended (the “Exchange Act”).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6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our recent Business Combination, which may be affected by, among other things, the factors listed below;</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increase market penetration into target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addressable markets that we intend to target do not grow as expected;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any members of our senior management team or other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any relationships with key suppliers, including suppliers in China;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any relationships with key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protect our patents and other intellectual property;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to successfully optimize solid-state cells or to produce commercially viable solid-state cells in a timely manner or at all, or to scale to mass production;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maintain the listing of our common stock on the Nasdaq Global Market and our public warrants on the Nasdaq Capital Market;</w:t>
      </w:r>
    </w:p>
    <w:p>
      <w:pPr>
        <w:spacing w:after="0" w:line="20" w:lineRule="exact"/>
        <w:rPr>
          <w:rFonts w:ascii="Arial" w:cs="Arial" w:eastAsia="Arial" w:hAnsi="Arial"/>
          <w:sz w:val="17"/>
          <w:szCs w:val="17"/>
          <w:color w:val="auto"/>
        </w:rPr>
      </w:pP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 (including an economic slowdown or inflationary pressures);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sell the desired amounts of shares of common stock at desired prices under our equity facility;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for events or circumstances that result in our failure to timely achieve the anticipated benefits of our customer arrangements with THOR Industries and its affiliate brands (including Keystone RV Company);</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accuracy of our projections and estimates regarding our expenses, capital requirements, cash utilization, and need for additional financing;</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engage target customers and successfully retain these customers for future orders;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reliance on two suppliers for our lithium iron phosphate cells and a single supplier for the manufacture of our battery management system;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dependence on a single manufacturing facility.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Arial" w:cs="Arial" w:eastAsia="Arial" w:hAnsi="Arial"/>
          <w:sz w:val="18"/>
          <w:szCs w:val="18"/>
          <w:i w:val="1"/>
          <w:iCs w:val="1"/>
          <w:color w:val="auto"/>
        </w:rPr>
        <w:t>Part I—Item 1A—Risk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of our Annual Report on Form 10-K for the year ended December 31, 2022, filed with the SEC on April 17, 2023, as amended on May 1, 2023,</w:t>
      </w:r>
      <w:r>
        <w:rPr>
          <w:rFonts w:ascii="Arial" w:cs="Arial" w:eastAsia="Arial" w:hAnsi="Arial"/>
          <w:sz w:val="18"/>
          <w:szCs w:val="18"/>
          <w:i w:val="1"/>
          <w:iCs w:val="1"/>
          <w:color w:val="auto"/>
        </w:rPr>
        <w:t xml:space="preserve"> </w:t>
      </w:r>
      <w:r>
        <w:rPr>
          <w:rFonts w:ascii="Arial" w:cs="Arial" w:eastAsia="Arial" w:hAnsi="Arial"/>
          <w:sz w:val="18"/>
          <w:szCs w:val="18"/>
          <w:color w:val="auto"/>
        </w:rPr>
        <w:t>for additional risks which could adversely impact our business and financial performance.</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Quarterly Report or the date of the document incorporated by reference into this report.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manufacturer of non-toxic deep cycle lithium-ion batteries that are designed to displace lead acid batteries in a number of different storage applications and end markets including recreational vehicle (“RV”), marine vessel, and solar and off-grid industries, with disruptive solid-state cell technology currently under development.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2020, we have sold over 266,000 batteries. For the quarters ended June 30, 2023, and June 30, 2022, we sold 20,966 and 21,651 batteries, respectively, and had $19.3 million and $21.6 million in net sales, respectively. We currently offer a line of batteries across our “Battle Born” and “Dragonfly” brands, each differentiated by size, power and capacity, consisting of seven different models, four of which come with a heated option. We primarily sell “Battle Born” branded batteries directly to consumers (“DTC”) and “Dragonfly” branded batteries to original equipment manufacturers (“OEMs”).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supplement our battery offerings, we also offer our line of proprietary Wakespeed alternator regulation products which are necessary to ensure that the alternator does not get unduly stressed during the current delivery to the batteries, and that the current delivery remains within the operating limits of the onboard battery bank. In addition to its own accessories we are also a reseller of accessories for battery systems. These include chargers, inverters, monitors, controllers, solar panels and other system accessories from brands such as Victron Energy, Progressive Dynamics, REDARK, Rich Solar, and Sterling Power.</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our conventional lithium iron phosphate (“LFP”) batteries, we are currently developing the next generation of LFP solid-state cells. Since our founding, we have been developing proprietary battery cell manufacturing processes and solid-state battery cell technology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cell manufacturing process is highlighted by our dry deposition technology, which completely displaces the need for toxic solvents in the manufacturing process and allows for the rapid and scalable production of chemistry-agnostic cells. Additionally, our internal production of battery cells will streamline our supply chain, allowing us to vertically integrate our cells into our batteries, thereby lowering our production costs.</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June 30, 2023, we had cash totaling $32.9 million. Our net loss for the quarter ended June 30, 2023 was $11.7 million and our net loss for the quarter ended June 30, 2022 was $1.5 million. As a result of becoming a publicly traded company, we continue to need to hire additional personnel and implement procedures and processes to address public company regulatory requirements and customary practices. We expect to incur additional expenses as a public company for, among other things, directors’ and officers’ liability insurance, director fees and additional internal and external accounting and legal and administrative resources, including increased audit and legal fees. As discussed under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below we expect that we will need to raise additional funds, including through the use of our $150 million equity facility (the “ChEF Equity Facility”) with Chardan Capital Markets LLC (“CCM LLC”)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which may adversely affect our business, operating results, financial condition and prospects.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The Business Combination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October 7, 2022, Chardan NexTech 2 Acquisition Corp., a Delaware company (“Chardan”), and Legacy Dragonfly consummated the merger pursuant to the Agreement and Plan of Merger, dated as of May 15, 2022 (as amended, the “Business Combination Agreement”), by and among Chardan, Bronco Merger Sub, Inc., a Delaware corporation and wholly-owned subsidiary of Chardan (“Merger Sub”), and Legacy Dragonfly. Pursuant to the Business Combination Agreement, Merger Sub merged with and into Legacy Dragonfly (the “Merger” and, together with the other transactions contemplated by the Business Combination Agreement, the “Business Combination”), with Legacy Dragonfly continuing as the surviving corporation in the Merger and as our wholly owned subsidiary. In connection with the Business Combination, Chardan changed its name to Dragonfly Energy Holdings Corp. Legacy Dragonfly is deemed the accounting acquirer, which means that Legacy Dragonfly’s financial statements for previous periods will be disclosed in our future periodic reports filed with the SEC. Following the Business Combination, our business is the business of Legacy Dragonfly.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Business Combination was accounted for as a reverse recapitalization. Under this method of accounting, Chardan was treated as the acquired company for financial statement reporting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2023 Offering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20, 2023, we entered into an underwriting agreement (the “Underwriting Agreement”) with Roth Capital Partners, LLC, as representative of the several underwriters (the “Underwriters”), pursuant to which we sold to the Underwriters, in a firm commitment underwritten public offering (the “June 2023 Offering”), an aggregate of (i) 10,000,000 shares of its common stock, par value $0.0001 (“Common Stock”) and (ii) accompanying warrants to purchase up to 10,000,000 shares of Common Stock (the “Investor Warrants”), at the combined public offering price of $2.00 per share and accompanying Investor Warrant, less underwriting discounts and commissions, and (iii) warrants to purchase up to an aggregate of 570,250 shares of Common Stock (the “Underwriters’ Warrants”).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w:t>
      </w:r>
    </w:p>
    <w:p>
      <w:pPr>
        <w:spacing w:after="0" w:line="3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Investor Warrants are exercisable for five years from the closing date of the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Offering.</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the June 2023 Offering, the Underwriters partially exercised their over-allotment option in the amount of 1,405,000 shares of Common Stock and Investor Warrants to purchase 1,405,000 shares of Common Stock. The June 2023 Offering closed on June 22, 2023. The aggregate net proceeds from this offering, including the partial over-allotment option, was approximately $21.1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position and results of operations depend to a significant extent on the following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Market Consumers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demand for our products ultimately depends on demand from consumers in our current end markets. We generate sales through (1) DTC and (2) through OEMs, particularly in the RV market.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jc w:val="both"/>
        <w:spacing w:after="0" w:line="253" w:lineRule="auto"/>
        <w:rPr>
          <w:sz w:val="20"/>
          <w:szCs w:val="20"/>
          <w:color w:val="auto"/>
        </w:rPr>
      </w:pPr>
      <w:r>
        <w:rPr>
          <w:rFonts w:ascii="Arial" w:cs="Arial" w:eastAsia="Arial" w:hAnsi="Arial"/>
          <w:sz w:val="18"/>
          <w:szCs w:val="18"/>
          <w:color w:val="auto"/>
        </w:rPr>
        <w:t>Demand from end market consumers is impacted by a number of factors, including travel restrictions, fuel costs and energy demands (including an increasing trend towards the use of green energy), as well as overall macro-economic conditions. Sales of our batteries have benefited from the increased adoption of the RV lifestyle, the demand for and inclusion of additional appliances and electronics in RVs, and the accelerating trend of solar power adoption among RV customers. However, in recent months rising fuel costs and other macro-economic conditions, such as inflation and rising interest rates, have caused a downward shift in decisions taken by end market consumers around spending in the RV market and in July of 2023, we were notified by our largest RV OEM customer that, due to weaker demand for its products and their subsequent focus on reducing costs, it would no longer install our storage solutions as standard equipment, but rather return to offering those solutions as an option to dealers and consumers. While this customer is not moving to a different solution or competitor, we do expect this change in strategy to have a material limiting effect on our revenue throughout the remainder of 2023.</w:t>
      </w:r>
    </w:p>
    <w:p>
      <w:pPr>
        <w:spacing w:after="0" w:line="19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strategy includes plans to expand into new end markets that we have identified as opportunities for our LFP batteries, including industrial,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However, as many of the supply chain challenges and delays that were prevalent over the last several years have eased, the Company is now actively working down its inventory to more appropriate safety stock levels.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Commercial Offtake Agreement with a lithium mining company located in Nevada for the supply of lithium, which we expect will enable us to further manage our cost of goods over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and Customer Mix</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Production Capacity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our battery assembly currently takes place at our 99,000 square foot headquarters and manufacturing facility located in Reno, Nevada.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have entered into a lease for an additional 390,240 square foot warehouse in Reno, Nevada, which is expected to be completed in early 2024. This facility, combined with our existing facility, will allow further scaling of our increasingly automated battery pack assembly capabilities, expand our warehousing space, and allow for deployment of our solid-state cell manufacturing.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sales are primarily generated from the sale of our LFP batteries to OEMs and consumers, as well as chargers and other accessories, either individually or bundled.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goods sold includes the cost of cells and other components of our LFP batteries, labor and overhead, logistics and freight costs, and depreciation of manufacturing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Gross profit, calculated as net sales less cost of goods sold, may vary between periods and is primarily affected by various factors including average selling prices, product costs, product mix and customer mix.</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Other income (expense) consists primarily of interest expense, the change in fair value of the warrant liability and amortization of debt issuance costs.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for the Three months ended June 30, 2023 and June 30, 2022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our results of operations for the three months ended June 30, 2023, and June 30, 2022. This data should be read together with our financial statements and related notes included elsewhere in this Quarterly Report, and is qualified in its entirety by reference to such financial statements and related notes.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5"/>
          </w:tcPr>
          <w:p>
            <w:pPr>
              <w:jc w:val="right"/>
              <w:ind w:right="861"/>
              <w:spacing w:after="0"/>
              <w:rPr>
                <w:sz w:val="20"/>
                <w:szCs w:val="20"/>
                <w:color w:val="auto"/>
              </w:rPr>
            </w:pPr>
            <w:r>
              <w:rPr>
                <w:rFonts w:ascii="Arial" w:cs="Arial" w:eastAsia="Arial" w:hAnsi="Arial"/>
                <w:sz w:val="18"/>
                <w:szCs w:val="18"/>
                <w:b w:val="1"/>
                <w:bCs w:val="1"/>
                <w:color w:val="auto"/>
              </w:rPr>
              <w:t>Three months ended June 30,</w:t>
            </w: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jc w:val="right"/>
              <w:ind w:right="561"/>
              <w:spacing w:after="0"/>
              <w:rPr>
                <w:sz w:val="20"/>
                <w:szCs w:val="20"/>
                <w:color w:val="auto"/>
              </w:rPr>
            </w:pPr>
            <w:r>
              <w:rPr>
                <w:rFonts w:ascii="Arial" w:cs="Arial" w:eastAsia="Arial" w:hAnsi="Arial"/>
                <w:sz w:val="18"/>
                <w:szCs w:val="18"/>
                <w:b w:val="1"/>
                <w:bCs w:val="1"/>
                <w:color w:val="auto"/>
              </w:rPr>
              <w:t>% Net Sales</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Net Sales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3"/>
          </w:tcPr>
          <w:p>
            <w:pPr>
              <w:jc w:val="right"/>
              <w:ind w:right="47"/>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19,274</w:t>
            </w:r>
          </w:p>
        </w:tc>
        <w:tc>
          <w:tcPr>
            <w:tcW w:w="216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21,622</w:t>
            </w: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Cost of Goods Sold</w:t>
            </w:r>
          </w:p>
        </w:tc>
        <w:tc>
          <w:tcPr>
            <w:tcW w:w="1020" w:type="dxa"/>
            <w:vAlign w:val="bottom"/>
          </w:tcPr>
          <w:p>
            <w:pPr>
              <w:spacing w:after="0"/>
              <w:rPr>
                <w:sz w:val="19"/>
                <w:szCs w:val="19"/>
                <w:color w:val="auto"/>
              </w:rPr>
            </w:pPr>
          </w:p>
        </w:tc>
        <w:tc>
          <w:tcPr>
            <w:tcW w:w="660" w:type="dxa"/>
            <w:vAlign w:val="bottom"/>
            <w:gridSpan w:val="2"/>
          </w:tcPr>
          <w:p>
            <w:pPr>
              <w:jc w:val="right"/>
              <w:ind w:right="1"/>
              <w:spacing w:after="0"/>
              <w:rPr>
                <w:sz w:val="20"/>
                <w:szCs w:val="20"/>
                <w:color w:val="auto"/>
              </w:rPr>
            </w:pPr>
            <w:r>
              <w:rPr>
                <w:rFonts w:ascii="Arial" w:cs="Arial" w:eastAsia="Arial" w:hAnsi="Arial"/>
                <w:sz w:val="18"/>
                <w:szCs w:val="18"/>
                <w:color w:val="auto"/>
              </w:rPr>
              <w:t>15,176</w:t>
            </w:r>
          </w:p>
        </w:tc>
        <w:tc>
          <w:tcPr>
            <w:tcW w:w="2160" w:type="dxa"/>
            <w:vAlign w:val="bottom"/>
            <w:gridSpan w:val="3"/>
          </w:tcPr>
          <w:p>
            <w:pPr>
              <w:jc w:val="right"/>
              <w:ind w:right="241"/>
              <w:spacing w:after="0"/>
              <w:rPr>
                <w:sz w:val="20"/>
                <w:szCs w:val="20"/>
                <w:color w:val="auto"/>
              </w:rPr>
            </w:pPr>
            <w:r>
              <w:rPr>
                <w:rFonts w:ascii="Arial" w:cs="Arial" w:eastAsia="Arial" w:hAnsi="Arial"/>
                <w:sz w:val="18"/>
                <w:szCs w:val="18"/>
                <w:color w:val="auto"/>
              </w:rPr>
              <w:t>78.7</w:t>
            </w:r>
          </w:p>
        </w:tc>
        <w:tc>
          <w:tcPr>
            <w:tcW w:w="480" w:type="dxa"/>
            <w:vAlign w:val="bottom"/>
          </w:tcPr>
          <w:p>
            <w:pPr>
              <w:spacing w:after="0"/>
              <w:rPr>
                <w:sz w:val="19"/>
                <w:szCs w:val="19"/>
                <w:color w:val="auto"/>
              </w:rPr>
            </w:pPr>
          </w:p>
        </w:tc>
        <w:tc>
          <w:tcPr>
            <w:tcW w:w="1400" w:type="dxa"/>
            <w:vAlign w:val="bottom"/>
            <w:gridSpan w:val="2"/>
          </w:tcPr>
          <w:p>
            <w:pPr>
              <w:jc w:val="right"/>
              <w:ind w:right="241"/>
              <w:spacing w:after="0"/>
              <w:rPr>
                <w:sz w:val="20"/>
                <w:szCs w:val="20"/>
                <w:color w:val="auto"/>
              </w:rPr>
            </w:pPr>
            <w:r>
              <w:rPr>
                <w:rFonts w:ascii="Arial" w:cs="Arial" w:eastAsia="Arial" w:hAnsi="Arial"/>
                <w:sz w:val="18"/>
                <w:szCs w:val="18"/>
                <w:color w:val="auto"/>
              </w:rPr>
              <w:t>14,594</w:t>
            </w: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3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1,067</w:t>
            </w:r>
          </w:p>
        </w:tc>
        <w:tc>
          <w:tcPr>
            <w:tcW w:w="216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5.5</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859</w:t>
            </w: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20" w:type="dxa"/>
            <w:vAlign w:val="bottom"/>
          </w:tcPr>
          <w:p>
            <w:pPr>
              <w:spacing w:after="0"/>
              <w:rPr>
                <w:sz w:val="18"/>
                <w:szCs w:val="18"/>
                <w:color w:val="auto"/>
              </w:rPr>
            </w:pPr>
          </w:p>
        </w:tc>
        <w:tc>
          <w:tcPr>
            <w:tcW w:w="660" w:type="dxa"/>
            <w:vAlign w:val="bottom"/>
            <w:gridSpan w:val="2"/>
          </w:tcPr>
          <w:p>
            <w:pPr>
              <w:jc w:val="right"/>
              <w:ind w:right="1"/>
              <w:spacing w:after="0"/>
              <w:rPr>
                <w:sz w:val="20"/>
                <w:szCs w:val="20"/>
                <w:color w:val="auto"/>
              </w:rPr>
            </w:pPr>
            <w:r>
              <w:rPr>
                <w:rFonts w:ascii="Arial" w:cs="Arial" w:eastAsia="Arial" w:hAnsi="Arial"/>
                <w:sz w:val="18"/>
                <w:szCs w:val="18"/>
                <w:color w:val="auto"/>
              </w:rPr>
              <w:t>7,614</w:t>
            </w:r>
          </w:p>
        </w:tc>
        <w:tc>
          <w:tcPr>
            <w:tcW w:w="2160" w:type="dxa"/>
            <w:vAlign w:val="bottom"/>
            <w:gridSpan w:val="3"/>
          </w:tcPr>
          <w:p>
            <w:pPr>
              <w:jc w:val="right"/>
              <w:ind w:right="241"/>
              <w:spacing w:after="0"/>
              <w:rPr>
                <w:sz w:val="20"/>
                <w:szCs w:val="20"/>
                <w:color w:val="auto"/>
              </w:rPr>
            </w:pPr>
            <w:r>
              <w:rPr>
                <w:rFonts w:ascii="Arial" w:cs="Arial" w:eastAsia="Arial" w:hAnsi="Arial"/>
                <w:sz w:val="18"/>
                <w:szCs w:val="18"/>
                <w:color w:val="auto"/>
              </w:rPr>
              <w:t>39.5</w:t>
            </w:r>
          </w:p>
        </w:tc>
        <w:tc>
          <w:tcPr>
            <w:tcW w:w="480" w:type="dxa"/>
            <w:vAlign w:val="bottom"/>
          </w:tcPr>
          <w:p>
            <w:pPr>
              <w:spacing w:after="0"/>
              <w:rPr>
                <w:sz w:val="18"/>
                <w:szCs w:val="18"/>
                <w:color w:val="auto"/>
              </w:rPr>
            </w:pPr>
          </w:p>
        </w:tc>
        <w:tc>
          <w:tcPr>
            <w:tcW w:w="1400" w:type="dxa"/>
            <w:vAlign w:val="bottom"/>
            <w:gridSpan w:val="2"/>
          </w:tcPr>
          <w:p>
            <w:pPr>
              <w:jc w:val="right"/>
              <w:ind w:right="241"/>
              <w:spacing w:after="0"/>
              <w:rPr>
                <w:sz w:val="20"/>
                <w:szCs w:val="20"/>
                <w:color w:val="auto"/>
              </w:rPr>
            </w:pPr>
            <w:r>
              <w:rPr>
                <w:rFonts w:ascii="Arial" w:cs="Arial" w:eastAsia="Arial" w:hAnsi="Arial"/>
                <w:sz w:val="18"/>
                <w:szCs w:val="18"/>
                <w:color w:val="auto"/>
              </w:rPr>
              <w:t>3,816</w:t>
            </w: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3,808</w:t>
            </w:r>
          </w:p>
        </w:tc>
        <w:tc>
          <w:tcPr>
            <w:tcW w:w="216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19.8</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2,881</w:t>
            </w: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12,489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64.8</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2"/>
          </w:tcPr>
          <w:p>
            <w:pPr>
              <w:jc w:val="right"/>
              <w:ind w:right="241"/>
              <w:spacing w:after="0"/>
              <w:rPr>
                <w:sz w:val="20"/>
                <w:szCs w:val="20"/>
                <w:color w:val="auto"/>
              </w:rPr>
            </w:pPr>
            <w:r>
              <w:rPr>
                <w:rFonts w:ascii="Arial" w:cs="Arial" w:eastAsia="Arial" w:hAnsi="Arial"/>
                <w:sz w:val="18"/>
                <w:szCs w:val="18"/>
                <w:color w:val="auto"/>
              </w:rPr>
              <w:t>7,556</w:t>
            </w: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38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0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(8,391)</w:t>
            </w:r>
          </w:p>
        </w:tc>
        <w:tc>
          <w:tcPr>
            <w:tcW w:w="8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(43.5)</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320" w:type="dxa"/>
            <w:vAlign w:val="bottom"/>
            <w:vMerge w:val="continue"/>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Interest expense, net</w:t>
            </w: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(4,113)</w:t>
            </w:r>
          </w:p>
        </w:tc>
        <w:tc>
          <w:tcPr>
            <w:tcW w:w="2160" w:type="dxa"/>
            <w:vAlign w:val="bottom"/>
            <w:gridSpan w:val="3"/>
          </w:tcPr>
          <w:p>
            <w:pPr>
              <w:jc w:val="right"/>
              <w:ind w:right="181"/>
              <w:spacing w:after="0"/>
              <w:rPr>
                <w:sz w:val="20"/>
                <w:szCs w:val="20"/>
                <w:color w:val="auto"/>
              </w:rPr>
            </w:pPr>
            <w:r>
              <w:rPr>
                <w:rFonts w:ascii="Arial" w:cs="Arial" w:eastAsia="Arial" w:hAnsi="Arial"/>
                <w:sz w:val="18"/>
                <w:szCs w:val="18"/>
                <w:color w:val="auto"/>
              </w:rPr>
              <w:t>(21.3)</w:t>
            </w:r>
          </w:p>
        </w:tc>
        <w:tc>
          <w:tcPr>
            <w:tcW w:w="480" w:type="dxa"/>
            <w:vAlign w:val="bottom"/>
          </w:tcPr>
          <w:p>
            <w:pPr>
              <w:spacing w:after="0"/>
              <w:rPr>
                <w:sz w:val="18"/>
                <w:szCs w:val="18"/>
                <w:color w:val="auto"/>
              </w:rPr>
            </w:pPr>
          </w:p>
        </w:tc>
        <w:tc>
          <w:tcPr>
            <w:tcW w:w="1400" w:type="dxa"/>
            <w:vAlign w:val="bottom"/>
            <w:gridSpan w:val="2"/>
          </w:tcPr>
          <w:p>
            <w:pPr>
              <w:jc w:val="right"/>
              <w:ind w:right="181"/>
              <w:spacing w:after="0"/>
              <w:rPr>
                <w:sz w:val="20"/>
                <w:szCs w:val="20"/>
                <w:color w:val="auto"/>
              </w:rPr>
            </w:pPr>
            <w:r>
              <w:rPr>
                <w:rFonts w:ascii="Arial" w:cs="Arial" w:eastAsia="Arial" w:hAnsi="Arial"/>
                <w:sz w:val="18"/>
                <w:szCs w:val="18"/>
                <w:color w:val="auto"/>
              </w:rPr>
              <w:t>(1,228)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market value of warrant liability</w:t>
            </w:r>
          </w:p>
        </w:tc>
        <w:tc>
          <w:tcPr>
            <w:tcW w:w="10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804</w:t>
            </w:r>
          </w:p>
        </w:tc>
        <w:tc>
          <w:tcPr>
            <w:tcW w:w="216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4.2</w:t>
            </w:r>
          </w:p>
        </w:tc>
        <w:tc>
          <w:tcPr>
            <w:tcW w:w="4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Other Expense</w:t>
            </w:r>
          </w:p>
        </w:tc>
        <w:tc>
          <w:tcPr>
            <w:tcW w:w="10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(3,309</w:t>
            </w:r>
          </w:p>
        </w:tc>
        <w:tc>
          <w:tcPr>
            <w:tcW w:w="8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CCEEFF"/>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(17.2</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(1,228</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(11,700)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b w:val="1"/>
                <w:bCs w:val="1"/>
                <w:color w:val="auto"/>
              </w:rPr>
              <w:t>Income Tax Benefit</w:t>
            </w:r>
          </w:p>
        </w:tc>
        <w:tc>
          <w:tcPr>
            <w:tcW w:w="1020" w:type="dxa"/>
            <w:vAlign w:val="bottom"/>
          </w:tcPr>
          <w:p>
            <w:pPr>
              <w:spacing w:after="0"/>
              <w:rPr>
                <w:sz w:val="19"/>
                <w:szCs w:val="19"/>
                <w:color w:val="auto"/>
              </w:rPr>
            </w:pPr>
          </w:p>
        </w:tc>
        <w:tc>
          <w:tcPr>
            <w:tcW w:w="6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9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400" w:type="dxa"/>
            <w:vAlign w:val="bottom"/>
            <w:gridSpan w:val="2"/>
          </w:tcPr>
          <w:p>
            <w:pPr>
              <w:jc w:val="right"/>
              <w:ind w:right="181"/>
              <w:spacing w:after="0"/>
              <w:rPr>
                <w:sz w:val="20"/>
                <w:szCs w:val="20"/>
                <w:color w:val="auto"/>
              </w:rPr>
            </w:pPr>
            <w:r>
              <w:rPr>
                <w:rFonts w:ascii="Arial" w:cs="Arial" w:eastAsia="Arial" w:hAnsi="Arial"/>
                <w:sz w:val="18"/>
                <w:szCs w:val="18"/>
                <w:color w:val="auto"/>
              </w:rPr>
              <w:t>(287)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(11,700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w w:val="89"/>
              </w:rPr>
              <w:t>34</w:t>
            </w: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52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9"/>
              </w:rPr>
              <w:t>Three months ended June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22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9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4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7"/>
              </w:rPr>
              <w:t>(in thousands)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Retailer</w:t>
            </w:r>
          </w:p>
        </w:tc>
        <w:tc>
          <w:tcPr>
            <w:tcW w:w="30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5,829</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11,850</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Distributor</w:t>
            </w:r>
          </w:p>
        </w:tc>
        <w:tc>
          <w:tcPr>
            <w:tcW w:w="3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4,143</w:t>
            </w:r>
          </w:p>
        </w:tc>
        <w:tc>
          <w:tcPr>
            <w:tcW w:w="12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2,534</w:t>
            </w:r>
          </w:p>
        </w:tc>
      </w:tr>
      <w:tr>
        <w:trPr>
          <w:trHeight w:val="216"/>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DTC</w:t>
            </w:r>
          </w:p>
        </w:tc>
        <w:tc>
          <w:tcPr>
            <w:tcW w:w="30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3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 Net Sales</w:t>
            </w:r>
          </w:p>
        </w:tc>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51.7</w:t>
            </w:r>
          </w:p>
        </w:tc>
        <w:tc>
          <w:tcPr>
            <w:tcW w:w="1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OEM</w:t>
            </w:r>
          </w:p>
        </w:tc>
        <w:tc>
          <w:tcPr>
            <w:tcW w:w="30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9,302</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7,238</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 Net Sales</w:t>
            </w:r>
          </w:p>
        </w:tc>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48.3</w:t>
            </w:r>
          </w:p>
        </w:tc>
        <w:tc>
          <w:tcPr>
            <w:tcW w:w="1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19,274</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21,622</w:t>
            </w:r>
          </w:p>
        </w:tc>
      </w:tr>
      <w:tr>
        <w:trPr>
          <w:trHeight w:val="27"/>
        </w:trPr>
        <w:tc>
          <w:tcPr>
            <w:tcW w:w="394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Net sales decreased by $2.3 million, or 10.9%, to $19.3 million for the three months ended June 30, 2023, as compared to $21.6 million for the quarter ended June 30, 2022. This decrease was primarily due to lower DTC battery and accessory sales partially offset by higher OEM sales. For the quarter ended June 30, 2023, OEM revenue increased by $2.1 million as a result of increased adoption of our products by new and existing customers, several of whom have begun to “design in” our batteries in various RV models as original equipment or have increased purchases in response to end-customer demand for safer, more efficient batteries and as a replacement for traditional lead-acid batteries. In July of 2023, we were notified by our largest RV OEM customer that, due to weaker demand for its products and their subsequent focus on reducing costs, it would no longer install our storage solutions as standard equipment, but rather return to offering those solutions as an option to dealers and consumers. While this customer is not moving to a different solution or competitor, we do expect this change in strategy to have a material limiting effect on our revenue throughout the remainder of 2023. DTC revenue decreased by $4.4 million as a result of decreased customer demand for our products due to rising interest rates and inflation.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Cost of revenue increased by $0.6 million, or 4.0%, to $15.2 million for the three months ended June 30, 2023, as compared to $14.6 million for the quarter ended June 30, 2022. This increase was primarily due to higher material costs associated with consuming higher priced inventory.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profit decreased by $2.9 million, or 41.7%, to $4.1 million for the three months ended June 30, 2023, as compared to $7.0 million for the quarter ended June 30, 2022. The decrease in gross profit was primarily due to a change in revenue mix that included a larger percentage of lower margin OEM sales and a lower percentage of higher margin DTC sales, combined with the aforementioned increase in material costs.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increased by $0.2 million or 24.2%, to $1.1 million for the three months ended June 30, 2023, as compared to $0.9 million for the quarter ended June 30, 2022. The increase was primarily due to higher patent expenses, increase wages associated with increased headcount, and higher materials and supply costs associated with development work.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expenses increased by $3.8 million, or 99.5%, to $7.6 million for the three months ended June 30, 2023, as compared to $3.8 million for the quarter ended June 30, 2022. This increase was primarily due a $2.0 million increase in professional services, compliance, and insurance costs, a $0.7 million severance expense, and a $0.7 million increase in stock-based compensation costs.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Sales and marketing expenses increased by $0.9 million, or 32.2%, to $3.8 million for the three months ended June 30, 2023, as compared to $2.9 million for the quarter ended June 30, 2022. This increase was primarily due to a $1.1 million increase in wage-related expenses primarily due to the addition of sales and marketing personnel to support growth in our existing end markets, as well as to drive growth in the new, adjacent end markets we are targeting. This increase was partially offset by lower shipping costs, due to the decline in DTC sales and change in revenue mix.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Total Other Expense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expense totaled $3.3 million for the quarter ended June 30, 2023 as compared to total other expense of $1.2 million for the quarter ended June 30, 2022. Other income in the quarter ended June 30, 2023 is comprised of $4.1 million in interest expense related to our debt securities, partially offset by a change in fair market value of our warrants in the amount of $0.8. The $1.2 million expense in the quarter ended June 30, 2022 was comprised of interest expense related to the senior secured notes of $45 million which were retired as a result of the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was no tax expense recorded for the quarter ended June 30, 2023, as compared to $0.3 million benefit for the quarter ended June 30, 2022. The income tax benefit of $0.3 million for the quarter ended June 30, 2022 was expected to be used against future tax obligations. Based on available evidence as of June 30, 2023, management believes it is more likely than not that some or all the deferred tax assets will not be realized. Accordingly, the Company established a 100% valuation allowance. As a result of the full valuation allowance, the Company did not record a tax benefit during the quarter ended June 30,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generated a net loss of $11.7 million for the quarter ended June 30, 2023, as compared to a net loss of $1.5 million for the quarter ended June 30, 2022.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described above, this result was driven lower sales, increased cost of goods sold, higher operating expenses, and increased other expense.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for the Six months ended June 30, 2023 and June 30, 2022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our results of operations for the six months ended June 30, 2023, and June 30, 2022. This data should be read together with our financial statements and related notes included elsewhere in this Quarterly Report, and is qualified in its entirety by reference to such financial statements and related notes.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5"/>
          </w:tcPr>
          <w:p>
            <w:pPr>
              <w:jc w:val="right"/>
              <w:ind w:right="981"/>
              <w:spacing w:after="0"/>
              <w:rPr>
                <w:sz w:val="20"/>
                <w:szCs w:val="20"/>
                <w:color w:val="auto"/>
              </w:rPr>
            </w:pPr>
            <w:r>
              <w:rPr>
                <w:rFonts w:ascii="Arial" w:cs="Arial" w:eastAsia="Arial" w:hAnsi="Arial"/>
                <w:sz w:val="18"/>
                <w:szCs w:val="18"/>
                <w:b w:val="1"/>
                <w:bCs w:val="1"/>
                <w:color w:val="auto"/>
              </w:rPr>
              <w:t>Six months ended June 30,</w:t>
            </w: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jc w:val="right"/>
              <w:ind w:right="561"/>
              <w:spacing w:after="0"/>
              <w:rPr>
                <w:sz w:val="20"/>
                <w:szCs w:val="20"/>
                <w:color w:val="auto"/>
              </w:rPr>
            </w:pPr>
            <w:r>
              <w:rPr>
                <w:rFonts w:ascii="Arial" w:cs="Arial" w:eastAsia="Arial" w:hAnsi="Arial"/>
                <w:sz w:val="18"/>
                <w:szCs w:val="18"/>
                <w:b w:val="1"/>
                <w:bCs w:val="1"/>
                <w:color w:val="auto"/>
              </w:rPr>
              <w:t>% Net Sales</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Net Sales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3"/>
          </w:tcPr>
          <w:p>
            <w:pPr>
              <w:jc w:val="right"/>
              <w:ind w:right="47"/>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38,065</w:t>
            </w:r>
          </w:p>
        </w:tc>
        <w:tc>
          <w:tcPr>
            <w:tcW w:w="1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39,925</w:t>
            </w: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Cost of Goods Sold</w:t>
            </w:r>
          </w:p>
        </w:tc>
        <w:tc>
          <w:tcPr>
            <w:tcW w:w="1000" w:type="dxa"/>
            <w:vAlign w:val="bottom"/>
          </w:tcPr>
          <w:p>
            <w:pPr>
              <w:spacing w:after="0"/>
              <w:rPr>
                <w:sz w:val="19"/>
                <w:szCs w:val="19"/>
                <w:color w:val="auto"/>
              </w:rPr>
            </w:pPr>
          </w:p>
        </w:tc>
        <w:tc>
          <w:tcPr>
            <w:tcW w:w="940" w:type="dxa"/>
            <w:vAlign w:val="bottom"/>
            <w:gridSpan w:val="2"/>
          </w:tcPr>
          <w:p>
            <w:pPr>
              <w:jc w:val="right"/>
              <w:ind w:right="261"/>
              <w:spacing w:after="0"/>
              <w:rPr>
                <w:sz w:val="20"/>
                <w:szCs w:val="20"/>
                <w:color w:val="auto"/>
              </w:rPr>
            </w:pPr>
            <w:r>
              <w:rPr>
                <w:rFonts w:ascii="Arial" w:cs="Arial" w:eastAsia="Arial" w:hAnsi="Arial"/>
                <w:sz w:val="18"/>
                <w:szCs w:val="18"/>
                <w:color w:val="auto"/>
              </w:rPr>
              <w:t>29,224</w:t>
            </w:r>
          </w:p>
        </w:tc>
        <w:tc>
          <w:tcPr>
            <w:tcW w:w="1900" w:type="dxa"/>
            <w:vAlign w:val="bottom"/>
            <w:gridSpan w:val="2"/>
          </w:tcPr>
          <w:p>
            <w:pPr>
              <w:jc w:val="right"/>
              <w:ind w:right="241"/>
              <w:spacing w:after="0"/>
              <w:rPr>
                <w:sz w:val="20"/>
                <w:szCs w:val="20"/>
                <w:color w:val="auto"/>
              </w:rPr>
            </w:pPr>
            <w:r>
              <w:rPr>
                <w:rFonts w:ascii="Arial" w:cs="Arial" w:eastAsia="Arial" w:hAnsi="Arial"/>
                <w:sz w:val="18"/>
                <w:szCs w:val="18"/>
                <w:color w:val="auto"/>
              </w:rPr>
              <w:t>76.8</w:t>
            </w:r>
          </w:p>
        </w:tc>
        <w:tc>
          <w:tcPr>
            <w:tcW w:w="480" w:type="dxa"/>
            <w:vAlign w:val="bottom"/>
          </w:tcPr>
          <w:p>
            <w:pPr>
              <w:spacing w:after="0"/>
              <w:rPr>
                <w:sz w:val="19"/>
                <w:szCs w:val="19"/>
                <w:color w:val="auto"/>
              </w:rPr>
            </w:pPr>
          </w:p>
        </w:tc>
        <w:tc>
          <w:tcPr>
            <w:tcW w:w="1400" w:type="dxa"/>
            <w:vAlign w:val="bottom"/>
            <w:gridSpan w:val="2"/>
          </w:tcPr>
          <w:p>
            <w:pPr>
              <w:jc w:val="right"/>
              <w:ind w:right="241"/>
              <w:spacing w:after="0"/>
              <w:rPr>
                <w:sz w:val="20"/>
                <w:szCs w:val="20"/>
                <w:color w:val="auto"/>
              </w:rPr>
            </w:pPr>
            <w:r>
              <w:rPr>
                <w:rFonts w:ascii="Arial" w:cs="Arial" w:eastAsia="Arial" w:hAnsi="Arial"/>
                <w:sz w:val="18"/>
                <w:szCs w:val="18"/>
                <w:color w:val="auto"/>
              </w:rPr>
              <w:t>27,402</w:t>
            </w: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3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12,523</w:t>
            </w:r>
          </w:p>
        </w:tc>
        <w:tc>
          <w:tcPr>
            <w:tcW w:w="3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1,947</w:t>
            </w:r>
          </w:p>
        </w:tc>
        <w:tc>
          <w:tcPr>
            <w:tcW w:w="1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5.1</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1,198</w:t>
            </w: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18"/>
                <w:szCs w:val="18"/>
                <w:color w:val="auto"/>
              </w:rPr>
            </w:pPr>
          </w:p>
        </w:tc>
        <w:tc>
          <w:tcPr>
            <w:tcW w:w="940" w:type="dxa"/>
            <w:vAlign w:val="bottom"/>
            <w:gridSpan w:val="2"/>
          </w:tcPr>
          <w:p>
            <w:pPr>
              <w:jc w:val="right"/>
              <w:ind w:right="261"/>
              <w:spacing w:after="0"/>
              <w:rPr>
                <w:sz w:val="20"/>
                <w:szCs w:val="20"/>
                <w:color w:val="auto"/>
              </w:rPr>
            </w:pPr>
            <w:r>
              <w:rPr>
                <w:rFonts w:ascii="Arial" w:cs="Arial" w:eastAsia="Arial" w:hAnsi="Arial"/>
                <w:sz w:val="18"/>
                <w:szCs w:val="18"/>
                <w:color w:val="auto"/>
              </w:rPr>
              <w:t>17,109</w:t>
            </w:r>
          </w:p>
        </w:tc>
        <w:tc>
          <w:tcPr>
            <w:tcW w:w="1900" w:type="dxa"/>
            <w:vAlign w:val="bottom"/>
            <w:gridSpan w:val="2"/>
          </w:tcPr>
          <w:p>
            <w:pPr>
              <w:jc w:val="right"/>
              <w:ind w:right="241"/>
              <w:spacing w:after="0"/>
              <w:rPr>
                <w:sz w:val="20"/>
                <w:szCs w:val="20"/>
                <w:color w:val="auto"/>
              </w:rPr>
            </w:pPr>
            <w:r>
              <w:rPr>
                <w:rFonts w:ascii="Arial" w:cs="Arial" w:eastAsia="Arial" w:hAnsi="Arial"/>
                <w:sz w:val="18"/>
                <w:szCs w:val="18"/>
                <w:color w:val="auto"/>
              </w:rPr>
              <w:t>44.9</w:t>
            </w:r>
          </w:p>
        </w:tc>
        <w:tc>
          <w:tcPr>
            <w:tcW w:w="480" w:type="dxa"/>
            <w:vAlign w:val="bottom"/>
          </w:tcPr>
          <w:p>
            <w:pPr>
              <w:spacing w:after="0"/>
              <w:rPr>
                <w:sz w:val="18"/>
                <w:szCs w:val="18"/>
                <w:color w:val="auto"/>
              </w:rPr>
            </w:pPr>
          </w:p>
        </w:tc>
        <w:tc>
          <w:tcPr>
            <w:tcW w:w="1400" w:type="dxa"/>
            <w:vAlign w:val="bottom"/>
            <w:gridSpan w:val="2"/>
          </w:tcPr>
          <w:p>
            <w:pPr>
              <w:jc w:val="right"/>
              <w:ind w:right="241"/>
              <w:spacing w:after="0"/>
              <w:rPr>
                <w:sz w:val="20"/>
                <w:szCs w:val="20"/>
                <w:color w:val="auto"/>
              </w:rPr>
            </w:pPr>
            <w:r>
              <w:rPr>
                <w:rFonts w:ascii="Arial" w:cs="Arial" w:eastAsia="Arial" w:hAnsi="Arial"/>
                <w:sz w:val="18"/>
                <w:szCs w:val="18"/>
                <w:color w:val="auto"/>
              </w:rPr>
              <w:t>7,442</w:t>
            </w: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7,992</w:t>
            </w:r>
          </w:p>
        </w:tc>
        <w:tc>
          <w:tcPr>
            <w:tcW w:w="1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21.0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5,973</w:t>
            </w: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27,048</w:t>
            </w:r>
          </w:p>
        </w:tc>
        <w:tc>
          <w:tcPr>
            <w:tcW w:w="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71.1</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2"/>
          </w:tcPr>
          <w:p>
            <w:pPr>
              <w:jc w:val="right"/>
              <w:ind w:right="241"/>
              <w:spacing w:after="0"/>
              <w:rPr>
                <w:sz w:val="20"/>
                <w:szCs w:val="20"/>
                <w:color w:val="auto"/>
              </w:rPr>
            </w:pPr>
            <w:r>
              <w:rPr>
                <w:rFonts w:ascii="Arial" w:cs="Arial" w:eastAsia="Arial" w:hAnsi="Arial"/>
                <w:sz w:val="18"/>
                <w:szCs w:val="18"/>
                <w:color w:val="auto"/>
              </w:rPr>
              <w:t>14,613</w:t>
            </w: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38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0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(18,207)</w:t>
            </w:r>
          </w:p>
        </w:tc>
        <w:tc>
          <w:tcPr>
            <w:tcW w:w="340" w:type="dxa"/>
            <w:vAlign w:val="bottom"/>
            <w:vMerge w:val="continue"/>
            <w:shd w:val="clear" w:color="auto" w:fill="CCEEFF"/>
          </w:tcPr>
          <w:p>
            <w:pPr>
              <w:spacing w:after="0"/>
              <w:rPr>
                <w:sz w:val="18"/>
                <w:szCs w:val="18"/>
                <w:color w:val="auto"/>
              </w:rPr>
            </w:pPr>
          </w:p>
        </w:tc>
        <w:tc>
          <w:tcPr>
            <w:tcW w:w="1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(47.8)</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320" w:type="dxa"/>
            <w:vAlign w:val="bottom"/>
            <w:vMerge w:val="continue"/>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0" w:type="dxa"/>
            <w:vAlign w:val="bottom"/>
          </w:tcPr>
          <w:p>
            <w:pPr>
              <w:spacing w:after="0"/>
              <w:rPr>
                <w:sz w:val="18"/>
                <w:szCs w:val="18"/>
                <w:color w:val="auto"/>
              </w:rPr>
            </w:pPr>
          </w:p>
        </w:tc>
        <w:tc>
          <w:tcPr>
            <w:tcW w:w="940" w:type="dxa"/>
            <w:vAlign w:val="bottom"/>
            <w:gridSpan w:val="2"/>
          </w:tcPr>
          <w:p>
            <w:pPr>
              <w:jc w:val="right"/>
              <w:ind w:right="201"/>
              <w:spacing w:after="0"/>
              <w:rPr>
                <w:sz w:val="20"/>
                <w:szCs w:val="20"/>
                <w:color w:val="auto"/>
              </w:rPr>
            </w:pPr>
            <w:r>
              <w:rPr>
                <w:rFonts w:ascii="Arial" w:cs="Arial" w:eastAsia="Arial" w:hAnsi="Arial"/>
                <w:sz w:val="18"/>
                <w:szCs w:val="18"/>
                <w:color w:val="auto"/>
              </w:rPr>
              <w:t>(7,928)</w:t>
            </w:r>
          </w:p>
        </w:tc>
        <w:tc>
          <w:tcPr>
            <w:tcW w:w="1900" w:type="dxa"/>
            <w:vAlign w:val="bottom"/>
            <w:gridSpan w:val="2"/>
          </w:tcPr>
          <w:p>
            <w:pPr>
              <w:jc w:val="right"/>
              <w:ind w:right="181"/>
              <w:spacing w:after="0"/>
              <w:rPr>
                <w:sz w:val="20"/>
                <w:szCs w:val="20"/>
                <w:color w:val="auto"/>
              </w:rPr>
            </w:pPr>
            <w:r>
              <w:rPr>
                <w:rFonts w:ascii="Arial" w:cs="Arial" w:eastAsia="Arial" w:hAnsi="Arial"/>
                <w:sz w:val="18"/>
                <w:szCs w:val="18"/>
                <w:color w:val="auto"/>
              </w:rPr>
              <w:t>(20.8)</w:t>
            </w:r>
          </w:p>
        </w:tc>
        <w:tc>
          <w:tcPr>
            <w:tcW w:w="480" w:type="dxa"/>
            <w:vAlign w:val="bottom"/>
          </w:tcPr>
          <w:p>
            <w:pPr>
              <w:spacing w:after="0"/>
              <w:rPr>
                <w:sz w:val="18"/>
                <w:szCs w:val="18"/>
                <w:color w:val="auto"/>
              </w:rPr>
            </w:pPr>
          </w:p>
        </w:tc>
        <w:tc>
          <w:tcPr>
            <w:tcW w:w="1400" w:type="dxa"/>
            <w:vAlign w:val="bottom"/>
            <w:gridSpan w:val="2"/>
          </w:tcPr>
          <w:p>
            <w:pPr>
              <w:jc w:val="right"/>
              <w:ind w:right="181"/>
              <w:spacing w:after="0"/>
              <w:rPr>
                <w:sz w:val="20"/>
                <w:szCs w:val="20"/>
                <w:color w:val="auto"/>
              </w:rPr>
            </w:pPr>
            <w:r>
              <w:rPr>
                <w:rFonts w:ascii="Arial" w:cs="Arial" w:eastAsia="Arial" w:hAnsi="Arial"/>
                <w:sz w:val="18"/>
                <w:szCs w:val="18"/>
                <w:color w:val="auto"/>
              </w:rPr>
              <w:t>(2,491)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market value of warrant liability</w:t>
            </w:r>
          </w:p>
        </w:tc>
        <w:tc>
          <w:tcPr>
            <w:tcW w:w="10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19,327</w:t>
            </w:r>
          </w:p>
        </w:tc>
        <w:tc>
          <w:tcPr>
            <w:tcW w:w="1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50.8</w:t>
            </w:r>
          </w:p>
        </w:tc>
        <w:tc>
          <w:tcPr>
            <w:tcW w:w="4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Other Income (Expense)</w:t>
            </w:r>
          </w:p>
        </w:tc>
        <w:tc>
          <w:tcPr>
            <w:tcW w:w="10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11,399</w:t>
            </w:r>
          </w:p>
        </w:tc>
        <w:tc>
          <w:tcPr>
            <w:tcW w:w="340" w:type="dxa"/>
            <w:vAlign w:val="bottom"/>
            <w:tcBorders>
              <w:top w:val="single" w:sz="8" w:color="CCEEFF"/>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29.9</w:t>
            </w:r>
          </w:p>
        </w:tc>
        <w:tc>
          <w:tcPr>
            <w:tcW w:w="32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(2,491</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b w:val="1"/>
                <w:bCs w:val="1"/>
                <w:color w:val="auto"/>
              </w:rPr>
              <w:t>Income Tax Benefit</w:t>
            </w:r>
          </w:p>
        </w:tc>
        <w:tc>
          <w:tcPr>
            <w:tcW w:w="1000" w:type="dxa"/>
            <w:vAlign w:val="bottom"/>
          </w:tcPr>
          <w:p>
            <w:pPr>
              <w:spacing w:after="0"/>
              <w:rPr>
                <w:sz w:val="19"/>
                <w:szCs w:val="19"/>
                <w:color w:val="auto"/>
              </w:rPr>
            </w:pPr>
          </w:p>
        </w:tc>
        <w:tc>
          <w:tcPr>
            <w:tcW w:w="9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400" w:type="dxa"/>
            <w:vAlign w:val="bottom"/>
            <w:gridSpan w:val="2"/>
          </w:tcPr>
          <w:p>
            <w:pPr>
              <w:jc w:val="right"/>
              <w:ind w:right="181"/>
              <w:spacing w:after="0"/>
              <w:rPr>
                <w:sz w:val="20"/>
                <w:szCs w:val="20"/>
                <w:color w:val="auto"/>
              </w:rPr>
            </w:pPr>
            <w:r>
              <w:rPr>
                <w:rFonts w:ascii="Arial" w:cs="Arial" w:eastAsia="Arial" w:hAnsi="Arial"/>
                <w:sz w:val="18"/>
                <w:szCs w:val="18"/>
                <w:color w:val="auto"/>
              </w:rPr>
              <w:t>(814)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52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7"/>
              </w:rPr>
              <w:t>Six months ended June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22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2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4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7"/>
              </w:rPr>
              <w:t>(in thousands)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Retailer</w:t>
            </w:r>
          </w:p>
        </w:tc>
        <w:tc>
          <w:tcPr>
            <w:tcW w:w="37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12,898</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24,885</w:t>
            </w:r>
          </w:p>
        </w:tc>
      </w:tr>
      <w:tr>
        <w:trPr>
          <w:trHeight w:val="223"/>
        </w:trPr>
        <w:tc>
          <w:tcPr>
            <w:tcW w:w="3220" w:type="dxa"/>
            <w:vAlign w:val="bottom"/>
          </w:tcPr>
          <w:p>
            <w:pPr>
              <w:spacing w:after="0"/>
              <w:rPr>
                <w:sz w:val="20"/>
                <w:szCs w:val="20"/>
                <w:color w:val="auto"/>
              </w:rPr>
            </w:pPr>
            <w:r>
              <w:rPr>
                <w:rFonts w:ascii="Arial" w:cs="Arial" w:eastAsia="Arial" w:hAnsi="Arial"/>
                <w:sz w:val="18"/>
                <w:szCs w:val="18"/>
                <w:color w:val="auto"/>
              </w:rPr>
              <w:t>Distributor</w:t>
            </w:r>
          </w:p>
        </w:tc>
        <w:tc>
          <w:tcPr>
            <w:tcW w:w="3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7,111</w:t>
            </w:r>
          </w:p>
        </w:tc>
        <w:tc>
          <w:tcPr>
            <w:tcW w:w="12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4,621</w:t>
            </w:r>
          </w:p>
        </w:tc>
      </w:tr>
      <w:tr>
        <w:trPr>
          <w:trHeight w:val="216"/>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DTC</w:t>
            </w:r>
          </w:p>
        </w:tc>
        <w:tc>
          <w:tcPr>
            <w:tcW w:w="37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20,009</w:t>
            </w:r>
          </w:p>
        </w:tc>
        <w:tc>
          <w:tcPr>
            <w:tcW w:w="3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 Net Sales</w:t>
            </w:r>
          </w:p>
        </w:tc>
        <w:tc>
          <w:tcPr>
            <w:tcW w:w="3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52.6</w:t>
            </w:r>
          </w:p>
        </w:tc>
        <w:tc>
          <w:tcPr>
            <w:tcW w:w="1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OEM</w:t>
            </w:r>
          </w:p>
        </w:tc>
        <w:tc>
          <w:tcPr>
            <w:tcW w:w="37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18,056</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10,419</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 Net Sales</w:t>
            </w:r>
          </w:p>
        </w:tc>
        <w:tc>
          <w:tcPr>
            <w:tcW w:w="3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47.4</w:t>
            </w:r>
          </w:p>
        </w:tc>
        <w:tc>
          <w:tcPr>
            <w:tcW w:w="1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r>
      <w:tr>
        <w:trPr>
          <w:trHeight w:val="23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04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38,065</w:t>
            </w:r>
          </w:p>
        </w:tc>
        <w:tc>
          <w:tcPr>
            <w:tcW w:w="12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39,925</w:t>
            </w:r>
          </w:p>
        </w:tc>
      </w:tr>
      <w:tr>
        <w:trPr>
          <w:trHeight w:val="426"/>
        </w:trPr>
        <w:tc>
          <w:tcPr>
            <w:tcW w:w="3220" w:type="dxa"/>
            <w:vAlign w:val="bottom"/>
            <w:tcBorders>
              <w:top w:val="single" w:sz="8" w:color="CCEEFF"/>
              <w:bottom w:val="single" w:sz="8" w:color="auto"/>
            </w:tcBorders>
          </w:tcPr>
          <w:p>
            <w:pPr>
              <w:spacing w:after="0"/>
              <w:rPr>
                <w:sz w:val="24"/>
                <w:szCs w:val="24"/>
                <w:color w:val="auto"/>
              </w:rPr>
            </w:pPr>
          </w:p>
        </w:tc>
        <w:tc>
          <w:tcPr>
            <w:tcW w:w="3760" w:type="dxa"/>
            <w:vAlign w:val="bottom"/>
            <w:tcBorders>
              <w:top w:val="single" w:sz="8" w:color="CCEEFF"/>
              <w:bottom w:val="single" w:sz="8" w:color="auto"/>
            </w:tcBorders>
          </w:tcPr>
          <w:p>
            <w:pPr>
              <w:jc w:val="right"/>
              <w:ind w:right="1170"/>
              <w:spacing w:after="0"/>
              <w:rPr>
                <w:sz w:val="20"/>
                <w:szCs w:val="20"/>
                <w:color w:val="auto"/>
              </w:rPr>
            </w:pPr>
            <w:r>
              <w:rPr>
                <w:rFonts w:ascii="Arial" w:cs="Arial" w:eastAsia="Arial" w:hAnsi="Arial"/>
                <w:sz w:val="18"/>
                <w:szCs w:val="18"/>
                <w:color w:val="auto"/>
              </w:rPr>
              <w:t>36</w:t>
            </w:r>
          </w:p>
        </w:tc>
        <w:tc>
          <w:tcPr>
            <w:tcW w:w="12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Net sales decreased by $1.9 million, or 4.7%, to $38.1 million for the six months ended June 30, 2023, as compared to $39.9 million for the six months ended June 30, 2022. This decrease was primarily due to lower DTC battery and accessory sales partially offset by higher OEM sales. For the six months ended June 30, 2023, OEM revenue increased by $7.6 million as a result of increased adoption of our products by new and existing customers, several of whom have begun to “design in” our batteries in various RV models as original equipment or have increased purchases in response to end-customer demand for safer, more efficient batteries and as a replacement for traditional lead-acid batteries. . In July of 2023, we were notified by our largest RV OEM customer that, due to weaker demand for its products and their subsequent focus on reducing costs, it would no longer install our storage solutions as standard equipment, but rather return to offering those solutions as an option to dealers and consumers. While this customer is not moving to a different solution or competitor, we do expect this change in strategy to have a material limiting effect on our revenue throughout the remainder of 2023. DTC revenue decreased by $9.5 million as a result of decreased customer demand for our products due to rising interest rates and inflation.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 of revenue increased by $1.8 million, or 6.6%, to $29.2 million for the six months ended June 30, 2023, as compared to $27.4 million for the six months ended June 30, 2022. This increase was primarily due to higher material costs associated with consuming higher priced inventory.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profit decreased by $3.7 million, or 29.4%, to $8.8 million for the six months ended June 30, 2023, as compared to $12.5 million for the six months ended June 30, 2022. The decrease in gross profit was primarily due to a change in revenue mix that included a larger percentage of lower margin OEM sales and a lower percentage of higher margin DTC sales, combined with the aforementioned higher material costs.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increased by $0.7 million or 62.5%, to $1.9 million for the six months ended June 30, 2023, as compared to $1.2 million for the six months ended June 30, 2022. The increase was primarily due increased wages in the amount of $0.4 million associated with higher headcount, higher patent expenses, and higher materials and supply costs associated with development work.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increased by $9.7 million, or 129.9%, to $17.1 million for the six months ended June 30, 2023, as compared to $7.4 million for the six months ended June 30, 2022. This increase was primarily due a $4.1 million increase in stock-based compensation costs, a $3.9 million increase in professional services, compliance, and insurance costs, a $0.7 million severance expense, and increased wages associated with higher headcount in the amount of $0.5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and marketing expenses increased by $2.0 million, or 33.8%, to $8.0 million for the six months ended June 30, 2023, as compared to $6.0 million for the six months ended June 30, 2022. This increase was primarily due to a $2.7 million increase in wage-related expenses. This increase was partially offset by lower shipping costs, due to the decline in DTC sales and change in revenue mix.</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 (Expense)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Other income totaled $11.4 million for the six months ended June 30, 2023 as compared to total other expense of $2.5 million for the six months ended June 30, 2022. Other income for the six months ended June 30, 2023 is comprised of a change in fair market value of our warrants in the amount of $19.3 million offset by $7.9 million in interest expense related to our debt securities. The $2.5 million expense in for the six months ended June 30, 2022 was comprised of interest expense related to the senior secured notes of $45 million which were retired as a result of the Business Combination.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was no tax expense recorded for the six months ended June 30, 2023, as compared to a $0.8 million benefit for the six months ended June 30, 2022. The income tax benefit of $0.8 million for the six months ended June 30, 2022 was expected to be used against future tax obligations.Based on available evidence as of June 30, 2023, management believes it is more likely than not that some or all the deferred tax assets will not be realized. Accordingly, the Company established a 100% valuation allowance. As a result of the full valuation allowance, the Company did not record a tax benefit during the six months ended June 30,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generated a net loss of $6.8 million for the six months ended June 30, 2023, as compared to net loss of $3.8 million for the six months ended June 30, 2022. As described above, this result was driven primarily by lower sales, increased cost of goods sold, higher operating expenses, partially offset by increased other income (primarily as a result of a change in fair market value of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condensed consolidated financial statements have been prepared in accordance with generally accepted accounting principles in the United States. The preparation of these condensed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the following accounting policies are those most critical to the judgments and estimates used in the preparation of our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periodically review physical inventory for excess, obsolete, and potentially impaired items and reserves. Any such inventory is written down to net realizable value. The reserve estimate for excess and obsolete inventory is dependent on expected future use and requires management judgement.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(“ASC 480”), and ASC 815, Derivatives and Hedging (“ASC 815”),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“Note 9— Warrants” in our accompanying consolidated financial statements for information on the warrants.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use the Black-Scholes option-pricing model to determine the fair value of option grants. In estimating fair value, management is required to make certain assumptions and estimates such as the expected life of units, volatility of our future share price, risk-free rates, future dividend yields and estimated forfeitures at the initial grant date. Restricted stock unit (“RSU”) awards are valued based on the closing trading price of the Company’s common stock on the date of grant. Changes in assumptions used to estimate fair value could result in materially different results.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Quarterly Report includes a non-generally accepted account principles within the United States (“U.S. GAAP”) measure that we use to supplement our results presented in accordance with U.S. GAAP. Earnings before interest tax and amortization (“EBITDA”) is defined as earnings before interest and other income (expenses), income taxes, and depreciation and amortization. Adjusted EBITDA is calculated as EBITDA adjusted for stock-based compensation, Enterprise Resource Planning (“ERP”) implementation, promissory note forgiveness, and change in the fair market value of warrant liabilities.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our adjusted EBITDA, reconciled to net income (loss) for the three and six months ended June 30, 2023, and June 30,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tcPr>
          <w:p>
            <w:pPr>
              <w:spacing w:after="0"/>
              <w:rPr>
                <w:sz w:val="20"/>
                <w:szCs w:val="20"/>
                <w:color w:val="auto"/>
              </w:rPr>
            </w:pPr>
          </w:p>
        </w:tc>
        <w:tc>
          <w:tcPr>
            <w:tcW w:w="298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gridSpan w:val="5"/>
          </w:tcPr>
          <w:p>
            <w:pPr>
              <w:jc w:val="center"/>
              <w:ind w:right="381"/>
              <w:spacing w:after="0"/>
              <w:rPr>
                <w:sz w:val="20"/>
                <w:szCs w:val="20"/>
                <w:color w:val="auto"/>
              </w:rPr>
            </w:pPr>
            <w:r>
              <w:rPr>
                <w:rFonts w:ascii="Arial" w:cs="Arial" w:eastAsia="Arial" w:hAnsi="Arial"/>
                <w:sz w:val="18"/>
                <w:szCs w:val="18"/>
                <w:b w:val="1"/>
                <w:bCs w:val="1"/>
                <w:color w:val="auto"/>
                <w:w w:val="89"/>
              </w:rPr>
              <w:t>Six months ended June 30,</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(in thousands)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88"/>
              </w:rPr>
              <w:t>(in thousands)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(11,700)</w:t>
            </w:r>
          </w:p>
        </w:tc>
        <w:tc>
          <w:tcPr>
            <w:tcW w:w="130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(1,469)</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(6,808)</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18"/>
                <w:szCs w:val="18"/>
                <w:color w:val="auto"/>
              </w:rPr>
            </w:pPr>
          </w:p>
        </w:tc>
        <w:tc>
          <w:tcPr>
            <w:tcW w:w="660" w:type="dxa"/>
            <w:vAlign w:val="bottom"/>
            <w:gridSpan w:val="2"/>
          </w:tcPr>
          <w:p>
            <w:pPr>
              <w:jc w:val="right"/>
              <w:ind w:right="1"/>
              <w:spacing w:after="0"/>
              <w:rPr>
                <w:sz w:val="20"/>
                <w:szCs w:val="20"/>
                <w:color w:val="auto"/>
              </w:rPr>
            </w:pPr>
            <w:r>
              <w:rPr>
                <w:rFonts w:ascii="Arial" w:cs="Arial" w:eastAsia="Arial" w:hAnsi="Arial"/>
                <w:sz w:val="18"/>
                <w:szCs w:val="18"/>
                <w:color w:val="auto"/>
              </w:rPr>
              <w:t>4,113</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1,228</w:t>
            </w:r>
          </w:p>
        </w:tc>
        <w:tc>
          <w:tcPr>
            <w:tcW w:w="34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7,928</w:t>
            </w:r>
          </w:p>
        </w:tc>
        <w:tc>
          <w:tcPr>
            <w:tcW w:w="5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w:t>
            </w:r>
          </w:p>
        </w:tc>
        <w:tc>
          <w:tcPr>
            <w:tcW w:w="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9"/>
                <w:szCs w:val="19"/>
                <w:color w:val="auto"/>
              </w:rPr>
            </w:pPr>
          </w:p>
        </w:tc>
        <w:tc>
          <w:tcPr>
            <w:tcW w:w="660" w:type="dxa"/>
            <w:vAlign w:val="bottom"/>
            <w:gridSpan w:val="2"/>
          </w:tcPr>
          <w:p>
            <w:pPr>
              <w:jc w:val="right"/>
              <w:ind w:right="1"/>
              <w:spacing w:after="0"/>
              <w:rPr>
                <w:sz w:val="20"/>
                <w:szCs w:val="20"/>
                <w:color w:val="auto"/>
              </w:rPr>
            </w:pPr>
            <w:r>
              <w:rPr>
                <w:rFonts w:ascii="Arial" w:cs="Arial" w:eastAsia="Arial" w:hAnsi="Arial"/>
                <w:sz w:val="18"/>
                <w:szCs w:val="18"/>
                <w:color w:val="auto"/>
              </w:rPr>
              <w:t>296</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272</w:t>
            </w:r>
          </w:p>
        </w:tc>
        <w:tc>
          <w:tcPr>
            <w:tcW w:w="34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593</w:t>
            </w:r>
          </w:p>
        </w:tc>
        <w:tc>
          <w:tcPr>
            <w:tcW w:w="500" w:type="dxa"/>
            <w:vAlign w:val="bottom"/>
          </w:tcPr>
          <w:p>
            <w:pPr>
              <w:spacing w:after="0"/>
              <w:rPr>
                <w:sz w:val="19"/>
                <w:szCs w:val="19"/>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10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(7,291)</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i w:val="1"/>
                <w:iCs w:val="1"/>
                <w:color w:val="auto"/>
              </w:rPr>
              <w:t>Adjusted for:</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9"/>
                <w:szCs w:val="29"/>
                <w:color w:val="auto"/>
                <w:vertAlign w:val="superscript"/>
              </w:rPr>
              <w:t>(1)</w:t>
            </w:r>
          </w:p>
        </w:tc>
        <w:tc>
          <w:tcPr>
            <w:tcW w:w="10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954</w:t>
            </w: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431</w:t>
            </w:r>
          </w:p>
        </w:tc>
        <w:tc>
          <w:tcPr>
            <w:tcW w:w="34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5,441</w:t>
            </w:r>
          </w:p>
        </w:tc>
        <w:tc>
          <w:tcPr>
            <w:tcW w:w="5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57"/>
        </w:trPr>
        <w:tc>
          <w:tcPr>
            <w:tcW w:w="3840" w:type="dxa"/>
            <w:vAlign w:val="bottom"/>
          </w:tcPr>
          <w:p>
            <w:pPr>
              <w:spacing w:after="0" w:line="256" w:lineRule="exact"/>
              <w:rPr>
                <w:sz w:val="20"/>
                <w:szCs w:val="20"/>
                <w:color w:val="auto"/>
              </w:rPr>
            </w:pPr>
            <w:r>
              <w:rPr>
                <w:rFonts w:ascii="Arial" w:cs="Arial" w:eastAsia="Arial" w:hAnsi="Arial"/>
                <w:sz w:val="18"/>
                <w:szCs w:val="18"/>
                <w:color w:val="auto"/>
              </w:rPr>
              <w:t>Separation Agreement</w:t>
            </w:r>
            <w:r>
              <w:rPr>
                <w:rFonts w:ascii="Arial" w:cs="Arial" w:eastAsia="Arial" w:hAnsi="Arial"/>
                <w:sz w:val="29"/>
                <w:szCs w:val="29"/>
                <w:color w:val="auto"/>
                <w:vertAlign w:val="superscript"/>
              </w:rPr>
              <w:t>(2)</w:t>
            </w:r>
          </w:p>
        </w:tc>
        <w:tc>
          <w:tcPr>
            <w:tcW w:w="1020" w:type="dxa"/>
            <w:vAlign w:val="bottom"/>
          </w:tcPr>
          <w:p>
            <w:pPr>
              <w:spacing w:after="0"/>
              <w:rPr>
                <w:sz w:val="22"/>
                <w:szCs w:val="22"/>
                <w:color w:val="auto"/>
              </w:rPr>
            </w:pPr>
          </w:p>
        </w:tc>
        <w:tc>
          <w:tcPr>
            <w:tcW w:w="660" w:type="dxa"/>
            <w:vAlign w:val="bottom"/>
            <w:gridSpan w:val="2"/>
          </w:tcPr>
          <w:p>
            <w:pPr>
              <w:jc w:val="right"/>
              <w:ind w:right="1"/>
              <w:spacing w:after="0"/>
              <w:rPr>
                <w:sz w:val="20"/>
                <w:szCs w:val="20"/>
                <w:color w:val="auto"/>
              </w:rPr>
            </w:pPr>
            <w:r>
              <w:rPr>
                <w:rFonts w:ascii="Arial" w:cs="Arial" w:eastAsia="Arial" w:hAnsi="Arial"/>
                <w:sz w:val="18"/>
                <w:szCs w:val="18"/>
                <w:color w:val="auto"/>
              </w:rPr>
              <w:t>720</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720</w:t>
            </w:r>
          </w:p>
        </w:tc>
        <w:tc>
          <w:tcPr>
            <w:tcW w:w="500" w:type="dxa"/>
            <w:vAlign w:val="bottom"/>
          </w:tcPr>
          <w:p>
            <w:pPr>
              <w:spacing w:after="0"/>
              <w:rPr>
                <w:sz w:val="22"/>
                <w:szCs w:val="22"/>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June Offering Costs </w:t>
            </w:r>
            <w:r>
              <w:rPr>
                <w:rFonts w:ascii="Arial" w:cs="Arial" w:eastAsia="Arial" w:hAnsi="Arial"/>
                <w:sz w:val="29"/>
                <w:szCs w:val="29"/>
                <w:color w:val="auto"/>
                <w:vertAlign w:val="superscript"/>
              </w:rPr>
              <w:t>(3)</w:t>
            </w:r>
          </w:p>
        </w:tc>
        <w:tc>
          <w:tcPr>
            <w:tcW w:w="10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904</w:t>
            </w: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904</w:t>
            </w:r>
          </w:p>
        </w:tc>
        <w:tc>
          <w:tcPr>
            <w:tcW w:w="5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840" w:type="dxa"/>
            <w:vAlign w:val="bottom"/>
          </w:tcPr>
          <w:p>
            <w:pPr>
              <w:spacing w:after="0" w:line="256" w:lineRule="exact"/>
              <w:rPr>
                <w:sz w:val="20"/>
                <w:szCs w:val="20"/>
                <w:color w:val="auto"/>
              </w:rPr>
            </w:pPr>
            <w:r>
              <w:rPr>
                <w:rFonts w:ascii="Arial" w:cs="Arial" w:eastAsia="Arial" w:hAnsi="Arial"/>
                <w:sz w:val="18"/>
                <w:szCs w:val="18"/>
                <w:color w:val="auto"/>
              </w:rPr>
              <w:t>Promissory Note Forgiveness</w:t>
            </w:r>
            <w:r>
              <w:rPr>
                <w:rFonts w:ascii="Arial" w:cs="Arial" w:eastAsia="Arial" w:hAnsi="Arial"/>
                <w:sz w:val="29"/>
                <w:szCs w:val="29"/>
                <w:color w:val="auto"/>
                <w:vertAlign w:val="superscript"/>
              </w:rPr>
              <w:t>(4)</w:t>
            </w:r>
          </w:p>
        </w:tc>
        <w:tc>
          <w:tcPr>
            <w:tcW w:w="1020" w:type="dxa"/>
            <w:vAlign w:val="bottom"/>
          </w:tcPr>
          <w:p>
            <w:pPr>
              <w:spacing w:after="0"/>
              <w:rPr>
                <w:sz w:val="22"/>
                <w:szCs w:val="22"/>
                <w:color w:val="auto"/>
              </w:rPr>
            </w:pPr>
          </w:p>
        </w:tc>
        <w:tc>
          <w:tcPr>
            <w:tcW w:w="6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Change in fair market value of warrant liability</w:t>
            </w:r>
          </w:p>
        </w:tc>
        <w:tc>
          <w:tcPr>
            <w:tcW w:w="102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540" w:type="dxa"/>
            <w:vAlign w:val="bottom"/>
            <w:gridSpan w:val="2"/>
            <w:vMerge w:val="restart"/>
            <w:shd w:val="clear" w:color="auto" w:fill="CCEEFF"/>
          </w:tcPr>
          <w:p>
            <w:pPr>
              <w:jc w:val="right"/>
              <w:ind w:right="181"/>
              <w:spacing w:after="0"/>
              <w:rPr>
                <w:sz w:val="20"/>
                <w:szCs w:val="20"/>
                <w:color w:val="auto"/>
              </w:rPr>
            </w:pPr>
            <w:r>
              <w:rPr>
                <w:rFonts w:ascii="Arial" w:cs="Arial" w:eastAsia="Arial" w:hAnsi="Arial"/>
                <w:sz w:val="18"/>
                <w:szCs w:val="18"/>
                <w:color w:val="auto"/>
              </w:rPr>
              <w:t>(19,327)</w:t>
            </w:r>
          </w:p>
        </w:tc>
        <w:tc>
          <w:tcPr>
            <w:tcW w:w="5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(5)</w:t>
            </w:r>
          </w:p>
        </w:tc>
        <w:tc>
          <w:tcPr>
            <w:tcW w:w="102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Adjusted EBITDA</w:t>
            </w:r>
          </w:p>
        </w:tc>
        <w:tc>
          <w:tcPr>
            <w:tcW w:w="1020" w:type="dxa"/>
            <w:vAlign w:val="bottom"/>
            <w:tcBorders>
              <w:top w:val="single" w:sz="8" w:color="auto"/>
              <w:bottom w:val="single" w:sz="8" w:color="auto"/>
            </w:tcBorders>
          </w:tcPr>
          <w:p>
            <w:pPr>
              <w:jc w:val="right"/>
              <w:ind w:right="830"/>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(5,517</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850"/>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w:t>
            </w:r>
          </w:p>
        </w:tc>
        <w:tc>
          <w:tcPr>
            <w:tcW w:w="320" w:type="dxa"/>
            <w:vAlign w:val="bottom"/>
            <w:tcBorders>
              <w:top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(10,549</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(513</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w w:val="89"/>
              </w:rPr>
              <w:t>39</w:t>
            </w: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41" w:name="page42"/>
    <w:bookmarkEnd w:id="41"/>
    <w:p>
      <w:pPr>
        <w:ind w:left="980" w:hanging="972"/>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Stock-Based Compensation is comprised of costs associated with option and RSU grants made to our employees, consultants and board members.</w:t>
      </w:r>
    </w:p>
    <w:p>
      <w:pPr>
        <w:spacing w:after="0" w:line="170"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Separation Agreement is comprised of $720 in cash severance associated with separation agreement dated April 26, 2023 between us and our former Chief Legal Officer.</w:t>
      </w:r>
    </w:p>
    <w:p>
      <w:pPr>
        <w:spacing w:after="0" w:line="170"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June Offering Costs is comprised of fees and expenses, including legal, accounting, and other expenses associated with our secondary offering.</w:t>
      </w:r>
    </w:p>
    <w:p>
      <w:pPr>
        <w:spacing w:after="0" w:line="170"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Promissory Note Forgiveness is comprised of the loan that was forgiven, prior to the Business Combination, in connection with the promissory note, with a maturity date of March 1, 2026, between us and John Marchetti, our former Chief Financial Officer.</w:t>
      </w:r>
    </w:p>
    <w:p>
      <w:pPr>
        <w:spacing w:after="0" w:line="170" w:lineRule="exact"/>
        <w:rPr>
          <w:rFonts w:ascii="Arial" w:cs="Arial" w:eastAsia="Arial" w:hAnsi="Arial"/>
          <w:sz w:val="18"/>
          <w:szCs w:val="18"/>
          <w:color w:val="auto"/>
        </w:rPr>
      </w:pPr>
    </w:p>
    <w:p>
      <w:pPr>
        <w:ind w:left="980" w:hanging="972"/>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in fair market value of warrant liabilities represents the change in fair value from January 1, 2023 through June 30,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June 30, 2023, we had cash totaling $33.0 million.</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expect our capital expenditures and working capital requirements to increase materially in the near future, as we continue our research and development efforts (particularly those related to solid-state lithium-ion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expansion of our facilities and new strategic investments.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be dilutive to our current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 and Requirements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24, 2021, we issued $45 million of fixed rate senior notes, secured by among other things, a security interest in our intellectual property. As part of the Business Combination, we entered into a senior secured term loan facility in an aggregate principal amount of $75 million (the “Term Loan”) pursuant to the Term Loan, Guarantee and Security Agreement (the “Term Loan Agreement”), the proceeds of which were used to repay the $45 million fixed rate senior notes, and ChEF Equity Facility.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The Term Loan proceeds were used to: (i) support the Business Combination, (ii) prepay the fixed rate senior notes at closing of the Business Combination,</w:t>
      </w:r>
    </w:p>
    <w:p>
      <w:pPr>
        <w:spacing w:after="0" w:line="46" w:lineRule="exact"/>
        <w:rPr>
          <w:sz w:val="20"/>
          <w:szCs w:val="20"/>
          <w:color w:val="auto"/>
        </w:rPr>
      </w:pPr>
    </w:p>
    <w:p>
      <w:pPr>
        <w:jc w:val="both"/>
        <w:ind w:firstLine="8"/>
        <w:spacing w:after="0" w:line="267" w:lineRule="auto"/>
        <w:tabs>
          <w:tab w:leader="none" w:pos="331" w:val="left"/>
        </w:tabs>
        <w:numPr>
          <w:ilvl w:val="0"/>
          <w:numId w:val="9"/>
        </w:numPr>
        <w:rPr>
          <w:rFonts w:ascii="Arial" w:cs="Arial" w:eastAsia="Arial" w:hAnsi="Arial"/>
          <w:sz w:val="17"/>
          <w:szCs w:val="17"/>
          <w:color w:val="auto"/>
        </w:rPr>
      </w:pPr>
      <w:r>
        <w:rPr>
          <w:rFonts w:ascii="Arial" w:cs="Arial" w:eastAsia="Arial" w:hAnsi="Arial"/>
          <w:sz w:val="17"/>
          <w:szCs w:val="17"/>
          <w:color w:val="auto"/>
        </w:rPr>
        <w:t>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we obtained a waiver from Alter Domus (US) LLC, as administrative agent for the lenders (the “Administrative Agent”) and EICF Agent LLC and certain third-party financing source of our failure to satisfy the fixed charge coverage ratio and maximum senior leverage ratio with respect to the minimum cash requirements under the Term Loan during the quarter ended March 31, 2023. We were in compliance with the covenants as of June 30, 2023. However, it is probable that we will fail to meet these covenants within the next twelve months. In accordance with U.S. GAAP, we reclassified our notes payable from a long-term liability to a current liability. The Term Loan accrues interest (i) until April 1, 2023 at a per annum rate equal to adjusted secured overnight financing rate (“SOFR”) is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In each of the foregoing case, adjusted SOFR will be no less than 1%.</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exercisable to purchase an aggregate of 2,593,056 shares at an exercise price of $0.01 per share, and (ii) warrants exercisable to purchase 1,600,000 shares of our common stock at an exercise price of $10.00 per share.</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January 1, 2023 to June 30, 2023, we issued and sold approximately 98,500 shares of our common stock under the ChEF Equity Facility, resulting in net cash proceeds of $670,593.</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5, 2023, we issued a note in the principal amount of $1.0 million (the “Principal Amount”) to Brian Nelson, one of our directors, in a private placement in exchange for cash in an equal amount (the “Note”). The Note became due and payable in full on April 1, 2023. We were also obligated to pay a fee in the amount of $100,000 (the “Loan Fee”) to Mr. Nelson on April 4, 2023. The Principal Amount of the Note was paid in full on April 1, 2023 and the Loan Fee was paid in full on April 4, 2023.</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2023, we completed the June 2023 Offering which provided net proceeds to us, including the partial over-allotment option exercise, of approximately $21.1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quarter ended June 30, 2023, we generated a net loss of $11.7 million and had a negative cash flow from operations. As of June 30, 2023, we had approximately $33.0 in cash and cash equivalents and working capital of $30.6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jc w:val="both"/>
        <w:spacing w:after="0" w:line="272" w:lineRule="auto"/>
        <w:rPr>
          <w:sz w:val="20"/>
          <w:szCs w:val="20"/>
          <w:color w:val="auto"/>
        </w:rPr>
      </w:pPr>
      <w:r>
        <w:rPr>
          <w:rFonts w:ascii="Arial" w:cs="Arial" w:eastAsia="Arial" w:hAnsi="Arial"/>
          <w:sz w:val="17"/>
          <w:szCs w:val="17"/>
          <w:color w:val="auto"/>
        </w:rPr>
        <w:t>Under the Term Loan Agreement, we are obligated to comply with certain financial covenants, which include maintaining a maximum senior leverage ratio, minimum liquidity, a springing fixed charge coverage ratio, and maximum capital expenditures. 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 While the Company was in compliance with its covenants for the quarter ended June 30, 2023,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future debt or equity financings may be dilutive to our current stockholders.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b w:val="1"/>
                <w:bCs w:val="1"/>
                <w:i w:val="1"/>
                <w:iCs w:val="1"/>
                <w:color w:val="auto"/>
              </w:rPr>
              <w:t>Cash Flows for the Six months ended June 30, 2023, and June 30, 2022</w:t>
            </w:r>
          </w:p>
        </w:tc>
        <w:tc>
          <w:tcPr>
            <w:tcW w:w="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6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Six months ended June 30,</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8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Net Cash (used in)/provided by:</w:t>
            </w: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(in thousands)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10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(5,639)</w:t>
            </w:r>
          </w:p>
        </w:tc>
        <w:tc>
          <w:tcPr>
            <w:tcW w:w="13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(19,912)</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Investing activities</w:t>
            </w:r>
          </w:p>
        </w:tc>
        <w:tc>
          <w:tcPr>
            <w:tcW w:w="210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(2,571)</w:t>
            </w:r>
          </w:p>
        </w:tc>
        <w:tc>
          <w:tcPr>
            <w:tcW w:w="136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(4,819)</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10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23,381</w:t>
            </w:r>
          </w:p>
        </w:tc>
        <w:tc>
          <w:tcPr>
            <w:tcW w:w="13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operating activities was $5.6 million for six months ended June 30, 2023, primarily due to a net loss of $6.8 million and negative change of $19.3 million in the fair market value of our warrant liability during the period offset by lower inventory levels an increase in accounts payable and accrued expenses as a result of extended payments for the large influx of cells received late in 2022 and early 2023.</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operating activities was $19.9 million for the six months ended June 30, 2022, primarily due to a net loss during the period in addition to an increase in inventory.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was $2.6 million for the six months ended June 30, 2023, as compared to net cash used in investing activities of $4.8 million for the three months ended June 30, 2022. The decrease in cash used in investing activities was primarily due to a decrease in capital equipment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provided by financing activities was $23.4 million for the six months ended June 30, 2023, as compared to net cash provided by financing activities of $0.2 million for the six months ended June 30, 2022, and was primarily due to net proceeds of $21.1 million from our June equity offering.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estimated future obligations consist of short-term and long-term operating lease liabilities. As of June 30, 2023, we had $1.2 million in short-term operating lease liabilities and $2.9 million in long-term operating lease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disclosed above, we have a Term Loan. As of June 30, 2023, the principal amount outstanding under the Term Loan was $78.7 million.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Chief Executive Officer, as our principal executive officer, and Chief Financial Officer, as our principal financial officer, to allow timely decisions regarding required disclosure.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preparation of the Quarterly Report on Form 10-Q for the quarter ended June 30, 2023, our management, with the participation of our Chief Executive Officer and Chief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upon the evaluation described above, our Chief Executive Officer and our Chief Financial Officer concluded that, due to the material weaknesses previously reported in our 2022 Annual Report that have not yet been remediated, our disclosure controls and procedures were not effective as of June 30, 2023.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described a plan to remediate the material weaknesses within our 2022 Annual Report. Management, with the assistance of a third-party service provider, continues to design and implement internal controls. Additionally, management continued its risk assessment to identify risks and objectives. There were no other changes in our internal controls over financial reporting that occurred during the quarter ended June 30, 2023 that materially affected, or are reasonably likely to materially affect, our internal control over financial reporting. Management will continue to evaluate and enhance our processes as noted in the remediation plan described within our 2022 Annual Report. The elements of our remediation plan can only be accomplished over time, and we can offer no assurance that these will ultimately have the intended effects.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the outcome, litigation can have an adverse impact on us because of defense and settlement costs, diversion of management resources and other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20, 2023, upon mutual agreement between us and Mr. Marchetti, Mr. Marchetti resigned from his position as our Chief Financial Officer. Mr. Marchetti will continue in the role of Senior Vice President, Operations. In connection with Mr. Marchetti’s resignation, on August 20, 2023, our board of directors appointed Denis Phares, our President, Chief Executive Officer, and Chairman of the Board, to succeed Mr. Marchetti as our interim Chief Financial Officer. Dr. Phares will continue his duties as President, Chief Executive Officer, and Chairman of the Board. We intend to commence a search for a full time Chief Financial Officer.</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Dr. Phares has served as our Chief Executive Officer and Chairman of our Board since October 2022. Dr. Phares is the co-founder of Dragonfly Energy Corp., a Nevada corporation (“Legacy Dragonfly”)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 — Reno, a Ph.D. in Engineering from the California Institute of Technology and a B.S. in Physics from Villanova University.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713"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8760" w:type="dxa"/>
            <w:vAlign w:val="bottom"/>
            <w:gridSpan w:val="12"/>
          </w:tcPr>
          <w:p>
            <w:pPr>
              <w:spacing w:after="0"/>
              <w:rPr>
                <w:sz w:val="20"/>
                <w:szCs w:val="20"/>
                <w:color w:val="auto"/>
              </w:rPr>
            </w:pPr>
            <w:r>
              <w:rPr>
                <w:rFonts w:ascii="Arial" w:cs="Arial" w:eastAsia="Arial" w:hAnsi="Arial"/>
                <w:sz w:val="18"/>
                <w:szCs w:val="18"/>
                <w:b w:val="1"/>
                <w:bCs w:val="1"/>
                <w:color w:val="auto"/>
              </w:rPr>
              <w:t>ITEM 6. EXHIBITS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2"/>
        </w:trPr>
        <w:tc>
          <w:tcPr>
            <w:tcW w:w="8760" w:type="dxa"/>
            <w:vAlign w:val="bottom"/>
            <w:gridSpan w:val="12"/>
          </w:tcPr>
          <w:p>
            <w:pPr>
              <w:spacing w:after="0"/>
              <w:rPr>
                <w:sz w:val="20"/>
                <w:szCs w:val="20"/>
                <w:color w:val="auto"/>
              </w:rPr>
            </w:pPr>
            <w:r>
              <w:rPr>
                <w:rFonts w:ascii="Arial" w:cs="Arial" w:eastAsia="Arial" w:hAnsi="Arial"/>
                <w:sz w:val="18"/>
                <w:szCs w:val="18"/>
                <w:color w:val="auto"/>
                <w:w w:val="98"/>
              </w:rPr>
              <w:t>The following exhibits are filed as part of, or incorporated by reference into, this Quarterly Report on Form 10-Q.</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39"/>
        </w:trPr>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w w:val="94"/>
              </w:rPr>
              <w:t>Incorporation by Reference</w:t>
            </w:r>
          </w:p>
        </w:tc>
      </w:tr>
      <w:tr>
        <w:trPr>
          <w:trHeight w:val="198"/>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line="198" w:lineRule="exact"/>
              <w:rPr>
                <w:sz w:val="20"/>
                <w:szCs w:val="20"/>
                <w:color w:val="auto"/>
              </w:rPr>
            </w:pPr>
            <w:r>
              <w:rPr>
                <w:rFonts w:ascii="Arial" w:cs="Arial" w:eastAsia="Arial" w:hAnsi="Arial"/>
                <w:sz w:val="18"/>
                <w:szCs w:val="18"/>
                <w:b w:val="1"/>
                <w:bCs w:val="1"/>
                <w:color w:val="auto"/>
              </w:rPr>
              <w:t>Filing</w:t>
            </w:r>
          </w:p>
        </w:tc>
      </w:tr>
      <w:tr>
        <w:trPr>
          <w:trHeight w:val="241"/>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w w:val="95"/>
              </w:rPr>
              <w:t>Exhibit No.</w:t>
            </w:r>
          </w:p>
        </w:tc>
        <w:tc>
          <w:tcPr>
            <w:tcW w:w="120" w:type="dxa"/>
            <w:vAlign w:val="bottom"/>
          </w:tcPr>
          <w:p>
            <w:pPr>
              <w:spacing w:after="0"/>
              <w:rPr>
                <w:sz w:val="20"/>
                <w:szCs w:val="20"/>
                <w:color w:val="auto"/>
              </w:rPr>
            </w:pPr>
          </w:p>
        </w:tc>
        <w:tc>
          <w:tcPr>
            <w:tcW w:w="7660" w:type="dxa"/>
            <w:vAlign w:val="bottom"/>
            <w:gridSpan w:val="10"/>
          </w:tcPr>
          <w:p>
            <w:pPr>
              <w:spacing w:after="0"/>
              <w:rPr>
                <w:sz w:val="20"/>
                <w:szCs w:val="20"/>
                <w:color w:val="auto"/>
              </w:rPr>
            </w:pPr>
            <w:r>
              <w:rPr>
                <w:rFonts w:ascii="Arial" w:cs="Arial" w:eastAsia="Arial" w:hAnsi="Arial"/>
                <w:sz w:val="18"/>
                <w:szCs w:val="18"/>
                <w:b w:val="1"/>
                <w:bCs w:val="1"/>
                <w:color w:val="auto"/>
              </w:rPr>
              <w:t>Description</w:t>
            </w:r>
          </w:p>
        </w:tc>
        <w:tc>
          <w:tcPr>
            <w:tcW w:w="880" w:type="dxa"/>
            <w:vAlign w:val="bottom"/>
            <w:gridSpan w:val="3"/>
          </w:tcPr>
          <w:p>
            <w:pPr>
              <w:ind w:left="120"/>
              <w:spacing w:after="0"/>
              <w:rPr>
                <w:sz w:val="20"/>
                <w:szCs w:val="20"/>
                <w:color w:val="auto"/>
              </w:rPr>
            </w:pPr>
            <w:r>
              <w:rPr>
                <w:rFonts w:ascii="Arial" w:cs="Arial" w:eastAsia="Arial" w:hAnsi="Arial"/>
                <w:sz w:val="18"/>
                <w:szCs w:val="18"/>
                <w:b w:val="1"/>
                <w:bCs w:val="1"/>
                <w:color w:val="auto"/>
              </w:rPr>
              <w:t>Form</w:t>
            </w: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820" w:type="dxa"/>
            <w:vAlign w:val="bottom"/>
          </w:tcPr>
          <w:p>
            <w:pPr>
              <w:spacing w:after="0"/>
              <w:rPr>
                <w:sz w:val="20"/>
                <w:szCs w:val="20"/>
                <w:color w:val="auto"/>
              </w:rPr>
            </w:pPr>
            <w:r>
              <w:rPr>
                <w:rFonts w:ascii="Arial" w:cs="Arial" w:eastAsia="Arial" w:hAnsi="Arial"/>
                <w:sz w:val="18"/>
                <w:szCs w:val="18"/>
                <w:b w:val="1"/>
                <w:bCs w:val="1"/>
                <w:color w:val="auto"/>
              </w:rPr>
              <w:t>Date</w:t>
            </w:r>
          </w:p>
        </w:tc>
      </w:tr>
      <w:tr>
        <w:trPr>
          <w:trHeight w:val="175"/>
        </w:trPr>
        <w:tc>
          <w:tcPr>
            <w:tcW w:w="9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480" w:type="dxa"/>
            <w:vAlign w:val="bottom"/>
            <w:tcBorders>
              <w:top w:val="single" w:sz="8" w:color="auto"/>
              <w:bottom w:val="single" w:sz="8" w:color="0000EE"/>
            </w:tcBorders>
            <w:gridSpan w:val="4"/>
          </w:tcPr>
          <w:p>
            <w:pPr>
              <w:spacing w:after="0" w:line="176" w:lineRule="exact"/>
              <w:rPr>
                <w:rFonts w:ascii="Arial" w:cs="Arial" w:eastAsia="Arial" w:hAnsi="Arial"/>
                <w:sz w:val="18"/>
                <w:szCs w:val="18"/>
                <w:color w:val="0000EE"/>
                <w:w w:val="92"/>
              </w:rPr>
            </w:pPr>
            <w:hyperlink r:id="rId91">
              <w:r>
                <w:rPr>
                  <w:rFonts w:ascii="Arial" w:cs="Arial" w:eastAsia="Arial" w:hAnsi="Arial"/>
                  <w:sz w:val="18"/>
                  <w:szCs w:val="18"/>
                  <w:color w:val="0000EE"/>
                  <w:w w:val="92"/>
                </w:rPr>
                <w:t>Form of Underwriting Agreement.</w:t>
              </w:r>
            </w:hyperlink>
          </w:p>
        </w:tc>
        <w:tc>
          <w:tcPr>
            <w:tcW w:w="5160" w:type="dxa"/>
            <w:vAlign w:val="bottom"/>
            <w:tcBorders>
              <w:top w:val="single" w:sz="8" w:color="auto"/>
            </w:tcBorders>
            <w:gridSpan w:val="5"/>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S-1/A</w:t>
            </w:r>
          </w:p>
        </w:tc>
        <w:tc>
          <w:tcPr>
            <w:tcW w:w="120" w:type="dxa"/>
            <w:vAlign w:val="bottom"/>
          </w:tcPr>
          <w:p>
            <w:pPr>
              <w:spacing w:after="0"/>
              <w:rPr>
                <w:sz w:val="15"/>
                <w:szCs w:val="15"/>
                <w:color w:val="auto"/>
              </w:rPr>
            </w:pPr>
          </w:p>
        </w:tc>
        <w:tc>
          <w:tcPr>
            <w:tcW w:w="6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5"/>
                <w:szCs w:val="15"/>
                <w:color w:val="auto"/>
              </w:rPr>
            </w:pPr>
          </w:p>
        </w:tc>
        <w:tc>
          <w:tcPr>
            <w:tcW w:w="8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88"/>
              </w:rPr>
              <w:t>06/14/2023</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74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Articles of Incorporation, as filed with the Secretary of State of the State of Nevada on March 30, 2023.</w:t>
              </w:r>
            </w:hyperlink>
          </w:p>
        </w:tc>
        <w:tc>
          <w:tcPr>
            <w:tcW w:w="180" w:type="dxa"/>
            <w:vAlign w:val="bottom"/>
            <w:gridSpan w:val="2"/>
          </w:tcPr>
          <w:p>
            <w:pPr>
              <w:spacing w:after="0"/>
              <w:rPr>
                <w:sz w:val="17"/>
                <w:szCs w:val="17"/>
                <w:color w:val="auto"/>
              </w:rPr>
            </w:pPr>
          </w:p>
        </w:tc>
        <w:tc>
          <w:tcPr>
            <w:tcW w:w="88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8-K</w:t>
            </w:r>
          </w:p>
        </w:tc>
        <w:tc>
          <w:tcPr>
            <w:tcW w:w="66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Arial" w:cs="Arial" w:eastAsia="Arial" w:hAnsi="Arial"/>
                <w:sz w:val="18"/>
                <w:szCs w:val="18"/>
                <w:color w:val="auto"/>
                <w:w w:val="88"/>
              </w:rPr>
              <w:t>03/31/2023</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22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Bylaws, dated March 31, 2023.</w:t>
              </w:r>
            </w:hyperlink>
          </w:p>
        </w:tc>
        <w:tc>
          <w:tcPr>
            <w:tcW w:w="5400" w:type="dxa"/>
            <w:vAlign w:val="bottom"/>
            <w:gridSpan w:val="7"/>
          </w:tcPr>
          <w:p>
            <w:pPr>
              <w:spacing w:after="0"/>
              <w:rPr>
                <w:sz w:val="17"/>
                <w:szCs w:val="17"/>
                <w:color w:val="auto"/>
              </w:rPr>
            </w:pPr>
          </w:p>
        </w:tc>
        <w:tc>
          <w:tcPr>
            <w:tcW w:w="88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8-K</w:t>
            </w:r>
          </w:p>
        </w:tc>
        <w:tc>
          <w:tcPr>
            <w:tcW w:w="66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Arial" w:cs="Arial" w:eastAsia="Arial" w:hAnsi="Arial"/>
                <w:sz w:val="18"/>
                <w:szCs w:val="18"/>
                <w:color w:val="auto"/>
                <w:w w:val="88"/>
              </w:rPr>
              <w:t>03/31/2023</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7660" w:type="dxa"/>
            <w:vAlign w:val="bottom"/>
            <w:gridSpan w:val="10"/>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Form of Underwriters’ Warrant.</w:t>
              </w:r>
            </w:hyperlink>
          </w:p>
        </w:tc>
        <w:tc>
          <w:tcPr>
            <w:tcW w:w="88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S-1/A</w:t>
            </w:r>
          </w:p>
        </w:tc>
        <w:tc>
          <w:tcPr>
            <w:tcW w:w="66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Arial" w:cs="Arial" w:eastAsia="Arial" w:hAnsi="Arial"/>
                <w:sz w:val="18"/>
                <w:szCs w:val="18"/>
                <w:color w:val="auto"/>
                <w:w w:val="88"/>
              </w:rPr>
              <w:t>06/14/2023</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23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Form of Investor Warrant.</w:t>
              </w:r>
            </w:hyperlink>
          </w:p>
        </w:tc>
        <w:tc>
          <w:tcPr>
            <w:tcW w:w="5360" w:type="dxa"/>
            <w:vAlign w:val="bottom"/>
            <w:gridSpan w:val="6"/>
          </w:tcPr>
          <w:p>
            <w:pPr>
              <w:spacing w:after="0"/>
              <w:rPr>
                <w:sz w:val="17"/>
                <w:szCs w:val="17"/>
                <w:color w:val="auto"/>
              </w:rPr>
            </w:pPr>
          </w:p>
        </w:tc>
        <w:tc>
          <w:tcPr>
            <w:tcW w:w="88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8-K</w:t>
            </w:r>
          </w:p>
        </w:tc>
        <w:tc>
          <w:tcPr>
            <w:tcW w:w="66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Arial" w:cs="Arial" w:eastAsia="Arial" w:hAnsi="Arial"/>
                <w:sz w:val="18"/>
                <w:szCs w:val="18"/>
                <w:color w:val="auto"/>
                <w:w w:val="88"/>
              </w:rPr>
              <w:t>06/21/2023</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766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5"/>
              </w:rPr>
              <w:t>Certification of Principal Executive Officer Pursuant to Securities Exchange Act Rules 13a-14(a) and</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60" w:type="dxa"/>
            <w:vAlign w:val="bottom"/>
            <w:gridSpan w:val="10"/>
          </w:tcPr>
          <w:p>
            <w:pPr>
              <w:spacing w:after="0" w:line="196" w:lineRule="exact"/>
              <w:rPr>
                <w:sz w:val="20"/>
                <w:szCs w:val="20"/>
                <w:color w:val="auto"/>
              </w:rPr>
            </w:pPr>
            <w:r>
              <w:rPr>
                <w:rFonts w:ascii="Arial" w:cs="Arial" w:eastAsia="Arial" w:hAnsi="Arial"/>
                <w:sz w:val="18"/>
                <w:szCs w:val="18"/>
                <w:color w:val="0000EE"/>
              </w:rPr>
              <w:t>15(d)-14(a), as adopted Pursuant to Section 302 of the Sarbanes-Oxley Act of 2002.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gridSpan w:val="6"/>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7"/>
                <w:szCs w:val="17"/>
                <w:color w:val="auto"/>
              </w:rPr>
            </w:pPr>
          </w:p>
        </w:tc>
        <w:tc>
          <w:tcPr>
            <w:tcW w:w="7660" w:type="dxa"/>
            <w:vAlign w:val="bottom"/>
            <w:gridSpan w:val="10"/>
          </w:tcPr>
          <w:p>
            <w:pPr>
              <w:spacing w:after="0" w:line="196" w:lineRule="exact"/>
              <w:rPr>
                <w:sz w:val="20"/>
                <w:szCs w:val="20"/>
                <w:color w:val="auto"/>
              </w:rPr>
            </w:pPr>
            <w:r>
              <w:rPr>
                <w:rFonts w:ascii="Arial" w:cs="Arial" w:eastAsia="Arial" w:hAnsi="Arial"/>
                <w:sz w:val="18"/>
                <w:szCs w:val="18"/>
                <w:color w:val="0000EE"/>
                <w:w w:val="96"/>
              </w:rPr>
              <w:t>Certification of Principal Financial Officer Pursuant to Securities Exchange Act Rules 13a-14(a) and</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15(d)-14(a), as adopted Pursuant to Section 302 of the Sarbanes-Oxley Act of 2002.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gridSpan w:val="6"/>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7660" w:type="dxa"/>
            <w:vAlign w:val="bottom"/>
            <w:gridSpan w:val="10"/>
          </w:tcPr>
          <w:p>
            <w:pPr>
              <w:spacing w:after="0" w:line="196" w:lineRule="exact"/>
              <w:rPr>
                <w:sz w:val="20"/>
                <w:szCs w:val="20"/>
                <w:color w:val="auto"/>
              </w:rPr>
            </w:pPr>
            <w:r>
              <w:rPr>
                <w:rFonts w:ascii="Arial" w:cs="Arial" w:eastAsia="Arial" w:hAnsi="Arial"/>
                <w:sz w:val="18"/>
                <w:szCs w:val="18"/>
                <w:color w:val="0000EE"/>
                <w:w w:val="93"/>
              </w:rPr>
              <w:t>Certification of Chief Executive Officer and Chief Financial Officer pursuant to 18 U.S.C. Section 1350,</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as adopted pursuant to Section 906 of the Sarbanes-Oxley Act of 2002.</w:t>
            </w:r>
          </w:p>
        </w:tc>
        <w:tc>
          <w:tcPr>
            <w:tcW w:w="252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19"/>
                <w:szCs w:val="19"/>
                <w:color w:val="auto"/>
              </w:rPr>
            </w:pPr>
          </w:p>
        </w:tc>
        <w:tc>
          <w:tcPr>
            <w:tcW w:w="766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8"/>
                <w:szCs w:val="18"/>
                <w:color w:val="auto"/>
              </w:rPr>
            </w:pPr>
          </w:p>
        </w:tc>
        <w:tc>
          <w:tcPr>
            <w:tcW w:w="766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8"/>
                <w:szCs w:val="18"/>
                <w:color w:val="auto"/>
              </w:rPr>
            </w:pPr>
          </w:p>
        </w:tc>
        <w:tc>
          <w:tcPr>
            <w:tcW w:w="766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8"/>
                <w:szCs w:val="18"/>
                <w:color w:val="auto"/>
              </w:rPr>
            </w:pPr>
          </w:p>
        </w:tc>
        <w:tc>
          <w:tcPr>
            <w:tcW w:w="766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8"/>
                <w:szCs w:val="18"/>
                <w:color w:val="auto"/>
              </w:rPr>
            </w:pPr>
          </w:p>
        </w:tc>
        <w:tc>
          <w:tcPr>
            <w:tcW w:w="7660" w:type="dxa"/>
            <w:vAlign w:val="bottom"/>
            <w:gridSpan w:val="10"/>
          </w:tcPr>
          <w:p>
            <w:pPr>
              <w:spacing w:after="0"/>
              <w:rPr>
                <w:sz w:val="20"/>
                <w:szCs w:val="20"/>
                <w:color w:val="auto"/>
              </w:rPr>
            </w:pPr>
            <w:r>
              <w:rPr>
                <w:rFonts w:ascii="Arial" w:cs="Arial" w:eastAsia="Arial" w:hAnsi="Arial"/>
                <w:sz w:val="18"/>
                <w:szCs w:val="18"/>
                <w:color w:val="auto"/>
              </w:rPr>
              <w:t>XBRL Taxonomy Extension Labels Linkbase Document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8"/>
                <w:szCs w:val="18"/>
                <w:color w:val="auto"/>
              </w:rPr>
            </w:pPr>
          </w:p>
        </w:tc>
        <w:tc>
          <w:tcPr>
            <w:tcW w:w="766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7660" w:type="dxa"/>
            <w:vAlign w:val="bottom"/>
            <w:gridSpan w:val="10"/>
          </w:tcPr>
          <w:p>
            <w:pPr>
              <w:spacing w:after="0"/>
              <w:rPr>
                <w:sz w:val="20"/>
                <w:szCs w:val="20"/>
                <w:color w:val="auto"/>
              </w:rPr>
            </w:pPr>
            <w:r>
              <w:rPr>
                <w:rFonts w:ascii="Arial" w:cs="Arial" w:eastAsia="Arial" w:hAnsi="Arial"/>
                <w:sz w:val="18"/>
                <w:szCs w:val="18"/>
                <w:color w:val="auto"/>
                <w:w w:val="94"/>
              </w:rPr>
              <w:t>Cover Page Interactive Data File (embedded within the Inline XBRL document and included as Exhibit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2000" w:type="dxa"/>
            <w:vAlign w:val="bottom"/>
            <w:gridSpan w:val="3"/>
          </w:tcPr>
          <w:p>
            <w:pPr>
              <w:ind w:left="12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02" w:lineRule="exact"/>
        <w:rPr>
          <w:sz w:val="20"/>
          <w:szCs w:val="20"/>
          <w:color w:val="auto"/>
        </w:rPr>
      </w:pPr>
    </w:p>
    <w:p>
      <w:pPr>
        <w:ind w:left="800" w:hanging="792"/>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Dragonfly Energy Holdings Corp.</w:t>
      </w:r>
      <w:r>
        <w:rPr>
          <w:rFonts w:ascii="Arial" w:cs="Arial" w:eastAsia="Arial" w:hAnsi="Arial"/>
          <w:sz w:val="18"/>
          <w:szCs w:val="18"/>
          <w:color w:val="auto"/>
        </w:rPr>
        <w:t>.</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21,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Denis Phares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Chief Executive Officer, President and Interim Chief Financial Officer</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Denis Phares,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2023 of Dragonfly Energy Holdings Corp.;</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9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w:t>
      </w:r>
    </w:p>
    <w:p>
      <w:pPr>
        <w:ind w:left="6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August 21, 2023</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Denis Phares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Denis Phares,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2023 of Dragonfly Energy Holdings Corp.;</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9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w:t>
      </w:r>
    </w:p>
    <w:p>
      <w:pPr>
        <w:ind w:left="6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August 21, 2023</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Denis Phares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PURSUANT TO</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Certification is being filed pursuant to 18 U.S.C. Section 1350, as adopted by Section 906 of the Sarbanes-Oxley Act of 2002. This Certification is included solely for the purposes of complying with the provisions of Section 906 of the Sarbanes-Oxley Act and is not intended to be used for any other purpose. In connection with the accompanying Quarterly Report on Form 10-Q of Dragonfly Energy Holdings Corp. (the “Company”) for the quarter ended June 30, 2023 (the “Quarterly Report”), Denis Phares, as Chief Executive Officer and Interim Chief Financial Officer, certifies in his capacity as such officer of the Company, that to his knowledge:</w:t>
      </w:r>
    </w:p>
    <w:p>
      <w:pPr>
        <w:spacing w:after="0" w:line="18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August 21,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Denis Phares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 and Interim 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Roman"/>
      <w:start w:val="3"/>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91" Type="http://schemas.openxmlformats.org/officeDocument/2006/relationships/hyperlink" Target="https://www.sec.gov/Archives/edgar/data/1847986/000149315223021293/ex1-1.htm" TargetMode="External"/><Relationship Id="rId92" Type="http://schemas.openxmlformats.org/officeDocument/2006/relationships/hyperlink" Target="https://www.sec.gov/Archives/edgar/data/1847986/000149315223010262/ex3-1.htm" TargetMode="External"/><Relationship Id="rId93" Type="http://schemas.openxmlformats.org/officeDocument/2006/relationships/hyperlink" Target="https://www.sec.gov/Archives/edgar/data/1847986/000149315223010262/ex3-2.htm" TargetMode="External"/><Relationship Id="rId94" Type="http://schemas.openxmlformats.org/officeDocument/2006/relationships/hyperlink" Target="https://www.sec.gov/Archives/edgar/data/1847986/000149315223021293/ex4-8.htm" TargetMode="External"/><Relationship Id="rId95" Type="http://schemas.openxmlformats.org/officeDocument/2006/relationships/hyperlink" Target="https://www.sec.gov/Archives/edgar/data/1847986/000149315223021997/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2023-08-21T16:12:07Z</dcterms:created>
  <dcterms:modified xsi:type="dcterms:W3CDTF">2023-08-21T16:12:07Z</dcterms:modified>
</cp:coreProperties>
</file>