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8-A</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REGISTRATION OF CERTAIN CLASSES OF SECURITIES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12(b) OR 12(g) OF THE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CHARDAN NEXTECH ACQUISITION 2 CORP.</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55"/>
        </w:trPr>
        <w:tc>
          <w:tcPr>
            <w:tcW w:w="620" w:type="dxa"/>
            <w:vAlign w:val="bottom"/>
          </w:tcPr>
          <w:p>
            <w:pPr>
              <w:spacing w:after="0"/>
              <w:rPr>
                <w:sz w:val="22"/>
                <w:szCs w:val="22"/>
                <w:color w:val="auto"/>
              </w:rPr>
            </w:pPr>
          </w:p>
        </w:tc>
        <w:tc>
          <w:tcPr>
            <w:tcW w:w="5120" w:type="dxa"/>
            <w:vAlign w:val="bottom"/>
            <w:gridSpan w:val="2"/>
          </w:tcPr>
          <w:p>
            <w:pPr>
              <w:jc w:val="center"/>
              <w:ind w:right="720"/>
              <w:spacing w:after="0"/>
              <w:rPr>
                <w:sz w:val="20"/>
                <w:szCs w:val="20"/>
                <w:color w:val="auto"/>
              </w:rPr>
            </w:pPr>
            <w:r>
              <w:rPr>
                <w:rFonts w:ascii="Arial" w:cs="Arial" w:eastAsia="Arial" w:hAnsi="Arial"/>
                <w:sz w:val="18"/>
                <w:szCs w:val="18"/>
                <w:b w:val="1"/>
                <w:bCs w:val="1"/>
                <w:color w:val="auto"/>
                <w:w w:val="91"/>
              </w:rPr>
              <w:t>Delaware</w:t>
            </w:r>
          </w:p>
        </w:tc>
        <w:tc>
          <w:tcPr>
            <w:tcW w:w="5500" w:type="dxa"/>
            <w:vAlign w:val="bottom"/>
          </w:tcPr>
          <w:p>
            <w:pPr>
              <w:jc w:val="right"/>
              <w:ind w:right="2230"/>
              <w:spacing w:after="0"/>
              <w:rPr>
                <w:sz w:val="20"/>
                <w:szCs w:val="20"/>
                <w:color w:val="auto"/>
              </w:rPr>
            </w:pPr>
            <w:r>
              <w:rPr>
                <w:rFonts w:ascii="Arial" w:cs="Arial" w:eastAsia="Arial" w:hAnsi="Arial"/>
                <w:sz w:val="18"/>
                <w:szCs w:val="18"/>
                <w:b w:val="1"/>
                <w:bCs w:val="1"/>
                <w:color w:val="auto"/>
              </w:rPr>
              <w:t>85-1873463</w:t>
            </w:r>
          </w:p>
        </w:tc>
      </w:tr>
      <w:tr>
        <w:trPr>
          <w:trHeight w:val="202"/>
        </w:trPr>
        <w:tc>
          <w:tcPr>
            <w:tcW w:w="620" w:type="dxa"/>
            <w:vAlign w:val="bottom"/>
            <w:tcBorders>
              <w:top w:val="single" w:sz="8" w:color="auto"/>
            </w:tcBorders>
          </w:tcPr>
          <w:p>
            <w:pPr>
              <w:spacing w:after="0"/>
              <w:rPr>
                <w:sz w:val="17"/>
                <w:szCs w:val="17"/>
                <w:color w:val="auto"/>
              </w:rPr>
            </w:pPr>
          </w:p>
        </w:tc>
        <w:tc>
          <w:tcPr>
            <w:tcW w:w="5020" w:type="dxa"/>
            <w:vAlign w:val="bottom"/>
            <w:tcBorders>
              <w:top w:val="single" w:sz="8" w:color="auto"/>
            </w:tcBorders>
          </w:tcPr>
          <w:p>
            <w:pPr>
              <w:jc w:val="center"/>
              <w:ind w:right="530"/>
              <w:spacing w:after="0" w:line="201" w:lineRule="exact"/>
              <w:rPr>
                <w:sz w:val="20"/>
                <w:szCs w:val="20"/>
                <w:color w:val="auto"/>
              </w:rPr>
            </w:pPr>
            <w:r>
              <w:rPr>
                <w:rFonts w:ascii="Arial" w:cs="Arial" w:eastAsia="Arial" w:hAnsi="Arial"/>
                <w:sz w:val="18"/>
                <w:szCs w:val="18"/>
                <w:color w:val="auto"/>
                <w:w w:val="92"/>
              </w:rPr>
              <w:t>(State of Incorporation</w:t>
            </w:r>
          </w:p>
        </w:tc>
        <w:tc>
          <w:tcPr>
            <w:tcW w:w="100" w:type="dxa"/>
            <w:vAlign w:val="bottom"/>
          </w:tcPr>
          <w:p>
            <w:pPr>
              <w:spacing w:after="0"/>
              <w:rPr>
                <w:sz w:val="17"/>
                <w:szCs w:val="17"/>
                <w:color w:val="auto"/>
              </w:rPr>
            </w:pPr>
          </w:p>
        </w:tc>
        <w:tc>
          <w:tcPr>
            <w:tcW w:w="55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(I.R.S. Employer</w:t>
            </w:r>
          </w:p>
        </w:tc>
      </w:tr>
      <w:tr>
        <w:trPr>
          <w:trHeight w:val="230"/>
        </w:trPr>
        <w:tc>
          <w:tcPr>
            <w:tcW w:w="620" w:type="dxa"/>
            <w:vAlign w:val="bottom"/>
          </w:tcPr>
          <w:p>
            <w:pPr>
              <w:spacing w:after="0"/>
              <w:rPr>
                <w:sz w:val="20"/>
                <w:szCs w:val="20"/>
                <w:color w:val="auto"/>
              </w:rPr>
            </w:pPr>
          </w:p>
        </w:tc>
        <w:tc>
          <w:tcPr>
            <w:tcW w:w="5120" w:type="dxa"/>
            <w:vAlign w:val="bottom"/>
            <w:gridSpan w:val="2"/>
          </w:tcPr>
          <w:p>
            <w:pPr>
              <w:jc w:val="center"/>
              <w:ind w:right="720"/>
              <w:spacing w:after="0"/>
              <w:rPr>
                <w:sz w:val="20"/>
                <w:szCs w:val="20"/>
                <w:color w:val="auto"/>
              </w:rPr>
            </w:pPr>
            <w:r>
              <w:rPr>
                <w:rFonts w:ascii="Arial" w:cs="Arial" w:eastAsia="Arial" w:hAnsi="Arial"/>
                <w:sz w:val="18"/>
                <w:szCs w:val="18"/>
                <w:color w:val="auto"/>
                <w:w w:val="92"/>
              </w:rPr>
              <w:t>or Organization)</w:t>
            </w:r>
          </w:p>
        </w:tc>
        <w:tc>
          <w:tcPr>
            <w:tcW w:w="550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454"/>
        </w:trPr>
        <w:tc>
          <w:tcPr>
            <w:tcW w:w="620" w:type="dxa"/>
            <w:vAlign w:val="bottom"/>
          </w:tcPr>
          <w:p>
            <w:pPr>
              <w:spacing w:after="0"/>
              <w:rPr>
                <w:sz w:val="24"/>
                <w:szCs w:val="24"/>
                <w:color w:val="auto"/>
              </w:rPr>
            </w:pPr>
          </w:p>
        </w:tc>
        <w:tc>
          <w:tcPr>
            <w:tcW w:w="5120" w:type="dxa"/>
            <w:vAlign w:val="bottom"/>
            <w:gridSpan w:val="2"/>
          </w:tcPr>
          <w:p>
            <w:pPr>
              <w:jc w:val="center"/>
              <w:ind w:right="720"/>
              <w:spacing w:after="0"/>
              <w:rPr>
                <w:sz w:val="20"/>
                <w:szCs w:val="20"/>
                <w:color w:val="auto"/>
              </w:rPr>
            </w:pPr>
            <w:r>
              <w:rPr>
                <w:rFonts w:ascii="Arial" w:cs="Arial" w:eastAsia="Arial" w:hAnsi="Arial"/>
                <w:sz w:val="18"/>
                <w:szCs w:val="18"/>
                <w:b w:val="1"/>
                <w:bCs w:val="1"/>
                <w:color w:val="auto"/>
                <w:w w:val="88"/>
              </w:rPr>
              <w:t>17 State Street, 21</w:t>
            </w:r>
            <w:r>
              <w:rPr>
                <w:rFonts w:ascii="Arial" w:cs="Arial" w:eastAsia="Arial" w:hAnsi="Arial"/>
                <w:sz w:val="29"/>
                <w:szCs w:val="29"/>
                <w:b w:val="1"/>
                <w:bCs w:val="1"/>
                <w:color w:val="auto"/>
                <w:w w:val="88"/>
                <w:vertAlign w:val="superscript"/>
              </w:rPr>
              <w:t>st</w:t>
            </w:r>
            <w:r>
              <w:rPr>
                <w:rFonts w:ascii="Arial" w:cs="Arial" w:eastAsia="Arial" w:hAnsi="Arial"/>
                <w:sz w:val="18"/>
                <w:szCs w:val="18"/>
                <w:b w:val="1"/>
                <w:bCs w:val="1"/>
                <w:color w:val="auto"/>
                <w:w w:val="88"/>
              </w:rPr>
              <w:t xml:space="preserve"> Floor</w:t>
            </w:r>
          </w:p>
        </w:tc>
        <w:tc>
          <w:tcPr>
            <w:tcW w:w="5500" w:type="dxa"/>
            <w:vAlign w:val="bottom"/>
          </w:tcPr>
          <w:p>
            <w:pPr>
              <w:spacing w:after="0"/>
              <w:rPr>
                <w:sz w:val="24"/>
                <w:szCs w:val="24"/>
                <w:color w:val="auto"/>
              </w:rPr>
            </w:pPr>
          </w:p>
        </w:tc>
      </w:tr>
      <w:tr>
        <w:trPr>
          <w:trHeight w:val="255"/>
        </w:trPr>
        <w:tc>
          <w:tcPr>
            <w:tcW w:w="620" w:type="dxa"/>
            <w:vAlign w:val="bottom"/>
          </w:tcPr>
          <w:p>
            <w:pPr>
              <w:spacing w:after="0"/>
              <w:rPr>
                <w:sz w:val="22"/>
                <w:szCs w:val="22"/>
                <w:color w:val="auto"/>
              </w:rPr>
            </w:pPr>
          </w:p>
        </w:tc>
        <w:tc>
          <w:tcPr>
            <w:tcW w:w="5120" w:type="dxa"/>
            <w:vAlign w:val="bottom"/>
            <w:gridSpan w:val="2"/>
          </w:tcPr>
          <w:p>
            <w:pPr>
              <w:jc w:val="center"/>
              <w:ind w:right="720"/>
              <w:spacing w:after="0"/>
              <w:rPr>
                <w:sz w:val="20"/>
                <w:szCs w:val="20"/>
                <w:color w:val="auto"/>
              </w:rPr>
            </w:pPr>
            <w:r>
              <w:rPr>
                <w:rFonts w:ascii="Arial" w:cs="Arial" w:eastAsia="Arial" w:hAnsi="Arial"/>
                <w:sz w:val="18"/>
                <w:szCs w:val="18"/>
                <w:b w:val="1"/>
                <w:bCs w:val="1"/>
                <w:color w:val="auto"/>
                <w:w w:val="95"/>
              </w:rPr>
              <w:t>New York, NY</w:t>
            </w:r>
          </w:p>
        </w:tc>
        <w:tc>
          <w:tcPr>
            <w:tcW w:w="5500" w:type="dxa"/>
            <w:vAlign w:val="bottom"/>
          </w:tcPr>
          <w:p>
            <w:pPr>
              <w:jc w:val="right"/>
              <w:ind w:right="2430"/>
              <w:spacing w:after="0"/>
              <w:rPr>
                <w:sz w:val="20"/>
                <w:szCs w:val="20"/>
                <w:color w:val="auto"/>
              </w:rPr>
            </w:pPr>
            <w:r>
              <w:rPr>
                <w:rFonts w:ascii="Arial" w:cs="Arial" w:eastAsia="Arial" w:hAnsi="Arial"/>
                <w:sz w:val="18"/>
                <w:szCs w:val="18"/>
                <w:b w:val="1"/>
                <w:bCs w:val="1"/>
                <w:color w:val="auto"/>
              </w:rPr>
              <w:t>10004</w:t>
            </w:r>
          </w:p>
        </w:tc>
      </w:tr>
      <w:tr>
        <w:trPr>
          <w:trHeight w:val="230"/>
        </w:trPr>
        <w:tc>
          <w:tcPr>
            <w:tcW w:w="620" w:type="dxa"/>
            <w:vAlign w:val="bottom"/>
            <w:tcBorders>
              <w:top w:val="single" w:sz="8" w:color="auto"/>
            </w:tcBorders>
          </w:tcPr>
          <w:p>
            <w:pPr>
              <w:spacing w:after="0"/>
              <w:rPr>
                <w:sz w:val="20"/>
                <w:szCs w:val="20"/>
                <w:color w:val="auto"/>
              </w:rPr>
            </w:pPr>
          </w:p>
        </w:tc>
        <w:tc>
          <w:tcPr>
            <w:tcW w:w="5020" w:type="dxa"/>
            <w:vAlign w:val="bottom"/>
            <w:tcBorders>
              <w:top w:val="single" w:sz="8" w:color="auto"/>
            </w:tcBorders>
          </w:tcPr>
          <w:p>
            <w:pPr>
              <w:jc w:val="center"/>
              <w:ind w:right="510"/>
              <w:spacing w:after="0"/>
              <w:rPr>
                <w:sz w:val="20"/>
                <w:szCs w:val="20"/>
                <w:color w:val="auto"/>
              </w:rPr>
            </w:pPr>
            <w:r>
              <w:rPr>
                <w:rFonts w:ascii="Arial" w:cs="Arial" w:eastAsia="Arial" w:hAnsi="Arial"/>
                <w:sz w:val="18"/>
                <w:szCs w:val="18"/>
                <w:color w:val="auto"/>
                <w:w w:val="92"/>
              </w:rPr>
              <w:t>(Address of Principal Executive Offices)</w:t>
            </w:r>
          </w:p>
        </w:tc>
        <w:tc>
          <w:tcPr>
            <w:tcW w:w="100" w:type="dxa"/>
            <w:vAlign w:val="bottom"/>
          </w:tcPr>
          <w:p>
            <w:pPr>
              <w:spacing w:after="0"/>
              <w:rPr>
                <w:sz w:val="20"/>
                <w:szCs w:val="20"/>
                <w:color w:val="auto"/>
              </w:rPr>
            </w:pPr>
          </w:p>
        </w:tc>
        <w:tc>
          <w:tcPr>
            <w:tcW w:w="55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(Zip Code)</w:t>
            </w:r>
          </w:p>
        </w:tc>
      </w:tr>
      <w:tr>
        <w:trPr>
          <w:trHeight w:val="418"/>
        </w:trPr>
        <w:tc>
          <w:tcPr>
            <w:tcW w:w="620" w:type="dxa"/>
            <w:vAlign w:val="bottom"/>
          </w:tcPr>
          <w:p>
            <w:pPr>
              <w:spacing w:after="0"/>
              <w:rPr>
                <w:sz w:val="24"/>
                <w:szCs w:val="24"/>
                <w:color w:val="auto"/>
              </w:rPr>
            </w:pPr>
          </w:p>
        </w:tc>
        <w:tc>
          <w:tcPr>
            <w:tcW w:w="10620" w:type="dxa"/>
            <w:vAlign w:val="bottom"/>
            <w:gridSpan w:val="3"/>
          </w:tcPr>
          <w:p>
            <w:pPr>
              <w:ind w:left="2600"/>
              <w:spacing w:after="0"/>
              <w:rPr>
                <w:sz w:val="20"/>
                <w:szCs w:val="20"/>
                <w:color w:val="auto"/>
              </w:rPr>
            </w:pPr>
            <w:r>
              <w:rPr>
                <w:rFonts w:ascii="Arial" w:cs="Arial" w:eastAsia="Arial" w:hAnsi="Arial"/>
                <w:sz w:val="18"/>
                <w:szCs w:val="18"/>
                <w:b w:val="1"/>
                <w:bCs w:val="1"/>
                <w:color w:val="auto"/>
              </w:rPr>
              <w:t>Securities to be registered pursuant to Section 12(b) of the Act:</w:t>
            </w:r>
          </w:p>
        </w:tc>
      </w:tr>
      <w:tr>
        <w:trPr>
          <w:trHeight w:val="452"/>
        </w:trPr>
        <w:tc>
          <w:tcPr>
            <w:tcW w:w="620" w:type="dxa"/>
            <w:vAlign w:val="bottom"/>
          </w:tcPr>
          <w:p>
            <w:pPr>
              <w:spacing w:after="0"/>
              <w:rPr>
                <w:sz w:val="24"/>
                <w:szCs w:val="24"/>
                <w:color w:val="auto"/>
              </w:rPr>
            </w:pPr>
          </w:p>
        </w:tc>
        <w:tc>
          <w:tcPr>
            <w:tcW w:w="5120" w:type="dxa"/>
            <w:vAlign w:val="bottom"/>
            <w:gridSpan w:val="2"/>
          </w:tcPr>
          <w:p>
            <w:pPr>
              <w:jc w:val="center"/>
              <w:ind w:right="720"/>
              <w:spacing w:after="0"/>
              <w:rPr>
                <w:sz w:val="20"/>
                <w:szCs w:val="20"/>
                <w:color w:val="auto"/>
              </w:rPr>
            </w:pPr>
            <w:r>
              <w:rPr>
                <w:rFonts w:ascii="Arial" w:cs="Arial" w:eastAsia="Arial" w:hAnsi="Arial"/>
                <w:sz w:val="18"/>
                <w:szCs w:val="18"/>
                <w:b w:val="1"/>
                <w:bCs w:val="1"/>
                <w:color w:val="auto"/>
                <w:w w:val="88"/>
              </w:rPr>
              <w:t>Title of Each Class to be Registered</w:t>
            </w:r>
          </w:p>
        </w:tc>
        <w:tc>
          <w:tcPr>
            <w:tcW w:w="5500" w:type="dxa"/>
            <w:vAlign w:val="bottom"/>
          </w:tcPr>
          <w:p>
            <w:pPr>
              <w:jc w:val="center"/>
              <w:spacing w:after="0"/>
              <w:rPr>
                <w:sz w:val="20"/>
                <w:szCs w:val="20"/>
                <w:color w:val="auto"/>
              </w:rPr>
            </w:pPr>
            <w:r>
              <w:rPr>
                <w:rFonts w:ascii="Arial" w:cs="Arial" w:eastAsia="Arial" w:hAnsi="Arial"/>
                <w:sz w:val="18"/>
                <w:szCs w:val="18"/>
                <w:b w:val="1"/>
                <w:bCs w:val="1"/>
                <w:color w:val="auto"/>
                <w:w w:val="88"/>
              </w:rPr>
              <w:t>Name of Each Exchange on Which Each Class is to be Registered</w:t>
            </w:r>
          </w:p>
        </w:tc>
      </w:tr>
      <w:tr>
        <w:trPr>
          <w:trHeight w:val="216"/>
        </w:trPr>
        <w:tc>
          <w:tcPr>
            <w:tcW w:w="620" w:type="dxa"/>
            <w:vAlign w:val="bottom"/>
            <w:tcBorders>
              <w:top w:val="single" w:sz="8" w:color="auto"/>
            </w:tcBorders>
          </w:tcPr>
          <w:p>
            <w:pPr>
              <w:spacing w:after="0"/>
              <w:rPr>
                <w:sz w:val="18"/>
                <w:szCs w:val="18"/>
                <w:color w:val="auto"/>
              </w:rPr>
            </w:pPr>
          </w:p>
        </w:tc>
        <w:tc>
          <w:tcPr>
            <w:tcW w:w="5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500" w:type="dxa"/>
            <w:vAlign w:val="bottom"/>
            <w:tcBorders>
              <w:top w:val="single" w:sz="8" w:color="auto"/>
            </w:tcBorders>
          </w:tcPr>
          <w:p>
            <w:pPr>
              <w:spacing w:after="0"/>
              <w:rPr>
                <w:sz w:val="18"/>
                <w:szCs w:val="18"/>
                <w:color w:val="auto"/>
              </w:rPr>
            </w:pPr>
          </w:p>
        </w:tc>
      </w:tr>
      <w:tr>
        <w:trPr>
          <w:trHeight w:val="203"/>
        </w:trPr>
        <w:tc>
          <w:tcPr>
            <w:tcW w:w="62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b w:val="1"/>
                <w:bCs w:val="1"/>
                <w:color w:val="auto"/>
                <w:w w:val="95"/>
              </w:rPr>
              <w:t>Units,</w:t>
            </w:r>
          </w:p>
        </w:tc>
        <w:tc>
          <w:tcPr>
            <w:tcW w:w="50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w w:val="89"/>
                <w:shd w:val="clear" w:color="auto" w:fill="CCEEFF"/>
              </w:rPr>
              <w:t>each consisting of one share of common stock, $0.0001 par value</w:t>
            </w:r>
          </w:p>
        </w:tc>
        <w:tc>
          <w:tcPr>
            <w:tcW w:w="100" w:type="dxa"/>
            <w:vAlign w:val="bottom"/>
            <w:shd w:val="clear" w:color="auto" w:fill="CCEEFF"/>
          </w:tcPr>
          <w:p>
            <w:pPr>
              <w:spacing w:after="0"/>
              <w:rPr>
                <w:sz w:val="17"/>
                <w:szCs w:val="17"/>
                <w:color w:val="auto"/>
              </w:rPr>
            </w:pPr>
          </w:p>
        </w:tc>
        <w:tc>
          <w:tcPr>
            <w:tcW w:w="55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w w:val="94"/>
              </w:rPr>
              <w:t>The Nasdaq Stock Market LLC</w:t>
            </w:r>
          </w:p>
        </w:tc>
      </w:tr>
      <w:tr>
        <w:trPr>
          <w:trHeight w:val="229"/>
        </w:trPr>
        <w:tc>
          <w:tcPr>
            <w:tcW w:w="620" w:type="dxa"/>
            <w:vAlign w:val="bottom"/>
            <w:shd w:val="clear" w:color="auto" w:fill="CCEEFF"/>
          </w:tcPr>
          <w:p>
            <w:pPr>
              <w:spacing w:after="0"/>
              <w:rPr>
                <w:sz w:val="19"/>
                <w:szCs w:val="19"/>
                <w:color w:val="auto"/>
              </w:rPr>
            </w:pPr>
          </w:p>
        </w:tc>
        <w:tc>
          <w:tcPr>
            <w:tcW w:w="5020" w:type="dxa"/>
            <w:vAlign w:val="bottom"/>
            <w:shd w:val="clear" w:color="auto" w:fill="CCEEFF"/>
          </w:tcPr>
          <w:p>
            <w:pPr>
              <w:jc w:val="center"/>
              <w:ind w:right="510"/>
              <w:spacing w:after="0"/>
              <w:rPr>
                <w:sz w:val="20"/>
                <w:szCs w:val="20"/>
                <w:color w:val="auto"/>
              </w:rPr>
            </w:pPr>
            <w:r>
              <w:rPr>
                <w:rFonts w:ascii="Arial" w:cs="Arial" w:eastAsia="Arial" w:hAnsi="Arial"/>
                <w:sz w:val="18"/>
                <w:szCs w:val="18"/>
                <w:b w:val="1"/>
                <w:bCs w:val="1"/>
                <w:color w:val="auto"/>
                <w:w w:val="91"/>
                <w:shd w:val="clear" w:color="auto" w:fill="CCEEFF"/>
              </w:rPr>
              <w:t>and three-quarters of one Redeemable Warrant</w:t>
            </w:r>
          </w:p>
        </w:tc>
        <w:tc>
          <w:tcPr>
            <w:tcW w:w="100" w:type="dxa"/>
            <w:vAlign w:val="bottom"/>
            <w:shd w:val="clear" w:color="auto" w:fill="CCEEFF"/>
          </w:tcPr>
          <w:p>
            <w:pPr>
              <w:spacing w:after="0"/>
              <w:rPr>
                <w:sz w:val="19"/>
                <w:szCs w:val="19"/>
                <w:color w:val="auto"/>
              </w:rPr>
            </w:pPr>
          </w:p>
        </w:tc>
        <w:tc>
          <w:tcPr>
            <w:tcW w:w="5500" w:type="dxa"/>
            <w:vAlign w:val="bottom"/>
            <w:shd w:val="clear" w:color="auto" w:fill="CCEEFF"/>
          </w:tcPr>
          <w:p>
            <w:pPr>
              <w:spacing w:after="0"/>
              <w:rPr>
                <w:sz w:val="19"/>
                <w:szCs w:val="19"/>
                <w:color w:val="auto"/>
              </w:rPr>
            </w:pPr>
          </w:p>
        </w:tc>
      </w:tr>
      <w:tr>
        <w:trPr>
          <w:trHeight w:val="216"/>
        </w:trPr>
        <w:tc>
          <w:tcPr>
            <w:tcW w:w="6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500" w:type="dxa"/>
            <w:vAlign w:val="bottom"/>
          </w:tcPr>
          <w:p>
            <w:pPr>
              <w:spacing w:after="0"/>
              <w:rPr>
                <w:sz w:val="18"/>
                <w:szCs w:val="18"/>
                <w:color w:val="auto"/>
              </w:rPr>
            </w:pPr>
          </w:p>
        </w:tc>
      </w:tr>
      <w:tr>
        <w:trPr>
          <w:trHeight w:val="198"/>
        </w:trPr>
        <w:tc>
          <w:tcPr>
            <w:tcW w:w="5740" w:type="dxa"/>
            <w:vAlign w:val="bottom"/>
            <w:gridSpan w:val="3"/>
            <w:shd w:val="clear" w:color="auto" w:fill="CCEEFF"/>
          </w:tcPr>
          <w:p>
            <w:pPr>
              <w:jc w:val="center"/>
              <w:ind w:right="100"/>
              <w:spacing w:after="0" w:line="198" w:lineRule="exact"/>
              <w:rPr>
                <w:sz w:val="20"/>
                <w:szCs w:val="20"/>
                <w:color w:val="auto"/>
              </w:rPr>
            </w:pPr>
            <w:r>
              <w:rPr>
                <w:rFonts w:ascii="Arial" w:cs="Arial" w:eastAsia="Arial" w:hAnsi="Arial"/>
                <w:sz w:val="18"/>
                <w:szCs w:val="18"/>
                <w:b w:val="1"/>
                <w:bCs w:val="1"/>
                <w:color w:val="auto"/>
                <w:w w:val="88"/>
              </w:rPr>
              <w:t>Shares of common stock, par value $0.0001 per share, included as part of</w:t>
            </w:r>
          </w:p>
        </w:tc>
        <w:tc>
          <w:tcPr>
            <w:tcW w:w="5500" w:type="dxa"/>
            <w:vAlign w:val="bottom"/>
            <w:shd w:val="clear" w:color="auto" w:fill="CCEEFF"/>
          </w:tcPr>
          <w:p>
            <w:pPr>
              <w:jc w:val="center"/>
              <w:spacing w:after="0" w:line="198" w:lineRule="exact"/>
              <w:rPr>
                <w:sz w:val="20"/>
                <w:szCs w:val="20"/>
                <w:color w:val="auto"/>
              </w:rPr>
            </w:pPr>
            <w:r>
              <w:rPr>
                <w:rFonts w:ascii="Arial" w:cs="Arial" w:eastAsia="Arial" w:hAnsi="Arial"/>
                <w:sz w:val="18"/>
                <w:szCs w:val="18"/>
                <w:b w:val="1"/>
                <w:bCs w:val="1"/>
                <w:color w:val="auto"/>
                <w:w w:val="94"/>
              </w:rPr>
              <w:t>The Nasdaq Stock Market LLC</w:t>
            </w:r>
          </w:p>
        </w:tc>
      </w:tr>
      <w:tr>
        <w:trPr>
          <w:trHeight w:val="234"/>
        </w:trPr>
        <w:tc>
          <w:tcPr>
            <w:tcW w:w="620" w:type="dxa"/>
            <w:vAlign w:val="bottom"/>
            <w:shd w:val="clear" w:color="auto" w:fill="CCEEFF"/>
          </w:tcPr>
          <w:p>
            <w:pPr>
              <w:spacing w:after="0"/>
              <w:rPr>
                <w:sz w:val="20"/>
                <w:szCs w:val="20"/>
                <w:color w:val="auto"/>
              </w:rPr>
            </w:pPr>
          </w:p>
        </w:tc>
        <w:tc>
          <w:tcPr>
            <w:tcW w:w="5120" w:type="dxa"/>
            <w:vAlign w:val="bottom"/>
            <w:gridSpan w:val="2"/>
            <w:shd w:val="clear" w:color="auto" w:fill="CCEEFF"/>
          </w:tcPr>
          <w:p>
            <w:pPr>
              <w:jc w:val="center"/>
              <w:ind w:right="700"/>
              <w:spacing w:after="0"/>
              <w:rPr>
                <w:sz w:val="20"/>
                <w:szCs w:val="20"/>
                <w:color w:val="auto"/>
              </w:rPr>
            </w:pPr>
            <w:r>
              <w:rPr>
                <w:rFonts w:ascii="Arial" w:cs="Arial" w:eastAsia="Arial" w:hAnsi="Arial"/>
                <w:sz w:val="18"/>
                <w:szCs w:val="18"/>
                <w:b w:val="1"/>
                <w:bCs w:val="1"/>
                <w:color w:val="auto"/>
                <w:w w:val="90"/>
              </w:rPr>
              <w:t>the Units</w:t>
            </w:r>
          </w:p>
        </w:tc>
        <w:tc>
          <w:tcPr>
            <w:tcW w:w="5500" w:type="dxa"/>
            <w:vAlign w:val="bottom"/>
            <w:shd w:val="clear" w:color="auto" w:fill="CCEEFF"/>
          </w:tcPr>
          <w:p>
            <w:pPr>
              <w:spacing w:after="0"/>
              <w:rPr>
                <w:sz w:val="20"/>
                <w:szCs w:val="20"/>
                <w:color w:val="auto"/>
              </w:rPr>
            </w:pPr>
          </w:p>
        </w:tc>
      </w:tr>
      <w:tr>
        <w:trPr>
          <w:trHeight w:val="216"/>
        </w:trPr>
        <w:tc>
          <w:tcPr>
            <w:tcW w:w="6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500" w:type="dxa"/>
            <w:vAlign w:val="bottom"/>
          </w:tcPr>
          <w:p>
            <w:pPr>
              <w:spacing w:after="0"/>
              <w:rPr>
                <w:sz w:val="18"/>
                <w:szCs w:val="18"/>
                <w:color w:val="auto"/>
              </w:rPr>
            </w:pPr>
          </w:p>
        </w:tc>
      </w:tr>
      <w:tr>
        <w:trPr>
          <w:trHeight w:val="198"/>
        </w:trPr>
        <w:tc>
          <w:tcPr>
            <w:tcW w:w="5740" w:type="dxa"/>
            <w:vAlign w:val="bottom"/>
            <w:gridSpan w:val="3"/>
            <w:shd w:val="clear" w:color="auto" w:fill="CCEEFF"/>
          </w:tcPr>
          <w:p>
            <w:pPr>
              <w:jc w:val="center"/>
              <w:ind w:right="80"/>
              <w:spacing w:after="0" w:line="198" w:lineRule="exact"/>
              <w:rPr>
                <w:sz w:val="20"/>
                <w:szCs w:val="20"/>
                <w:color w:val="auto"/>
              </w:rPr>
            </w:pPr>
            <w:r>
              <w:rPr>
                <w:rFonts w:ascii="Arial" w:cs="Arial" w:eastAsia="Arial" w:hAnsi="Arial"/>
                <w:sz w:val="18"/>
                <w:szCs w:val="18"/>
                <w:b w:val="1"/>
                <w:bCs w:val="1"/>
                <w:color w:val="auto"/>
                <w:w w:val="90"/>
              </w:rPr>
              <w:t>Redeemable Warrants, each warrant exercisable for one ordinary share</w:t>
            </w:r>
          </w:p>
        </w:tc>
        <w:tc>
          <w:tcPr>
            <w:tcW w:w="5500" w:type="dxa"/>
            <w:vAlign w:val="bottom"/>
            <w:shd w:val="clear" w:color="auto" w:fill="CCEEFF"/>
          </w:tcPr>
          <w:p>
            <w:pPr>
              <w:jc w:val="center"/>
              <w:spacing w:after="0" w:line="198" w:lineRule="exact"/>
              <w:rPr>
                <w:sz w:val="20"/>
                <w:szCs w:val="20"/>
                <w:color w:val="auto"/>
              </w:rPr>
            </w:pPr>
            <w:r>
              <w:rPr>
                <w:rFonts w:ascii="Arial" w:cs="Arial" w:eastAsia="Arial" w:hAnsi="Arial"/>
                <w:sz w:val="18"/>
                <w:szCs w:val="18"/>
                <w:b w:val="1"/>
                <w:bCs w:val="1"/>
                <w:color w:val="auto"/>
                <w:w w:val="94"/>
              </w:rPr>
              <w:t>The Nasdaq Stock Market LLC</w:t>
            </w:r>
          </w:p>
        </w:tc>
      </w:tr>
      <w:tr>
        <w:trPr>
          <w:trHeight w:val="234"/>
        </w:trPr>
        <w:tc>
          <w:tcPr>
            <w:tcW w:w="620" w:type="dxa"/>
            <w:vAlign w:val="bottom"/>
            <w:shd w:val="clear" w:color="auto" w:fill="CCEEFF"/>
          </w:tcPr>
          <w:p>
            <w:pPr>
              <w:spacing w:after="0"/>
              <w:rPr>
                <w:sz w:val="20"/>
                <w:szCs w:val="20"/>
                <w:color w:val="auto"/>
              </w:rPr>
            </w:pPr>
          </w:p>
        </w:tc>
        <w:tc>
          <w:tcPr>
            <w:tcW w:w="5120" w:type="dxa"/>
            <w:vAlign w:val="bottom"/>
            <w:gridSpan w:val="2"/>
            <w:shd w:val="clear" w:color="auto" w:fill="CCEEFF"/>
          </w:tcPr>
          <w:p>
            <w:pPr>
              <w:jc w:val="center"/>
              <w:ind w:right="720"/>
              <w:spacing w:after="0"/>
              <w:rPr>
                <w:sz w:val="20"/>
                <w:szCs w:val="20"/>
                <w:color w:val="auto"/>
              </w:rPr>
            </w:pPr>
            <w:r>
              <w:rPr>
                <w:rFonts w:ascii="Arial" w:cs="Arial" w:eastAsia="Arial" w:hAnsi="Arial"/>
                <w:sz w:val="18"/>
                <w:szCs w:val="18"/>
                <w:b w:val="1"/>
                <w:bCs w:val="1"/>
                <w:color w:val="auto"/>
                <w:w w:val="88"/>
              </w:rPr>
              <w:t>at an exercise price of $11.50</w:t>
            </w:r>
          </w:p>
        </w:tc>
        <w:tc>
          <w:tcPr>
            <w:tcW w:w="5500" w:type="dxa"/>
            <w:vAlign w:val="bottom"/>
            <w:shd w:val="clear" w:color="auto" w:fill="CCEEFF"/>
          </w:tcPr>
          <w:p>
            <w:pPr>
              <w:spacing w:after="0"/>
              <w:rPr>
                <w:sz w:val="20"/>
                <w:szCs w:val="20"/>
                <w:color w:val="auto"/>
              </w:rPr>
            </w:pPr>
          </w:p>
        </w:tc>
      </w:tr>
    </w:tbl>
    <w:p>
      <w:pPr>
        <w:spacing w:after="0" w:line="202" w:lineRule="exact"/>
        <w:rPr>
          <w:sz w:val="24"/>
          <w:szCs w:val="24"/>
          <w:color w:val="auto"/>
        </w:rPr>
      </w:pPr>
    </w:p>
    <w:p>
      <w:pPr>
        <w:jc w:val="both"/>
        <w:ind w:right="20"/>
        <w:spacing w:after="0" w:line="233" w:lineRule="exact"/>
        <w:rPr>
          <w:sz w:val="20"/>
          <w:szCs w:val="20"/>
          <w:color w:val="auto"/>
        </w:rPr>
      </w:pPr>
      <w:r>
        <w:rPr>
          <w:rFonts w:ascii="Arial" w:cs="Arial" w:eastAsia="Arial" w:hAnsi="Arial"/>
          <w:sz w:val="18"/>
          <w:szCs w:val="18"/>
          <w:color w:val="auto"/>
        </w:rPr>
        <w:t xml:space="preserve">If this form relates to the registration of a class of securities pursuant to Section 12(b) of the Exchange Act and is effective pursuant to General Instruction A.(c) or (e), check the following box. </w:t>
      </w:r>
      <w:r>
        <w:rPr>
          <w:rFonts w:ascii="MS PGothic" w:cs="MS PGothic" w:eastAsia="MS PGothic" w:hAnsi="MS PGothic"/>
          <w:sz w:val="18"/>
          <w:szCs w:val="18"/>
          <w:color w:val="auto"/>
        </w:rPr>
        <w:t>☒</w:t>
      </w:r>
    </w:p>
    <w:p>
      <w:pPr>
        <w:spacing w:after="0" w:line="182" w:lineRule="exact"/>
        <w:rPr>
          <w:sz w:val="24"/>
          <w:szCs w:val="24"/>
          <w:color w:val="auto"/>
        </w:rPr>
      </w:pPr>
    </w:p>
    <w:p>
      <w:pPr>
        <w:jc w:val="both"/>
        <w:ind w:right="20"/>
        <w:spacing w:after="0" w:line="233" w:lineRule="exact"/>
        <w:rPr>
          <w:sz w:val="20"/>
          <w:szCs w:val="20"/>
          <w:color w:val="auto"/>
        </w:rPr>
      </w:pPr>
      <w:r>
        <w:rPr>
          <w:rFonts w:ascii="Arial" w:cs="Arial" w:eastAsia="Arial" w:hAnsi="Arial"/>
          <w:sz w:val="18"/>
          <w:szCs w:val="18"/>
          <w:color w:val="auto"/>
        </w:rPr>
        <w:t xml:space="preserve">If this form relates to the registration of a class of securities pursuant to Section 12(g) of the Exchange Act and is effective pursuant to General Instruction A.(d) or (e), check the following box.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If this form relates to the registration of a class of securities concurrently with a Regulation A offering, check the following box.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Securities Act Registration Statement or Regulation A offering statement file number to which this form relates: 333-254010 (if applicable)</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to be registered pursuant to Section 12(g) of the Act:</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(Title of Class)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194310</wp:posOffset>
            </wp:positionV>
            <wp:extent cx="71323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511810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 Description of Registrant’s Securities to be Registered.</w:t>
      </w:r>
    </w:p>
    <w:p>
      <w:pPr>
        <w:spacing w:after="0" w:line="229" w:lineRule="exact"/>
        <w:rPr>
          <w:sz w:val="20"/>
          <w:szCs w:val="20"/>
          <w:color w:val="auto"/>
        </w:rPr>
      </w:pPr>
    </w:p>
    <w:p>
      <w:pPr>
        <w:jc w:val="both"/>
        <w:ind w:firstLine="441"/>
        <w:spacing w:after="0" w:line="255" w:lineRule="auto"/>
        <w:rPr>
          <w:sz w:val="20"/>
          <w:szCs w:val="20"/>
          <w:color w:val="auto"/>
        </w:rPr>
      </w:pPr>
      <w:r>
        <w:rPr>
          <w:rFonts w:ascii="Arial" w:cs="Arial" w:eastAsia="Arial" w:hAnsi="Arial"/>
          <w:sz w:val="18"/>
          <w:szCs w:val="18"/>
          <w:color w:val="auto"/>
        </w:rPr>
        <w:t>The securities to be registered hereby are the units, common stock and warrants to purchase shares of common stock of Chardan NexTech Acquisition 2 Corp. (the “</w:t>
      </w:r>
      <w:r>
        <w:rPr>
          <w:rFonts w:ascii="Arial" w:cs="Arial" w:eastAsia="Arial" w:hAnsi="Arial"/>
          <w:sz w:val="18"/>
          <w:szCs w:val="18"/>
          <w:b w:val="1"/>
          <w:bCs w:val="1"/>
          <w:color w:val="auto"/>
        </w:rPr>
        <w:t>Company</w:t>
      </w:r>
      <w:r>
        <w:rPr>
          <w:rFonts w:ascii="Arial" w:cs="Arial" w:eastAsia="Arial" w:hAnsi="Arial"/>
          <w:sz w:val="18"/>
          <w:szCs w:val="18"/>
          <w:color w:val="auto"/>
        </w:rPr>
        <w:t>”). The description of the units, common stock and warrants contained in the section entitled “Description of Securities” in the prospectus included in the Company’s Registration Statement on Form S-1 (File No. 333-254010) filed with the U.S. Securities and Exchange Commission on March 8, 2021, as amended from time to time (the “</w:t>
      </w:r>
      <w:r>
        <w:rPr>
          <w:rFonts w:ascii="Arial" w:cs="Arial" w:eastAsia="Arial" w:hAnsi="Arial"/>
          <w:sz w:val="18"/>
          <w:szCs w:val="18"/>
          <w:b w:val="1"/>
          <w:bCs w:val="1"/>
          <w:color w:val="auto"/>
        </w:rPr>
        <w:t>Registration Statement</w:t>
      </w:r>
      <w:r>
        <w:rPr>
          <w:rFonts w:ascii="Arial" w:cs="Arial" w:eastAsia="Arial" w:hAnsi="Arial"/>
          <w:sz w:val="18"/>
          <w:szCs w:val="18"/>
          <w:color w:val="auto"/>
        </w:rPr>
        <w:t>”), to which this Form 8-A relates, is incorporated herein by reference. Any form of prospectus or prospectus supplement to the Registration Statement that includes such descriptions and that is subsequently filed is also incorporated by reference herein.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Exhibits.</w:t>
      </w:r>
    </w:p>
    <w:p>
      <w:pPr>
        <w:spacing w:after="0" w:line="229" w:lineRule="exact"/>
        <w:rPr>
          <w:sz w:val="20"/>
          <w:szCs w:val="20"/>
          <w:color w:val="auto"/>
        </w:rPr>
      </w:pPr>
    </w:p>
    <w:p>
      <w:pPr>
        <w:jc w:val="both"/>
        <w:ind w:firstLine="441"/>
        <w:spacing w:after="0" w:line="263" w:lineRule="auto"/>
        <w:rPr>
          <w:sz w:val="20"/>
          <w:szCs w:val="20"/>
          <w:color w:val="auto"/>
        </w:rPr>
      </w:pPr>
      <w:r>
        <w:rPr>
          <w:rFonts w:ascii="Arial" w:cs="Arial" w:eastAsia="Arial" w:hAnsi="Arial"/>
          <w:sz w:val="18"/>
          <w:szCs w:val="18"/>
          <w:color w:val="auto"/>
        </w:rPr>
        <w:t>Pursuant to the instructions for Form 8-A, no exhibits are required to be filed, because no other securities of the registrant are registered on The Nasdaq Stock Market LLC and the securities registered hereby are not being registered pursuant to Section 12(g) of the Securities Exchange Act of 1934, as amended.</w:t>
      </w:r>
    </w:p>
    <w:p>
      <w:pPr>
        <w:spacing w:after="0" w:line="392"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Section 12 of the Securities Exchange Act of 1934, the Registrant has duly caused this Registration Statement to be signed on its behalf by the undersigned, thereto duly authorized.</w:t>
      </w:r>
    </w:p>
    <w:p>
      <w:pPr>
        <w:spacing w:after="0" w:line="166" w:lineRule="exact"/>
        <w:rPr>
          <w:sz w:val="20"/>
          <w:szCs w:val="20"/>
          <w:color w:val="auto"/>
        </w:rPr>
      </w:pPr>
    </w:p>
    <w:p>
      <w:pPr>
        <w:ind w:left="6080"/>
        <w:spacing w:after="0"/>
        <w:rPr>
          <w:sz w:val="20"/>
          <w:szCs w:val="20"/>
          <w:color w:val="auto"/>
        </w:rPr>
      </w:pPr>
      <w:r>
        <w:rPr>
          <w:rFonts w:ascii="Arial" w:cs="Arial" w:eastAsia="Arial" w:hAnsi="Arial"/>
          <w:sz w:val="18"/>
          <w:szCs w:val="18"/>
          <w:b w:val="1"/>
          <w:bCs w:val="1"/>
          <w:color w:val="auto"/>
        </w:rPr>
        <w:t>CHARDAN NEXTECH ACQUISITION 2 CORP.</w:t>
      </w:r>
    </w:p>
    <w:p>
      <w:pPr>
        <w:spacing w:after="0" w:line="229" w:lineRule="exact"/>
        <w:rPr>
          <w:sz w:val="20"/>
          <w:szCs w:val="20"/>
          <w:color w:val="auto"/>
        </w:rPr>
      </w:pPr>
    </w:p>
    <w:tbl>
      <w:tblPr>
        <w:tblLayout w:type="fixed"/>
        <w:tblInd w:w="608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Jonas Grossman</w:t>
            </w:r>
          </w:p>
        </w:tc>
      </w:tr>
      <w:tr>
        <w:trPr>
          <w:trHeight w:val="195"/>
        </w:trPr>
        <w:tc>
          <w:tcPr>
            <w:tcW w:w="680" w:type="dxa"/>
            <w:vAlign w:val="bottom"/>
          </w:tcPr>
          <w:p>
            <w:pPr>
              <w:spacing w:after="0"/>
              <w:rPr>
                <w:sz w:val="16"/>
                <w:szCs w:val="16"/>
                <w:color w:val="auto"/>
              </w:rPr>
            </w:pPr>
          </w:p>
        </w:tc>
        <w:tc>
          <w:tcPr>
            <w:tcW w:w="4480" w:type="dxa"/>
            <w:vAlign w:val="bottom"/>
          </w:tcPr>
          <w:p>
            <w:pPr>
              <w:spacing w:after="0" w:line="195" w:lineRule="exact"/>
              <w:rPr>
                <w:sz w:val="20"/>
                <w:szCs w:val="20"/>
                <w:color w:val="auto"/>
              </w:rPr>
            </w:pPr>
            <w:r>
              <w:rPr>
                <w:rFonts w:ascii="Arial" w:cs="Arial" w:eastAsia="Arial" w:hAnsi="Arial"/>
                <w:sz w:val="18"/>
                <w:szCs w:val="18"/>
                <w:color w:val="auto"/>
              </w:rPr>
              <w:t>Jonas Grossman</w:t>
            </w:r>
          </w:p>
        </w:tc>
      </w:tr>
      <w:tr>
        <w:trPr>
          <w:trHeight w:val="230"/>
        </w:trPr>
        <w:tc>
          <w:tcPr>
            <w:tcW w:w="68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Dated: August 10, 2021</w:t>
      </w:r>
    </w:p>
    <w:p>
      <w:pPr>
        <w:spacing w:after="0" w:line="200" w:lineRule="exact"/>
        <w:rPr>
          <w:sz w:val="20"/>
          <w:szCs w:val="20"/>
          <w:color w:val="auto"/>
        </w:rPr>
      </w:pPr>
    </w:p>
    <w:p>
      <w:pPr>
        <w:spacing w:after="0" w:line="234"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2021-08-10T10:55:24Z</dcterms:created>
  <dcterms:modified xsi:type="dcterms:W3CDTF">2021-08-10T10:55:24Z</dcterms:modified>
</cp:coreProperties>
</file>