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r>
        <w:rPr/>
      </w:r>
      <w:bookmarkStart w:id="0" w:name="sc13da2.htm"/>
      <w:bookmarkStart w:id="1" w:name="kssc13da2"/>
      <w:bookmarkStart w:id="2" w:name="sc13da2.htm"/>
      <w:bookmarkStart w:id="3" w:name="kssc13da2"/>
      <w:bookmarkEnd w:id="2"/>
      <w:bookmarkEnd w:id="3"/>
    </w:p>
    <w:p>
      <w:pPr>
        <w:pStyle w:val="TextBody"/>
        <w:bidi w:val="0"/>
        <w:spacing w:before="0" w:after="0"/>
        <w:jc w:val="left"/>
        <w:rPr/>
      </w:pPr>
      <w:r>
        <w:rPr/>
      </w:r>
    </w:p>
    <w:p>
      <w:pPr>
        <w:pStyle w:val="TextBody"/>
        <w:bidi w:val="0"/>
        <w:spacing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rFonts w:ascii="Times New Roman;serif" w:hAnsi="Times New Roman;serif"/>
          <w:b/>
          <w:color w:val="000000"/>
          <w:sz w:val="22"/>
        </w:rPr>
      </w:pPr>
      <w:r>
        <w:rPr>
          <w:rFonts w:ascii="Times New Roman;serif" w:hAnsi="Times New Roman;serif"/>
          <w:b/>
          <w:color w:val="000000"/>
          <w:sz w:val="22"/>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serif" w:hAnsi="Times New Roman;serif"/>
          <w:b/>
          <w:color w:val="000000"/>
          <w:sz w:val="32"/>
        </w:rPr>
      </w:pPr>
      <w:r>
        <w:rPr>
          <w:rFonts w:ascii="Times New Roman;serif" w:hAnsi="Times New Roman;serif"/>
          <w:b/>
          <w:color w:val="000000"/>
          <w:sz w:val="32"/>
        </w:rPr>
        <w:t>SCHEDULE 13D</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center"/>
        <w:rPr>
          <w:rFonts w:ascii="Times New Roman;serif" w:hAnsi="Times New Roman;serif"/>
          <w:b/>
          <w:color w:val="000000"/>
          <w:sz w:val="22"/>
        </w:rPr>
      </w:pPr>
      <w:r>
        <w:rPr>
          <w:rFonts w:ascii="Times New Roman;serif" w:hAnsi="Times New Roman;serif"/>
          <w:b/>
          <w:color w:val="000000"/>
          <w:sz w:val="22"/>
        </w:rPr>
        <w:t>Under the Securities Exchange Act of 1934</w:t>
      </w:r>
    </w:p>
    <w:p>
      <w:pPr>
        <w:pStyle w:val="TextBody"/>
        <w:bidi w:val="0"/>
        <w:spacing w:before="0" w:after="0"/>
        <w:jc w:val="center"/>
        <w:rPr>
          <w:rFonts w:ascii="Times New Roman;serif" w:hAnsi="Times New Roman;serif"/>
          <w:b/>
          <w:color w:val="000000"/>
          <w:sz w:val="22"/>
        </w:rPr>
      </w:pPr>
      <w:r>
        <w:rPr>
          <w:rFonts w:ascii="Times New Roman;serif" w:hAnsi="Times New Roman;serif"/>
          <w:b/>
          <w:color w:val="000000"/>
          <w:sz w:val="22"/>
        </w:rPr>
        <w:t>(Amendment No. 2)*</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center"/>
              <w:rPr>
                <w:rFonts w:ascii="Times New Roman;serif" w:hAnsi="Times New Roman;serif"/>
                <w:b/>
                <w:color w:val="000000"/>
                <w:sz w:val="32"/>
              </w:rPr>
            </w:pPr>
            <w:r>
              <w:rPr>
                <w:rFonts w:ascii="Times New Roman;serif" w:hAnsi="Times New Roman;serif"/>
                <w:b/>
                <w:color w:val="000000"/>
                <w:sz w:val="32"/>
              </w:rPr>
              <w:t>Dragonfly Energy Holdings Corp.</w:t>
            </w:r>
          </w:p>
        </w:tc>
      </w:tr>
      <w:tr>
        <w:trPr/>
        <w:tc>
          <w:tcPr>
            <w:tcW w:w="10205" w:type="dxa"/>
            <w:tcBorders/>
            <w:vAlign w:val="center"/>
          </w:tcPr>
          <w:p>
            <w:pPr>
              <w:pStyle w:val="TableContents"/>
              <w:bidi w:val="0"/>
              <w:spacing w:before="0" w:after="0"/>
              <w:jc w:val="center"/>
              <w:rPr>
                <w:rFonts w:ascii="Times New Roman;serif" w:hAnsi="Times New Roman;serif"/>
                <w:color w:val="000000"/>
                <w:sz w:val="18"/>
              </w:rPr>
            </w:pPr>
            <w:r>
              <w:rPr>
                <w:rFonts w:ascii="Times New Roman;serif" w:hAnsi="Times New Roman;serif"/>
                <w:color w:val="000000"/>
                <w:sz w:val="18"/>
              </w:rPr>
              <w:t>(Name of Issuer)</w:t>
            </w:r>
          </w:p>
        </w:tc>
      </w:tr>
      <w:tr>
        <w:trPr/>
        <w:tc>
          <w:tcPr>
            <w:tcW w:w="10205" w:type="dxa"/>
            <w:tcBorders/>
            <w:vAlign w:val="center"/>
          </w:tcPr>
          <w:p>
            <w:pPr>
              <w:pStyle w:val="TableContents"/>
              <w:bidi w:val="0"/>
              <w:spacing w:before="0" w:after="0"/>
              <w:jc w:val="left"/>
              <w:rPr>
                <w:color w:val="000000"/>
              </w:rPr>
            </w:pPr>
            <w:r>
              <w:rPr>
                <w:color w:val="000000"/>
              </w:rPr>
              <w:t> </w:t>
            </w:r>
          </w:p>
        </w:tc>
      </w:tr>
      <w:tr>
        <w:trPr/>
        <w:tc>
          <w:tcPr>
            <w:tcW w:w="10205" w:type="dxa"/>
            <w:tcBorders/>
            <w:vAlign w:val="center"/>
          </w:tcPr>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Common Stock, par value $0.0001 per share</w:t>
            </w:r>
          </w:p>
          <w:p>
            <w:pPr>
              <w:pStyle w:val="TableContents"/>
              <w:bidi w:val="0"/>
              <w:spacing w:before="0" w:after="0"/>
              <w:jc w:val="center"/>
              <w:rPr>
                <w:rFonts w:ascii="Times New Roman;serif" w:hAnsi="Times New Roman;serif"/>
                <w:color w:val="000000"/>
                <w:sz w:val="18"/>
              </w:rPr>
            </w:pPr>
            <w:r>
              <w:rPr>
                <w:rFonts w:ascii="Times New Roman;serif" w:hAnsi="Times New Roman;serif"/>
                <w:color w:val="000000"/>
                <w:sz w:val="18"/>
              </w:rPr>
              <w:t>(Title of Class of Securities)</w:t>
            </w:r>
          </w:p>
        </w:tc>
      </w:tr>
      <w:tr>
        <w:trPr/>
        <w:tc>
          <w:tcPr>
            <w:tcW w:w="10205" w:type="dxa"/>
            <w:tcBorders/>
            <w:vAlign w:val="center"/>
          </w:tcPr>
          <w:p>
            <w:pPr>
              <w:pStyle w:val="TableContents"/>
              <w:bidi w:val="0"/>
              <w:spacing w:before="0" w:after="0"/>
              <w:jc w:val="left"/>
              <w:rPr>
                <w:color w:val="000000"/>
              </w:rPr>
            </w:pPr>
            <w:r>
              <w:rPr>
                <w:color w:val="000000"/>
              </w:rPr>
              <w:t> </w:t>
            </w:r>
          </w:p>
        </w:tc>
      </w:tr>
      <w:tr>
        <w:trPr/>
        <w:tc>
          <w:tcPr>
            <w:tcW w:w="10205" w:type="dxa"/>
            <w:tcBorders/>
            <w:vAlign w:val="center"/>
          </w:tcPr>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26145B 106</w:t>
            </w:r>
          </w:p>
          <w:p>
            <w:pPr>
              <w:pStyle w:val="TableContents"/>
              <w:bidi w:val="0"/>
              <w:spacing w:before="0" w:after="0"/>
              <w:jc w:val="center"/>
              <w:rPr>
                <w:rFonts w:ascii="Times New Roman;serif" w:hAnsi="Times New Roman;serif"/>
                <w:color w:val="000000"/>
                <w:sz w:val="18"/>
              </w:rPr>
            </w:pPr>
            <w:r>
              <w:rPr>
                <w:rFonts w:ascii="Times New Roman;serif" w:hAnsi="Times New Roman;serif"/>
                <w:color w:val="000000"/>
                <w:sz w:val="18"/>
              </w:rPr>
              <w:t>(CUSIP Number)</w:t>
            </w:r>
          </w:p>
        </w:tc>
      </w:tr>
      <w:tr>
        <w:trPr/>
        <w:tc>
          <w:tcPr>
            <w:tcW w:w="10205" w:type="dxa"/>
            <w:tcBorders/>
            <w:vAlign w:val="center"/>
          </w:tcPr>
          <w:p>
            <w:pPr>
              <w:pStyle w:val="TableContents"/>
              <w:bidi w:val="0"/>
              <w:spacing w:before="0" w:after="0"/>
              <w:jc w:val="left"/>
              <w:rPr>
                <w:color w:val="000000"/>
              </w:rPr>
            </w:pPr>
            <w:r>
              <w:rPr>
                <w:color w:val="000000"/>
              </w:rPr>
              <w:t> </w:t>
            </w:r>
          </w:p>
        </w:tc>
      </w:tr>
      <w:tr>
        <w:trPr/>
        <w:tc>
          <w:tcPr>
            <w:tcW w:w="10205" w:type="dxa"/>
            <w:tcBorders/>
            <w:vAlign w:val="center"/>
          </w:tcPr>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Jeffrey A. Brill</w:t>
            </w:r>
          </w:p>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Peter D. Serating</w:t>
            </w:r>
          </w:p>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Skadden, Arps, Slate, Meagher &amp; Flom LLP</w:t>
            </w:r>
          </w:p>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One Manhattan West</w:t>
            </w:r>
          </w:p>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New York, New York 10001</w:t>
            </w:r>
          </w:p>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Tel.: (212) 735-3000</w:t>
            </w:r>
          </w:p>
        </w:tc>
      </w:tr>
      <w:tr>
        <w:trPr/>
        <w:tc>
          <w:tcPr>
            <w:tcW w:w="10205" w:type="dxa"/>
            <w:tcBorders/>
            <w:vAlign w:val="center"/>
          </w:tcPr>
          <w:p>
            <w:pPr>
              <w:pStyle w:val="TableContents"/>
              <w:bidi w:val="0"/>
              <w:spacing w:before="0" w:after="0"/>
              <w:jc w:val="center"/>
              <w:rPr>
                <w:rFonts w:ascii="Times New Roman;serif" w:hAnsi="Times New Roman;serif"/>
                <w:color w:val="000000"/>
                <w:sz w:val="18"/>
              </w:rPr>
            </w:pPr>
            <w:r>
              <w:rPr>
                <w:rFonts w:ascii="Times New Roman;serif" w:hAnsi="Times New Roman;serif"/>
                <w:color w:val="000000"/>
                <w:sz w:val="18"/>
              </w:rPr>
              <w:t>(Name, Address and Telephone Number of Person Authorized to Receive Notices and Communications)</w:t>
            </w:r>
          </w:p>
        </w:tc>
      </w:tr>
      <w:tr>
        <w:trPr/>
        <w:tc>
          <w:tcPr>
            <w:tcW w:w="10205" w:type="dxa"/>
            <w:tcBorders/>
            <w:vAlign w:val="center"/>
          </w:tcPr>
          <w:p>
            <w:pPr>
              <w:pStyle w:val="TableContents"/>
              <w:bidi w:val="0"/>
              <w:spacing w:before="0" w:after="0"/>
              <w:jc w:val="left"/>
              <w:rPr>
                <w:color w:val="000000"/>
              </w:rPr>
            </w:pPr>
            <w:r>
              <w:rPr>
                <w:color w:val="000000"/>
              </w:rPr>
              <w:t> </w:t>
            </w:r>
          </w:p>
        </w:tc>
      </w:tr>
      <w:tr>
        <w:trPr/>
        <w:tc>
          <w:tcPr>
            <w:tcW w:w="10205" w:type="dxa"/>
            <w:tcBorders/>
            <w:vAlign w:val="center"/>
          </w:tcPr>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May 5, 2023</w:t>
            </w:r>
          </w:p>
        </w:tc>
      </w:tr>
      <w:tr>
        <w:trPr/>
        <w:tc>
          <w:tcPr>
            <w:tcW w:w="10205" w:type="dxa"/>
            <w:tcBorders/>
            <w:vAlign w:val="center"/>
          </w:tcPr>
          <w:p>
            <w:pPr>
              <w:pStyle w:val="TableContents"/>
              <w:bidi w:val="0"/>
              <w:spacing w:before="0" w:after="0"/>
              <w:jc w:val="center"/>
              <w:rPr>
                <w:rFonts w:ascii="Times New Roman;serif" w:hAnsi="Times New Roman;serif"/>
                <w:color w:val="000000"/>
                <w:sz w:val="18"/>
              </w:rPr>
            </w:pPr>
            <w:r>
              <w:rPr>
                <w:rFonts w:ascii="Times New Roman;serif" w:hAnsi="Times New Roman;serif"/>
                <w:color w:val="000000"/>
                <w:sz w:val="18"/>
              </w:rPr>
              <w:t>(Date of Event which Requires Filing of this Statement)</w:t>
            </w:r>
          </w:p>
        </w:tc>
      </w:tr>
      <w:tr>
        <w:trPr/>
        <w:tc>
          <w:tcPr>
            <w:tcW w:w="10205" w:type="dxa"/>
            <w:tcBorders/>
            <w:vAlign w:val="center"/>
          </w:tcPr>
          <w:p>
            <w:pPr>
              <w:pStyle w:val="TableContents"/>
              <w:bidi w:val="0"/>
              <w:spacing w:before="0" w:after="0"/>
              <w:jc w:val="left"/>
              <w:rPr>
                <w:color w:val="000000"/>
              </w:rPr>
            </w:pPr>
            <w:r>
              <w:rPr>
                <w:color w:val="000000"/>
              </w:rPr>
              <w:t> </w:t>
            </w:r>
          </w:p>
        </w:tc>
      </w:tr>
      <w:tr>
        <w:trPr/>
        <w:tc>
          <w:tcPr>
            <w:tcW w:w="10205"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If the filing person has previously filed a statement on Schedule 13G to report the acquisition that is the subject of this Schedule 13D, and is filing this schedule because of §§ 240.13d-1(e), 240.13d-1(f) or 240.13d-1(g), check the following box:  ☐</w:t>
            </w:r>
          </w:p>
        </w:tc>
      </w:tr>
      <w:tr>
        <w:trPr/>
        <w:tc>
          <w:tcPr>
            <w:tcW w:w="10205" w:type="dxa"/>
            <w:tcBorders>
              <w:bottom w:val="single" w:sz="4"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10205" w:type="dxa"/>
            <w:tcBorders>
              <w:bottom w:val="single" w:sz="8" w:space="0" w:color="000000"/>
            </w:tcBorders>
            <w:tcMar>
              <w:bottom w:w="28" w:type="dxa"/>
            </w:tcMar>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Note: Schedules filed in paper format shall include a signed original and five copies of the schedule, including all exhibits. See Rule 13d-7 for other parties to whom copies are to be sent.</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w:t>
            </w:r>
          </w:p>
        </w:tc>
        <w:tc>
          <w:tcPr>
            <w:tcW w:w="10050"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The information required on the remainder of this cover page shall not be deemed to be “filed” for the purpose of Section 18 of the Securities Exchange Act of 1934 (“</w:t>
      </w:r>
      <w:r>
        <w:rPr>
          <w:rFonts w:ascii="Times New Roman;serif" w:hAnsi="Times New Roman;serif"/>
          <w:color w:val="000000"/>
          <w:sz w:val="20"/>
          <w:u w:val="single"/>
        </w:rPr>
        <w:t>Act</w:t>
      </w:r>
      <w:r>
        <w:rPr>
          <w:rFonts w:ascii="Times New Roman;serif" w:hAnsi="Times New Roman;serif"/>
          <w:color w:val="000000"/>
          <w:sz w:val="20"/>
        </w:rPr>
        <w:t>”) or otherwise subject to the liabilities of that section of the Act but shall be subject to all other provisions of the Act (however, see the Notes).</w:t>
      </w:r>
    </w:p>
    <w:p>
      <w:pPr>
        <w:pStyle w:val="TextBody"/>
        <w:bidi w:val="0"/>
        <w:spacing w:before="0" w:after="0"/>
        <w:jc w:val="left"/>
        <w:rPr/>
      </w:pPr>
      <w:r>
        <w:rPr/>
      </w:r>
    </w:p>
    <w:p>
      <w:pPr>
        <w:pStyle w:val="TextBody"/>
        <w:bidi w:val="0"/>
        <w:spacing w:before="0" w:after="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p>
    <w:p>
      <w:pPr>
        <w:pStyle w:val="TextBody"/>
        <w:bidi w:val="0"/>
        <w:spacing w:before="0" w:after="0"/>
        <w:jc w:val="left"/>
        <w:rPr>
          <w:rFonts w:ascii="Times New Roman;serif" w:hAnsi="Times New Roman;serif"/>
          <w:b/>
          <w:color w:val="000000"/>
          <w:sz w:val="20"/>
        </w:rPr>
      </w:pPr>
      <w:r>
        <w:rPr>
          <w:rFonts w:ascii="Times New Roman;serif" w:hAnsi="Times New Roman;serif"/>
          <w:b/>
          <w:color w:val="000000"/>
          <w:sz w:val="20"/>
        </w:rPr>
        <w:t>CUSIP No.: 26145B 106</w:t>
      </w:r>
    </w:p>
    <w:p>
      <w:pPr>
        <w:pStyle w:val="TextBody"/>
        <w:bidi w:val="0"/>
        <w:spacing w:before="0" w:after="0"/>
        <w:jc w:val="left"/>
        <w:rPr/>
      </w:pPr>
      <w:r>
        <w:rPr/>
      </w:r>
    </w:p>
    <w:p>
      <w:pPr>
        <w:pStyle w:val="TextBody"/>
        <w:bidi w:val="0"/>
        <w:spacing w:before="0" w:after="0"/>
        <w:jc w:val="left"/>
        <w:rPr/>
      </w:pPr>
      <w:r>
        <w:rPr/>
      </w:r>
    </w:p>
    <w:tbl>
      <w:tblPr>
        <w:tblW w:w="10205" w:type="dxa"/>
        <w:jc w:val="left"/>
        <w:tblInd w:w="-5" w:type="dxa"/>
        <w:tblLayout w:type="fixed"/>
        <w:tblCellMar>
          <w:top w:w="28" w:type="dxa"/>
          <w:left w:w="28" w:type="dxa"/>
          <w:bottom w:w="28" w:type="dxa"/>
          <w:right w:w="28" w:type="dxa"/>
        </w:tblCellMar>
      </w:tblPr>
      <w:tblGrid>
        <w:gridCol w:w="155"/>
        <w:gridCol w:w="10050"/>
      </w:tblGrid>
      <w:tr>
        <w:trPr/>
        <w:tc>
          <w:tcPr>
            <w:tcW w:w="15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1</w:t>
            </w:r>
          </w:p>
        </w:tc>
        <w:tc>
          <w:tcPr>
            <w:tcW w:w="1005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NAMES OF REPORTING PERSONS</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b/>
                <w:color w:val="000000"/>
                <w:sz w:val="22"/>
              </w:rPr>
            </w:pPr>
            <w:r>
              <w:rPr>
                <w:rFonts w:ascii="Times New Roman;serif" w:hAnsi="Times New Roman;serif"/>
                <w:b/>
                <w:color w:val="000000"/>
                <w:sz w:val="22"/>
              </w:rPr>
              <w:t>Chardan NexTech Investments 2 LLC</w:t>
            </w:r>
          </w:p>
        </w:tc>
      </w:tr>
      <w:tr>
        <w:trPr/>
        <w:tc>
          <w:tcPr>
            <w:tcW w:w="15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2</w:t>
            </w:r>
          </w:p>
        </w:tc>
        <w:tc>
          <w:tcPr>
            <w:tcW w:w="1005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CHECK THE APPROPRIATE BOX IF A MEMBER OF A GROUP</w:t>
            </w:r>
          </w:p>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(a)  ☐</w:t>
            </w:r>
          </w:p>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(b)  ☒</w:t>
            </w:r>
          </w:p>
        </w:tc>
      </w:tr>
      <w:tr>
        <w:trPr/>
        <w:tc>
          <w:tcPr>
            <w:tcW w:w="15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3</w:t>
            </w:r>
          </w:p>
        </w:tc>
        <w:tc>
          <w:tcPr>
            <w:tcW w:w="1005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SEC USE ONLY</w:t>
            </w:r>
          </w:p>
          <w:p>
            <w:pPr>
              <w:pStyle w:val="TableContents"/>
              <w:bidi w:val="0"/>
              <w:spacing w:before="0" w:after="0"/>
              <w:ind w:left="60" w:right="0" w:hanging="0"/>
              <w:jc w:val="left"/>
              <w:rPr>
                <w:color w:val="000000"/>
              </w:rPr>
            </w:pPr>
            <w:r>
              <w:rPr>
                <w:color w:val="000000"/>
              </w:rPr>
              <w:t> </w:t>
            </w:r>
          </w:p>
        </w:tc>
      </w:tr>
      <w:tr>
        <w:trPr/>
        <w:tc>
          <w:tcPr>
            <w:tcW w:w="15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4</w:t>
            </w:r>
          </w:p>
        </w:tc>
        <w:tc>
          <w:tcPr>
            <w:tcW w:w="1005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SOURCE OF FUNDS</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b/>
                <w:color w:val="000000"/>
              </w:rPr>
            </w:pPr>
            <w:r>
              <w:rPr>
                <w:rFonts w:ascii="Times New Roman;serif" w:hAnsi="Times New Roman;serif"/>
                <w:b/>
                <w:color w:val="000000"/>
              </w:rPr>
              <w:t>OO</w:t>
            </w:r>
          </w:p>
        </w:tc>
      </w:tr>
      <w:tr>
        <w:trPr/>
        <w:tc>
          <w:tcPr>
            <w:tcW w:w="15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5</w:t>
            </w:r>
          </w:p>
        </w:tc>
        <w:tc>
          <w:tcPr>
            <w:tcW w:w="1005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CHECK IF DISCLOSURE OF LEGAL PROCEEDINGS IS REQUIRED PURSUANT TO ITEMS 2(d) or 2(e)</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color w:val="000000"/>
              </w:rPr>
            </w:pPr>
            <w:r>
              <w:rPr>
                <w:color w:val="000000"/>
              </w:rPr>
              <w:t>☐</w:t>
            </w:r>
          </w:p>
        </w:tc>
      </w:tr>
      <w:tr>
        <w:trPr/>
        <w:tc>
          <w:tcPr>
            <w:tcW w:w="15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6</w:t>
            </w:r>
          </w:p>
        </w:tc>
        <w:tc>
          <w:tcPr>
            <w:tcW w:w="1005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CITIZENSHIP OR PLACE OF ORGANIZATION</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b/>
                <w:color w:val="000000"/>
                <w:sz w:val="22"/>
              </w:rPr>
            </w:pPr>
            <w:r>
              <w:rPr>
                <w:rFonts w:ascii="Times New Roman;serif" w:hAnsi="Times New Roman;serif"/>
                <w:b/>
                <w:color w:val="000000"/>
                <w:sz w:val="22"/>
              </w:rPr>
              <w:t>Delaware</w:t>
            </w:r>
          </w:p>
        </w:tc>
      </w:tr>
    </w:tbl>
    <w:tbl>
      <w:tblPr>
        <w:tblW w:w="5175" w:type="dxa"/>
        <w:jc w:val="left"/>
        <w:tblInd w:w="-5" w:type="dxa"/>
        <w:tblLayout w:type="fixed"/>
        <w:tblCellMar>
          <w:top w:w="0" w:type="dxa"/>
          <w:left w:w="28" w:type="dxa"/>
          <w:bottom w:w="0" w:type="dxa"/>
          <w:right w:w="28" w:type="dxa"/>
        </w:tblCellMar>
      </w:tblPr>
      <w:tblGrid>
        <w:gridCol w:w="1745"/>
        <w:gridCol w:w="260"/>
        <w:gridCol w:w="3170"/>
      </w:tblGrid>
      <w:tr>
        <w:trPr/>
        <w:tc>
          <w:tcPr>
            <w:tcW w:w="1745" w:type="dxa"/>
            <w:vMerge w:val="restart"/>
            <w:tcBorders>
              <w:left w:val="single" w:sz="4" w:space="0" w:color="000000"/>
              <w:right w:val="single" w:sz="4" w:space="0" w:color="000000"/>
            </w:tcBorders>
            <w:vAlign w:val="center"/>
          </w:tcPr>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NUMBER OF</w:t>
            </w:r>
          </w:p>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SHARES</w:t>
            </w:r>
          </w:p>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BENEFICIALLY</w:t>
            </w:r>
          </w:p>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OWNED BY</w:t>
            </w:r>
          </w:p>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EACH</w:t>
            </w:r>
          </w:p>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REPORTING</w:t>
            </w:r>
          </w:p>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PERSON WITH</w:t>
            </w:r>
          </w:p>
        </w:tc>
        <w:tc>
          <w:tcPr>
            <w:tcW w:w="260" w:type="dxa"/>
            <w:tcBorders>
              <w:left w:val="single" w:sz="4" w:space="0" w:color="000000"/>
              <w:bottom w:val="single" w:sz="4" w:space="0" w:color="000000"/>
              <w:right w:val="single" w:sz="4" w:space="0" w:color="000000"/>
            </w:tcBorders>
            <w:tcMar>
              <w:bottom w:w="28" w:type="dxa"/>
            </w:tcMar>
            <w:vAlign w:val="center"/>
          </w:tcPr>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7</w:t>
            </w:r>
          </w:p>
        </w:tc>
        <w:tc>
          <w:tcPr>
            <w:tcW w:w="3170" w:type="dxa"/>
            <w:tcBorders>
              <w:left w:val="single" w:sz="4" w:space="0" w:color="000000"/>
              <w:bottom w:val="single" w:sz="4" w:space="0" w:color="000000"/>
              <w:right w:val="single" w:sz="4" w:space="0" w:color="000000"/>
            </w:tcBorders>
            <w:tcMar>
              <w:bottom w:w="28" w:type="dxa"/>
            </w:tcMar>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SOLE VOTING POWER</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b/>
                <w:color w:val="000000"/>
                <w:sz w:val="22"/>
              </w:rPr>
            </w:pPr>
            <w:r>
              <w:rPr>
                <w:rFonts w:ascii="Times New Roman;serif" w:hAnsi="Times New Roman;serif"/>
                <w:b/>
                <w:color w:val="000000"/>
                <w:sz w:val="22"/>
              </w:rPr>
              <w:t>0</w:t>
            </w:r>
          </w:p>
        </w:tc>
      </w:tr>
      <w:tr>
        <w:trPr/>
        <w:tc>
          <w:tcPr>
            <w:tcW w:w="1745" w:type="dxa"/>
            <w:vMerge w:val="continue"/>
            <w:tcBorders>
              <w:left w:val="single" w:sz="4" w:space="0" w:color="000000"/>
              <w:right w:val="single" w:sz="4" w:space="0" w:color="000000"/>
            </w:tcBorders>
            <w:vAlign w:val="center"/>
          </w:tcPr>
          <w:p>
            <w:pPr>
              <w:pStyle w:val="Normal"/>
              <w:bidi w:val="0"/>
              <w:jc w:val="left"/>
              <w:rPr/>
            </w:pPr>
            <w:r>
              <w:rPr/>
            </w:r>
          </w:p>
        </w:tc>
        <w:tc>
          <w:tcPr>
            <w:tcW w:w="260"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8</w:t>
            </w:r>
          </w:p>
        </w:tc>
        <w:tc>
          <w:tcPr>
            <w:tcW w:w="3170"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SHARED VOTING POWER</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b/>
                <w:color w:val="000000"/>
                <w:sz w:val="22"/>
              </w:rPr>
            </w:pPr>
            <w:r>
              <w:rPr>
                <w:rFonts w:ascii="Times New Roman;serif" w:hAnsi="Times New Roman;serif"/>
                <w:b/>
                <w:color w:val="000000"/>
                <w:sz w:val="22"/>
              </w:rPr>
              <w:t>2,027,165</w:t>
            </w:r>
          </w:p>
        </w:tc>
      </w:tr>
      <w:tr>
        <w:trPr/>
        <w:tc>
          <w:tcPr>
            <w:tcW w:w="1745" w:type="dxa"/>
            <w:vMerge w:val="continue"/>
            <w:tcBorders>
              <w:left w:val="single" w:sz="4" w:space="0" w:color="000000"/>
              <w:right w:val="single" w:sz="4" w:space="0" w:color="000000"/>
            </w:tcBorders>
            <w:vAlign w:val="center"/>
          </w:tcPr>
          <w:p>
            <w:pPr>
              <w:pStyle w:val="Normal"/>
              <w:bidi w:val="0"/>
              <w:jc w:val="left"/>
              <w:rPr/>
            </w:pPr>
            <w:r>
              <w:rPr/>
            </w:r>
          </w:p>
        </w:tc>
        <w:tc>
          <w:tcPr>
            <w:tcW w:w="260"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9</w:t>
            </w:r>
          </w:p>
        </w:tc>
        <w:tc>
          <w:tcPr>
            <w:tcW w:w="3170"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SOLE DISPOSITIVE POWER</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b/>
                <w:color w:val="000000"/>
                <w:sz w:val="22"/>
              </w:rPr>
            </w:pPr>
            <w:r>
              <w:rPr>
                <w:rFonts w:ascii="Times New Roman;serif" w:hAnsi="Times New Roman;serif"/>
                <w:b/>
                <w:color w:val="000000"/>
                <w:sz w:val="22"/>
              </w:rPr>
              <w:t>0</w:t>
            </w:r>
          </w:p>
        </w:tc>
      </w:tr>
      <w:tr>
        <w:trPr/>
        <w:tc>
          <w:tcPr>
            <w:tcW w:w="1745" w:type="dxa"/>
            <w:vMerge w:val="continue"/>
            <w:tcBorders>
              <w:left w:val="single" w:sz="4" w:space="0" w:color="000000"/>
              <w:right w:val="single" w:sz="4" w:space="0" w:color="000000"/>
            </w:tcBorders>
            <w:vAlign w:val="center"/>
          </w:tcPr>
          <w:p>
            <w:pPr>
              <w:pStyle w:val="Normal"/>
              <w:bidi w:val="0"/>
              <w:jc w:val="left"/>
              <w:rPr/>
            </w:pPr>
            <w:r>
              <w:rPr/>
            </w:r>
          </w:p>
        </w:tc>
        <w:tc>
          <w:tcPr>
            <w:tcW w:w="260" w:type="dxa"/>
            <w:tcBorders>
              <w:top w:val="single" w:sz="4" w:space="0" w:color="000000"/>
              <w:left w:val="single" w:sz="4" w:space="0" w:color="000000"/>
              <w:right w:val="single" w:sz="4" w:space="0" w:color="000000"/>
            </w:tcBorders>
            <w:tcMar>
              <w:top w:w="28" w:type="dxa"/>
            </w:tcMar>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10</w:t>
            </w:r>
          </w:p>
        </w:tc>
        <w:tc>
          <w:tcPr>
            <w:tcW w:w="3170" w:type="dxa"/>
            <w:tcBorders>
              <w:top w:val="single" w:sz="4" w:space="0" w:color="000000"/>
              <w:left w:val="single" w:sz="4" w:space="0" w:color="000000"/>
              <w:right w:val="single" w:sz="4" w:space="0" w:color="000000"/>
            </w:tcBorders>
            <w:tcMar>
              <w:top w:w="28" w:type="dxa"/>
            </w:tcMar>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SHARED DISPOSITIVE POWER</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b/>
                <w:color w:val="000000"/>
                <w:sz w:val="22"/>
              </w:rPr>
            </w:pPr>
            <w:r>
              <w:rPr>
                <w:rFonts w:ascii="Times New Roman;serif" w:hAnsi="Times New Roman;serif"/>
                <w:b/>
                <w:color w:val="000000"/>
                <w:sz w:val="22"/>
              </w:rPr>
              <w:t>2,027,165</w:t>
            </w:r>
          </w:p>
        </w:tc>
      </w:tr>
    </w:tbl>
    <w:tbl>
      <w:tblPr>
        <w:tblW w:w="10205" w:type="dxa"/>
        <w:jc w:val="left"/>
        <w:tblInd w:w="-5" w:type="dxa"/>
        <w:tblLayout w:type="fixed"/>
        <w:tblCellMar>
          <w:top w:w="28" w:type="dxa"/>
          <w:left w:w="28" w:type="dxa"/>
          <w:bottom w:w="28" w:type="dxa"/>
          <w:right w:w="28" w:type="dxa"/>
        </w:tblCellMar>
      </w:tblPr>
      <w:tblGrid>
        <w:gridCol w:w="275"/>
        <w:gridCol w:w="9930"/>
      </w:tblGrid>
      <w:tr>
        <w:trPr/>
        <w:tc>
          <w:tcPr>
            <w:tcW w:w="27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11</w:t>
            </w:r>
          </w:p>
        </w:tc>
        <w:tc>
          <w:tcPr>
            <w:tcW w:w="993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AGGREGATE AMOUNT BENEFICIALLY OWNED BY EACH REPORTING PERSON</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b/>
                <w:color w:val="000000"/>
                <w:sz w:val="22"/>
              </w:rPr>
            </w:pPr>
            <w:r>
              <w:rPr>
                <w:rFonts w:ascii="Times New Roman;serif" w:hAnsi="Times New Roman;serif"/>
                <w:b/>
                <w:color w:val="000000"/>
                <w:sz w:val="22"/>
              </w:rPr>
              <w:t>2,027,165</w:t>
            </w:r>
          </w:p>
        </w:tc>
      </w:tr>
      <w:tr>
        <w:trPr/>
        <w:tc>
          <w:tcPr>
            <w:tcW w:w="27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12</w:t>
            </w:r>
          </w:p>
        </w:tc>
        <w:tc>
          <w:tcPr>
            <w:tcW w:w="993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CHECK IF THE AGGREGATE AMOUNT IN ROW (11) EXCLUDES CERTAIN SHARES (SEE INSTRUCTIONS)</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color w:val="000000"/>
              </w:rPr>
            </w:pPr>
            <w:r>
              <w:rPr>
                <w:color w:val="000000"/>
              </w:rPr>
              <w:t>☐</w:t>
            </w:r>
          </w:p>
        </w:tc>
      </w:tr>
      <w:tr>
        <w:trPr/>
        <w:tc>
          <w:tcPr>
            <w:tcW w:w="27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13</w:t>
            </w:r>
          </w:p>
        </w:tc>
        <w:tc>
          <w:tcPr>
            <w:tcW w:w="993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PERCENT OF CLASS REPRESENTED BY AMOUNT IN ROW (11)</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b/>
                <w:color w:val="000000"/>
                <w:sz w:val="22"/>
              </w:rPr>
            </w:pPr>
            <w:r>
              <w:rPr>
                <w:rFonts w:ascii="Times New Roman;serif" w:hAnsi="Times New Roman;serif"/>
                <w:b/>
                <w:color w:val="000000"/>
                <w:sz w:val="22"/>
              </w:rPr>
              <w:t>4.4%</w:t>
            </w:r>
          </w:p>
        </w:tc>
      </w:tr>
      <w:tr>
        <w:trPr/>
        <w:tc>
          <w:tcPr>
            <w:tcW w:w="27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14</w:t>
            </w:r>
          </w:p>
        </w:tc>
        <w:tc>
          <w:tcPr>
            <w:tcW w:w="993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TYPE OF REPORTING PERSON (SEE INSTRUCTIONS)</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color w:val="000000"/>
              </w:rPr>
            </w:pPr>
            <w:r>
              <w:rPr>
                <w:rFonts w:ascii="Times New Roman;serif" w:hAnsi="Times New Roman;serif"/>
                <w:color w:val="000000"/>
              </w:rPr>
              <w:t>OO</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 w:name="DSPFPageBreakArea"/>
      <w:bookmarkStart w:id="5" w:name="DSPFPageBreakArea"/>
      <w:bookmarkEnd w:id="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left"/>
        <w:rPr/>
      </w:pPr>
      <w:r>
        <w:rPr/>
      </w:r>
      <w:bookmarkStart w:id="6" w:name="DSPFPageFooter"/>
      <w:bookmarkStart w:id="7" w:name="DSPFPageFooter"/>
      <w:bookmarkEnd w:id="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 w:name="DSPFPageBreak"/>
      <w:bookmarkStart w:id="9" w:name="DSPFPageBreak"/>
      <w:bookmarkEnd w:id="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bookmarkStart w:id="10" w:name="DSPFPageHeader"/>
      <w:bookmarkStart w:id="11" w:name="DSPFPageHeader"/>
      <w:bookmarkEnd w:id="1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p>
    <w:p>
      <w:pPr>
        <w:pStyle w:val="TextBody"/>
        <w:bidi w:val="0"/>
        <w:spacing w:before="0" w:after="0"/>
        <w:jc w:val="left"/>
        <w:rPr>
          <w:rFonts w:ascii="Times New Roman;serif" w:hAnsi="Times New Roman;serif"/>
          <w:b/>
          <w:color w:val="000000"/>
          <w:sz w:val="20"/>
        </w:rPr>
      </w:pPr>
      <w:r>
        <w:rPr>
          <w:rFonts w:ascii="Times New Roman;serif" w:hAnsi="Times New Roman;serif"/>
          <w:b/>
          <w:color w:val="000000"/>
          <w:sz w:val="20"/>
        </w:rPr>
        <w:t>CUSIP No.: 26145B 106</w:t>
      </w:r>
    </w:p>
    <w:p>
      <w:pPr>
        <w:pStyle w:val="TextBody"/>
        <w:bidi w:val="0"/>
        <w:spacing w:before="0" w:after="0"/>
        <w:jc w:val="left"/>
        <w:rPr>
          <w:rFonts w:ascii="Times New Roman;serif" w:hAnsi="Times New Roman;serif"/>
          <w:b/>
          <w:color w:val="000000"/>
        </w:rPr>
      </w:pPr>
      <w:r>
        <w:rPr>
          <w:rFonts w:ascii="Times New Roman;serif" w:hAnsi="Times New Roman;serif"/>
          <w:b/>
          <w:color w:val="000000"/>
        </w:rPr>
      </w:r>
    </w:p>
    <w:p>
      <w:pPr>
        <w:pStyle w:val="TextBody"/>
        <w:bidi w:val="0"/>
        <w:spacing w:before="0" w:after="0"/>
        <w:jc w:val="left"/>
        <w:rPr/>
      </w:pPr>
      <w:r>
        <w:rPr/>
      </w:r>
    </w:p>
    <w:tbl>
      <w:tblPr>
        <w:tblW w:w="10205" w:type="dxa"/>
        <w:jc w:val="left"/>
        <w:tblInd w:w="-5" w:type="dxa"/>
        <w:tblLayout w:type="fixed"/>
        <w:tblCellMar>
          <w:top w:w="28" w:type="dxa"/>
          <w:left w:w="28" w:type="dxa"/>
          <w:bottom w:w="28" w:type="dxa"/>
          <w:right w:w="28" w:type="dxa"/>
        </w:tblCellMar>
      </w:tblPr>
      <w:tblGrid>
        <w:gridCol w:w="155"/>
        <w:gridCol w:w="10050"/>
      </w:tblGrid>
      <w:tr>
        <w:trPr/>
        <w:tc>
          <w:tcPr>
            <w:tcW w:w="15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1</w:t>
            </w:r>
          </w:p>
        </w:tc>
        <w:tc>
          <w:tcPr>
            <w:tcW w:w="1005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NAMES OF REPORTING PERSONS</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b/>
                <w:color w:val="000000"/>
                <w:sz w:val="22"/>
              </w:rPr>
            </w:pPr>
            <w:r>
              <w:rPr>
                <w:rFonts w:ascii="Times New Roman;serif" w:hAnsi="Times New Roman;serif"/>
                <w:b/>
                <w:color w:val="000000"/>
                <w:sz w:val="22"/>
              </w:rPr>
              <w:t>Jonas Grossman</w:t>
            </w:r>
          </w:p>
        </w:tc>
      </w:tr>
      <w:tr>
        <w:trPr/>
        <w:tc>
          <w:tcPr>
            <w:tcW w:w="15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2</w:t>
            </w:r>
          </w:p>
        </w:tc>
        <w:tc>
          <w:tcPr>
            <w:tcW w:w="1005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CHECK THE APPROPRIATE BOX IF A MEMBER OF A GROUP</w:t>
            </w:r>
          </w:p>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(a)  ☐</w:t>
            </w:r>
          </w:p>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(b)  ☒</w:t>
            </w:r>
          </w:p>
        </w:tc>
      </w:tr>
      <w:tr>
        <w:trPr/>
        <w:tc>
          <w:tcPr>
            <w:tcW w:w="15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3</w:t>
            </w:r>
          </w:p>
        </w:tc>
        <w:tc>
          <w:tcPr>
            <w:tcW w:w="1005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SEC USE ONLY</w:t>
            </w:r>
          </w:p>
          <w:p>
            <w:pPr>
              <w:pStyle w:val="TableContents"/>
              <w:bidi w:val="0"/>
              <w:spacing w:before="0" w:after="0"/>
              <w:ind w:left="60" w:right="0" w:hanging="0"/>
              <w:jc w:val="left"/>
              <w:rPr>
                <w:color w:val="000000"/>
              </w:rPr>
            </w:pPr>
            <w:r>
              <w:rPr>
                <w:color w:val="000000"/>
              </w:rPr>
              <w:t> </w:t>
            </w:r>
          </w:p>
        </w:tc>
      </w:tr>
      <w:tr>
        <w:trPr/>
        <w:tc>
          <w:tcPr>
            <w:tcW w:w="15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4</w:t>
            </w:r>
          </w:p>
        </w:tc>
        <w:tc>
          <w:tcPr>
            <w:tcW w:w="1005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SOURCE OF FUNDS</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b/>
                <w:color w:val="000000"/>
              </w:rPr>
            </w:pPr>
            <w:r>
              <w:rPr>
                <w:rFonts w:ascii="Times New Roman;serif" w:hAnsi="Times New Roman;serif"/>
                <w:b/>
                <w:color w:val="000000"/>
              </w:rPr>
              <w:t>OO</w:t>
            </w:r>
          </w:p>
        </w:tc>
      </w:tr>
      <w:tr>
        <w:trPr/>
        <w:tc>
          <w:tcPr>
            <w:tcW w:w="15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5</w:t>
            </w:r>
          </w:p>
        </w:tc>
        <w:tc>
          <w:tcPr>
            <w:tcW w:w="1005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CHECK IF DISCLOSURE OF LEGAL PROCEEDINGS IS REQUIRED PURSUANT TO ITEMS 2(d) or 2(e)</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color w:val="000000"/>
              </w:rPr>
            </w:pPr>
            <w:r>
              <w:rPr>
                <w:color w:val="000000"/>
              </w:rPr>
              <w:t>☐</w:t>
            </w:r>
          </w:p>
        </w:tc>
      </w:tr>
      <w:tr>
        <w:trPr/>
        <w:tc>
          <w:tcPr>
            <w:tcW w:w="15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6</w:t>
            </w:r>
          </w:p>
        </w:tc>
        <w:tc>
          <w:tcPr>
            <w:tcW w:w="1005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CITIZENSHIP OR PLACE OF ORGANIZATION</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b/>
                <w:color w:val="000000"/>
                <w:sz w:val="22"/>
              </w:rPr>
            </w:pPr>
            <w:r>
              <w:rPr>
                <w:rFonts w:ascii="Times New Roman;serif" w:hAnsi="Times New Roman;serif"/>
                <w:b/>
                <w:color w:val="000000"/>
                <w:sz w:val="22"/>
              </w:rPr>
              <w:t>United States</w:t>
            </w:r>
          </w:p>
        </w:tc>
      </w:tr>
    </w:tbl>
    <w:tbl>
      <w:tblPr>
        <w:tblW w:w="5175" w:type="dxa"/>
        <w:jc w:val="left"/>
        <w:tblInd w:w="-5" w:type="dxa"/>
        <w:tblLayout w:type="fixed"/>
        <w:tblCellMar>
          <w:top w:w="0" w:type="dxa"/>
          <w:left w:w="28" w:type="dxa"/>
          <w:bottom w:w="0" w:type="dxa"/>
          <w:right w:w="28" w:type="dxa"/>
        </w:tblCellMar>
      </w:tblPr>
      <w:tblGrid>
        <w:gridCol w:w="1745"/>
        <w:gridCol w:w="260"/>
        <w:gridCol w:w="3170"/>
      </w:tblGrid>
      <w:tr>
        <w:trPr/>
        <w:tc>
          <w:tcPr>
            <w:tcW w:w="1745" w:type="dxa"/>
            <w:vMerge w:val="restart"/>
            <w:tcBorders>
              <w:left w:val="single" w:sz="4" w:space="0" w:color="000000"/>
              <w:right w:val="single" w:sz="4" w:space="0" w:color="000000"/>
            </w:tcBorders>
            <w:vAlign w:val="center"/>
          </w:tcPr>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NUMBER OF</w:t>
            </w:r>
          </w:p>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SHARES</w:t>
            </w:r>
          </w:p>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BENEFICIALLY</w:t>
            </w:r>
          </w:p>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OWNED BY</w:t>
            </w:r>
          </w:p>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EACH</w:t>
            </w:r>
          </w:p>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REPORTING</w:t>
            </w:r>
          </w:p>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PERSON WITH</w:t>
            </w:r>
          </w:p>
        </w:tc>
        <w:tc>
          <w:tcPr>
            <w:tcW w:w="260" w:type="dxa"/>
            <w:tcBorders>
              <w:left w:val="single" w:sz="4" w:space="0" w:color="000000"/>
              <w:bottom w:val="single" w:sz="4" w:space="0" w:color="000000"/>
              <w:right w:val="single" w:sz="4" w:space="0" w:color="000000"/>
            </w:tcBorders>
            <w:tcMar>
              <w:bottom w:w="28" w:type="dxa"/>
            </w:tcMar>
            <w:vAlign w:val="center"/>
          </w:tcPr>
          <w:p>
            <w:pPr>
              <w:pStyle w:val="TableContents"/>
              <w:bidi w:val="0"/>
              <w:spacing w:before="0" w:after="0"/>
              <w:jc w:val="center"/>
              <w:rPr>
                <w:rFonts w:ascii="Times New Roman;serif" w:hAnsi="Times New Roman;serif"/>
                <w:b/>
                <w:color w:val="000000"/>
                <w:sz w:val="22"/>
              </w:rPr>
            </w:pPr>
            <w:r>
              <w:rPr>
                <w:rFonts w:ascii="Times New Roman;serif" w:hAnsi="Times New Roman;serif"/>
                <w:b/>
                <w:color w:val="000000"/>
                <w:sz w:val="22"/>
              </w:rPr>
              <w:t>7</w:t>
            </w:r>
          </w:p>
        </w:tc>
        <w:tc>
          <w:tcPr>
            <w:tcW w:w="3170" w:type="dxa"/>
            <w:tcBorders>
              <w:left w:val="single" w:sz="4" w:space="0" w:color="000000"/>
              <w:bottom w:val="single" w:sz="4" w:space="0" w:color="000000"/>
              <w:right w:val="single" w:sz="4" w:space="0" w:color="000000"/>
            </w:tcBorders>
            <w:tcMar>
              <w:bottom w:w="28" w:type="dxa"/>
            </w:tcMar>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SOLE VOTING POWER</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b/>
                <w:color w:val="000000"/>
                <w:sz w:val="22"/>
              </w:rPr>
            </w:pPr>
            <w:r>
              <w:rPr>
                <w:rFonts w:ascii="Times New Roman;serif" w:hAnsi="Times New Roman;serif"/>
                <w:b/>
                <w:color w:val="000000"/>
                <w:sz w:val="22"/>
              </w:rPr>
              <w:t>0</w:t>
            </w:r>
          </w:p>
        </w:tc>
      </w:tr>
      <w:tr>
        <w:trPr/>
        <w:tc>
          <w:tcPr>
            <w:tcW w:w="1745" w:type="dxa"/>
            <w:vMerge w:val="continue"/>
            <w:tcBorders>
              <w:left w:val="single" w:sz="4" w:space="0" w:color="000000"/>
              <w:right w:val="single" w:sz="4" w:space="0" w:color="000000"/>
            </w:tcBorders>
            <w:vAlign w:val="center"/>
          </w:tcPr>
          <w:p>
            <w:pPr>
              <w:pStyle w:val="Normal"/>
              <w:bidi w:val="0"/>
              <w:jc w:val="left"/>
              <w:rPr/>
            </w:pPr>
            <w:r>
              <w:rPr/>
            </w:r>
          </w:p>
        </w:tc>
        <w:tc>
          <w:tcPr>
            <w:tcW w:w="260"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8</w:t>
            </w:r>
          </w:p>
        </w:tc>
        <w:tc>
          <w:tcPr>
            <w:tcW w:w="3170"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SHARED VOTING POWER</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b/>
                <w:color w:val="000000"/>
                <w:sz w:val="22"/>
              </w:rPr>
            </w:pPr>
            <w:r>
              <w:rPr>
                <w:rFonts w:ascii="Times New Roman;serif" w:hAnsi="Times New Roman;serif"/>
                <w:b/>
                <w:color w:val="000000"/>
                <w:sz w:val="22"/>
              </w:rPr>
              <w:t>3,528,551</w:t>
            </w:r>
          </w:p>
        </w:tc>
      </w:tr>
      <w:tr>
        <w:trPr/>
        <w:tc>
          <w:tcPr>
            <w:tcW w:w="1745" w:type="dxa"/>
            <w:vMerge w:val="continue"/>
            <w:tcBorders>
              <w:left w:val="single" w:sz="4" w:space="0" w:color="000000"/>
              <w:right w:val="single" w:sz="4" w:space="0" w:color="000000"/>
            </w:tcBorders>
            <w:vAlign w:val="center"/>
          </w:tcPr>
          <w:p>
            <w:pPr>
              <w:pStyle w:val="Normal"/>
              <w:bidi w:val="0"/>
              <w:jc w:val="left"/>
              <w:rPr/>
            </w:pPr>
            <w:r>
              <w:rPr/>
            </w:r>
          </w:p>
        </w:tc>
        <w:tc>
          <w:tcPr>
            <w:tcW w:w="260"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9</w:t>
            </w:r>
          </w:p>
        </w:tc>
        <w:tc>
          <w:tcPr>
            <w:tcW w:w="3170"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SOLE DISPOSITIVE POWER</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b/>
                <w:color w:val="000000"/>
                <w:sz w:val="22"/>
              </w:rPr>
            </w:pPr>
            <w:r>
              <w:rPr>
                <w:rFonts w:ascii="Times New Roman;serif" w:hAnsi="Times New Roman;serif"/>
                <w:b/>
                <w:color w:val="000000"/>
                <w:sz w:val="22"/>
              </w:rPr>
              <w:t>0</w:t>
            </w:r>
          </w:p>
        </w:tc>
      </w:tr>
      <w:tr>
        <w:trPr/>
        <w:tc>
          <w:tcPr>
            <w:tcW w:w="1745" w:type="dxa"/>
            <w:vMerge w:val="continue"/>
            <w:tcBorders>
              <w:left w:val="single" w:sz="4" w:space="0" w:color="000000"/>
              <w:right w:val="single" w:sz="4" w:space="0" w:color="000000"/>
            </w:tcBorders>
            <w:vAlign w:val="center"/>
          </w:tcPr>
          <w:p>
            <w:pPr>
              <w:pStyle w:val="Normal"/>
              <w:bidi w:val="0"/>
              <w:jc w:val="left"/>
              <w:rPr/>
            </w:pPr>
            <w:r>
              <w:rPr/>
            </w:r>
          </w:p>
        </w:tc>
        <w:tc>
          <w:tcPr>
            <w:tcW w:w="260" w:type="dxa"/>
            <w:tcBorders>
              <w:top w:val="single" w:sz="4" w:space="0" w:color="000000"/>
              <w:left w:val="single" w:sz="4" w:space="0" w:color="000000"/>
              <w:right w:val="single" w:sz="4" w:space="0" w:color="000000"/>
            </w:tcBorders>
            <w:tcMar>
              <w:top w:w="28" w:type="dxa"/>
            </w:tcMar>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10</w:t>
            </w:r>
          </w:p>
        </w:tc>
        <w:tc>
          <w:tcPr>
            <w:tcW w:w="3170" w:type="dxa"/>
            <w:tcBorders>
              <w:top w:val="single" w:sz="4" w:space="0" w:color="000000"/>
              <w:left w:val="single" w:sz="4" w:space="0" w:color="000000"/>
              <w:right w:val="single" w:sz="4" w:space="0" w:color="000000"/>
            </w:tcBorders>
            <w:tcMar>
              <w:top w:w="28" w:type="dxa"/>
            </w:tcMar>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SHARED DISPOSITIVE POWER</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b/>
                <w:color w:val="000000"/>
                <w:sz w:val="22"/>
              </w:rPr>
            </w:pPr>
            <w:r>
              <w:rPr>
                <w:rFonts w:ascii="Times New Roman;serif" w:hAnsi="Times New Roman;serif"/>
                <w:b/>
                <w:color w:val="000000"/>
                <w:sz w:val="22"/>
              </w:rPr>
              <w:t>3,528,551</w:t>
            </w:r>
          </w:p>
        </w:tc>
      </w:tr>
    </w:tbl>
    <w:tbl>
      <w:tblPr>
        <w:tblW w:w="10205" w:type="dxa"/>
        <w:jc w:val="left"/>
        <w:tblInd w:w="-5" w:type="dxa"/>
        <w:tblLayout w:type="fixed"/>
        <w:tblCellMar>
          <w:top w:w="28" w:type="dxa"/>
          <w:left w:w="28" w:type="dxa"/>
          <w:bottom w:w="28" w:type="dxa"/>
          <w:right w:w="28" w:type="dxa"/>
        </w:tblCellMar>
      </w:tblPr>
      <w:tblGrid>
        <w:gridCol w:w="260"/>
        <w:gridCol w:w="9945"/>
      </w:tblGrid>
      <w:tr>
        <w:trPr/>
        <w:tc>
          <w:tcPr>
            <w:tcW w:w="26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11</w:t>
            </w:r>
          </w:p>
        </w:tc>
        <w:tc>
          <w:tcPr>
            <w:tcW w:w="994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AGGREGATE AMOUNT BENEFICIALLY OWNED BY EACH REPORTING PERSON</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b/>
                <w:color w:val="000000"/>
                <w:sz w:val="22"/>
              </w:rPr>
            </w:pPr>
            <w:r>
              <w:rPr>
                <w:rFonts w:ascii="Times New Roman;serif" w:hAnsi="Times New Roman;serif"/>
                <w:b/>
                <w:color w:val="000000"/>
                <w:sz w:val="22"/>
              </w:rPr>
              <w:t>3,528,551</w:t>
            </w:r>
          </w:p>
        </w:tc>
      </w:tr>
      <w:tr>
        <w:trPr/>
        <w:tc>
          <w:tcPr>
            <w:tcW w:w="26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12</w:t>
            </w:r>
          </w:p>
        </w:tc>
        <w:tc>
          <w:tcPr>
            <w:tcW w:w="994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CHECK IF THE AGGREGATE AMOUNT IN ROW (11) EXCLUDES CERTAIN SHARES (SEE INSTRUCTIONS)</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color w:val="000000"/>
              </w:rPr>
            </w:pPr>
            <w:r>
              <w:rPr>
                <w:color w:val="000000"/>
              </w:rPr>
              <w:t>☐</w:t>
            </w:r>
          </w:p>
        </w:tc>
      </w:tr>
      <w:tr>
        <w:trPr/>
        <w:tc>
          <w:tcPr>
            <w:tcW w:w="26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13</w:t>
            </w:r>
          </w:p>
        </w:tc>
        <w:tc>
          <w:tcPr>
            <w:tcW w:w="994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PERCENT OF CLASS REPRESENTED BY AMOUNT IN ROW (11)</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b/>
                <w:color w:val="000000"/>
                <w:sz w:val="22"/>
              </w:rPr>
            </w:pPr>
            <w:r>
              <w:rPr>
                <w:rFonts w:ascii="Times New Roman;serif" w:hAnsi="Times New Roman;serif"/>
                <w:b/>
                <w:color w:val="000000"/>
                <w:sz w:val="22"/>
              </w:rPr>
              <w:t>7.5%</w:t>
            </w:r>
          </w:p>
        </w:tc>
      </w:tr>
      <w:tr>
        <w:trPr/>
        <w:tc>
          <w:tcPr>
            <w:tcW w:w="26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14</w:t>
            </w:r>
          </w:p>
        </w:tc>
        <w:tc>
          <w:tcPr>
            <w:tcW w:w="994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60" w:right="0" w:hanging="0"/>
              <w:jc w:val="left"/>
              <w:rPr>
                <w:rFonts w:ascii="Times New Roman;serif" w:hAnsi="Times New Roman;serif"/>
                <w:color w:val="000000"/>
                <w:sz w:val="22"/>
              </w:rPr>
            </w:pPr>
            <w:r>
              <w:rPr>
                <w:rFonts w:ascii="Times New Roman;serif" w:hAnsi="Times New Roman;serif"/>
                <w:color w:val="000000"/>
                <w:sz w:val="22"/>
              </w:rPr>
              <w:t>TYPE OF REPORTING PERSON (SEE INSTRUCTIONS)</w:t>
            </w:r>
          </w:p>
          <w:p>
            <w:pPr>
              <w:pStyle w:val="TableContents"/>
              <w:bidi w:val="0"/>
              <w:spacing w:before="0" w:after="0"/>
              <w:ind w:left="60" w:right="0" w:hanging="0"/>
              <w:jc w:val="left"/>
              <w:rPr>
                <w:color w:val="000000"/>
              </w:rPr>
            </w:pPr>
            <w:r>
              <w:rPr>
                <w:color w:val="000000"/>
              </w:rPr>
              <w:t> </w:t>
            </w:r>
          </w:p>
          <w:p>
            <w:pPr>
              <w:pStyle w:val="TableContents"/>
              <w:bidi w:val="0"/>
              <w:spacing w:before="0" w:after="0"/>
              <w:ind w:left="60" w:right="0" w:hanging="0"/>
              <w:jc w:val="left"/>
              <w:rPr>
                <w:rFonts w:ascii="Times New Roman;serif" w:hAnsi="Times New Roman;serif"/>
                <w:color w:val="000000"/>
              </w:rPr>
            </w:pPr>
            <w:r>
              <w:rPr>
                <w:rFonts w:ascii="Times New Roman;serif" w:hAnsi="Times New Roman;serif"/>
                <w:color w:val="000000"/>
              </w:rPr>
              <w:t>IN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2" w:name="DSPFPageBreakArea1"/>
      <w:bookmarkStart w:id="13" w:name="DSPFPageBreakArea1"/>
      <w:bookmarkEnd w:id="1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left"/>
        <w:rPr/>
      </w:pPr>
      <w:r>
        <w:rPr/>
      </w:r>
      <w:bookmarkStart w:id="14" w:name="DSPFPageFooter1"/>
      <w:bookmarkStart w:id="15" w:name="DSPFPageFooter1"/>
      <w:bookmarkEnd w:id="1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6" w:name="DSPFPageBreak1"/>
      <w:bookmarkStart w:id="17" w:name="DSPFPageBreak1"/>
      <w:bookmarkEnd w:id="1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bookmarkStart w:id="18" w:name="DSPFPageHeader1"/>
      <w:bookmarkStart w:id="19" w:name="DSPFPageHeader1"/>
      <w:bookmarkEnd w:id="1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p>
    <w:p>
      <w:pPr>
        <w:pStyle w:val="TextBody"/>
        <w:bidi w:val="0"/>
        <w:spacing w:before="0" w:after="0"/>
        <w:jc w:val="center"/>
        <w:rPr>
          <w:rFonts w:ascii="Times New Roman;serif" w:hAnsi="Times New Roman;serif"/>
          <w:b/>
          <w:color w:val="000000"/>
          <w:sz w:val="22"/>
          <w:u w:val="single"/>
        </w:rPr>
      </w:pPr>
      <w:r>
        <w:rPr>
          <w:rFonts w:ascii="Times New Roman;serif" w:hAnsi="Times New Roman;serif"/>
          <w:b/>
          <w:color w:val="000000"/>
          <w:sz w:val="22"/>
          <w:u w:val="single"/>
        </w:rPr>
        <w:t>Explanatory Note</w:t>
      </w:r>
    </w:p>
    <w:p>
      <w:pPr>
        <w:pStyle w:val="TextBody"/>
        <w:bidi w:val="0"/>
        <w:spacing w:before="0" w:after="0"/>
        <w:jc w:val="left"/>
        <w:rPr/>
      </w:pPr>
      <w:r>
        <w:rPr/>
      </w:r>
    </w:p>
    <w:p>
      <w:pPr>
        <w:pStyle w:val="TextBody"/>
        <w:bidi w:val="0"/>
        <w:spacing w:before="0" w:after="0"/>
        <w:ind w:left="0" w:right="0" w:firstLine="720"/>
        <w:jc w:val="left"/>
        <w:rPr>
          <w:rFonts w:ascii="Times New Roman;serif" w:hAnsi="Times New Roman;serif"/>
          <w:color w:val="000000"/>
          <w:sz w:val="22"/>
        </w:rPr>
      </w:pPr>
      <w:r>
        <w:rPr>
          <w:rFonts w:ascii="Times New Roman;serif" w:hAnsi="Times New Roman;serif"/>
          <w:color w:val="000000"/>
          <w:sz w:val="22"/>
        </w:rPr>
        <w:t>This Amendment No. 2 (“</w:t>
      </w:r>
      <w:r>
        <w:rPr>
          <w:rFonts w:ascii="Times New Roman;serif" w:hAnsi="Times New Roman;serif"/>
          <w:color w:val="000000"/>
          <w:sz w:val="22"/>
          <w:u w:val="single"/>
        </w:rPr>
        <w:t>Amendment No. 2</w:t>
      </w:r>
      <w:r>
        <w:rPr>
          <w:rFonts w:ascii="Times New Roman;serif" w:hAnsi="Times New Roman;serif"/>
          <w:color w:val="000000"/>
          <w:sz w:val="22"/>
        </w:rPr>
        <w:t>”) to Schedule 13D relates to the Common Stock, par value $0.0001 per share (the “</w:t>
      </w:r>
      <w:r>
        <w:rPr>
          <w:rFonts w:ascii="Times New Roman;serif" w:hAnsi="Times New Roman;serif"/>
          <w:color w:val="000000"/>
          <w:sz w:val="22"/>
          <w:u w:val="single"/>
        </w:rPr>
        <w:t>Common Stock</w:t>
      </w:r>
      <w:r>
        <w:rPr>
          <w:rFonts w:ascii="Times New Roman;serif" w:hAnsi="Times New Roman;serif"/>
          <w:color w:val="000000"/>
          <w:sz w:val="22"/>
        </w:rPr>
        <w:t>”), of Dragonfly Energy Holdings Corp., a Delaware corporation (the “</w:t>
      </w:r>
      <w:r>
        <w:rPr>
          <w:rFonts w:ascii="Times New Roman;serif" w:hAnsi="Times New Roman;serif"/>
          <w:color w:val="000000"/>
          <w:sz w:val="22"/>
          <w:u w:val="single"/>
        </w:rPr>
        <w:t>Issuer</w:t>
      </w:r>
      <w:r>
        <w:rPr>
          <w:rFonts w:ascii="Times New Roman;serif" w:hAnsi="Times New Roman;serif"/>
          <w:color w:val="000000"/>
          <w:sz w:val="22"/>
        </w:rPr>
        <w:t>”), and amends and supplements the initial statement on Schedule 13D filed on October 12, 2022, as amended by Amendment No. 1 to Schedule 13D filed on January 9, 2023 (as amended, the “</w:t>
      </w:r>
      <w:r>
        <w:rPr>
          <w:rFonts w:ascii="Times New Roman;serif" w:hAnsi="Times New Roman;serif"/>
          <w:color w:val="000000"/>
          <w:sz w:val="22"/>
          <w:u w:val="single"/>
        </w:rPr>
        <w:t>Schedule 13D</w:t>
      </w:r>
      <w:r>
        <w:rPr>
          <w:rFonts w:ascii="Times New Roman;serif" w:hAnsi="Times New Roman;serif"/>
          <w:color w:val="000000"/>
          <w:sz w:val="22"/>
        </w:rPr>
        <w:t>”). Except as specifically provided herein, this Amendment No. 2 does not modify any of the information previously reported in the Schedule 13D. Capitalized terms used but not defined in this Amendment No. 2 shall have the same meanings ascribed to them in the Schedule 13D.</w:t>
      </w:r>
    </w:p>
    <w:p>
      <w:pPr>
        <w:pStyle w:val="TextBody"/>
        <w:bidi w:val="0"/>
        <w:spacing w:before="0" w:after="0"/>
        <w:jc w:val="left"/>
        <w:rPr/>
      </w:pPr>
      <w:r>
        <w:rPr/>
      </w:r>
    </w:p>
    <w:p>
      <w:pPr>
        <w:pStyle w:val="TextBody"/>
        <w:bidi w:val="0"/>
        <w:spacing w:before="0" w:after="0"/>
        <w:jc w:val="left"/>
        <w:rPr>
          <w:rFonts w:ascii="Times New Roman;serif" w:hAnsi="Times New Roman;serif"/>
          <w:b/>
          <w:color w:val="000000"/>
          <w:sz w:val="22"/>
        </w:rPr>
      </w:pPr>
      <w:r>
        <w:rPr>
          <w:rFonts w:ascii="Times New Roman;serif" w:hAnsi="Times New Roman;serif"/>
          <w:b/>
          <w:color w:val="000000"/>
          <w:sz w:val="22"/>
        </w:rPr>
        <w:t>Item 5. Interest in Securities of the Issuer.</w:t>
      </w:r>
    </w:p>
    <w:p>
      <w:pPr>
        <w:pStyle w:val="TextBody"/>
        <w:bidi w:val="0"/>
        <w:spacing w:before="0" w:after="0"/>
        <w:jc w:val="left"/>
        <w:rPr/>
      </w:pPr>
      <w:r>
        <w:rPr/>
      </w:r>
    </w:p>
    <w:p>
      <w:pPr>
        <w:pStyle w:val="TextBody"/>
        <w:bidi w:val="0"/>
        <w:spacing w:before="0" w:after="0"/>
        <w:jc w:val="left"/>
        <w:rPr>
          <w:rFonts w:ascii="Times New Roman;serif" w:hAnsi="Times New Roman;serif"/>
          <w:color w:val="000000"/>
          <w:sz w:val="22"/>
        </w:rPr>
      </w:pPr>
      <w:r>
        <w:rPr>
          <w:rFonts w:ascii="Times New Roman;serif" w:hAnsi="Times New Roman;serif"/>
          <w:color w:val="000000"/>
          <w:sz w:val="22"/>
        </w:rPr>
        <w:t>Items 5 (a)-(c) of the Schedule 13D are hereby amended and restated as follows:</w:t>
      </w:r>
    </w:p>
    <w:p>
      <w:pPr>
        <w:pStyle w:val="TextBody"/>
        <w:bidi w:val="0"/>
        <w:spacing w:before="0" w:after="0"/>
        <w:jc w:val="left"/>
        <w:rPr/>
      </w:pPr>
      <w:r>
        <w:rPr/>
      </w:r>
    </w:p>
    <w:p>
      <w:pPr>
        <w:pStyle w:val="TextBody"/>
        <w:bidi w:val="0"/>
        <w:spacing w:before="0" w:after="0"/>
        <w:ind w:left="0" w:right="0" w:firstLine="720"/>
        <w:jc w:val="left"/>
        <w:rPr>
          <w:rFonts w:ascii="Times New Roman;serif" w:hAnsi="Times New Roman;serif"/>
          <w:color w:val="000000"/>
          <w:sz w:val="22"/>
        </w:rPr>
      </w:pPr>
      <w:r>
        <w:rPr>
          <w:rFonts w:ascii="Times New Roman;serif" w:hAnsi="Times New Roman;serif"/>
          <w:color w:val="000000"/>
          <w:sz w:val="22"/>
        </w:rPr>
        <w:t>The information set forth in Item 6 of this Schedule 13D is incorporated by reference in its entirety into this Item 5.</w:t>
      </w:r>
    </w:p>
    <w:p>
      <w:pPr>
        <w:pStyle w:val="TextBody"/>
        <w:bidi w:val="0"/>
        <w:spacing w:before="0" w:after="0"/>
        <w:jc w:val="left"/>
        <w:rPr/>
      </w:pPr>
      <w:r>
        <w:rPr/>
      </w:r>
    </w:p>
    <w:p>
      <w:pPr>
        <w:pStyle w:val="TextBody"/>
        <w:bidi w:val="0"/>
        <w:spacing w:before="0" w:after="0"/>
        <w:ind w:left="0" w:right="0" w:firstLine="720"/>
        <w:jc w:val="left"/>
        <w:rPr>
          <w:rFonts w:ascii="Times New Roman;serif" w:hAnsi="Times New Roman;serif"/>
          <w:color w:val="000000"/>
          <w:sz w:val="22"/>
        </w:rPr>
      </w:pPr>
      <w:r>
        <w:rPr>
          <w:rFonts w:ascii="Times New Roman;serif" w:hAnsi="Times New Roman;serif"/>
          <w:color w:val="000000"/>
          <w:sz w:val="22"/>
        </w:rPr>
        <w:t>(a) and (b) The percentage of beneficial ownership in this Schedule 13D is based on: (i) 45,820,750 shares of Common Stock outstanding after the offering described in the prospectus on Form 424(b)(3) filed by the Issuer on May 8, 2023, and (ii) in the case of Mr. Grossman, an additional  1,501,386 shares of Common Stock issuable upon the exercise of Private Warrants held by Chardan NexTech 2 Warrant Holdings LLC (“</w:t>
      </w:r>
      <w:r>
        <w:rPr>
          <w:rFonts w:ascii="Times New Roman;serif" w:hAnsi="Times New Roman;serif"/>
          <w:color w:val="000000"/>
          <w:sz w:val="22"/>
          <w:u w:val="single"/>
        </w:rPr>
        <w:t>Holdings</w:t>
      </w:r>
      <w:r>
        <w:rPr>
          <w:rFonts w:ascii="Times New Roman;serif" w:hAnsi="Times New Roman;serif"/>
          <w:color w:val="000000"/>
          <w:sz w:val="22"/>
        </w:rPr>
        <w:t>”), an affiliate of the Sponsor, due to the Ownership Limitation (as defined below).</w:t>
      </w:r>
    </w:p>
    <w:p>
      <w:pPr>
        <w:pStyle w:val="TextBody"/>
        <w:bidi w:val="0"/>
        <w:spacing w:before="0" w:after="0"/>
        <w:jc w:val="left"/>
        <w:rPr/>
      </w:pPr>
      <w:r>
        <w:rPr/>
      </w:r>
    </w:p>
    <w:p>
      <w:pPr>
        <w:pStyle w:val="TextBody"/>
        <w:bidi w:val="0"/>
        <w:spacing w:before="0" w:after="0"/>
        <w:ind w:left="0" w:right="0" w:firstLine="720"/>
        <w:jc w:val="left"/>
        <w:rPr>
          <w:rFonts w:ascii="Times New Roman;serif" w:hAnsi="Times New Roman;serif"/>
          <w:color w:val="000000"/>
          <w:sz w:val="22"/>
        </w:rPr>
      </w:pPr>
      <w:r>
        <w:rPr>
          <w:rFonts w:ascii="Times New Roman;serif" w:hAnsi="Times New Roman;serif"/>
          <w:color w:val="000000"/>
          <w:sz w:val="22"/>
        </w:rPr>
        <w:t>The aggregate number and percentage of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w:t>
      </w:r>
    </w:p>
    <w:p>
      <w:pPr>
        <w:pStyle w:val="TextBody"/>
        <w:bidi w:val="0"/>
        <w:spacing w:before="0" w:after="0"/>
        <w:jc w:val="left"/>
        <w:rPr/>
      </w:pPr>
      <w:r>
        <w:rPr/>
      </w:r>
    </w:p>
    <w:p>
      <w:pPr>
        <w:pStyle w:val="TextBody"/>
        <w:bidi w:val="0"/>
        <w:spacing w:before="0" w:after="0"/>
        <w:ind w:left="0" w:right="0" w:firstLine="720"/>
        <w:jc w:val="left"/>
        <w:rPr>
          <w:rFonts w:ascii="Times New Roman;serif" w:hAnsi="Times New Roman;serif"/>
          <w:color w:val="000000"/>
          <w:sz w:val="22"/>
        </w:rPr>
      </w:pPr>
      <w:r>
        <w:rPr>
          <w:rFonts w:ascii="Times New Roman;serif" w:hAnsi="Times New Roman;serif"/>
          <w:color w:val="000000"/>
          <w:sz w:val="22"/>
        </w:rPr>
        <w:t>As of May 10, 2023, after taking into account the Distribution described below, Sponsor directly held 2,027,165 shares of Common Stock. Addtionally, Mr. Grossman may be deemed to beneficially own 1,501,386 shares of Common Stock issuable upon exercise of Private Warrants held directly by Holdings. Mr. Grossman does not have any investment or voting power over any Issuer securities held by CCM LLC as of the date hereof and the Reporting Persons disclaim beneficial ownership over those Issuer securities beneficially owned by CCM LLC as of the date hereof.</w:t>
      </w:r>
    </w:p>
    <w:p>
      <w:pPr>
        <w:pStyle w:val="TextBody"/>
        <w:bidi w:val="0"/>
        <w:spacing w:before="0" w:after="0"/>
        <w:jc w:val="left"/>
        <w:rPr/>
      </w:pPr>
      <w:r>
        <w:rPr/>
      </w:r>
    </w:p>
    <w:p>
      <w:pPr>
        <w:pStyle w:val="TextBody"/>
        <w:bidi w:val="0"/>
        <w:spacing w:before="0" w:after="0"/>
        <w:ind w:left="0" w:right="0" w:firstLine="720"/>
        <w:jc w:val="left"/>
        <w:rPr>
          <w:rFonts w:ascii="Times New Roman;serif" w:hAnsi="Times New Roman;serif"/>
          <w:color w:val="000000"/>
          <w:sz w:val="22"/>
        </w:rPr>
      </w:pPr>
      <w:r>
        <w:rPr>
          <w:rFonts w:ascii="Times New Roman;serif" w:hAnsi="Times New Roman;serif"/>
          <w:color w:val="000000"/>
          <w:sz w:val="22"/>
        </w:rPr>
        <w:t>Neither the filing of this Schedule 13D nor any of its contents shall be deemed to constitute an admission that any Reporting Person (other than to the extent it directly holds Common Stock) is the beneficial owner of the Common Stock referred to herein for purposes of Section 13(d) of the Securities Exchange Act of 1934, as amended (the “</w:t>
      </w:r>
      <w:r>
        <w:rPr>
          <w:rFonts w:ascii="Times New Roman;serif" w:hAnsi="Times New Roman;serif"/>
          <w:color w:val="000000"/>
          <w:sz w:val="22"/>
          <w:u w:val="single"/>
        </w:rPr>
        <w:t>Exchange Act</w:t>
      </w:r>
      <w:r>
        <w:rPr>
          <w:rFonts w:ascii="Times New Roman;serif" w:hAnsi="Times New Roman;serif"/>
          <w:color w:val="000000"/>
          <w:sz w:val="22"/>
        </w:rPr>
        <w:t>”), or for any other purpose. The filing of this statement should not be construed to be an admission that the Reporting Persons are members of a “group” for the purposes of Sections 13(d) and 13(g) of the Exchange Act.</w:t>
      </w:r>
    </w:p>
    <w:p>
      <w:pPr>
        <w:pStyle w:val="TextBody"/>
        <w:bidi w:val="0"/>
        <w:spacing w:before="0" w:after="0"/>
        <w:jc w:val="left"/>
        <w:rPr/>
      </w:pPr>
      <w:r>
        <w:rPr/>
      </w:r>
    </w:p>
    <w:p>
      <w:pPr>
        <w:pStyle w:val="TextBody"/>
        <w:bidi w:val="0"/>
        <w:spacing w:before="0" w:after="0"/>
        <w:jc w:val="left"/>
        <w:rPr>
          <w:rFonts w:ascii="Times New Roman;serif" w:hAnsi="Times New Roman;serif"/>
          <w:color w:val="000000"/>
          <w:sz w:val="22"/>
        </w:rPr>
      </w:pPr>
      <w:r>
        <w:rPr>
          <w:rFonts w:ascii="Times New Roman;serif" w:hAnsi="Times New Roman;serif"/>
          <w:color w:val="000000"/>
          <w:sz w:val="22"/>
        </w:rPr>
        <w:t>(c) Except as described in this Amendment No. 2 and below, the Reporting Persons have not effected any transactions in Common Stock during the 60-day period ending on May 10,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0" w:name="DSPFPageBreakArea2"/>
      <w:bookmarkStart w:id="21" w:name="DSPFPageBreakArea2"/>
      <w:bookmarkEnd w:id="2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left"/>
        <w:rPr/>
      </w:pPr>
      <w:r>
        <w:rPr/>
      </w:r>
      <w:bookmarkStart w:id="22" w:name="DSPFPageFooter2"/>
      <w:bookmarkStart w:id="23" w:name="DSPFPageFooter2"/>
      <w:bookmarkEnd w:id="2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4" w:name="DSPFPageBreak2"/>
      <w:bookmarkStart w:id="25" w:name="DSPFPageBreak2"/>
      <w:bookmarkEnd w:id="2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bookmarkStart w:id="26" w:name="DSPFPageHeader2"/>
      <w:bookmarkStart w:id="27" w:name="DSPFPageHeader2"/>
      <w:bookmarkEnd w:id="2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p>
    <w:p>
      <w:pPr>
        <w:pStyle w:val="TextBody"/>
        <w:bidi w:val="0"/>
        <w:spacing w:before="0" w:after="0"/>
        <w:jc w:val="left"/>
        <w:rPr/>
      </w:pPr>
      <w:r>
        <w:rPr/>
      </w:r>
    </w:p>
    <w:p>
      <w:pPr>
        <w:pStyle w:val="TextBody"/>
        <w:bidi w:val="0"/>
        <w:spacing w:before="0" w:after="0"/>
        <w:jc w:val="left"/>
        <w:rPr>
          <w:rFonts w:ascii="Times New Roman;serif" w:hAnsi="Times New Roman;serif"/>
          <w:color w:val="000000"/>
          <w:sz w:val="22"/>
        </w:rPr>
      </w:pPr>
      <w:r>
        <w:rPr>
          <w:rFonts w:ascii="Times New Roman;serif" w:hAnsi="Times New Roman;serif"/>
          <w:color w:val="000000"/>
          <w:sz w:val="22"/>
        </w:rPr>
        <w:t>The Sponsor sold shares of Common Stock in the open market during the 60-day period ending on May 10, 2023 as follows:</w:t>
      </w:r>
    </w:p>
    <w:p>
      <w:pPr>
        <w:pStyle w:val="TextBody"/>
        <w:bidi w:val="0"/>
        <w:spacing w:before="0" w:after="0"/>
        <w:jc w:val="left"/>
        <w:rPr/>
      </w:pPr>
      <w:r>
        <w:rPr/>
      </w:r>
    </w:p>
    <w:tbl>
      <w:tblPr>
        <w:tblW w:w="5865" w:type="dxa"/>
        <w:jc w:val="left"/>
        <w:tblInd w:w="-5" w:type="dxa"/>
        <w:tblLayout w:type="fixed"/>
        <w:tblCellMar>
          <w:top w:w="28" w:type="dxa"/>
          <w:left w:w="28" w:type="dxa"/>
          <w:bottom w:w="28" w:type="dxa"/>
          <w:right w:w="28" w:type="dxa"/>
        </w:tblCellMar>
      </w:tblPr>
      <w:tblGrid>
        <w:gridCol w:w="1115"/>
        <w:gridCol w:w="1280"/>
        <w:gridCol w:w="3470"/>
      </w:tblGrid>
      <w:tr>
        <w:trPr/>
        <w:tc>
          <w:tcPr>
            <w:tcW w:w="111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b/>
                <w:color w:val="000000"/>
                <w:sz w:val="22"/>
                <w:u w:val="single"/>
              </w:rPr>
            </w:pPr>
            <w:r>
              <w:rPr>
                <w:rFonts w:ascii="Times New Roman;serif" w:hAnsi="Times New Roman;serif"/>
                <w:b/>
                <w:color w:val="000000"/>
                <w:sz w:val="22"/>
                <w:u w:val="single"/>
              </w:rPr>
              <w:t>Date</w:t>
            </w:r>
          </w:p>
        </w:tc>
        <w:tc>
          <w:tcPr>
            <w:tcW w:w="128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Amount Sold</w:t>
            </w:r>
          </w:p>
        </w:tc>
        <w:tc>
          <w:tcPr>
            <w:tcW w:w="347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b/>
                <w:color w:val="000000"/>
                <w:sz w:val="22"/>
                <w:u w:val="single"/>
              </w:rPr>
            </w:pPr>
            <w:r>
              <w:rPr>
                <w:rFonts w:ascii="Times New Roman;serif" w:hAnsi="Times New Roman;serif"/>
                <w:b/>
                <w:color w:val="000000"/>
                <w:sz w:val="22"/>
                <w:u w:val="single"/>
              </w:rPr>
              <w:t>Weighted Average Price Per Share</w:t>
            </w:r>
          </w:p>
        </w:tc>
      </w:tr>
      <w:tr>
        <w:trPr/>
        <w:tc>
          <w:tcPr>
            <w:tcW w:w="111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05/05/2023</w:t>
            </w:r>
          </w:p>
        </w:tc>
        <w:tc>
          <w:tcPr>
            <w:tcW w:w="128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9,000</w:t>
            </w:r>
          </w:p>
        </w:tc>
        <w:tc>
          <w:tcPr>
            <w:tcW w:w="347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$5.0390</w:t>
            </w:r>
          </w:p>
        </w:tc>
      </w:tr>
      <w:tr>
        <w:trPr/>
        <w:tc>
          <w:tcPr>
            <w:tcW w:w="111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05/08/2023</w:t>
            </w:r>
          </w:p>
        </w:tc>
        <w:tc>
          <w:tcPr>
            <w:tcW w:w="128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57,394</w:t>
            </w:r>
          </w:p>
        </w:tc>
        <w:tc>
          <w:tcPr>
            <w:tcW w:w="347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$4.7239</w:t>
            </w:r>
          </w:p>
        </w:tc>
      </w:tr>
      <w:tr>
        <w:trPr/>
        <w:tc>
          <w:tcPr>
            <w:tcW w:w="111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05/09/2023</w:t>
            </w:r>
          </w:p>
        </w:tc>
        <w:tc>
          <w:tcPr>
            <w:tcW w:w="128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33,369</w:t>
            </w:r>
          </w:p>
        </w:tc>
        <w:tc>
          <w:tcPr>
            <w:tcW w:w="347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$3.7631</w:t>
            </w:r>
          </w:p>
        </w:tc>
      </w:tr>
      <w:tr>
        <w:trPr/>
        <w:tc>
          <w:tcPr>
            <w:tcW w:w="111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05/10/2023</w:t>
            </w:r>
          </w:p>
        </w:tc>
        <w:tc>
          <w:tcPr>
            <w:tcW w:w="128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39,572</w:t>
            </w:r>
          </w:p>
        </w:tc>
        <w:tc>
          <w:tcPr>
            <w:tcW w:w="347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Times New Roman;serif" w:hAnsi="Times New Roman;serif"/>
                <w:color w:val="000000"/>
                <w:sz w:val="22"/>
              </w:rPr>
            </w:pPr>
            <w:r>
              <w:rPr>
                <w:rFonts w:ascii="Times New Roman;serif" w:hAnsi="Times New Roman;serif"/>
                <w:color w:val="000000"/>
                <w:sz w:val="22"/>
              </w:rPr>
              <w:t>$4.1265</w:t>
            </w:r>
          </w:p>
        </w:tc>
      </w:tr>
    </w:tbl>
    <w:p>
      <w:pPr>
        <w:pStyle w:val="TextBody"/>
        <w:bidi w:val="0"/>
        <w:spacing w:before="0" w:after="0"/>
        <w:jc w:val="left"/>
        <w:rPr/>
      </w:pPr>
      <w:r>
        <w:rPr/>
      </w:r>
    </w:p>
    <w:p>
      <w:pPr>
        <w:pStyle w:val="TextBody"/>
        <w:bidi w:val="0"/>
        <w:spacing w:before="0" w:after="0"/>
        <w:jc w:val="left"/>
        <w:rPr>
          <w:rFonts w:ascii="Times New Roman;serif" w:hAnsi="Times New Roman;serif"/>
          <w:color w:val="000000"/>
          <w:sz w:val="22"/>
        </w:rPr>
      </w:pPr>
      <w:r>
        <w:rPr>
          <w:rFonts w:ascii="Times New Roman;serif" w:hAnsi="Times New Roman;serif"/>
          <w:color w:val="000000"/>
          <w:sz w:val="22"/>
        </w:rPr>
        <w:t>Additionally, Sponsor submitted a request to the Issuer to distribute an aggregate of 864,000 shares of Sponsor's Common Stock to certain of its members with respect to their respective indirect pro rata interests, with such request specifying that such distribution be effected as of May 5, 2023 (the "</w:t>
      </w:r>
      <w:r>
        <w:rPr>
          <w:rFonts w:ascii="Times New Roman;serif" w:hAnsi="Times New Roman;serif"/>
          <w:color w:val="000000"/>
          <w:sz w:val="22"/>
          <w:u w:val="single"/>
        </w:rPr>
        <w:t>Distribution</w:t>
      </w:r>
      <w:r>
        <w:rPr>
          <w:rFonts w:ascii="Times New Roman;serif" w:hAnsi="Times New Roman;serif"/>
          <w:color w:val="000000"/>
          <w:sz w:val="22"/>
        </w:rPr>
        <w:t>").</w:t>
      </w:r>
    </w:p>
    <w:p>
      <w:pPr>
        <w:pStyle w:val="TextBody"/>
        <w:bidi w:val="0"/>
        <w:spacing w:before="0" w:after="0"/>
        <w:jc w:val="left"/>
        <w:rPr/>
      </w:pPr>
      <w:r>
        <w:rPr/>
      </w:r>
    </w:p>
    <w:p>
      <w:pPr>
        <w:pStyle w:val="TextBody"/>
        <w:bidi w:val="0"/>
        <w:spacing w:before="0" w:after="0"/>
        <w:jc w:val="left"/>
        <w:rPr>
          <w:rFonts w:ascii="Times New Roman;serif" w:hAnsi="Times New Roman;serif"/>
          <w:b/>
          <w:color w:val="000000"/>
          <w:sz w:val="22"/>
        </w:rPr>
      </w:pPr>
      <w:r>
        <w:rPr>
          <w:rFonts w:ascii="Times New Roman;serif" w:hAnsi="Times New Roman;serif"/>
          <w:b/>
          <w:color w:val="000000"/>
          <w:sz w:val="22"/>
        </w:rPr>
        <w:t>Item 6. Contracts, Arrangements, Understandings or Relationships With Respect to Securities of the Issuer.</w:t>
      </w:r>
    </w:p>
    <w:p>
      <w:pPr>
        <w:pStyle w:val="TextBody"/>
        <w:bidi w:val="0"/>
        <w:spacing w:before="0" w:after="0"/>
        <w:jc w:val="left"/>
        <w:rPr/>
      </w:pPr>
      <w:r>
        <w:rPr/>
      </w:r>
    </w:p>
    <w:p>
      <w:pPr>
        <w:pStyle w:val="TextBody"/>
        <w:bidi w:val="0"/>
        <w:spacing w:before="0" w:after="0"/>
        <w:jc w:val="left"/>
        <w:rPr>
          <w:rFonts w:ascii="Times New Roman;serif" w:hAnsi="Times New Roman;serif"/>
          <w:color w:val="000000"/>
          <w:sz w:val="22"/>
        </w:rPr>
      </w:pPr>
      <w:r>
        <w:rPr>
          <w:rFonts w:ascii="Times New Roman;serif" w:hAnsi="Times New Roman;serif"/>
          <w:color w:val="000000"/>
          <w:sz w:val="22"/>
        </w:rPr>
        <w:t>The last paragraph of the “Private Warrants” Section of Item 6 of the Schedule 13D is hereby amended and restated as follows:</w:t>
      </w:r>
    </w:p>
    <w:p>
      <w:pPr>
        <w:pStyle w:val="TextBody"/>
        <w:bidi w:val="0"/>
        <w:spacing w:before="0" w:after="0"/>
        <w:jc w:val="left"/>
        <w:rPr/>
      </w:pPr>
      <w:r>
        <w:rPr/>
      </w:r>
    </w:p>
    <w:p>
      <w:pPr>
        <w:pStyle w:val="TextBody"/>
        <w:bidi w:val="0"/>
        <w:spacing w:before="0" w:after="0"/>
        <w:ind w:left="0" w:right="0" w:firstLine="720"/>
        <w:jc w:val="left"/>
        <w:rPr>
          <w:rFonts w:ascii="Times New Roman;serif" w:hAnsi="Times New Roman;serif"/>
          <w:color w:val="000000"/>
          <w:sz w:val="22"/>
        </w:rPr>
      </w:pPr>
      <w:r>
        <w:rPr>
          <w:rFonts w:ascii="Times New Roman;serif" w:hAnsi="Times New Roman;serif"/>
          <w:color w:val="000000"/>
          <w:sz w:val="22"/>
        </w:rPr>
        <w:t>Pursuant to the Ownership Limitation, the number of shares of Common Stock into which the remaining 1,501,386 Private Warrants held by Holdings are exercisable is limited pursuant to the terms of such warrants to that number of shares of Common Stock that would result in Holdings and its affiliates, including the Reporting Persons, having aggregate beneficial ownership of more than 7.5% of the total issued and outstanding shares of Common Stock (the “</w:t>
      </w:r>
      <w:r>
        <w:rPr>
          <w:rFonts w:ascii="Times New Roman;serif" w:hAnsi="Times New Roman;serif"/>
          <w:color w:val="000000"/>
          <w:sz w:val="22"/>
          <w:u w:val="single"/>
        </w:rPr>
        <w:t>Ownership Limitation</w:t>
      </w:r>
      <w:r>
        <w:rPr>
          <w:rFonts w:ascii="Times New Roman;serif" w:hAnsi="Times New Roman;serif"/>
          <w:color w:val="000000"/>
          <w:sz w:val="22"/>
        </w:rPr>
        <w:t>”). In accordance with Rule 13d-4 under the Exchange Act, the Reporting Persons disclaim beneficial ownership of any and all shares of Common Stock issuable upon any exercise of the Private Warrants to the extent that such exercise would cause such aggregate beneficial ownership to exceed or remain above the Ownership Limitation.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8" w:name="DSPFPageBreakArea3"/>
      <w:bookmarkStart w:id="29" w:name="DSPFPageBreakArea3"/>
      <w:bookmarkEnd w:id="2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left"/>
        <w:rPr/>
      </w:pPr>
      <w:r>
        <w:rPr/>
      </w:r>
      <w:bookmarkStart w:id="30" w:name="DSPFPageFooter3"/>
      <w:bookmarkStart w:id="31" w:name="DSPFPageFooter3"/>
      <w:bookmarkEnd w:id="3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2" w:name="DSPFPageBreak3"/>
      <w:bookmarkStart w:id="33" w:name="DSPFPageBreak3"/>
      <w:bookmarkEnd w:id="3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bookmarkStart w:id="34" w:name="DSPFPageHeader3"/>
      <w:bookmarkStart w:id="35" w:name="DSPFPageHeader3"/>
      <w:bookmarkEnd w:id="3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Times New Roman;Times;serif" w:hAnsi="Times New Roman;Times;serif" w:eastAsia="Times New Roman;Times;serif" w:cs="Times New Roman;Times;serif"/>
          <w:color w:val="000000"/>
          <w:sz w:val="20"/>
          <w:szCs w:val="20"/>
        </w:rPr>
      </w:pPr>
      <w:r>
        <w:rPr>
          <w:rFonts w:eastAsia="Times New Roman;Times;serif" w:cs="Times New Roman;Times;serif" w:ascii="Times New Roman;Times;serif" w:hAnsi="Times New Roman;Times;serif"/>
          <w:color w:val="000000"/>
          <w:sz w:val="20"/>
          <w:szCs w:val="20"/>
        </w:rPr>
      </w:r>
    </w:p>
    <w:p>
      <w:pPr>
        <w:pStyle w:val="TextBody"/>
        <w:bidi w:val="0"/>
        <w:spacing w:before="0" w:after="0"/>
        <w:jc w:val="left"/>
        <w:rPr/>
      </w:pPr>
      <w:r>
        <w:rPr/>
      </w:r>
    </w:p>
    <w:p>
      <w:pPr>
        <w:pStyle w:val="TextBody"/>
        <w:bidi w:val="0"/>
        <w:spacing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left"/>
        <w:rPr/>
      </w:pPr>
      <w:r>
        <w:rPr/>
      </w:r>
    </w:p>
    <w:p>
      <w:pPr>
        <w:pStyle w:val="TextBody"/>
        <w:bidi w:val="0"/>
        <w:spacing w:before="0" w:after="0"/>
        <w:ind w:left="0" w:right="0" w:firstLine="720"/>
        <w:jc w:val="left"/>
        <w:rPr>
          <w:rFonts w:ascii="Times New Roman;serif" w:hAnsi="Times New Roman;serif"/>
          <w:color w:val="000000"/>
          <w:sz w:val="22"/>
        </w:rPr>
      </w:pPr>
      <w:r>
        <w:rPr>
          <w:rFonts w:ascii="Times New Roman;serif" w:hAnsi="Times New Roman;serif"/>
          <w:color w:val="000000"/>
          <w:sz w:val="22"/>
        </w:rPr>
        <w:t>After reasonable inquiry and to the best of each of the undersigned’s knowledge and belief, each of the undersigned, severally and not jointly, certifies that the information set forth in this statement is true, complete and correct.</w:t>
      </w:r>
    </w:p>
    <w:p>
      <w:pPr>
        <w:pStyle w:val="TextBody"/>
        <w:bidi w:val="0"/>
        <w:spacing w:before="0" w:after="0"/>
        <w:jc w:val="left"/>
        <w:rPr>
          <w:color w:val="000000"/>
        </w:rPr>
      </w:pPr>
      <w:r>
        <w:rPr>
          <w:color w:val="000000"/>
        </w:rPr>
        <w:t> </w:t>
      </w:r>
    </w:p>
    <w:tbl>
      <w:tblPr>
        <w:tblW w:w="6789" w:type="dxa"/>
        <w:jc w:val="left"/>
        <w:tblInd w:w="0" w:type="dxa"/>
        <w:tblLayout w:type="fixed"/>
        <w:tblCellMar>
          <w:top w:w="0" w:type="dxa"/>
          <w:left w:w="0" w:type="dxa"/>
          <w:bottom w:w="0" w:type="dxa"/>
          <w:right w:w="0" w:type="dxa"/>
        </w:tblCellMar>
      </w:tblPr>
      <w:tblGrid>
        <w:gridCol w:w="2015"/>
        <w:gridCol w:w="1476"/>
        <w:gridCol w:w="3298"/>
      </w:tblGrid>
      <w:tr>
        <w:trPr/>
        <w:tc>
          <w:tcPr>
            <w:tcW w:w="2015" w:type="dxa"/>
            <w:tcBorders/>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Dated: May 11, 2023</w:t>
            </w:r>
          </w:p>
        </w:tc>
        <w:tc>
          <w:tcPr>
            <w:tcW w:w="4774" w:type="dxa"/>
            <w:gridSpan w:val="2"/>
            <w:tcBorders/>
            <w:vAlign w:val="center"/>
          </w:tcPr>
          <w:p>
            <w:pPr>
              <w:pStyle w:val="TableContents"/>
              <w:bidi w:val="0"/>
              <w:spacing w:before="0" w:after="0"/>
              <w:jc w:val="left"/>
              <w:rPr>
                <w:rFonts w:ascii="Times New Roman;serif" w:hAnsi="Times New Roman;serif"/>
                <w:b/>
                <w:color w:val="000000"/>
                <w:sz w:val="22"/>
              </w:rPr>
            </w:pPr>
            <w:r>
              <w:rPr>
                <w:rFonts w:ascii="Times New Roman;serif" w:hAnsi="Times New Roman;serif"/>
                <w:b/>
                <w:color w:val="000000"/>
                <w:sz w:val="22"/>
              </w:rPr>
              <w:t>CHARDAN NEXTECH INVESTMENTS 2 LLC</w:t>
            </w:r>
          </w:p>
        </w:tc>
      </w:tr>
      <w:tr>
        <w:trPr/>
        <w:tc>
          <w:tcPr>
            <w:tcW w:w="2015" w:type="dxa"/>
            <w:tcBorders/>
            <w:vAlign w:val="center"/>
          </w:tcPr>
          <w:p>
            <w:pPr>
              <w:pStyle w:val="TableContents"/>
              <w:bidi w:val="0"/>
              <w:spacing w:before="0" w:after="0"/>
              <w:jc w:val="left"/>
              <w:rPr>
                <w:color w:val="000000"/>
              </w:rPr>
            </w:pPr>
            <w:r>
              <w:rPr>
                <w:color w:val="000000"/>
              </w:rPr>
              <w:t> </w:t>
            </w:r>
          </w:p>
        </w:tc>
        <w:tc>
          <w:tcPr>
            <w:tcW w:w="1476" w:type="dxa"/>
            <w:tcBorders/>
            <w:vAlign w:val="center"/>
          </w:tcPr>
          <w:p>
            <w:pPr>
              <w:pStyle w:val="TableContents"/>
              <w:bidi w:val="0"/>
              <w:spacing w:before="0" w:after="0"/>
              <w:jc w:val="left"/>
              <w:rPr>
                <w:color w:val="000000"/>
              </w:rPr>
            </w:pPr>
            <w:r>
              <w:rPr>
                <w:color w:val="000000"/>
              </w:rPr>
              <w:t> </w:t>
            </w:r>
          </w:p>
        </w:tc>
        <w:tc>
          <w:tcPr>
            <w:tcW w:w="3298" w:type="dxa"/>
            <w:tcBorders/>
            <w:vAlign w:val="center"/>
          </w:tcPr>
          <w:p>
            <w:pPr>
              <w:pStyle w:val="TableContents"/>
              <w:bidi w:val="0"/>
              <w:spacing w:before="0" w:after="0"/>
              <w:jc w:val="left"/>
              <w:rPr>
                <w:color w:val="000000"/>
              </w:rPr>
            </w:pPr>
            <w:r>
              <w:rPr>
                <w:color w:val="000000"/>
              </w:rPr>
              <w:t> </w:t>
            </w:r>
          </w:p>
        </w:tc>
      </w:tr>
      <w:tr>
        <w:trPr/>
        <w:tc>
          <w:tcPr>
            <w:tcW w:w="2015" w:type="dxa"/>
            <w:tcBorders/>
            <w:vAlign w:val="center"/>
          </w:tcPr>
          <w:p>
            <w:pPr>
              <w:pStyle w:val="TableContents"/>
              <w:bidi w:val="0"/>
              <w:spacing w:before="0" w:after="0"/>
              <w:jc w:val="left"/>
              <w:rPr>
                <w:color w:val="000000"/>
              </w:rPr>
            </w:pPr>
            <w:r>
              <w:rPr>
                <w:color w:val="000000"/>
              </w:rPr>
              <w:t> </w:t>
            </w:r>
          </w:p>
        </w:tc>
        <w:tc>
          <w:tcPr>
            <w:tcW w:w="1476" w:type="dxa"/>
            <w:tcBorders/>
            <w:vAlign w:val="center"/>
          </w:tcPr>
          <w:p>
            <w:pPr>
              <w:pStyle w:val="TableContents"/>
              <w:bidi w:val="0"/>
              <w:spacing w:before="0" w:after="0"/>
              <w:jc w:val="left"/>
              <w:rPr>
                <w:color w:val="000000"/>
              </w:rPr>
            </w:pPr>
            <w:r>
              <w:rPr>
                <w:color w:val="000000"/>
              </w:rPr>
              <w:t> </w:t>
            </w:r>
          </w:p>
        </w:tc>
        <w:tc>
          <w:tcPr>
            <w:tcW w:w="3298" w:type="dxa"/>
            <w:tcBorders/>
            <w:vAlign w:val="center"/>
          </w:tcPr>
          <w:p>
            <w:pPr>
              <w:pStyle w:val="TableContents"/>
              <w:bidi w:val="0"/>
              <w:spacing w:before="0" w:after="0"/>
              <w:jc w:val="left"/>
              <w:rPr>
                <w:color w:val="000000"/>
              </w:rPr>
            </w:pPr>
            <w:r>
              <w:rPr>
                <w:color w:val="000000"/>
              </w:rPr>
              <w:t> </w:t>
            </w:r>
          </w:p>
        </w:tc>
      </w:tr>
      <w:tr>
        <w:trPr/>
        <w:tc>
          <w:tcPr>
            <w:tcW w:w="2015" w:type="dxa"/>
            <w:tcBorders/>
            <w:vAlign w:val="center"/>
          </w:tcPr>
          <w:p>
            <w:pPr>
              <w:pStyle w:val="TableContents"/>
              <w:bidi w:val="0"/>
              <w:spacing w:before="0" w:after="0"/>
              <w:jc w:val="left"/>
              <w:rPr>
                <w:color w:val="000000"/>
              </w:rPr>
            </w:pPr>
            <w:r>
              <w:rPr>
                <w:color w:val="000000"/>
              </w:rPr>
              <w:t> </w:t>
            </w:r>
          </w:p>
        </w:tc>
        <w:tc>
          <w:tcPr>
            <w:tcW w:w="1476" w:type="dxa"/>
            <w:tcBorders/>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By:</w:t>
            </w:r>
          </w:p>
        </w:tc>
        <w:tc>
          <w:tcPr>
            <w:tcW w:w="3298" w:type="dxa"/>
            <w:tcBorders>
              <w:bottom w:val="single" w:sz="4" w:space="0" w:color="000000"/>
            </w:tcBorders>
            <w:tcMar>
              <w:bottom w:w="28" w:type="dxa"/>
            </w:tcMar>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/s/ Jonas Grossman</w:t>
            </w:r>
          </w:p>
        </w:tc>
      </w:tr>
      <w:tr>
        <w:trPr/>
        <w:tc>
          <w:tcPr>
            <w:tcW w:w="2015" w:type="dxa"/>
            <w:tcBorders/>
            <w:vAlign w:val="center"/>
          </w:tcPr>
          <w:p>
            <w:pPr>
              <w:pStyle w:val="TableContents"/>
              <w:bidi w:val="0"/>
              <w:spacing w:before="0" w:after="0"/>
              <w:jc w:val="left"/>
              <w:rPr>
                <w:color w:val="000000"/>
              </w:rPr>
            </w:pPr>
            <w:r>
              <w:rPr>
                <w:color w:val="000000"/>
              </w:rPr>
              <w:t> </w:t>
            </w:r>
          </w:p>
        </w:tc>
        <w:tc>
          <w:tcPr>
            <w:tcW w:w="1476" w:type="dxa"/>
            <w:tcBorders/>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 xml:space="preserve">Name:   </w:t>
            </w:r>
          </w:p>
        </w:tc>
        <w:tc>
          <w:tcPr>
            <w:tcW w:w="3298" w:type="dxa"/>
            <w:tcBorders>
              <w:top w:val="single" w:sz="4" w:space="0" w:color="000000"/>
            </w:tcBorders>
            <w:tcMar>
              <w:top w:w="28" w:type="dxa"/>
            </w:tcMar>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Jonas Grossman</w:t>
            </w:r>
          </w:p>
        </w:tc>
      </w:tr>
      <w:tr>
        <w:trPr/>
        <w:tc>
          <w:tcPr>
            <w:tcW w:w="2015" w:type="dxa"/>
            <w:tcBorders/>
            <w:vAlign w:val="center"/>
          </w:tcPr>
          <w:p>
            <w:pPr>
              <w:pStyle w:val="TableContents"/>
              <w:bidi w:val="0"/>
              <w:spacing w:before="0" w:after="0"/>
              <w:jc w:val="left"/>
              <w:rPr>
                <w:color w:val="000000"/>
              </w:rPr>
            </w:pPr>
            <w:r>
              <w:rPr>
                <w:color w:val="000000"/>
              </w:rPr>
              <w:t> </w:t>
            </w:r>
          </w:p>
        </w:tc>
        <w:tc>
          <w:tcPr>
            <w:tcW w:w="1476" w:type="dxa"/>
            <w:tcBorders/>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Title:</w:t>
            </w:r>
          </w:p>
        </w:tc>
        <w:tc>
          <w:tcPr>
            <w:tcW w:w="3298" w:type="dxa"/>
            <w:tcBorders/>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Managing Member</w:t>
            </w:r>
          </w:p>
        </w:tc>
      </w:tr>
      <w:tr>
        <w:trPr/>
        <w:tc>
          <w:tcPr>
            <w:tcW w:w="2015" w:type="dxa"/>
            <w:tcBorders/>
            <w:vAlign w:val="center"/>
          </w:tcPr>
          <w:p>
            <w:pPr>
              <w:pStyle w:val="TableContents"/>
              <w:bidi w:val="0"/>
              <w:spacing w:before="0" w:after="0"/>
              <w:jc w:val="left"/>
              <w:rPr>
                <w:color w:val="000000"/>
              </w:rPr>
            </w:pPr>
            <w:r>
              <w:rPr>
                <w:color w:val="000000"/>
              </w:rPr>
              <w:t> </w:t>
            </w:r>
          </w:p>
        </w:tc>
        <w:tc>
          <w:tcPr>
            <w:tcW w:w="1476" w:type="dxa"/>
            <w:tcBorders/>
            <w:vAlign w:val="center"/>
          </w:tcPr>
          <w:p>
            <w:pPr>
              <w:pStyle w:val="TableContents"/>
              <w:bidi w:val="0"/>
              <w:spacing w:before="0" w:after="0"/>
              <w:jc w:val="left"/>
              <w:rPr>
                <w:color w:val="000000"/>
              </w:rPr>
            </w:pPr>
            <w:r>
              <w:rPr>
                <w:color w:val="000000"/>
              </w:rPr>
              <w:t> </w:t>
            </w:r>
          </w:p>
        </w:tc>
        <w:tc>
          <w:tcPr>
            <w:tcW w:w="3298" w:type="dxa"/>
            <w:tcBorders/>
            <w:vAlign w:val="center"/>
          </w:tcPr>
          <w:p>
            <w:pPr>
              <w:pStyle w:val="TableContents"/>
              <w:bidi w:val="0"/>
              <w:spacing w:before="0" w:after="0"/>
              <w:jc w:val="left"/>
              <w:rPr>
                <w:color w:val="000000"/>
              </w:rPr>
            </w:pPr>
            <w:r>
              <w:rPr>
                <w:color w:val="000000"/>
              </w:rPr>
              <w:t> </w:t>
            </w:r>
          </w:p>
        </w:tc>
      </w:tr>
      <w:tr>
        <w:trPr/>
        <w:tc>
          <w:tcPr>
            <w:tcW w:w="2015" w:type="dxa"/>
            <w:tcBorders/>
            <w:vAlign w:val="center"/>
          </w:tcPr>
          <w:p>
            <w:pPr>
              <w:pStyle w:val="TableContents"/>
              <w:bidi w:val="0"/>
              <w:spacing w:before="0" w:after="0"/>
              <w:jc w:val="left"/>
              <w:rPr>
                <w:color w:val="000000"/>
              </w:rPr>
            </w:pPr>
            <w:r>
              <w:rPr>
                <w:color w:val="000000"/>
              </w:rPr>
              <w:t> </w:t>
            </w:r>
          </w:p>
        </w:tc>
        <w:tc>
          <w:tcPr>
            <w:tcW w:w="1476" w:type="dxa"/>
            <w:tcBorders/>
            <w:vAlign w:val="center"/>
          </w:tcPr>
          <w:p>
            <w:pPr>
              <w:pStyle w:val="TableContents"/>
              <w:bidi w:val="0"/>
              <w:spacing w:before="0" w:after="0"/>
              <w:jc w:val="left"/>
              <w:rPr>
                <w:color w:val="000000"/>
              </w:rPr>
            </w:pPr>
            <w:r>
              <w:rPr>
                <w:color w:val="000000"/>
              </w:rPr>
              <w:t> </w:t>
            </w:r>
          </w:p>
        </w:tc>
        <w:tc>
          <w:tcPr>
            <w:tcW w:w="3298" w:type="dxa"/>
            <w:tcBorders/>
            <w:vAlign w:val="center"/>
          </w:tcPr>
          <w:p>
            <w:pPr>
              <w:pStyle w:val="TableContents"/>
              <w:bidi w:val="0"/>
              <w:spacing w:before="0" w:after="0"/>
              <w:jc w:val="left"/>
              <w:rPr>
                <w:color w:val="000000"/>
              </w:rPr>
            </w:pPr>
            <w:r>
              <w:rPr>
                <w:color w:val="000000"/>
              </w:rPr>
              <w:t> </w:t>
            </w:r>
          </w:p>
        </w:tc>
      </w:tr>
      <w:tr>
        <w:trPr/>
        <w:tc>
          <w:tcPr>
            <w:tcW w:w="2015" w:type="dxa"/>
            <w:tcBorders/>
            <w:vAlign w:val="center"/>
          </w:tcPr>
          <w:p>
            <w:pPr>
              <w:pStyle w:val="TableContents"/>
              <w:bidi w:val="0"/>
              <w:spacing w:before="0" w:after="0"/>
              <w:jc w:val="left"/>
              <w:rPr>
                <w:color w:val="000000"/>
              </w:rPr>
            </w:pPr>
            <w:r>
              <w:rPr>
                <w:color w:val="000000"/>
              </w:rPr>
              <w:t> </w:t>
            </w:r>
          </w:p>
        </w:tc>
        <w:tc>
          <w:tcPr>
            <w:tcW w:w="4774" w:type="dxa"/>
            <w:gridSpan w:val="2"/>
            <w:tcBorders/>
            <w:vAlign w:val="center"/>
          </w:tcPr>
          <w:p>
            <w:pPr>
              <w:pStyle w:val="TableContents"/>
              <w:bidi w:val="0"/>
              <w:spacing w:before="0" w:after="0"/>
              <w:jc w:val="left"/>
              <w:rPr>
                <w:rFonts w:ascii="Times New Roman;serif" w:hAnsi="Times New Roman;serif"/>
                <w:b/>
                <w:color w:val="000000"/>
                <w:sz w:val="22"/>
              </w:rPr>
            </w:pPr>
            <w:r>
              <w:rPr>
                <w:rFonts w:ascii="Times New Roman;serif" w:hAnsi="Times New Roman;serif"/>
                <w:b/>
                <w:color w:val="000000"/>
                <w:sz w:val="22"/>
              </w:rPr>
              <w:t>JONAS GROSSMAN</w:t>
            </w:r>
          </w:p>
        </w:tc>
      </w:tr>
      <w:tr>
        <w:trPr/>
        <w:tc>
          <w:tcPr>
            <w:tcW w:w="2015" w:type="dxa"/>
            <w:tcBorders/>
            <w:vAlign w:val="center"/>
          </w:tcPr>
          <w:p>
            <w:pPr>
              <w:pStyle w:val="TableContents"/>
              <w:bidi w:val="0"/>
              <w:spacing w:before="0" w:after="0"/>
              <w:jc w:val="left"/>
              <w:rPr>
                <w:color w:val="000000"/>
              </w:rPr>
            </w:pPr>
            <w:r>
              <w:rPr>
                <w:color w:val="000000"/>
              </w:rPr>
              <w:t> </w:t>
            </w:r>
          </w:p>
        </w:tc>
        <w:tc>
          <w:tcPr>
            <w:tcW w:w="1476" w:type="dxa"/>
            <w:tcBorders/>
            <w:vAlign w:val="center"/>
          </w:tcPr>
          <w:p>
            <w:pPr>
              <w:pStyle w:val="TableContents"/>
              <w:bidi w:val="0"/>
              <w:spacing w:before="0" w:after="0"/>
              <w:jc w:val="left"/>
              <w:rPr>
                <w:color w:val="000000"/>
              </w:rPr>
            </w:pPr>
            <w:r>
              <w:rPr>
                <w:color w:val="000000"/>
              </w:rPr>
              <w:t> </w:t>
            </w:r>
          </w:p>
        </w:tc>
        <w:tc>
          <w:tcPr>
            <w:tcW w:w="3298" w:type="dxa"/>
            <w:tcBorders/>
            <w:vAlign w:val="center"/>
          </w:tcPr>
          <w:p>
            <w:pPr>
              <w:pStyle w:val="TableContents"/>
              <w:bidi w:val="0"/>
              <w:spacing w:before="0" w:after="0"/>
              <w:jc w:val="left"/>
              <w:rPr>
                <w:color w:val="000000"/>
              </w:rPr>
            </w:pPr>
            <w:r>
              <w:rPr>
                <w:color w:val="000000"/>
              </w:rPr>
              <w:t> </w:t>
            </w:r>
          </w:p>
        </w:tc>
      </w:tr>
      <w:tr>
        <w:trPr/>
        <w:tc>
          <w:tcPr>
            <w:tcW w:w="2015" w:type="dxa"/>
            <w:tcBorders/>
            <w:vAlign w:val="center"/>
          </w:tcPr>
          <w:p>
            <w:pPr>
              <w:pStyle w:val="TableContents"/>
              <w:bidi w:val="0"/>
              <w:spacing w:before="0" w:after="0"/>
              <w:jc w:val="left"/>
              <w:rPr>
                <w:color w:val="000000"/>
              </w:rPr>
            </w:pPr>
            <w:r>
              <w:rPr>
                <w:color w:val="000000"/>
              </w:rPr>
              <w:t> </w:t>
            </w:r>
          </w:p>
        </w:tc>
        <w:tc>
          <w:tcPr>
            <w:tcW w:w="1476" w:type="dxa"/>
            <w:tcBorders/>
            <w:vAlign w:val="center"/>
          </w:tcPr>
          <w:p>
            <w:pPr>
              <w:pStyle w:val="TableContents"/>
              <w:bidi w:val="0"/>
              <w:spacing w:before="0" w:after="0"/>
              <w:jc w:val="left"/>
              <w:rPr>
                <w:color w:val="000000"/>
              </w:rPr>
            </w:pPr>
            <w:r>
              <w:rPr>
                <w:color w:val="000000"/>
              </w:rPr>
              <w:t> </w:t>
            </w:r>
          </w:p>
        </w:tc>
        <w:tc>
          <w:tcPr>
            <w:tcW w:w="3298" w:type="dxa"/>
            <w:tcBorders/>
            <w:vAlign w:val="center"/>
          </w:tcPr>
          <w:p>
            <w:pPr>
              <w:pStyle w:val="TableContents"/>
              <w:bidi w:val="0"/>
              <w:spacing w:before="0" w:after="0"/>
              <w:jc w:val="left"/>
              <w:rPr>
                <w:color w:val="000000"/>
              </w:rPr>
            </w:pPr>
            <w:r>
              <w:rPr>
                <w:color w:val="000000"/>
              </w:rPr>
              <w:t> </w:t>
            </w:r>
          </w:p>
        </w:tc>
      </w:tr>
      <w:tr>
        <w:trPr/>
        <w:tc>
          <w:tcPr>
            <w:tcW w:w="2015" w:type="dxa"/>
            <w:tcBorders/>
            <w:vAlign w:val="center"/>
          </w:tcPr>
          <w:p>
            <w:pPr>
              <w:pStyle w:val="TableContents"/>
              <w:bidi w:val="0"/>
              <w:spacing w:before="0" w:after="0"/>
              <w:jc w:val="left"/>
              <w:rPr>
                <w:color w:val="000000"/>
              </w:rPr>
            </w:pPr>
            <w:r>
              <w:rPr>
                <w:color w:val="000000"/>
              </w:rPr>
              <w:t> </w:t>
            </w:r>
          </w:p>
        </w:tc>
        <w:tc>
          <w:tcPr>
            <w:tcW w:w="1476" w:type="dxa"/>
            <w:tcBorders/>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By:</w:t>
            </w:r>
          </w:p>
        </w:tc>
        <w:tc>
          <w:tcPr>
            <w:tcW w:w="3298" w:type="dxa"/>
            <w:tcBorders>
              <w:bottom w:val="single" w:sz="4" w:space="0" w:color="000000"/>
            </w:tcBorders>
            <w:tcMar>
              <w:bottom w:w="28" w:type="dxa"/>
            </w:tcMar>
            <w:vAlign w:val="center"/>
          </w:tcPr>
          <w:p>
            <w:pPr>
              <w:pStyle w:val="TableContents"/>
              <w:bidi w:val="0"/>
              <w:spacing w:before="0" w:after="0"/>
              <w:jc w:val="left"/>
              <w:rPr>
                <w:rFonts w:ascii="Times New Roman;serif" w:hAnsi="Times New Roman;serif"/>
                <w:color w:val="000000"/>
                <w:sz w:val="22"/>
              </w:rPr>
            </w:pPr>
            <w:r>
              <w:rPr>
                <w:rFonts w:ascii="Times New Roman;serif" w:hAnsi="Times New Roman;serif"/>
                <w:color w:val="000000"/>
                <w:sz w:val="22"/>
              </w:rPr>
              <w:t>/s/ Jonas Grossman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serif" w:hAnsi="Times New Roman;serif"/>
          <w:color w:val="000000"/>
          <w:sz w:val="22"/>
        </w:rPr>
      </w:pPr>
      <w:r>
        <w:rPr>
          <w:rFonts w:ascii="Times New Roman;serif" w:hAnsi="Times New Roman;serif"/>
          <w:color w:val="000000"/>
          <w:sz w:val="22"/>
        </w:rPr>
        <w:t>[Dragonfly Energy Holdings Corp. - Schedule 13D/A]</w:t>
      </w:r>
    </w:p>
    <w:p>
      <w:pPr>
        <w:pStyle w:val="TextBody"/>
        <w:bidi w:val="0"/>
        <w:spacing w:before="0" w:after="0"/>
        <w:jc w:val="left"/>
        <w:rPr/>
      </w:pPr>
      <w:r>
        <w:rPr/>
      </w:r>
    </w:p>
    <w:p>
      <w:pPr>
        <w:pStyle w:val="TextBody"/>
        <w:bidi w:val="0"/>
        <w:spacing w:before="0" w:after="0"/>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1410</Words>
  <Characters>7099</Characters>
  <CharactersWithSpaces>8407</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