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As filed with the U.S. Securities and Exchange Commission on August 3, 2021.</w:t>
      </w:r>
    </w:p>
    <w:p>
      <w:pPr>
        <w:spacing w:after="0" w:line="41"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333-254010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37465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80645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42" w:lineRule="exact"/>
        <w:rPr>
          <w:sz w:val="24"/>
          <w:szCs w:val="24"/>
          <w:color w:val="auto"/>
        </w:rPr>
      </w:pPr>
    </w:p>
    <w:p>
      <w:pPr>
        <w:jc w:val="center"/>
        <w:ind w:right="-419"/>
        <w:spacing w:after="0"/>
        <w:rPr>
          <w:sz w:val="20"/>
          <w:szCs w:val="20"/>
          <w:color w:val="auto"/>
        </w:rPr>
      </w:pPr>
      <w:r>
        <w:rPr>
          <w:rFonts w:ascii="Arial" w:cs="Arial" w:eastAsia="Arial" w:hAnsi="Arial"/>
          <w:sz w:val="29"/>
          <w:szCs w:val="29"/>
          <w:b w:val="1"/>
          <w:bCs w:val="1"/>
          <w:color w:val="auto"/>
        </w:rPr>
        <w:t>UNITED STATES</w:t>
      </w:r>
    </w:p>
    <w:p>
      <w:pPr>
        <w:spacing w:after="0" w:line="15" w:lineRule="exact"/>
        <w:rPr>
          <w:sz w:val="24"/>
          <w:szCs w:val="24"/>
          <w:color w:val="auto"/>
        </w:rPr>
      </w:pPr>
    </w:p>
    <w:p>
      <w:pPr>
        <w:jc w:val="center"/>
        <w:ind w:right="-499"/>
        <w:spacing w:after="0"/>
        <w:rPr>
          <w:sz w:val="20"/>
          <w:szCs w:val="20"/>
          <w:color w:val="auto"/>
        </w:rPr>
      </w:pPr>
      <w:r>
        <w:rPr>
          <w:rFonts w:ascii="Arial" w:cs="Arial" w:eastAsia="Arial" w:hAnsi="Arial"/>
          <w:sz w:val="29"/>
          <w:szCs w:val="29"/>
          <w:b w:val="1"/>
          <w:bCs w:val="1"/>
          <w:color w:val="auto"/>
        </w:rPr>
        <w:t>SECURITIES AND EXCHANGE COMMISSION</w:t>
      </w:r>
    </w:p>
    <w:p>
      <w:pPr>
        <w:ind w:left="44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99060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26"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AMENDMENT NO. 6</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TO</w:t>
      </w:r>
    </w:p>
    <w:p>
      <w:pPr>
        <w:spacing w:after="0" w:line="17" w:lineRule="exact"/>
        <w:rPr>
          <w:sz w:val="24"/>
          <w:szCs w:val="24"/>
          <w:color w:val="auto"/>
        </w:rPr>
      </w:pPr>
    </w:p>
    <w:p>
      <w:pPr>
        <w:jc w:val="center"/>
        <w:ind w:right="-499"/>
        <w:spacing w:after="0"/>
        <w:rPr>
          <w:sz w:val="20"/>
          <w:szCs w:val="20"/>
          <w:color w:val="auto"/>
        </w:rPr>
      </w:pPr>
      <w:r>
        <w:rPr>
          <w:rFonts w:ascii="Arial" w:cs="Arial" w:eastAsia="Arial" w:hAnsi="Arial"/>
          <w:sz w:val="29"/>
          <w:szCs w:val="29"/>
          <w:b w:val="1"/>
          <w:bCs w:val="1"/>
          <w:color w:val="auto"/>
        </w:rPr>
        <w:t>FORM S-1</w:t>
      </w:r>
    </w:p>
    <w:p>
      <w:pPr>
        <w:spacing w:after="0" w:line="72"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100330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3" w:lineRule="exact"/>
        <w:rPr>
          <w:sz w:val="24"/>
          <w:szCs w:val="24"/>
          <w:color w:val="auto"/>
        </w:rPr>
      </w:pPr>
    </w:p>
    <w:p>
      <w:pPr>
        <w:jc w:val="center"/>
        <w:ind w:right="-499"/>
        <w:spacing w:after="0"/>
        <w:rPr>
          <w:sz w:val="20"/>
          <w:szCs w:val="20"/>
          <w:color w:val="auto"/>
        </w:rPr>
      </w:pPr>
      <w:r>
        <w:rPr>
          <w:rFonts w:ascii="Arial" w:cs="Arial" w:eastAsia="Arial" w:hAnsi="Arial"/>
          <w:sz w:val="29"/>
          <w:szCs w:val="29"/>
          <w:b w:val="1"/>
          <w:bCs w:val="1"/>
          <w:color w:val="auto"/>
        </w:rPr>
        <w:t>CHARDAN NEXTECH ACQUISITION 2 CORP.</w:t>
      </w:r>
    </w:p>
    <w:p>
      <w:pPr>
        <w:spacing w:after="0" w:line="53" w:lineRule="exact"/>
        <w:rPr>
          <w:sz w:val="24"/>
          <w:szCs w:val="24"/>
          <w:color w:val="auto"/>
        </w:rPr>
      </w:pPr>
    </w:p>
    <w:p>
      <w:pPr>
        <w:ind w:left="360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69215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2" w:lineRule="exact"/>
        <w:rPr>
          <w:sz w:val="24"/>
          <w:szCs w:val="24"/>
          <w:color w:val="auto"/>
        </w:rPr>
      </w:pPr>
    </w:p>
    <w:tbl>
      <w:tblPr>
        <w:tblLayout w:type="fixed"/>
        <w:tblInd w:w="500" w:type="dxa"/>
        <w:tblCellMar>
          <w:top w:w="0" w:type="dxa"/>
          <w:left w:w="0" w:type="dxa"/>
          <w:bottom w:w="0" w:type="dxa"/>
          <w:right w:w="0" w:type="dxa"/>
        </w:tblCellMar>
      </w:tblPr>
      <w:tr>
        <w:trPr>
          <w:trHeight w:val="234"/>
        </w:trPr>
        <w:tc>
          <w:tcPr>
            <w:tcW w:w="3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Delaware</w:t>
            </w:r>
          </w:p>
        </w:tc>
        <w:tc>
          <w:tcPr>
            <w:tcW w:w="3080" w:type="dxa"/>
            <w:vAlign w:val="bottom"/>
          </w:tcPr>
          <w:p>
            <w:pPr>
              <w:jc w:val="right"/>
              <w:ind w:right="1282"/>
              <w:spacing w:after="0"/>
              <w:rPr>
                <w:sz w:val="20"/>
                <w:szCs w:val="20"/>
                <w:color w:val="auto"/>
              </w:rPr>
            </w:pPr>
            <w:r>
              <w:rPr>
                <w:rFonts w:ascii="Arial" w:cs="Arial" w:eastAsia="Arial" w:hAnsi="Arial"/>
                <w:sz w:val="18"/>
                <w:szCs w:val="18"/>
                <w:b w:val="1"/>
                <w:bCs w:val="1"/>
                <w:color w:val="auto"/>
              </w:rPr>
              <w:t>6770</w:t>
            </w:r>
          </w:p>
        </w:tc>
        <w:tc>
          <w:tcPr>
            <w:tcW w:w="22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87"/>
              </w:rPr>
              <w:t>85-1873463</w:t>
            </w:r>
          </w:p>
        </w:tc>
      </w:tr>
      <w:tr>
        <w:trPr>
          <w:trHeight w:val="27"/>
        </w:trPr>
        <w:tc>
          <w:tcPr>
            <w:tcW w:w="3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r>
        <w:trPr>
          <w:trHeight w:val="164"/>
        </w:trPr>
        <w:tc>
          <w:tcPr>
            <w:tcW w:w="3100" w:type="dxa"/>
            <w:vAlign w:val="bottom"/>
          </w:tcPr>
          <w:p>
            <w:pPr>
              <w:ind w:left="220"/>
              <w:spacing w:after="0"/>
              <w:rPr>
                <w:sz w:val="20"/>
                <w:szCs w:val="20"/>
                <w:color w:val="auto"/>
              </w:rPr>
            </w:pPr>
            <w:r>
              <w:rPr>
                <w:rFonts w:ascii="Arial" w:cs="Arial" w:eastAsia="Arial" w:hAnsi="Arial"/>
                <w:sz w:val="14"/>
                <w:szCs w:val="14"/>
                <w:color w:val="auto"/>
              </w:rPr>
              <w:t>(State or other jurisdiction of incorporation</w:t>
            </w:r>
          </w:p>
        </w:tc>
        <w:tc>
          <w:tcPr>
            <w:tcW w:w="22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Arial" w:cs="Arial" w:eastAsia="Arial" w:hAnsi="Arial"/>
                <w:sz w:val="14"/>
                <w:szCs w:val="14"/>
                <w:color w:val="auto"/>
                <w:w w:val="99"/>
              </w:rPr>
              <w:t>(Primary Standard Industrial Classification</w:t>
            </w:r>
          </w:p>
        </w:tc>
        <w:tc>
          <w:tcPr>
            <w:tcW w:w="220" w:type="dxa"/>
            <w:vAlign w:val="bottom"/>
          </w:tcPr>
          <w:p>
            <w:pPr>
              <w:spacing w:after="0"/>
              <w:rPr>
                <w:sz w:val="14"/>
                <w:szCs w:val="14"/>
                <w:color w:val="auto"/>
              </w:rPr>
            </w:pPr>
          </w:p>
        </w:tc>
        <w:tc>
          <w:tcPr>
            <w:tcW w:w="3100" w:type="dxa"/>
            <w:vAlign w:val="bottom"/>
          </w:tcPr>
          <w:p>
            <w:pPr>
              <w:jc w:val="center"/>
              <w:spacing w:after="0"/>
              <w:rPr>
                <w:sz w:val="20"/>
                <w:szCs w:val="20"/>
                <w:color w:val="auto"/>
              </w:rPr>
            </w:pPr>
            <w:r>
              <w:rPr>
                <w:rFonts w:ascii="Arial" w:cs="Arial" w:eastAsia="Arial" w:hAnsi="Arial"/>
                <w:sz w:val="14"/>
                <w:szCs w:val="14"/>
                <w:color w:val="auto"/>
                <w:w w:val="99"/>
              </w:rPr>
              <w:t>(I.R.S. Employer</w:t>
            </w:r>
          </w:p>
        </w:tc>
      </w:tr>
      <w:tr>
        <w:trPr>
          <w:trHeight w:val="196"/>
        </w:trPr>
        <w:tc>
          <w:tcPr>
            <w:tcW w:w="3320" w:type="dxa"/>
            <w:vAlign w:val="bottom"/>
            <w:gridSpan w:val="2"/>
          </w:tcPr>
          <w:p>
            <w:pPr>
              <w:jc w:val="center"/>
              <w:ind w:right="220"/>
              <w:spacing w:after="0"/>
              <w:rPr>
                <w:sz w:val="20"/>
                <w:szCs w:val="20"/>
                <w:color w:val="auto"/>
              </w:rPr>
            </w:pPr>
            <w:r>
              <w:rPr>
                <w:rFonts w:ascii="Arial" w:cs="Arial" w:eastAsia="Arial" w:hAnsi="Arial"/>
                <w:sz w:val="14"/>
                <w:szCs w:val="14"/>
                <w:color w:val="auto"/>
              </w:rPr>
              <w:t>or organization)</w:t>
            </w:r>
          </w:p>
        </w:tc>
        <w:tc>
          <w:tcPr>
            <w:tcW w:w="330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Code Number)</w:t>
            </w:r>
          </w:p>
        </w:tc>
        <w:tc>
          <w:tcPr>
            <w:tcW w:w="3100" w:type="dxa"/>
            <w:vAlign w:val="bottom"/>
          </w:tcPr>
          <w:p>
            <w:pPr>
              <w:jc w:val="center"/>
              <w:spacing w:after="0"/>
              <w:rPr>
                <w:sz w:val="20"/>
                <w:szCs w:val="20"/>
                <w:color w:val="auto"/>
              </w:rPr>
            </w:pPr>
            <w:r>
              <w:rPr>
                <w:rFonts w:ascii="Arial" w:cs="Arial" w:eastAsia="Arial" w:hAnsi="Arial"/>
                <w:sz w:val="14"/>
                <w:szCs w:val="14"/>
                <w:color w:val="auto"/>
              </w:rPr>
              <w:t>Identification Number)</w:t>
            </w:r>
          </w:p>
        </w:tc>
      </w:tr>
    </w:tbl>
    <w:p>
      <w:pPr>
        <w:spacing w:after="0" w:line="18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17 State Street, 21</w:t>
      </w:r>
      <w:r>
        <w:rPr>
          <w:rFonts w:ascii="Arial" w:cs="Arial" w:eastAsia="Arial" w:hAnsi="Arial"/>
          <w:sz w:val="26"/>
          <w:szCs w:val="26"/>
          <w:b w:val="1"/>
          <w:bCs w:val="1"/>
          <w:color w:val="auto"/>
          <w:vertAlign w:val="superscript"/>
        </w:rPr>
        <w:t>st</w:t>
      </w:r>
      <w:r>
        <w:rPr>
          <w:rFonts w:ascii="Arial" w:cs="Arial" w:eastAsia="Arial" w:hAnsi="Arial"/>
          <w:sz w:val="18"/>
          <w:szCs w:val="18"/>
          <w:b w:val="1"/>
          <w:bCs w:val="1"/>
          <w:color w:val="auto"/>
        </w:rPr>
        <w:t xml:space="preserve"> Floor</w:t>
      </w:r>
    </w:p>
    <w:p>
      <w:pPr>
        <w:ind w:left="4580"/>
        <w:spacing w:after="0"/>
        <w:rPr>
          <w:sz w:val="20"/>
          <w:szCs w:val="20"/>
          <w:color w:val="auto"/>
        </w:rPr>
      </w:pPr>
      <w:r>
        <w:rPr>
          <w:rFonts w:ascii="Arial" w:cs="Arial" w:eastAsia="Arial" w:hAnsi="Arial"/>
          <w:sz w:val="18"/>
          <w:szCs w:val="18"/>
          <w:b w:val="1"/>
          <w:bCs w:val="1"/>
          <w:color w:val="auto"/>
        </w:rPr>
        <w:t>New York, NY 10004</w:t>
      </w:r>
    </w:p>
    <w:p>
      <w:pPr>
        <w:spacing w:after="0" w:line="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(646) 465-9000</w:t>
      </w:r>
    </w:p>
    <w:p>
      <w:pPr>
        <w:spacing w:after="0" w:line="31" w:lineRule="exact"/>
        <w:rPr>
          <w:sz w:val="24"/>
          <w:szCs w:val="24"/>
          <w:color w:val="auto"/>
        </w:rPr>
      </w:pPr>
    </w:p>
    <w:p>
      <w:pPr>
        <w:ind w:left="1860"/>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89535</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38"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Jonas Grossman</w:t>
      </w:r>
    </w:p>
    <w:p>
      <w:pPr>
        <w:jc w:val="center"/>
        <w:ind w:right="-459"/>
        <w:spacing w:after="0" w:line="236" w:lineRule="auto"/>
        <w:rPr>
          <w:sz w:val="20"/>
          <w:szCs w:val="20"/>
          <w:color w:val="auto"/>
        </w:rPr>
      </w:pPr>
      <w:r>
        <w:rPr>
          <w:rFonts w:ascii="Arial" w:cs="Arial" w:eastAsia="Arial" w:hAnsi="Arial"/>
          <w:sz w:val="18"/>
          <w:szCs w:val="18"/>
          <w:b w:val="1"/>
          <w:bCs w:val="1"/>
          <w:color w:val="auto"/>
        </w:rPr>
        <w:t>Chief Executive Officer</w:t>
      </w:r>
    </w:p>
    <w:p>
      <w:pPr>
        <w:jc w:val="center"/>
        <w:ind w:right="-459"/>
        <w:spacing w:after="0" w:line="217" w:lineRule="auto"/>
        <w:rPr>
          <w:sz w:val="20"/>
          <w:szCs w:val="20"/>
          <w:color w:val="auto"/>
        </w:rPr>
      </w:pPr>
      <w:r>
        <w:rPr>
          <w:rFonts w:ascii="Arial" w:cs="Arial" w:eastAsia="Arial" w:hAnsi="Arial"/>
          <w:sz w:val="18"/>
          <w:szCs w:val="18"/>
          <w:b w:val="1"/>
          <w:bCs w:val="1"/>
          <w:color w:val="auto"/>
        </w:rPr>
        <w:t>17 State Street, 21</w:t>
      </w:r>
      <w:r>
        <w:rPr>
          <w:rFonts w:ascii="Arial" w:cs="Arial" w:eastAsia="Arial" w:hAnsi="Arial"/>
          <w:sz w:val="26"/>
          <w:szCs w:val="26"/>
          <w:b w:val="1"/>
          <w:bCs w:val="1"/>
          <w:color w:val="auto"/>
          <w:vertAlign w:val="superscript"/>
        </w:rPr>
        <w:t>st</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New York, NY 10004</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(646) 465-9000</w:t>
      </w:r>
    </w:p>
    <w:p>
      <w:pPr>
        <w:spacing w:after="0" w:line="17" w:lineRule="exact"/>
        <w:rPr>
          <w:sz w:val="24"/>
          <w:szCs w:val="24"/>
          <w:color w:val="auto"/>
        </w:rPr>
      </w:pPr>
    </w:p>
    <w:p>
      <w:pPr>
        <w:ind w:left="2320"/>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89535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9" w:lineRule="exact"/>
        <w:rPr>
          <w:sz w:val="24"/>
          <w:szCs w:val="24"/>
          <w:color w:val="auto"/>
        </w:rPr>
      </w:pPr>
    </w:p>
    <w:tbl>
      <w:tblPr>
        <w:tblLayout w:type="fixed"/>
        <w:tblInd w:w="1860" w:type="dxa"/>
        <w:tblCellMar>
          <w:top w:w="0" w:type="dxa"/>
          <w:left w:w="0" w:type="dxa"/>
          <w:bottom w:w="0" w:type="dxa"/>
          <w:right w:w="0" w:type="dxa"/>
        </w:tblCellMar>
      </w:tblPr>
      <w:tr>
        <w:trPr>
          <w:trHeight w:val="206"/>
        </w:trPr>
        <w:tc>
          <w:tcPr>
            <w:tcW w:w="2580" w:type="dxa"/>
            <w:vAlign w:val="bottom"/>
          </w:tcPr>
          <w:p>
            <w:pPr>
              <w:spacing w:after="0"/>
              <w:rPr>
                <w:sz w:val="17"/>
                <w:szCs w:val="17"/>
                <w:color w:val="auto"/>
              </w:rPr>
            </w:pPr>
          </w:p>
        </w:tc>
        <w:tc>
          <w:tcPr>
            <w:tcW w:w="4460" w:type="dxa"/>
            <w:vAlign w:val="bottom"/>
          </w:tcPr>
          <w:p>
            <w:pPr>
              <w:ind w:left="580"/>
              <w:spacing w:after="0"/>
              <w:rPr>
                <w:sz w:val="20"/>
                <w:szCs w:val="20"/>
                <w:color w:val="auto"/>
              </w:rPr>
            </w:pPr>
            <w:r>
              <w:rPr>
                <w:rFonts w:ascii="Arial" w:cs="Arial" w:eastAsia="Arial" w:hAnsi="Arial"/>
                <w:sz w:val="16"/>
                <w:szCs w:val="16"/>
                <w:i w:val="1"/>
                <w:iCs w:val="1"/>
                <w:color w:val="auto"/>
              </w:rPr>
              <w:t>Copies to:</w:t>
            </w:r>
          </w:p>
        </w:tc>
      </w:tr>
      <w:tr>
        <w:trPr>
          <w:trHeight w:val="217"/>
        </w:trPr>
        <w:tc>
          <w:tcPr>
            <w:tcW w:w="2580" w:type="dxa"/>
            <w:vAlign w:val="bottom"/>
          </w:tcPr>
          <w:p>
            <w:pPr>
              <w:jc w:val="center"/>
              <w:ind w:right="510"/>
              <w:spacing w:after="0"/>
              <w:rPr>
                <w:sz w:val="20"/>
                <w:szCs w:val="20"/>
                <w:color w:val="auto"/>
              </w:rPr>
            </w:pPr>
            <w:r>
              <w:rPr>
                <w:rFonts w:ascii="Arial" w:cs="Arial" w:eastAsia="Arial" w:hAnsi="Arial"/>
                <w:sz w:val="18"/>
                <w:szCs w:val="18"/>
                <w:b w:val="1"/>
                <w:bCs w:val="1"/>
                <w:color w:val="auto"/>
                <w:w w:val="90"/>
              </w:rPr>
              <w:t>Ari Edelman, Esq.</w:t>
            </w:r>
          </w:p>
        </w:tc>
        <w:tc>
          <w:tcPr>
            <w:tcW w:w="4460" w:type="dxa"/>
            <w:vAlign w:val="bottom"/>
          </w:tcPr>
          <w:p>
            <w:pPr>
              <w:jc w:val="center"/>
              <w:ind w:left="2211"/>
              <w:spacing w:after="0"/>
              <w:rPr>
                <w:sz w:val="20"/>
                <w:szCs w:val="20"/>
                <w:color w:val="auto"/>
              </w:rPr>
            </w:pPr>
            <w:r>
              <w:rPr>
                <w:rFonts w:ascii="Arial" w:cs="Arial" w:eastAsia="Arial" w:hAnsi="Arial"/>
                <w:sz w:val="18"/>
                <w:szCs w:val="18"/>
                <w:b w:val="1"/>
                <w:bCs w:val="1"/>
                <w:color w:val="auto"/>
                <w:w w:val="88"/>
              </w:rPr>
              <w:t>Alan I. Annex, Esq.</w:t>
            </w:r>
          </w:p>
        </w:tc>
      </w:tr>
      <w:tr>
        <w:trPr>
          <w:trHeight w:val="216"/>
        </w:trPr>
        <w:tc>
          <w:tcPr>
            <w:tcW w:w="2580" w:type="dxa"/>
            <w:vAlign w:val="bottom"/>
          </w:tcPr>
          <w:p>
            <w:pPr>
              <w:jc w:val="center"/>
              <w:ind w:right="510"/>
              <w:spacing w:after="0"/>
              <w:rPr>
                <w:sz w:val="20"/>
                <w:szCs w:val="20"/>
                <w:color w:val="auto"/>
              </w:rPr>
            </w:pPr>
            <w:r>
              <w:rPr>
                <w:rFonts w:ascii="Arial" w:cs="Arial" w:eastAsia="Arial" w:hAnsi="Arial"/>
                <w:sz w:val="18"/>
                <w:szCs w:val="18"/>
                <w:b w:val="1"/>
                <w:bCs w:val="1"/>
                <w:color w:val="auto"/>
                <w:w w:val="89"/>
              </w:rPr>
              <w:t>C. Craig Lilly, Esq.</w:t>
            </w:r>
          </w:p>
        </w:tc>
        <w:tc>
          <w:tcPr>
            <w:tcW w:w="4460" w:type="dxa"/>
            <w:vAlign w:val="bottom"/>
          </w:tcPr>
          <w:p>
            <w:pPr>
              <w:jc w:val="center"/>
              <w:ind w:left="2211"/>
              <w:spacing w:after="0"/>
              <w:rPr>
                <w:sz w:val="20"/>
                <w:szCs w:val="20"/>
                <w:color w:val="auto"/>
              </w:rPr>
            </w:pPr>
            <w:r>
              <w:rPr>
                <w:rFonts w:ascii="Arial" w:cs="Arial" w:eastAsia="Arial" w:hAnsi="Arial"/>
                <w:sz w:val="18"/>
                <w:szCs w:val="18"/>
                <w:b w:val="1"/>
                <w:bCs w:val="1"/>
                <w:color w:val="auto"/>
                <w:w w:val="83"/>
              </w:rPr>
              <w:t>Jason T. Simon, Esq.</w:t>
            </w:r>
          </w:p>
        </w:tc>
      </w:tr>
      <w:tr>
        <w:trPr>
          <w:trHeight w:val="216"/>
        </w:trPr>
        <w:tc>
          <w:tcPr>
            <w:tcW w:w="2580" w:type="dxa"/>
            <w:vAlign w:val="bottom"/>
          </w:tcPr>
          <w:p>
            <w:pPr>
              <w:jc w:val="center"/>
              <w:ind w:right="510"/>
              <w:spacing w:after="0"/>
              <w:rPr>
                <w:sz w:val="20"/>
                <w:szCs w:val="20"/>
                <w:color w:val="auto"/>
              </w:rPr>
            </w:pPr>
            <w:r>
              <w:rPr>
                <w:rFonts w:ascii="Arial" w:cs="Arial" w:eastAsia="Arial" w:hAnsi="Arial"/>
                <w:sz w:val="18"/>
                <w:szCs w:val="18"/>
                <w:b w:val="1"/>
                <w:bCs w:val="1"/>
                <w:color w:val="auto"/>
                <w:w w:val="91"/>
              </w:rPr>
              <w:t>Reed Smith LLP</w:t>
            </w:r>
          </w:p>
        </w:tc>
        <w:tc>
          <w:tcPr>
            <w:tcW w:w="4460" w:type="dxa"/>
            <w:vAlign w:val="bottom"/>
          </w:tcPr>
          <w:p>
            <w:pPr>
              <w:jc w:val="center"/>
              <w:ind w:left="2211"/>
              <w:spacing w:after="0"/>
              <w:rPr>
                <w:sz w:val="20"/>
                <w:szCs w:val="20"/>
                <w:color w:val="auto"/>
              </w:rPr>
            </w:pPr>
            <w:r>
              <w:rPr>
                <w:rFonts w:ascii="Arial" w:cs="Arial" w:eastAsia="Arial" w:hAnsi="Arial"/>
                <w:sz w:val="18"/>
                <w:szCs w:val="18"/>
                <w:b w:val="1"/>
                <w:bCs w:val="1"/>
                <w:color w:val="auto"/>
                <w:w w:val="91"/>
              </w:rPr>
              <w:t>Greenberg Traurig, LLP</w:t>
            </w:r>
          </w:p>
        </w:tc>
      </w:tr>
      <w:tr>
        <w:trPr>
          <w:trHeight w:val="216"/>
        </w:trPr>
        <w:tc>
          <w:tcPr>
            <w:tcW w:w="2580" w:type="dxa"/>
            <w:vAlign w:val="bottom"/>
          </w:tcPr>
          <w:p>
            <w:pPr>
              <w:jc w:val="center"/>
              <w:ind w:right="510"/>
              <w:spacing w:after="0"/>
              <w:rPr>
                <w:sz w:val="20"/>
                <w:szCs w:val="20"/>
                <w:color w:val="auto"/>
              </w:rPr>
            </w:pPr>
            <w:r>
              <w:rPr>
                <w:rFonts w:ascii="Arial" w:cs="Arial" w:eastAsia="Arial" w:hAnsi="Arial"/>
                <w:sz w:val="18"/>
                <w:szCs w:val="18"/>
                <w:b w:val="1"/>
                <w:bCs w:val="1"/>
                <w:color w:val="auto"/>
                <w:w w:val="84"/>
              </w:rPr>
              <w:t>599 Lexington Avenue</w:t>
            </w:r>
          </w:p>
        </w:tc>
        <w:tc>
          <w:tcPr>
            <w:tcW w:w="4460" w:type="dxa"/>
            <w:vAlign w:val="bottom"/>
          </w:tcPr>
          <w:p>
            <w:pPr>
              <w:jc w:val="center"/>
              <w:ind w:left="2211"/>
              <w:spacing w:after="0"/>
              <w:rPr>
                <w:sz w:val="20"/>
                <w:szCs w:val="20"/>
                <w:color w:val="auto"/>
              </w:rPr>
            </w:pPr>
            <w:r>
              <w:rPr>
                <w:rFonts w:ascii="Arial" w:cs="Arial" w:eastAsia="Arial" w:hAnsi="Arial"/>
                <w:sz w:val="18"/>
                <w:szCs w:val="18"/>
                <w:b w:val="1"/>
                <w:bCs w:val="1"/>
                <w:color w:val="auto"/>
                <w:w w:val="84"/>
              </w:rPr>
              <w:t>1750 Tysons Blvd., Suite 1000</w:t>
            </w:r>
          </w:p>
        </w:tc>
      </w:tr>
      <w:tr>
        <w:trPr>
          <w:trHeight w:val="216"/>
        </w:trPr>
        <w:tc>
          <w:tcPr>
            <w:tcW w:w="2580" w:type="dxa"/>
            <w:vAlign w:val="bottom"/>
          </w:tcPr>
          <w:p>
            <w:pPr>
              <w:jc w:val="center"/>
              <w:ind w:right="510"/>
              <w:spacing w:after="0"/>
              <w:rPr>
                <w:sz w:val="20"/>
                <w:szCs w:val="20"/>
                <w:color w:val="auto"/>
              </w:rPr>
            </w:pPr>
            <w:r>
              <w:rPr>
                <w:rFonts w:ascii="Arial" w:cs="Arial" w:eastAsia="Arial" w:hAnsi="Arial"/>
                <w:sz w:val="18"/>
                <w:szCs w:val="18"/>
                <w:b w:val="1"/>
                <w:bCs w:val="1"/>
                <w:color w:val="auto"/>
                <w:w w:val="88"/>
              </w:rPr>
              <w:t>New York, New York</w:t>
            </w:r>
          </w:p>
        </w:tc>
        <w:tc>
          <w:tcPr>
            <w:tcW w:w="4460" w:type="dxa"/>
            <w:vAlign w:val="bottom"/>
          </w:tcPr>
          <w:p>
            <w:pPr>
              <w:jc w:val="center"/>
              <w:ind w:left="2211"/>
              <w:spacing w:after="0"/>
              <w:rPr>
                <w:sz w:val="20"/>
                <w:szCs w:val="20"/>
                <w:color w:val="auto"/>
              </w:rPr>
            </w:pPr>
            <w:r>
              <w:rPr>
                <w:rFonts w:ascii="Arial" w:cs="Arial" w:eastAsia="Arial" w:hAnsi="Arial"/>
                <w:sz w:val="18"/>
                <w:szCs w:val="18"/>
                <w:b w:val="1"/>
                <w:bCs w:val="1"/>
                <w:color w:val="auto"/>
                <w:w w:val="89"/>
              </w:rPr>
              <w:t>McLean, VA 22102</w:t>
            </w:r>
          </w:p>
        </w:tc>
      </w:tr>
      <w:tr>
        <w:trPr>
          <w:trHeight w:val="216"/>
        </w:trPr>
        <w:tc>
          <w:tcPr>
            <w:tcW w:w="2580" w:type="dxa"/>
            <w:vAlign w:val="bottom"/>
          </w:tcPr>
          <w:p>
            <w:pPr>
              <w:jc w:val="center"/>
              <w:ind w:right="510"/>
              <w:spacing w:after="0"/>
              <w:rPr>
                <w:sz w:val="20"/>
                <w:szCs w:val="20"/>
                <w:color w:val="auto"/>
              </w:rPr>
            </w:pPr>
            <w:r>
              <w:rPr>
                <w:rFonts w:ascii="Arial" w:cs="Arial" w:eastAsia="Arial" w:hAnsi="Arial"/>
                <w:sz w:val="18"/>
                <w:szCs w:val="18"/>
                <w:b w:val="1"/>
                <w:bCs w:val="1"/>
                <w:color w:val="auto"/>
                <w:w w:val="86"/>
              </w:rPr>
              <w:t>10022 (212) 521-5400</w:t>
            </w:r>
          </w:p>
        </w:tc>
        <w:tc>
          <w:tcPr>
            <w:tcW w:w="4460" w:type="dxa"/>
            <w:vAlign w:val="bottom"/>
          </w:tcPr>
          <w:p>
            <w:pPr>
              <w:jc w:val="center"/>
              <w:ind w:left="2211"/>
              <w:spacing w:after="0"/>
              <w:rPr>
                <w:sz w:val="20"/>
                <w:szCs w:val="20"/>
                <w:color w:val="auto"/>
              </w:rPr>
            </w:pPr>
            <w:r>
              <w:rPr>
                <w:rFonts w:ascii="Arial" w:cs="Arial" w:eastAsia="Arial" w:hAnsi="Arial"/>
                <w:sz w:val="18"/>
                <w:szCs w:val="18"/>
                <w:b w:val="1"/>
                <w:bCs w:val="1"/>
                <w:color w:val="auto"/>
                <w:w w:val="87"/>
              </w:rPr>
              <w:t>(703) 749-1300</w:t>
            </w:r>
          </w:p>
        </w:tc>
      </w:tr>
      <w:tr>
        <w:trPr>
          <w:trHeight w:val="234"/>
        </w:trPr>
        <w:tc>
          <w:tcPr>
            <w:tcW w:w="2580" w:type="dxa"/>
            <w:vAlign w:val="bottom"/>
          </w:tcPr>
          <w:p>
            <w:pPr>
              <w:jc w:val="center"/>
              <w:ind w:right="470"/>
              <w:spacing w:after="0"/>
              <w:rPr>
                <w:sz w:val="20"/>
                <w:szCs w:val="20"/>
                <w:color w:val="auto"/>
              </w:rPr>
            </w:pPr>
            <w:r>
              <w:rPr>
                <w:rFonts w:ascii="Arial" w:cs="Arial" w:eastAsia="Arial" w:hAnsi="Arial"/>
                <w:sz w:val="18"/>
                <w:szCs w:val="18"/>
                <w:b w:val="1"/>
                <w:bCs w:val="1"/>
                <w:color w:val="auto"/>
                <w:w w:val="86"/>
              </w:rPr>
              <w:t>(212) 521-5450 — Facsimile</w:t>
            </w:r>
          </w:p>
        </w:tc>
        <w:tc>
          <w:tcPr>
            <w:tcW w:w="4460" w:type="dxa"/>
            <w:vAlign w:val="bottom"/>
          </w:tcPr>
          <w:p>
            <w:pPr>
              <w:jc w:val="center"/>
              <w:ind w:left="2251"/>
              <w:spacing w:after="0"/>
              <w:rPr>
                <w:sz w:val="20"/>
                <w:szCs w:val="20"/>
                <w:color w:val="auto"/>
              </w:rPr>
            </w:pPr>
            <w:r>
              <w:rPr>
                <w:rFonts w:ascii="Arial" w:cs="Arial" w:eastAsia="Arial" w:hAnsi="Arial"/>
                <w:sz w:val="18"/>
                <w:szCs w:val="18"/>
                <w:b w:val="1"/>
                <w:bCs w:val="1"/>
                <w:color w:val="auto"/>
                <w:w w:val="85"/>
              </w:rPr>
              <w:t>(703) 749-1301 — Facsimile</w:t>
            </w:r>
          </w:p>
        </w:tc>
      </w:tr>
    </w:tbl>
    <w:p>
      <w:pPr>
        <w:spacing w:after="0" w:line="189" w:lineRule="exact"/>
        <w:rPr>
          <w:sz w:val="24"/>
          <w:szCs w:val="24"/>
          <w:color w:val="auto"/>
        </w:rPr>
      </w:pPr>
    </w:p>
    <w:p>
      <w:pPr>
        <w:ind w:left="86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the effective date of this offering.</w:t>
      </w:r>
    </w:p>
    <w:p>
      <w:pPr>
        <w:spacing w:after="0" w:line="38" w:lineRule="exact"/>
        <w:rPr>
          <w:sz w:val="24"/>
          <w:szCs w:val="24"/>
          <w:color w:val="auto"/>
        </w:rPr>
      </w:pPr>
    </w:p>
    <w:p>
      <w:pPr>
        <w:ind w:left="500" w:right="260" w:firstLine="360"/>
        <w:spacing w:after="0" w:line="19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ind w:left="500" w:right="160" w:firstLine="360"/>
        <w:spacing w:after="0" w:line="19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500" w:right="280" w:firstLine="360"/>
        <w:spacing w:after="0" w:line="196"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260" w:firstLine="360"/>
        <w:spacing w:after="0" w:line="192"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ind w:left="500" w:right="320" w:firstLine="360"/>
        <w:spacing w:after="0" w:line="23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 accelerated filer, or a smaller reporting company. See the definitions of “large accelerated filer,” “accelerated filer,” “smaller reporting company” and “emerging growth company” in Rule 12b-2 of the Exchange Act:</w:t>
      </w:r>
    </w:p>
    <w:tbl>
      <w:tblPr>
        <w:tblLayout w:type="fixed"/>
        <w:tblInd w:w="500" w:type="dxa"/>
        <w:tblCellMar>
          <w:top w:w="0" w:type="dxa"/>
          <w:left w:w="0" w:type="dxa"/>
          <w:bottom w:w="0" w:type="dxa"/>
          <w:right w:w="0" w:type="dxa"/>
        </w:tblCellMar>
      </w:tblPr>
      <w:tr>
        <w:trPr>
          <w:trHeight w:val="169"/>
        </w:trPr>
        <w:tc>
          <w:tcPr>
            <w:tcW w:w="2000" w:type="dxa"/>
            <w:vAlign w:val="bottom"/>
          </w:tcPr>
          <w:p>
            <w:pPr>
              <w:spacing w:after="0" w:line="169" w:lineRule="exact"/>
              <w:rPr>
                <w:sz w:val="20"/>
                <w:szCs w:val="20"/>
                <w:color w:val="auto"/>
              </w:rPr>
            </w:pPr>
            <w:r>
              <w:rPr>
                <w:rFonts w:ascii="Arial" w:cs="Arial" w:eastAsia="Arial" w:hAnsi="Arial"/>
                <w:sz w:val="16"/>
                <w:szCs w:val="16"/>
                <w:color w:val="auto"/>
              </w:rPr>
              <w:t>Large accelerated filer</w:t>
            </w:r>
          </w:p>
        </w:tc>
        <w:tc>
          <w:tcPr>
            <w:tcW w:w="180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3320" w:type="dxa"/>
            <w:vAlign w:val="bottom"/>
          </w:tcPr>
          <w:p>
            <w:pPr>
              <w:ind w:left="1160"/>
              <w:spacing w:after="0" w:line="169" w:lineRule="exact"/>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180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3320" w:type="dxa"/>
            <w:vAlign w:val="bottom"/>
          </w:tcPr>
          <w:p>
            <w:pPr>
              <w:ind w:left="116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320" w:type="dxa"/>
            <w:vAlign w:val="bottom"/>
          </w:tcPr>
          <w:p>
            <w:pPr>
              <w:ind w:left="116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4"/>
          <w:szCs w:val="24"/>
          <w:color w:val="auto"/>
        </w:rPr>
      </w:pPr>
    </w:p>
    <w:p>
      <w:pPr>
        <w:ind w:left="500" w:right="660" w:firstLine="360"/>
        <w:spacing w:after="0" w:line="20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219710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239" w:right="1079" w:bottom="1440" w:gutter="0" w:footer="0" w:header="0"/>
        </w:sectPr>
      </w:pPr>
    </w:p>
    <w:bookmarkStart w:id="1" w:name="page2"/>
    <w:bookmarkEnd w:id="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3"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CALCULATION OF REGISTRATION FEE</w:t>
      </w:r>
    </w:p>
    <w:p>
      <w:pPr>
        <w:spacing w:after="0" w:line="264" w:lineRule="exact"/>
        <w:rPr>
          <w:sz w:val="20"/>
          <w:szCs w:val="20"/>
          <w:color w:val="auto"/>
        </w:rPr>
      </w:pPr>
    </w:p>
    <w:tbl>
      <w:tblPr>
        <w:tblLayout w:type="fixed"/>
        <w:tblInd w:w="500" w:type="dxa"/>
        <w:tblCellMar>
          <w:top w:w="0" w:type="dxa"/>
          <w:left w:w="0" w:type="dxa"/>
          <w:bottom w:w="0" w:type="dxa"/>
          <w:right w:w="0" w:type="dxa"/>
        </w:tblCellMar>
      </w:tblPr>
      <w:tr>
        <w:trPr>
          <w:trHeight w:val="40"/>
        </w:trPr>
        <w:tc>
          <w:tcPr>
            <w:tcW w:w="500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50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Proposed</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Proposed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58"/>
        </w:trPr>
        <w:tc>
          <w:tcPr>
            <w:tcW w:w="50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7"/>
              </w:rPr>
              <w:t>Being</w:t>
            </w:r>
          </w:p>
        </w:tc>
        <w:tc>
          <w:tcPr>
            <w:tcW w:w="14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5"/>
              </w:rPr>
              <w:t>Offering</w:t>
            </w:r>
          </w:p>
        </w:tc>
        <w:tc>
          <w:tcPr>
            <w:tcW w:w="13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Offering</w:t>
            </w: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Registration</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4"/>
                <w:szCs w:val="14"/>
                <w:b w:val="1"/>
                <w:bCs w:val="1"/>
                <w:color w:val="auto"/>
              </w:rPr>
              <w:t>Title of Each Class of Security being registered</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Registered</w:t>
            </w:r>
          </w:p>
        </w:tc>
        <w:tc>
          <w:tcPr>
            <w:tcW w:w="1400" w:type="dxa"/>
            <w:vAlign w:val="bottom"/>
            <w:tcBorders>
              <w:bottom w:val="single" w:sz="8" w:color="auto"/>
              <w:right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6"/>
              </w:rPr>
              <w:t>Price per Security</w:t>
            </w:r>
            <w:r>
              <w:rPr>
                <w:rFonts w:ascii="Arial" w:cs="Arial" w:eastAsia="Arial" w:hAnsi="Arial"/>
                <w:sz w:val="21"/>
                <w:szCs w:val="21"/>
                <w:b w:val="1"/>
                <w:bCs w:val="1"/>
                <w:color w:val="auto"/>
                <w:w w:val="86"/>
                <w:vertAlign w:val="superscript"/>
              </w:rPr>
              <w:t>(1)</w:t>
            </w:r>
          </w:p>
        </w:tc>
        <w:tc>
          <w:tcPr>
            <w:tcW w:w="1360" w:type="dxa"/>
            <w:vAlign w:val="bottom"/>
            <w:tcBorders>
              <w:bottom w:val="single" w:sz="8" w:color="auto"/>
              <w:right w:val="single" w:sz="8" w:color="auto"/>
            </w:tcBorders>
          </w:tcPr>
          <w:p>
            <w:pPr>
              <w:jc w:val="center"/>
              <w:spacing w:after="0" w:line="230" w:lineRule="exact"/>
              <w:rPr>
                <w:sz w:val="20"/>
                <w:szCs w:val="20"/>
                <w:color w:val="auto"/>
              </w:rPr>
            </w:pPr>
            <w:r>
              <w:rPr>
                <w:rFonts w:ascii="Arial" w:cs="Arial" w:eastAsia="Arial" w:hAnsi="Arial"/>
                <w:sz w:val="26"/>
                <w:szCs w:val="26"/>
                <w:b w:val="1"/>
                <w:bCs w:val="1"/>
                <w:color w:val="auto"/>
                <w:w w:val="80"/>
                <w:vertAlign w:val="subscript"/>
              </w:rPr>
              <w:t>Price</w:t>
            </w:r>
            <w:r>
              <w:rPr>
                <w:rFonts w:ascii="Arial" w:cs="Arial" w:eastAsia="Arial" w:hAnsi="Arial"/>
                <w:sz w:val="10"/>
                <w:szCs w:val="10"/>
                <w:b w:val="1"/>
                <w:bCs w:val="1"/>
                <w:color w:val="auto"/>
                <w:w w:val="80"/>
              </w:rPr>
              <w:t>(1)(2)</w:t>
            </w:r>
          </w:p>
        </w:tc>
        <w:tc>
          <w:tcPr>
            <w:tcW w:w="1000" w:type="dxa"/>
            <w:vAlign w:val="bottom"/>
            <w:tcBorders>
              <w:bottom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90"/>
              </w:rPr>
              <w:t>Fee</w:t>
            </w:r>
          </w:p>
        </w:tc>
        <w:tc>
          <w:tcPr>
            <w:tcW w:w="0" w:type="dxa"/>
            <w:vAlign w:val="bottom"/>
          </w:tcPr>
          <w:p>
            <w:pPr>
              <w:spacing w:after="0"/>
              <w:rPr>
                <w:sz w:val="1"/>
                <w:szCs w:val="1"/>
                <w:color w:val="auto"/>
              </w:rPr>
            </w:pPr>
          </w:p>
        </w:tc>
      </w:tr>
      <w:tr>
        <w:trPr>
          <w:trHeight w:val="200"/>
        </w:trPr>
        <w:tc>
          <w:tcPr>
            <w:tcW w:w="50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w w:val="96"/>
              </w:rPr>
              <w:t>Units, each consisting of one share of common stock, $0.0001 par value</w:t>
            </w:r>
          </w:p>
        </w:tc>
        <w:tc>
          <w:tcPr>
            <w:tcW w:w="960" w:type="dxa"/>
            <w:vAlign w:val="bottom"/>
            <w:tcBorders>
              <w:right w:val="single" w:sz="8" w:color="auto"/>
            </w:tcBorders>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spacing w:after="0"/>
              <w:rPr>
                <w:sz w:val="17"/>
                <w:szCs w:val="17"/>
                <w:color w:val="auto"/>
              </w:rPr>
            </w:pPr>
          </w:p>
        </w:tc>
        <w:tc>
          <w:tcPr>
            <w:tcW w:w="1360" w:type="dxa"/>
            <w:vAlign w:val="bottom"/>
            <w:tcBorders>
              <w:right w:val="single" w:sz="8" w:color="auto"/>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000" w:type="dxa"/>
            <w:vAlign w:val="bottom"/>
            <w:tcBorders>
              <w:right w:val="single" w:sz="8" w:color="auto"/>
            </w:tcBorders>
            <w:shd w:val="clear" w:color="auto" w:fill="CCEEFF"/>
          </w:tcPr>
          <w:p>
            <w:pPr>
              <w:ind w:left="160"/>
              <w:spacing w:after="0" w:line="158" w:lineRule="exact"/>
              <w:rPr>
                <w:sz w:val="20"/>
                <w:szCs w:val="20"/>
                <w:color w:val="auto"/>
              </w:rPr>
            </w:pPr>
            <w:r>
              <w:rPr>
                <w:rFonts w:ascii="Arial" w:cs="Arial" w:eastAsia="Arial" w:hAnsi="Arial"/>
                <w:sz w:val="16"/>
                <w:szCs w:val="16"/>
                <w:color w:val="auto"/>
              </w:rPr>
              <w:t>and one-half of one redeemable warrant entitling the holder to</w:t>
            </w:r>
          </w:p>
        </w:tc>
        <w:tc>
          <w:tcPr>
            <w:tcW w:w="960" w:type="dxa"/>
            <w:vAlign w:val="bottom"/>
            <w:tcBorders>
              <w:right w:val="single" w:sz="8" w:color="auto"/>
            </w:tcBorders>
            <w:shd w:val="clear" w:color="auto" w:fill="CCEEFF"/>
          </w:tcPr>
          <w:p>
            <w:pPr>
              <w:spacing w:after="0"/>
              <w:rPr>
                <w:sz w:val="13"/>
                <w:szCs w:val="13"/>
                <w:color w:val="auto"/>
              </w:rPr>
            </w:pPr>
          </w:p>
        </w:tc>
        <w:tc>
          <w:tcPr>
            <w:tcW w:w="1400" w:type="dxa"/>
            <w:vAlign w:val="bottom"/>
            <w:tcBorders>
              <w:right w:val="single" w:sz="8" w:color="auto"/>
            </w:tcBorders>
            <w:shd w:val="clear" w:color="auto" w:fill="CCEEFF"/>
          </w:tcPr>
          <w:p>
            <w:pPr>
              <w:spacing w:after="0"/>
              <w:rPr>
                <w:sz w:val="13"/>
                <w:szCs w:val="13"/>
                <w:color w:val="auto"/>
              </w:rPr>
            </w:pPr>
          </w:p>
        </w:tc>
        <w:tc>
          <w:tcPr>
            <w:tcW w:w="1360" w:type="dxa"/>
            <w:vAlign w:val="bottom"/>
            <w:tcBorders>
              <w:right w:val="single" w:sz="8" w:color="auto"/>
            </w:tcBorders>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5000" w:type="dxa"/>
            <w:vAlign w:val="bottom"/>
            <w:tcBorders>
              <w:bottom w:val="single" w:sz="8" w:color="auto"/>
              <w:right w:val="single" w:sz="8" w:color="auto"/>
            </w:tcBorders>
            <w:shd w:val="clear" w:color="auto" w:fill="CCEEFF"/>
          </w:tcPr>
          <w:p>
            <w:pPr>
              <w:ind w:left="160"/>
              <w:spacing w:after="0" w:line="270" w:lineRule="exact"/>
              <w:rPr>
                <w:sz w:val="20"/>
                <w:szCs w:val="20"/>
                <w:color w:val="auto"/>
              </w:rPr>
            </w:pPr>
            <w:r>
              <w:rPr>
                <w:rFonts w:ascii="Arial" w:cs="Arial" w:eastAsia="Arial" w:hAnsi="Arial"/>
                <w:sz w:val="16"/>
                <w:szCs w:val="16"/>
                <w:color w:val="auto"/>
              </w:rPr>
              <w:t>purchase one share of common stock</w:t>
            </w:r>
            <w:r>
              <w:rPr>
                <w:rFonts w:ascii="Arial" w:cs="Arial" w:eastAsia="Arial" w:hAnsi="Arial"/>
                <w:sz w:val="25"/>
                <w:szCs w:val="25"/>
                <w:color w:val="auto"/>
                <w:vertAlign w:val="superscript"/>
              </w:rPr>
              <w:t>(2)</w:t>
            </w:r>
          </w:p>
        </w:tc>
        <w:tc>
          <w:tcPr>
            <w:tcW w:w="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11,500,000</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$10.00</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$115,000,000</w:t>
            </w:r>
          </w:p>
        </w:tc>
        <w:tc>
          <w:tcPr>
            <w:tcW w:w="1000" w:type="dxa"/>
            <w:vAlign w:val="bottom"/>
            <w:tcBorders>
              <w:bottom w:val="single" w:sz="8" w:color="auto"/>
            </w:tcBorders>
            <w:shd w:val="clear" w:color="auto" w:fill="CCEEFF"/>
          </w:tcPr>
          <w:p>
            <w:pPr>
              <w:jc w:val="center"/>
              <w:ind w:left="7"/>
              <w:spacing w:after="0"/>
              <w:rPr>
                <w:sz w:val="20"/>
                <w:szCs w:val="20"/>
                <w:color w:val="auto"/>
              </w:rPr>
            </w:pPr>
            <w:r>
              <w:rPr>
                <w:rFonts w:ascii="Arial" w:cs="Arial" w:eastAsia="Arial" w:hAnsi="Arial"/>
                <w:sz w:val="16"/>
                <w:szCs w:val="16"/>
                <w:color w:val="auto"/>
                <w:w w:val="94"/>
              </w:rPr>
              <w:t>$12,546.50</w:t>
            </w:r>
          </w:p>
        </w:tc>
        <w:tc>
          <w:tcPr>
            <w:tcW w:w="0" w:type="dxa"/>
            <w:vAlign w:val="bottom"/>
          </w:tcPr>
          <w:p>
            <w:pPr>
              <w:spacing w:after="0"/>
              <w:rPr>
                <w:sz w:val="1"/>
                <w:szCs w:val="1"/>
                <w:color w:val="auto"/>
              </w:rPr>
            </w:pPr>
          </w:p>
        </w:tc>
      </w:tr>
      <w:tr>
        <w:trPr>
          <w:trHeight w:val="169"/>
        </w:trPr>
        <w:tc>
          <w:tcPr>
            <w:tcW w:w="5000" w:type="dxa"/>
            <w:vAlign w:val="bottom"/>
            <w:tcBorders>
              <w:right w:val="single" w:sz="8" w:color="auto"/>
            </w:tcBorders>
          </w:tcPr>
          <w:p>
            <w:pPr>
              <w:spacing w:after="0" w:line="169" w:lineRule="exact"/>
              <w:rPr>
                <w:sz w:val="20"/>
                <w:szCs w:val="20"/>
                <w:color w:val="auto"/>
              </w:rPr>
            </w:pPr>
            <w:r>
              <w:rPr>
                <w:rFonts w:ascii="Arial" w:cs="Arial" w:eastAsia="Arial" w:hAnsi="Arial"/>
                <w:sz w:val="16"/>
                <w:szCs w:val="16"/>
                <w:color w:val="auto"/>
              </w:rPr>
              <w:t>Shares of common stock, $0.0001 par value, included as part of</w:t>
            </w:r>
          </w:p>
        </w:tc>
        <w:tc>
          <w:tcPr>
            <w:tcW w:w="96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000" w:type="dxa"/>
            <w:vAlign w:val="bottom"/>
            <w:tcBorders>
              <w:bottom w:val="single" w:sz="8" w:color="auto"/>
              <w:right w:val="single" w:sz="8" w:color="auto"/>
            </w:tcBorders>
          </w:tcPr>
          <w:p>
            <w:pPr>
              <w:ind w:left="160"/>
              <w:spacing w:after="0" w:line="270" w:lineRule="exact"/>
              <w:rPr>
                <w:sz w:val="20"/>
                <w:szCs w:val="20"/>
                <w:color w:val="auto"/>
              </w:rPr>
            </w:pPr>
            <w:r>
              <w:rPr>
                <w:rFonts w:ascii="Arial" w:cs="Arial" w:eastAsia="Arial" w:hAnsi="Arial"/>
                <w:sz w:val="16"/>
                <w:szCs w:val="16"/>
                <w:color w:val="auto"/>
              </w:rPr>
              <w:t>the units</w:t>
            </w:r>
            <w:r>
              <w:rPr>
                <w:rFonts w:ascii="Arial" w:cs="Arial" w:eastAsia="Arial" w:hAnsi="Arial"/>
                <w:sz w:val="25"/>
                <w:szCs w:val="25"/>
                <w:color w:val="auto"/>
                <w:vertAlign w:val="superscript"/>
              </w:rPr>
              <w:t>(3)</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11,500,000</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center"/>
              <w:ind w:left="7"/>
              <w:spacing w:after="0" w:line="269" w:lineRule="exact"/>
              <w:rPr>
                <w:sz w:val="20"/>
                <w:szCs w:val="20"/>
                <w:color w:val="auto"/>
              </w:rPr>
            </w:pPr>
            <w:r>
              <w:rPr>
                <w:rFonts w:ascii="Arial" w:cs="Arial" w:eastAsia="Arial" w:hAnsi="Arial"/>
                <w:sz w:val="31"/>
                <w:szCs w:val="31"/>
                <w:color w:val="auto"/>
                <w:w w:val="90"/>
                <w:vertAlign w:val="subscript"/>
              </w:rPr>
              <w:t>—</w:t>
            </w:r>
            <w:r>
              <w:rPr>
                <w:rFonts w:ascii="Arial" w:cs="Arial" w:eastAsia="Arial" w:hAnsi="Arial"/>
                <w:sz w:val="12"/>
                <w:szCs w:val="12"/>
                <w:color w:val="auto"/>
                <w:w w:val="90"/>
              </w:rPr>
              <w:t>(4)</w:t>
            </w:r>
          </w:p>
        </w:tc>
        <w:tc>
          <w:tcPr>
            <w:tcW w:w="0" w:type="dxa"/>
            <w:vAlign w:val="bottom"/>
          </w:tcPr>
          <w:p>
            <w:pPr>
              <w:spacing w:after="0"/>
              <w:rPr>
                <w:sz w:val="1"/>
                <w:szCs w:val="1"/>
                <w:color w:val="auto"/>
              </w:rPr>
            </w:pPr>
          </w:p>
        </w:tc>
      </w:tr>
      <w:tr>
        <w:trPr>
          <w:trHeight w:val="264"/>
        </w:trPr>
        <w:tc>
          <w:tcPr>
            <w:tcW w:w="5000" w:type="dxa"/>
            <w:vAlign w:val="bottom"/>
            <w:tcBorders>
              <w:bottom w:val="single" w:sz="8" w:color="auto"/>
              <w:right w:val="single" w:sz="8" w:color="auto"/>
            </w:tcBorders>
            <w:shd w:val="clear" w:color="auto" w:fill="CCEEFF"/>
          </w:tcPr>
          <w:p>
            <w:pPr>
              <w:spacing w:after="0" w:line="263" w:lineRule="exact"/>
              <w:rPr>
                <w:sz w:val="20"/>
                <w:szCs w:val="20"/>
                <w:color w:val="auto"/>
              </w:rPr>
            </w:pPr>
            <w:r>
              <w:rPr>
                <w:rFonts w:ascii="Arial" w:cs="Arial" w:eastAsia="Arial" w:hAnsi="Arial"/>
                <w:sz w:val="16"/>
                <w:szCs w:val="16"/>
                <w:color w:val="auto"/>
              </w:rPr>
              <w:t>Redeemable warrants included as part of the units</w:t>
            </w:r>
            <w:r>
              <w:rPr>
                <w:rFonts w:ascii="Arial" w:cs="Arial" w:eastAsia="Arial" w:hAnsi="Arial"/>
                <w:sz w:val="25"/>
                <w:szCs w:val="25"/>
                <w:color w:val="auto"/>
                <w:vertAlign w:val="superscript"/>
              </w:rPr>
              <w:t>(3)</w:t>
            </w:r>
          </w:p>
        </w:tc>
        <w:tc>
          <w:tcPr>
            <w:tcW w:w="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5,750,000</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center"/>
              <w:ind w:left="7"/>
              <w:spacing w:after="0" w:line="264" w:lineRule="exact"/>
              <w:rPr>
                <w:sz w:val="20"/>
                <w:szCs w:val="20"/>
                <w:color w:val="auto"/>
              </w:rPr>
            </w:pPr>
            <w:r>
              <w:rPr>
                <w:rFonts w:ascii="Arial" w:cs="Arial" w:eastAsia="Arial" w:hAnsi="Arial"/>
                <w:sz w:val="30"/>
                <w:szCs w:val="30"/>
                <w:color w:val="auto"/>
                <w:w w:val="92"/>
                <w:vertAlign w:val="subscript"/>
              </w:rPr>
              <w:t>—</w:t>
            </w:r>
            <w:r>
              <w:rPr>
                <w:rFonts w:ascii="Arial" w:cs="Arial" w:eastAsia="Arial" w:hAnsi="Arial"/>
                <w:sz w:val="12"/>
                <w:szCs w:val="12"/>
                <w:color w:val="auto"/>
                <w:w w:val="92"/>
              </w:rPr>
              <w:t>(4)</w:t>
            </w:r>
          </w:p>
        </w:tc>
        <w:tc>
          <w:tcPr>
            <w:tcW w:w="0" w:type="dxa"/>
            <w:vAlign w:val="bottom"/>
          </w:tcPr>
          <w:p>
            <w:pPr>
              <w:spacing w:after="0"/>
              <w:rPr>
                <w:sz w:val="1"/>
                <w:szCs w:val="1"/>
                <w:color w:val="auto"/>
              </w:rPr>
            </w:pPr>
          </w:p>
        </w:tc>
      </w:tr>
      <w:tr>
        <w:trPr>
          <w:trHeight w:val="200"/>
        </w:trPr>
        <w:tc>
          <w:tcPr>
            <w:tcW w:w="500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9"/>
              </w:rPr>
              <w:t>Shares of common stock underlying the redeemable warrants included</w:t>
            </w:r>
          </w:p>
        </w:tc>
        <w:tc>
          <w:tcPr>
            <w:tcW w:w="9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000" w:type="dxa"/>
            <w:vAlign w:val="bottom"/>
            <w:vMerge w:val="restart"/>
          </w:tcPr>
          <w:p>
            <w:pPr>
              <w:jc w:val="center"/>
              <w:ind w:left="27"/>
              <w:spacing w:after="0"/>
              <w:rPr>
                <w:sz w:val="20"/>
                <w:szCs w:val="20"/>
                <w:color w:val="auto"/>
              </w:rPr>
            </w:pPr>
            <w:r>
              <w:rPr>
                <w:rFonts w:ascii="Arial" w:cs="Arial" w:eastAsia="Arial" w:hAnsi="Arial"/>
                <w:sz w:val="16"/>
                <w:szCs w:val="16"/>
                <w:color w:val="auto"/>
                <w:w w:val="89"/>
              </w:rPr>
              <w:t>7,214.25</w:t>
            </w:r>
            <w:r>
              <w:rPr>
                <w:rFonts w:ascii="Arial" w:cs="Arial" w:eastAsia="Arial" w:hAnsi="Arial"/>
                <w:sz w:val="25"/>
                <w:szCs w:val="25"/>
                <w:color w:val="auto"/>
                <w:w w:val="89"/>
                <w:vertAlign w:val="superscript"/>
              </w:rPr>
              <w:t>(5)</w:t>
            </w:r>
          </w:p>
        </w:tc>
        <w:tc>
          <w:tcPr>
            <w:tcW w:w="0" w:type="dxa"/>
            <w:vAlign w:val="bottom"/>
          </w:tcPr>
          <w:p>
            <w:pPr>
              <w:spacing w:after="0"/>
              <w:rPr>
                <w:sz w:val="1"/>
                <w:szCs w:val="1"/>
                <w:color w:val="auto"/>
              </w:rPr>
            </w:pPr>
          </w:p>
        </w:tc>
      </w:tr>
      <w:tr>
        <w:trPr>
          <w:trHeight w:val="226"/>
        </w:trPr>
        <w:tc>
          <w:tcPr>
            <w:tcW w:w="50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as part of the units</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5,750,000</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11.50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66,125,000</w:t>
            </w: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50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right w:val="single" w:sz="8" w:color="auto"/>
            </w:tcBorders>
            <w:shd w:val="clear" w:color="auto" w:fill="CCEEFF"/>
          </w:tcPr>
          <w:p>
            <w:pPr>
              <w:spacing w:after="0"/>
              <w:rPr>
                <w:sz w:val="23"/>
                <w:szCs w:val="23"/>
                <w:color w:val="auto"/>
              </w:rPr>
            </w:pPr>
          </w:p>
        </w:tc>
        <w:tc>
          <w:tcPr>
            <w:tcW w:w="1400" w:type="dxa"/>
            <w:vAlign w:val="bottom"/>
            <w:tcBorders>
              <w:bottom w:val="single" w:sz="8" w:color="auto"/>
              <w:right w:val="single" w:sz="8" w:color="auto"/>
            </w:tcBorders>
            <w:shd w:val="clear" w:color="auto" w:fill="CCEEFF"/>
          </w:tcPr>
          <w:p>
            <w:pPr>
              <w:spacing w:after="0"/>
              <w:rPr>
                <w:sz w:val="23"/>
                <w:szCs w:val="23"/>
                <w:color w:val="auto"/>
              </w:rPr>
            </w:pP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$181,125,000.00</w:t>
            </w:r>
          </w:p>
        </w:tc>
        <w:tc>
          <w:tcPr>
            <w:tcW w:w="1000" w:type="dxa"/>
            <w:vAlign w:val="bottom"/>
            <w:tcBorders>
              <w:bottom w:val="single" w:sz="8" w:color="auto"/>
            </w:tcBorders>
            <w:shd w:val="clear" w:color="auto" w:fill="CCEEFF"/>
          </w:tcPr>
          <w:p>
            <w:pPr>
              <w:jc w:val="center"/>
              <w:ind w:left="7"/>
              <w:spacing w:after="0" w:line="250" w:lineRule="exact"/>
              <w:rPr>
                <w:sz w:val="20"/>
                <w:szCs w:val="20"/>
                <w:color w:val="auto"/>
              </w:rPr>
            </w:pPr>
            <w:r>
              <w:rPr>
                <w:rFonts w:ascii="Arial" w:cs="Arial" w:eastAsia="Arial" w:hAnsi="Arial"/>
                <w:sz w:val="16"/>
                <w:szCs w:val="16"/>
                <w:color w:val="auto"/>
                <w:w w:val="91"/>
              </w:rPr>
              <w:t>$19,760.75</w:t>
            </w:r>
            <w:r>
              <w:rPr>
                <w:rFonts w:ascii="Arial" w:cs="Arial" w:eastAsia="Arial" w:hAnsi="Arial"/>
                <w:sz w:val="25"/>
                <w:szCs w:val="25"/>
                <w:color w:val="auto"/>
                <w:w w:val="91"/>
                <w:vertAlign w:val="superscript"/>
              </w:rPr>
              <w:t>(6)</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left="860" w:hanging="368"/>
        <w:spacing w:after="0"/>
        <w:tabs>
          <w:tab w:leader="none" w:pos="86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registration fee pursuant to Rule 457(o) under the Securities Act of 1933, as amended.</w:t>
      </w:r>
    </w:p>
    <w:p>
      <w:pPr>
        <w:spacing w:after="0" w:line="57" w:lineRule="exact"/>
        <w:rPr>
          <w:rFonts w:ascii="Arial" w:cs="Arial" w:eastAsia="Arial" w:hAnsi="Arial"/>
          <w:sz w:val="15"/>
          <w:szCs w:val="15"/>
          <w:color w:val="auto"/>
        </w:rPr>
      </w:pPr>
    </w:p>
    <w:p>
      <w:pPr>
        <w:jc w:val="both"/>
        <w:ind w:left="860" w:right="100" w:hanging="368"/>
        <w:spacing w:after="0" w:line="243" w:lineRule="auto"/>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(A) the aggregate of 10,000,000 units to be issued to public stockholders in the public offering, and 1,500,000 units which may be issued upon exercise of a 45-day option granted to the Underwriters to cover over-allotments, if any; and (B) shares of common stock and warrants underlying such units.</w:t>
      </w:r>
    </w:p>
    <w:p>
      <w:pPr>
        <w:spacing w:after="0" w:line="21" w:lineRule="exact"/>
        <w:rPr>
          <w:rFonts w:ascii="Arial" w:cs="Arial" w:eastAsia="Arial" w:hAnsi="Arial"/>
          <w:sz w:val="16"/>
          <w:szCs w:val="16"/>
          <w:color w:val="auto"/>
        </w:rPr>
      </w:pPr>
    </w:p>
    <w:p>
      <w:pPr>
        <w:ind w:left="860" w:hanging="368"/>
        <w:spacing w:after="0" w:line="258" w:lineRule="auto"/>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there are also being registered an indeterminable number of additional securities as may be issued to prevent dilution resulting from share sub-divisions, share dividends or similar transactions.</w:t>
      </w:r>
    </w:p>
    <w:p>
      <w:pPr>
        <w:spacing w:after="0" w:line="9" w:lineRule="exact"/>
        <w:rPr>
          <w:rFonts w:ascii="Arial" w:cs="Arial" w:eastAsia="Arial" w:hAnsi="Arial"/>
          <w:sz w:val="16"/>
          <w:szCs w:val="16"/>
          <w:color w:val="auto"/>
        </w:rPr>
      </w:pPr>
    </w:p>
    <w:p>
      <w:pPr>
        <w:ind w:left="860" w:hanging="368"/>
        <w:spacing w:after="0"/>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 fee pursuant to Rule 457(g) under the Securities Act.</w:t>
      </w:r>
    </w:p>
    <w:p>
      <w:pPr>
        <w:spacing w:after="0" w:line="45" w:lineRule="exact"/>
        <w:rPr>
          <w:rFonts w:ascii="Arial" w:cs="Arial" w:eastAsia="Arial" w:hAnsi="Arial"/>
          <w:sz w:val="16"/>
          <w:szCs w:val="16"/>
          <w:color w:val="auto"/>
        </w:rPr>
      </w:pPr>
    </w:p>
    <w:p>
      <w:pPr>
        <w:ind w:left="860" w:hanging="368"/>
        <w:spacing w:after="0"/>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pursuant to Rule 457(g), based on the exercise price of the warrants.</w:t>
      </w:r>
    </w:p>
    <w:p>
      <w:pPr>
        <w:spacing w:after="0" w:line="45" w:lineRule="exact"/>
        <w:rPr>
          <w:rFonts w:ascii="Arial" w:cs="Arial" w:eastAsia="Arial" w:hAnsi="Arial"/>
          <w:sz w:val="16"/>
          <w:szCs w:val="16"/>
          <w:color w:val="auto"/>
        </w:rPr>
      </w:pPr>
    </w:p>
    <w:p>
      <w:pPr>
        <w:ind w:left="860" w:hanging="368"/>
        <w:spacing w:after="0"/>
        <w:tabs>
          <w:tab w:leader="none" w:pos="8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Previously paid.</w:t>
      </w:r>
    </w:p>
    <w:p>
      <w:pPr>
        <w:spacing w:after="0" w:line="28" w:lineRule="exact"/>
        <w:rPr>
          <w:sz w:val="20"/>
          <w:szCs w:val="20"/>
          <w:color w:val="auto"/>
        </w:rPr>
      </w:pPr>
    </w:p>
    <w:p>
      <w:pPr>
        <w:ind w:left="500" w:right="100" w:firstLine="360"/>
        <w:spacing w:after="0" w:line="242"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21590</wp:posOffset>
            </wp:positionV>
            <wp:extent cx="61893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46990</wp:posOffset>
            </wp:positionV>
            <wp:extent cx="618934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9345" cy="2540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4123690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131" w:right="1079" w:bottom="1440" w:gutter="0" w:footer="0" w:header="0"/>
        </w:sectPr>
      </w:pPr>
    </w:p>
    <w:bookmarkStart w:id="2" w:name="page3"/>
    <w:bookmarkEnd w:id="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ectPr>
          <w:pgSz w:w="11900" w:h="16838" w:orient="portrait"/>
          <w:cols w:equalWidth="0" w:num="1">
            <w:col w:w="10240"/>
          </w:cols>
          <w:pgMar w:left="580" w:top="131" w:right="1079" w:bottom="1440" w:gutter="0" w:footer="0" w:header="0"/>
        </w:sectPr>
      </w:pPr>
    </w:p>
    <w:p>
      <w:pPr>
        <w:spacing w:after="0" w:line="200" w:lineRule="exact"/>
        <w:rPr>
          <w:sz w:val="20"/>
          <w:szCs w:val="20"/>
          <w:color w:val="auto"/>
        </w:rPr>
      </w:pPr>
    </w:p>
    <w:p>
      <w:pPr>
        <w:spacing w:after="0" w:line="239" w:lineRule="exact"/>
        <w:rPr>
          <w:sz w:val="20"/>
          <w:szCs w:val="20"/>
          <w:color w:val="auto"/>
        </w:rPr>
      </w:pPr>
    </w:p>
    <w:tbl>
      <w:tblPr>
        <w:tblLayout w:type="fixed"/>
        <w:tblInd w:w="440" w:type="dxa"/>
        <w:tblCellMar>
          <w:top w:w="0" w:type="dxa"/>
          <w:left w:w="0" w:type="dxa"/>
          <w:bottom w:w="0" w:type="dxa"/>
          <w:right w:w="0" w:type="dxa"/>
        </w:tblCellMar>
      </w:tblPr>
      <w:tr>
        <w:trPr>
          <w:trHeight w:val="2842"/>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 and Exchange Commission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offer or sale is not permitted.</w:t>
            </w:r>
          </w:p>
        </w:tc>
      </w:tr>
      <w:tr>
        <w:trPr>
          <w:trHeight w:val="3855"/>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these securities until the registration statement filed with</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offer to buy these securities in any jurisdiction where the</w:t>
            </w:r>
          </w:p>
        </w:tc>
      </w:tr>
      <w:tr>
        <w:trPr>
          <w:trHeight w:val="859"/>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8"/>
              </w:rPr>
              <w:t>may not sell</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soliciting an</w:t>
            </w:r>
          </w:p>
        </w:tc>
      </w:tr>
      <w:tr>
        <w:trPr>
          <w:trHeight w:val="1420"/>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We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and is not</w:t>
            </w:r>
          </w:p>
        </w:tc>
      </w:tr>
      <w:tr>
        <w:trPr>
          <w:trHeight w:val="1211"/>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not complete and</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offer to sell these</w:t>
            </w:r>
          </w:p>
        </w:tc>
      </w:tr>
      <w:tr>
        <w:trPr>
          <w:trHeight w:val="1413"/>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in this prospectus is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is not an</w:t>
            </w:r>
          </w:p>
        </w:tc>
      </w:tr>
      <w:tr>
        <w:trPr>
          <w:trHeight w:val="1107"/>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effective. This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tabs>
          <w:tab w:leader="none" w:pos="4740" w:val="left"/>
        </w:tabs>
        <w:rPr>
          <w:sz w:val="20"/>
          <w:szCs w:val="20"/>
          <w:color w:val="auto"/>
        </w:rPr>
      </w:pPr>
      <w:r>
        <w:rPr>
          <w:rFonts w:ascii="Arial" w:cs="Arial" w:eastAsia="Arial" w:hAnsi="Arial"/>
          <w:sz w:val="18"/>
          <w:szCs w:val="18"/>
          <w:b w:val="1"/>
          <w:bCs w:val="1"/>
          <w:color w:val="FC0014"/>
        </w:rPr>
        <w:t>PRELIMINARY PROSPECTUS</w:t>
      </w:r>
      <w:r>
        <w:rPr>
          <w:sz w:val="20"/>
          <w:szCs w:val="20"/>
          <w:color w:val="auto"/>
        </w:rPr>
        <w:tab/>
      </w:r>
      <w:r>
        <w:rPr>
          <w:rFonts w:ascii="Arial" w:cs="Arial" w:eastAsia="Arial" w:hAnsi="Arial"/>
          <w:sz w:val="17"/>
          <w:szCs w:val="17"/>
          <w:b w:val="1"/>
          <w:bCs w:val="1"/>
          <w:color w:val="FC0014"/>
        </w:rPr>
        <w:t>SUBJECT TO COMPLETION, DATED AUGUST 3,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$100,000,000</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CHARDAN NEXTECH ACQUISITION 2 CORP.</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 UNITS</w:t>
      </w:r>
    </w:p>
    <w:p>
      <w:pPr>
        <w:spacing w:after="0" w:line="153" w:lineRule="exact"/>
        <w:rPr>
          <w:sz w:val="20"/>
          <w:szCs w:val="20"/>
          <w:color w:val="auto"/>
        </w:rPr>
      </w:pPr>
    </w:p>
    <w:p>
      <w:pPr>
        <w:ind w:right="180" w:firstLine="360"/>
        <w:spacing w:after="0" w:line="257" w:lineRule="auto"/>
        <w:rPr>
          <w:sz w:val="20"/>
          <w:szCs w:val="20"/>
          <w:color w:val="auto"/>
        </w:rPr>
      </w:pPr>
      <w:r>
        <w:rPr>
          <w:rFonts w:ascii="Arial" w:cs="Arial" w:eastAsia="Arial" w:hAnsi="Arial"/>
          <w:sz w:val="17"/>
          <w:szCs w:val="17"/>
          <w:color w:val="auto"/>
        </w:rPr>
        <w:t>Chardan NexTech Acquisition 2 Corp., which we refer to as “we,” “us” or “our company,” is a newly organized blank check company incorporated in Delaware and formed for the purpose of entering into a merger, share exchange, asset acquisition, stock purchase, recapitalization, reorganization or other similar business combination with one or more businesses or entities, which we refer to throughout this prospectus as our “initial business combination.” Although we are not limited to a particular industry or geographic region for purposes of consummating an initial business combination, we intend to focus our search on disruptive technology companies.</w:t>
      </w:r>
    </w:p>
    <w:p>
      <w:pPr>
        <w:spacing w:after="0" w:line="94" w:lineRule="exact"/>
        <w:rPr>
          <w:sz w:val="20"/>
          <w:szCs w:val="20"/>
          <w:color w:val="auto"/>
        </w:rPr>
      </w:pPr>
    </w:p>
    <w:p>
      <w:pPr>
        <w:ind w:right="80" w:firstLine="360"/>
        <w:spacing w:after="0" w:line="239" w:lineRule="auto"/>
        <w:rPr>
          <w:sz w:val="20"/>
          <w:szCs w:val="20"/>
          <w:color w:val="auto"/>
        </w:rPr>
      </w:pPr>
      <w:r>
        <w:rPr>
          <w:rFonts w:ascii="Arial" w:cs="Arial" w:eastAsia="Arial" w:hAnsi="Arial"/>
          <w:sz w:val="18"/>
          <w:szCs w:val="18"/>
          <w:color w:val="auto"/>
        </w:rPr>
        <w:t>This is an initial public offering of our securities. We are offering 10,000,000 units at an offering price of $10.00 per unit. Each unit consists of one share of common stock, par value $0.0001, and one-half of one warrant, which we refer to throughout this prospectus as “warrants” or the “public warrants.” Each whole warrant entitles the holder thereof to purchase one share of common stock at a price of $11.50 per share, subject to adjustment, terms and limitations as described in the prospectus. Only whole warrants are exercisable. Each warrant will become exercisable 30 days after the consummation of an initial business combination, and will expire five years after the completion of an initial business combination, or earlier upon redemption.</w:t>
      </w:r>
    </w:p>
    <w:p>
      <w:pPr>
        <w:spacing w:after="0" w:line="123" w:lineRule="exact"/>
        <w:rPr>
          <w:sz w:val="20"/>
          <w:szCs w:val="20"/>
          <w:color w:val="auto"/>
        </w:rPr>
      </w:pPr>
    </w:p>
    <w:p>
      <w:pPr>
        <w:ind w:right="60" w:firstLine="360"/>
        <w:spacing w:after="0" w:line="241" w:lineRule="auto"/>
        <w:rPr>
          <w:sz w:val="20"/>
          <w:szCs w:val="20"/>
          <w:color w:val="auto"/>
        </w:rPr>
      </w:pPr>
      <w:r>
        <w:rPr>
          <w:rFonts w:ascii="Arial" w:cs="Arial" w:eastAsia="Arial" w:hAnsi="Arial"/>
          <w:sz w:val="18"/>
          <w:szCs w:val="18"/>
          <w:color w:val="auto"/>
        </w:rPr>
        <w:t>We have granted Chardan Capital Markets, LLC, the representative of the underwriters, a 45-day option to purchase up to an additional 1,500,000 units (over and above the 10,000,000 units referred to above) solely to cover over-allotments, if any. Our sponsor, Chardan NexTech Investments 2 LLC, and certain of our officers and directors are affiliated with the representative of the underwriters. We have engaged B. Riley Securities, Inc. to act as a “qualified independent underwriter” for this offering.</w:t>
      </w:r>
    </w:p>
    <w:p>
      <w:pPr>
        <w:spacing w:after="0" w:line="122" w:lineRule="exact"/>
        <w:rPr>
          <w:sz w:val="20"/>
          <w:szCs w:val="20"/>
          <w:color w:val="auto"/>
        </w:rPr>
      </w:pPr>
    </w:p>
    <w:p>
      <w:pPr>
        <w:ind w:right="60" w:firstLine="360"/>
        <w:spacing w:after="0" w:line="259" w:lineRule="auto"/>
        <w:rPr>
          <w:sz w:val="20"/>
          <w:szCs w:val="20"/>
          <w:color w:val="auto"/>
        </w:rPr>
      </w:pPr>
      <w:r>
        <w:rPr>
          <w:rFonts w:ascii="Arial" w:cs="Arial" w:eastAsia="Arial" w:hAnsi="Arial"/>
          <w:sz w:val="17"/>
          <w:szCs w:val="17"/>
          <w:color w:val="auto"/>
        </w:rPr>
        <w:t>We will provide the holders of our outstanding shares of common stock that were sold as part of the units in this offering with the opportunity to redeem their shares of common stock upon the consummation of our initial business combination at a per-share price, payable in cash, equal to the aggregate amount then on deposit in the trust account described below, including interest (net of taxes payable), divided by the number of then outstanding shares of common stock that were sold as part of the units in this offering, which we refer to as our “public shares.”</w:t>
      </w:r>
    </w:p>
    <w:p>
      <w:pPr>
        <w:spacing w:after="0" w:line="93" w:lineRule="exact"/>
        <w:rPr>
          <w:sz w:val="20"/>
          <w:szCs w:val="20"/>
          <w:color w:val="auto"/>
        </w:rPr>
      </w:pPr>
    </w:p>
    <w:p>
      <w:pPr>
        <w:ind w:right="40" w:firstLine="360"/>
        <w:spacing w:after="0" w:line="238" w:lineRule="auto"/>
        <w:rPr>
          <w:sz w:val="20"/>
          <w:szCs w:val="20"/>
          <w:color w:val="auto"/>
        </w:rPr>
      </w:pPr>
      <w:r>
        <w:rPr>
          <w:rFonts w:ascii="Arial" w:cs="Arial" w:eastAsia="Arial" w:hAnsi="Arial"/>
          <w:sz w:val="18"/>
          <w:szCs w:val="18"/>
          <w:color w:val="auto"/>
        </w:rPr>
        <w:t>We will have 12 months from the closing of this offering to consummate an initial business combination. However, if we anticipate that we may not be able to consummate our initial business combination within 12 months, our insiders or their affiliates may, but are not obligated to, extend the period of time to consummate a business combination up to two times by an additional three months each time (for a total of up to 18 months to complete a business combination), as described in more detail in this prospectus. Public stockholders will not be offered the opportunity to vote on or redeem their shares in connection with any such extension. If we are unable to consummate our initial business combination within the above time period, we will distribute the aggregate amount then on deposit in the trust account, pro rata to our public stockholders, by way of the redemption of their shares and thereafter cease all operations except for the purposes of winding up of our affairs, as further described herein. In such event, the warrants will expire and be worthless.</w:t>
      </w:r>
    </w:p>
    <w:p>
      <w:pPr>
        <w:spacing w:after="0" w:line="121" w:lineRule="exact"/>
        <w:rPr>
          <w:sz w:val="20"/>
          <w:szCs w:val="20"/>
          <w:color w:val="auto"/>
        </w:rPr>
      </w:pPr>
    </w:p>
    <w:p>
      <w:pPr>
        <w:ind w:right="140" w:firstLine="360"/>
        <w:spacing w:after="0" w:line="241" w:lineRule="auto"/>
        <w:rPr>
          <w:sz w:val="20"/>
          <w:szCs w:val="20"/>
          <w:color w:val="auto"/>
        </w:rPr>
      </w:pPr>
      <w:r>
        <w:rPr>
          <w:rFonts w:ascii="Arial" w:cs="Arial" w:eastAsia="Arial" w:hAnsi="Arial"/>
          <w:sz w:val="18"/>
          <w:szCs w:val="18"/>
          <w:color w:val="auto"/>
        </w:rPr>
        <w:t>Chardan NexTech 2 Warrant Holdings LLC, an affiliate of our sponsor, has committed to purchase 4,200,000 warrants (or up to 4,442,183 warrants depending on the extent to which the underwriters’ over-allotment option is exercised) at a price of approximately $ 0.93 per warrant ($3,902,000 (or up to $4,127,000 depending on the extent to which the underwriters’ over-allotment option is exercised)) in a private placement that will close simultaneously with the closing of this offering.</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July 23, 2020, our sponsor purchased 1,000,000 shares of common stock for an aggregate purchase price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$25,000. On March 4, 2021, we effected a 2.875-for-1 stock split, resulting in 2,875,000 shares of common stock being</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held by our sponsor. Such shares are referred to herein as “founder shares,” which includes an aggregate of up to</w:t>
      </w:r>
    </w:p>
    <w:p>
      <w:pPr>
        <w:spacing w:after="0"/>
        <w:rPr>
          <w:sz w:val="20"/>
          <w:szCs w:val="20"/>
          <w:color w:val="auto"/>
        </w:rPr>
      </w:pPr>
      <w:r>
        <w:rPr>
          <w:rFonts w:ascii="Arial" w:cs="Arial" w:eastAsia="Arial" w:hAnsi="Arial"/>
          <w:sz w:val="17"/>
          <w:szCs w:val="17"/>
          <w:color w:val="auto"/>
        </w:rPr>
        <w:t>375,000 shares that are subject to forfeiture to the extent that the underwriters’ over-allotment option is not exercised in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full or in part.</w:t>
      </w:r>
    </w:p>
    <w:p>
      <w:pPr>
        <w:spacing w:after="0" w:line="115" w:lineRule="exact"/>
        <w:rPr>
          <w:sz w:val="20"/>
          <w:szCs w:val="20"/>
          <w:color w:val="auto"/>
        </w:rPr>
      </w:pPr>
    </w:p>
    <w:p>
      <w:pPr>
        <w:ind w:right="60" w:firstLine="360"/>
        <w:spacing w:after="0" w:line="259" w:lineRule="auto"/>
        <w:rPr>
          <w:sz w:val="20"/>
          <w:szCs w:val="20"/>
          <w:color w:val="auto"/>
        </w:rPr>
      </w:pPr>
      <w:r>
        <w:rPr>
          <w:rFonts w:ascii="Arial" w:cs="Arial" w:eastAsia="Arial" w:hAnsi="Arial"/>
          <w:sz w:val="17"/>
          <w:szCs w:val="17"/>
          <w:color w:val="auto"/>
        </w:rPr>
        <w:t>There is presently no public market for our units, common stock, or warrants. We have applied to have our units listed on the Nasdaq Capital Market, or the Nasdaq, under the symbol “CNTQU” on or promptly after the date of this prospectus. Once the securities comprising the units begin separate trading as described in this prospectus, the shares of common stock and warrants will be traded on the Nasdaq under the symbols “CNTQ” and “CNTQW,” respectively. We cannot assure you that our securities will continue to be listed on the Nasdaq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235585</wp:posOffset>
            </wp:positionV>
            <wp:extent cx="68065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740" w:space="400"/>
            <w:col w:w="9100"/>
          </w:cols>
          <w:pgMar w:left="580" w:top="131" w:right="1079"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7" w:lineRule="exact"/>
        <w:rPr>
          <w:sz w:val="20"/>
          <w:szCs w:val="20"/>
          <w:color w:val="auto"/>
        </w:rPr>
      </w:pPr>
    </w:p>
    <w:p>
      <w:pPr>
        <w:ind w:left="500" w:right="20" w:firstLine="360"/>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and will therefore be subject to reduced public company reporting requirements.</w:t>
      </w:r>
    </w:p>
    <w:p>
      <w:pPr>
        <w:spacing w:after="0" w:line="99" w:lineRule="exact"/>
        <w:rPr>
          <w:sz w:val="20"/>
          <w:szCs w:val="20"/>
          <w:color w:val="auto"/>
        </w:rPr>
      </w:pPr>
    </w:p>
    <w:p>
      <w:pPr>
        <w:ind w:left="500" w:right="560" w:firstLine="360"/>
        <w:spacing w:after="0" w:line="386" w:lineRule="auto"/>
        <w:rPr>
          <w:rFonts w:ascii="Arial" w:cs="Arial" w:eastAsia="Arial" w:hAnsi="Arial"/>
          <w:sz w:val="15"/>
          <w:szCs w:val="15"/>
          <w:b w:val="1"/>
          <w:bCs w:val="1"/>
          <w:color w:val="auto"/>
        </w:rPr>
      </w:pPr>
      <w:r>
        <w:rPr>
          <w:rFonts w:ascii="Arial" w:cs="Arial" w:eastAsia="Arial" w:hAnsi="Arial"/>
          <w:sz w:val="15"/>
          <w:szCs w:val="15"/>
          <w:b w:val="1"/>
          <w:bCs w:val="1"/>
          <w:color w:val="auto"/>
        </w:rPr>
        <w:t>Investing in our securities involves a high degree of risk. See “</w:t>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 xml:space="preserve">” beginning on page </w:t>
      </w:r>
      <w:hyperlink w:anchor="page33">
        <w:r>
          <w:rPr>
            <w:rFonts w:ascii="Arial" w:cs="Arial" w:eastAsia="Arial" w:hAnsi="Arial"/>
            <w:sz w:val="15"/>
            <w:szCs w:val="15"/>
            <w:b w:val="1"/>
            <w:bCs w:val="1"/>
            <w:u w:val="single" w:color="auto"/>
            <w:color w:val="0000EE"/>
          </w:rPr>
          <w:t>29</w:t>
        </w:r>
        <w:r>
          <w:rPr>
            <w:rFonts w:ascii="Arial" w:cs="Arial" w:eastAsia="Arial" w:hAnsi="Arial"/>
            <w:sz w:val="15"/>
            <w:szCs w:val="15"/>
            <w:b w:val="1"/>
            <w:bCs w:val="1"/>
            <w:u w:val="single" w:color="auto"/>
            <w:color w:val="auto"/>
          </w:rPr>
          <w:t xml:space="preserve"> </w:t>
        </w:r>
      </w:hyperlink>
      <w:r>
        <w:rPr>
          <w:rFonts w:ascii="Arial" w:cs="Arial" w:eastAsia="Arial" w:hAnsi="Arial"/>
          <w:sz w:val="15"/>
          <w:szCs w:val="15"/>
          <w:b w:val="1"/>
          <w:bCs w:val="1"/>
          <w:color w:val="auto"/>
        </w:rPr>
        <w:t>of this prospectus for a discussion of information that should be considered in connection with an investment in our securities.</w:t>
      </w:r>
    </w:p>
    <w:p>
      <w:pPr>
        <w:spacing w:after="0" w:line="16" w:lineRule="exact"/>
        <w:rPr>
          <w:sz w:val="20"/>
          <w:szCs w:val="20"/>
          <w:color w:val="auto"/>
        </w:rPr>
      </w:pPr>
    </w:p>
    <w:p>
      <w:pPr>
        <w:ind w:left="500" w:right="40" w:firstLine="360"/>
        <w:spacing w:after="0" w:line="308" w:lineRule="auto"/>
        <w:rPr>
          <w:sz w:val="20"/>
          <w:szCs w:val="20"/>
          <w:color w:val="auto"/>
        </w:rPr>
      </w:pPr>
      <w:r>
        <w:rPr>
          <w:rFonts w:ascii="Arial" w:cs="Arial" w:eastAsia="Arial" w:hAnsi="Arial"/>
          <w:sz w:val="17"/>
          <w:szCs w:val="17"/>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11"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Underwriting</w:t>
            </w:r>
          </w:p>
        </w:tc>
        <w:tc>
          <w:tcPr>
            <w:tcW w:w="100" w:type="dxa"/>
            <w:vAlign w:val="bottom"/>
          </w:tcPr>
          <w:p>
            <w:pPr>
              <w:spacing w:after="0"/>
              <w:rPr>
                <w:sz w:val="14"/>
                <w:szCs w:val="14"/>
                <w:color w:val="auto"/>
              </w:rPr>
            </w:pPr>
          </w:p>
        </w:tc>
        <w:tc>
          <w:tcPr>
            <w:tcW w:w="820" w:type="dxa"/>
            <w:vAlign w:val="bottom"/>
          </w:tcPr>
          <w:p>
            <w:pPr>
              <w:jc w:val="right"/>
              <w:ind w:right="119"/>
              <w:spacing w:after="0"/>
              <w:rPr>
                <w:sz w:val="20"/>
                <w:szCs w:val="20"/>
                <w:color w:val="auto"/>
              </w:rPr>
            </w:pPr>
            <w:r>
              <w:rPr>
                <w:rFonts w:ascii="Arial" w:cs="Arial" w:eastAsia="Arial" w:hAnsi="Arial"/>
                <w:sz w:val="14"/>
                <w:szCs w:val="14"/>
                <w:b w:val="1"/>
                <w:bCs w:val="1"/>
                <w:color w:val="auto"/>
                <w:w w:val="89"/>
              </w:rPr>
              <w:t>Proceeds,</w:t>
            </w:r>
          </w:p>
        </w:tc>
      </w:tr>
      <w:tr>
        <w:trPr>
          <w:trHeight w:val="158"/>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Price to</w:t>
            </w:r>
          </w:p>
        </w:tc>
        <w:tc>
          <w:tcPr>
            <w:tcW w:w="116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87"/>
              </w:rPr>
              <w:t>Discount and</w:t>
            </w:r>
          </w:p>
        </w:tc>
        <w:tc>
          <w:tcPr>
            <w:tcW w:w="100" w:type="dxa"/>
            <w:vAlign w:val="bottom"/>
          </w:tcPr>
          <w:p>
            <w:pPr>
              <w:spacing w:after="0"/>
              <w:rPr>
                <w:sz w:val="13"/>
                <w:szCs w:val="13"/>
                <w:color w:val="auto"/>
              </w:rPr>
            </w:pPr>
          </w:p>
        </w:tc>
        <w:tc>
          <w:tcPr>
            <w:tcW w:w="820" w:type="dxa"/>
            <w:vAlign w:val="bottom"/>
          </w:tcPr>
          <w:p>
            <w:pPr>
              <w:jc w:val="right"/>
              <w:ind w:right="199"/>
              <w:spacing w:after="0" w:line="158" w:lineRule="exact"/>
              <w:rPr>
                <w:sz w:val="20"/>
                <w:szCs w:val="20"/>
                <w:color w:val="auto"/>
              </w:rPr>
            </w:pPr>
            <w:r>
              <w:rPr>
                <w:rFonts w:ascii="Arial" w:cs="Arial" w:eastAsia="Arial" w:hAnsi="Arial"/>
                <w:sz w:val="14"/>
                <w:szCs w:val="14"/>
                <w:b w:val="1"/>
                <w:bCs w:val="1"/>
                <w:color w:val="auto"/>
              </w:rPr>
              <w:t>Before</w:t>
            </w:r>
          </w:p>
        </w:tc>
      </w:tr>
      <w:tr>
        <w:trPr>
          <w:trHeight w:val="230"/>
        </w:trPr>
        <w:tc>
          <w:tcPr>
            <w:tcW w:w="64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Public</w:t>
            </w:r>
          </w:p>
        </w:tc>
        <w:tc>
          <w:tcPr>
            <w:tcW w:w="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gridSpan w:val="2"/>
          </w:tcPr>
          <w:p>
            <w:pPr>
              <w:jc w:val="center"/>
              <w:spacing w:after="0" w:line="230" w:lineRule="exact"/>
              <w:rPr>
                <w:sz w:val="20"/>
                <w:szCs w:val="20"/>
                <w:color w:val="auto"/>
              </w:rPr>
            </w:pPr>
            <w:r>
              <w:rPr>
                <w:rFonts w:ascii="Arial" w:cs="Arial" w:eastAsia="Arial" w:hAnsi="Arial"/>
                <w:sz w:val="14"/>
                <w:szCs w:val="14"/>
                <w:b w:val="1"/>
                <w:bCs w:val="1"/>
                <w:color w:val="auto"/>
                <w:w w:val="82"/>
              </w:rPr>
              <w:t>Commissions</w:t>
            </w:r>
            <w:r>
              <w:rPr>
                <w:rFonts w:ascii="Arial" w:cs="Arial" w:eastAsia="Arial" w:hAnsi="Arial"/>
                <w:sz w:val="21"/>
                <w:szCs w:val="21"/>
                <w:b w:val="1"/>
                <w:bCs w:val="1"/>
                <w:color w:val="auto"/>
                <w:w w:val="82"/>
                <w:vertAlign w:val="superscript"/>
              </w:rPr>
              <w:t>(1)</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2"/>
              </w:rPr>
              <w:t>Expenses, to us</w:t>
            </w:r>
          </w:p>
        </w:tc>
      </w:tr>
      <w:tr>
        <w:trPr>
          <w:trHeight w:val="250"/>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unit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0.0050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9.9950</w:t>
            </w:r>
          </w:p>
        </w:tc>
      </w:tr>
      <w:tr>
        <w:trPr>
          <w:trHeight w:val="257"/>
        </w:trPr>
        <w:tc>
          <w:tcPr>
            <w:tcW w:w="64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100,000,000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500,000</w:t>
            </w:r>
          </w:p>
        </w:tc>
        <w:tc>
          <w:tcPr>
            <w:tcW w:w="2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99,500,000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-333375</wp:posOffset>
            </wp:positionV>
            <wp:extent cx="55892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8927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146050</wp:posOffset>
            </wp:positionV>
            <wp:extent cx="1234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jc w:val="both"/>
        <w:ind w:left="860" w:right="60" w:hanging="368"/>
        <w:spacing w:after="0" w:line="286" w:lineRule="auto"/>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Includes $100,000 payable to B. Riley Securities, Inc. for acting as a qualified independent underwriter. Such amount shall remain constant at $500,000, even if the over-allotment option is exercised. Please see the section titled “Underwriting” for further information relating to the underwriting arrangements agreed to between us and the underwriters in this offering.</w:t>
      </w:r>
    </w:p>
    <w:p>
      <w:pPr>
        <w:spacing w:after="0" w:line="98" w:lineRule="exact"/>
        <w:rPr>
          <w:sz w:val="20"/>
          <w:szCs w:val="20"/>
          <w:color w:val="auto"/>
        </w:rPr>
      </w:pPr>
    </w:p>
    <w:p>
      <w:pPr>
        <w:ind w:left="500" w:right="240" w:firstLine="360"/>
        <w:spacing w:after="0" w:line="257" w:lineRule="auto"/>
        <w:rPr>
          <w:sz w:val="20"/>
          <w:szCs w:val="20"/>
          <w:color w:val="auto"/>
        </w:rPr>
      </w:pPr>
      <w:r>
        <w:rPr>
          <w:rFonts w:ascii="Arial" w:cs="Arial" w:eastAsia="Arial" w:hAnsi="Arial"/>
          <w:sz w:val="18"/>
          <w:szCs w:val="18"/>
          <w:color w:val="auto"/>
        </w:rPr>
        <w:t>Upon consummation of the offering, $10.15 per unit sold to the public in this offering (whether or not the over-allotment option has been exercised in full or part) will be deposited into a United States-based trust account at Morgan Stanley with Continental Stock Transfer &amp; Trust Company acting as trustee. Except as described in this prospectus, these funds will not be released to us until the earlier of the completion of our initial business combination and our redemption of the public shares upon our failure to consummate a business combination within the required period.</w:t>
      </w:r>
    </w:p>
    <w:p>
      <w:pPr>
        <w:spacing w:after="0" w:line="120" w:lineRule="exact"/>
        <w:rPr>
          <w:sz w:val="20"/>
          <w:szCs w:val="20"/>
          <w:color w:val="auto"/>
        </w:rPr>
      </w:pPr>
    </w:p>
    <w:p>
      <w:pPr>
        <w:ind w:left="500" w:right="920" w:firstLine="360"/>
        <w:spacing w:after="0" w:line="277" w:lineRule="auto"/>
        <w:rPr>
          <w:sz w:val="20"/>
          <w:szCs w:val="20"/>
          <w:color w:val="auto"/>
        </w:rPr>
      </w:pPr>
      <w:r>
        <w:rPr>
          <w:rFonts w:ascii="Arial" w:cs="Arial" w:eastAsia="Arial" w:hAnsi="Arial"/>
          <w:sz w:val="18"/>
          <w:szCs w:val="18"/>
          <w:color w:val="auto"/>
        </w:rPr>
        <w:t>The underwriters are offering the units on a firm commitment basis. Chardan, acting as the representative of the underwriters, expects to deliver the units to purchasers on or about , 2021.</w:t>
      </w:r>
    </w:p>
    <w:p>
      <w:pPr>
        <w:spacing w:after="0" w:line="8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148" w:lineRule="exact"/>
        <w:rPr>
          <w:sz w:val="20"/>
          <w:szCs w:val="20"/>
          <w:color w:val="auto"/>
        </w:rPr>
      </w:pPr>
    </w:p>
    <w:p>
      <w:pPr>
        <w:ind w:left="4860"/>
        <w:spacing w:after="0"/>
        <w:rPr>
          <w:sz w:val="20"/>
          <w:szCs w:val="20"/>
          <w:color w:val="auto"/>
        </w:rPr>
      </w:pPr>
      <w:r>
        <w:rPr>
          <w:rFonts w:ascii="Arial" w:cs="Arial" w:eastAsia="Arial" w:hAnsi="Arial"/>
          <w:sz w:val="29"/>
          <w:szCs w:val="29"/>
          <w:b w:val="1"/>
          <w:bCs w:val="1"/>
          <w:i w:val="1"/>
          <w:iCs w:val="1"/>
          <w:color w:val="auto"/>
        </w:rPr>
        <w:t>Chardan</w:t>
      </w:r>
    </w:p>
    <w:p>
      <w:pPr>
        <w:spacing w:after="0" w:line="212"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3742055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2" w:right="1099" w:bottom="1440" w:gutter="0" w:footer="0" w:header="0"/>
        </w:sectPr>
      </w:pPr>
    </w:p>
    <w:bookmarkStart w:id="4" w:name="page5"/>
    <w:bookmarkEnd w:id="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7880" w:type="dxa"/>
            <w:vAlign w:val="bottom"/>
            <w:gridSpan w:val="22"/>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300" w:type="dxa"/>
            <w:vAlign w:val="bottom"/>
            <w:gridSpan w:val="5"/>
            <w:shd w:val="clear" w:color="auto" w:fill="CCEEFF"/>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shd w:val="clear" w:color="auto" w:fill="CCEEFF"/>
          </w:tcPr>
          <w:p>
            <w:pPr>
              <w:spacing w:after="0"/>
              <w:rPr>
                <w:sz w:val="18"/>
                <w:szCs w:val="18"/>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880" w:type="dxa"/>
            <w:vAlign w:val="bottom"/>
            <w:gridSpan w:val="2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SUMMARY FINANCIAL DATA</w:t>
              </w:r>
            </w:hyperlink>
          </w:p>
        </w:tc>
        <w:tc>
          <w:tcPr>
            <w:tcW w:w="300" w:type="dxa"/>
            <w:vAlign w:val="bottom"/>
            <w:gridSpan w:val="5"/>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27</w:t>
              </w:r>
            </w:hyperlink>
          </w:p>
        </w:tc>
        <w:tc>
          <w:tcPr>
            <w:tcW w:w="20" w:type="dxa"/>
            <w:vAlign w:val="bottom"/>
          </w:tcPr>
          <w:p>
            <w:pPr>
              <w:spacing w:after="0"/>
              <w:rPr>
                <w:sz w:val="18"/>
                <w:szCs w:val="18"/>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6900" w:type="dxa"/>
            <w:vAlign w:val="bottom"/>
            <w:tcBorders>
              <w:bottom w:val="single" w:sz="8" w:color="0000EE"/>
            </w:tcBorders>
            <w:gridSpan w:val="20"/>
            <w:shd w:val="clear" w:color="auto" w:fill="CCEEFF"/>
          </w:tcPr>
          <w:p>
            <w:pPr>
              <w:spacing w:after="0" w:line="202"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CAUTIONARY NOTE REGARDING FORWARD-LOOKING STATEMENTS AND RISK</w:t>
              </w:r>
            </w:hyperlink>
          </w:p>
        </w:tc>
        <w:tc>
          <w:tcPr>
            <w:tcW w:w="98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7700" w:type="dxa"/>
            <w:vAlign w:val="bottom"/>
            <w:gridSpan w:val="21"/>
            <w:shd w:val="clear" w:color="auto" w:fill="CCEEFF"/>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FACTOR SUMMARY</w:t>
              </w:r>
            </w:hyperlink>
          </w:p>
        </w:tc>
        <w:tc>
          <w:tcPr>
            <w:tcW w:w="300" w:type="dxa"/>
            <w:vAlign w:val="bottom"/>
            <w:gridSpan w:val="5"/>
            <w:shd w:val="clear" w:color="auto" w:fill="CCEEFF"/>
          </w:tcPr>
          <w:p>
            <w:pPr>
              <w:jc w:val="right"/>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c>
          <w:tcPr>
            <w:tcW w:w="2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29"/>
        </w:trPr>
        <w:tc>
          <w:tcPr>
            <w:tcW w:w="788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300" w:type="dxa"/>
            <w:vAlign w:val="bottom"/>
            <w:gridSpan w:val="5"/>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29</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1640" w:type="dxa"/>
            <w:vAlign w:val="bottom"/>
            <w:gridSpan w:val="9"/>
            <w:shd w:val="clear" w:color="auto" w:fill="CCEEFF"/>
          </w:tcPr>
          <w:p>
            <w:pPr>
              <w:spacing w:after="0"/>
              <w:rPr>
                <w:rFonts w:ascii="Arial" w:cs="Arial" w:eastAsia="Arial" w:hAnsi="Arial"/>
                <w:sz w:val="18"/>
                <w:szCs w:val="18"/>
                <w:color w:val="0000EE"/>
                <w:w w:val="93"/>
              </w:rPr>
            </w:pPr>
            <w:hyperlink w:anchor="page72">
              <w:r>
                <w:rPr>
                  <w:rFonts w:ascii="Arial" w:cs="Arial" w:eastAsia="Arial" w:hAnsi="Arial"/>
                  <w:sz w:val="18"/>
                  <w:szCs w:val="18"/>
                  <w:color w:val="0000EE"/>
                  <w:w w:val="93"/>
                </w:rPr>
                <w:t>USE OF PROCEEDS</w:t>
              </w:r>
            </w:hyperlink>
          </w:p>
        </w:tc>
        <w:tc>
          <w:tcPr>
            <w:tcW w:w="6240" w:type="dxa"/>
            <w:vAlign w:val="bottom"/>
            <w:gridSpan w:val="13"/>
            <w:shd w:val="clear" w:color="auto" w:fill="CCEEFF"/>
          </w:tcPr>
          <w:p>
            <w:pPr>
              <w:spacing w:after="0"/>
              <w:rPr>
                <w:sz w:val="19"/>
                <w:szCs w:val="19"/>
                <w:color w:val="auto"/>
              </w:rPr>
            </w:pPr>
          </w:p>
        </w:tc>
        <w:tc>
          <w:tcPr>
            <w:tcW w:w="300" w:type="dxa"/>
            <w:vAlign w:val="bottom"/>
            <w:gridSpan w:val="5"/>
            <w:shd w:val="clear" w:color="auto" w:fill="CCEEFF"/>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68</w:t>
              </w:r>
            </w:hyperlink>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640" w:type="dxa"/>
            <w:vAlign w:val="bottom"/>
            <w:gridSpan w:val="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DIVIDEND POLICY</w:t>
              </w:r>
            </w:hyperlink>
          </w:p>
        </w:tc>
        <w:tc>
          <w:tcPr>
            <w:tcW w:w="6240" w:type="dxa"/>
            <w:vAlign w:val="bottom"/>
            <w:gridSpan w:val="13"/>
          </w:tcPr>
          <w:p>
            <w:pPr>
              <w:spacing w:after="0"/>
              <w:rPr>
                <w:sz w:val="19"/>
                <w:szCs w:val="19"/>
                <w:color w:val="auto"/>
              </w:rPr>
            </w:pPr>
          </w:p>
        </w:tc>
        <w:tc>
          <w:tcPr>
            <w:tcW w:w="300" w:type="dxa"/>
            <w:vAlign w:val="bottom"/>
            <w:gridSpan w:val="5"/>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71</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7880" w:type="dxa"/>
            <w:vAlign w:val="bottom"/>
            <w:gridSpan w:val="22"/>
            <w:shd w:val="clear" w:color="auto" w:fill="CCEEFF"/>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DILUTION</w:t>
              </w:r>
            </w:hyperlink>
          </w:p>
        </w:tc>
        <w:tc>
          <w:tcPr>
            <w:tcW w:w="300" w:type="dxa"/>
            <w:vAlign w:val="bottom"/>
            <w:gridSpan w:val="5"/>
            <w:shd w:val="clear" w:color="auto" w:fill="CCEEFF"/>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72</w:t>
              </w:r>
            </w:hyperlink>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80" w:type="dxa"/>
            <w:vAlign w:val="bottom"/>
            <w:gridSpan w:val="2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CAPITALIZATION</w:t>
              </w:r>
            </w:hyperlink>
          </w:p>
        </w:tc>
        <w:tc>
          <w:tcPr>
            <w:tcW w:w="300" w:type="dxa"/>
            <w:vAlign w:val="bottom"/>
            <w:gridSpan w:val="5"/>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74</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6920" w:type="dxa"/>
            <w:vAlign w:val="bottom"/>
            <w:tcBorders>
              <w:bottom w:val="single" w:sz="8" w:color="0000EE"/>
            </w:tcBorders>
            <w:gridSpan w:val="21"/>
            <w:shd w:val="clear" w:color="auto" w:fill="CCEEFF"/>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MANAGEMENT’S DISCUSSION AND ANALYSIS OF FINANCIAL CONDITION AND</w:t>
              </w:r>
            </w:hyperlink>
          </w:p>
        </w:tc>
        <w:tc>
          <w:tcPr>
            <w:tcW w:w="9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2260" w:type="dxa"/>
            <w:vAlign w:val="bottom"/>
            <w:gridSpan w:val="10"/>
            <w:shd w:val="clear" w:color="auto" w:fill="CCEEFF"/>
          </w:tcPr>
          <w:p>
            <w:pPr>
              <w:spacing w:after="0" w:line="196" w:lineRule="exact"/>
              <w:rPr>
                <w:rFonts w:ascii="Arial" w:cs="Arial" w:eastAsia="Arial" w:hAnsi="Arial"/>
                <w:sz w:val="18"/>
                <w:szCs w:val="18"/>
                <w:color w:val="0000EE"/>
                <w:w w:val="94"/>
              </w:rPr>
            </w:pPr>
            <w:hyperlink w:anchor="page79">
              <w:r>
                <w:rPr>
                  <w:rFonts w:ascii="Arial" w:cs="Arial" w:eastAsia="Arial" w:hAnsi="Arial"/>
                  <w:sz w:val="18"/>
                  <w:szCs w:val="18"/>
                  <w:color w:val="0000EE"/>
                  <w:w w:val="94"/>
                </w:rPr>
                <w:t>RESULTS OF OPERATIONS</w:t>
              </w:r>
            </w:hyperlink>
          </w:p>
        </w:tc>
        <w:tc>
          <w:tcPr>
            <w:tcW w:w="5440" w:type="dxa"/>
            <w:vAlign w:val="bottom"/>
            <w:gridSpan w:val="11"/>
            <w:shd w:val="clear" w:color="auto" w:fill="CCEEFF"/>
          </w:tcPr>
          <w:p>
            <w:pPr>
              <w:spacing w:after="0"/>
              <w:rPr>
                <w:sz w:val="17"/>
                <w:szCs w:val="17"/>
                <w:color w:val="auto"/>
              </w:rPr>
            </w:pPr>
          </w:p>
        </w:tc>
        <w:tc>
          <w:tcPr>
            <w:tcW w:w="300" w:type="dxa"/>
            <w:vAlign w:val="bottom"/>
            <w:gridSpan w:val="5"/>
            <w:shd w:val="clear" w:color="auto" w:fill="CCEEFF"/>
          </w:tcPr>
          <w:p>
            <w:pPr>
              <w:jc w:val="right"/>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75</w:t>
              </w:r>
            </w:hyperlink>
          </w:p>
        </w:tc>
        <w:tc>
          <w:tcPr>
            <w:tcW w:w="2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29"/>
        </w:trPr>
        <w:tc>
          <w:tcPr>
            <w:tcW w:w="7880" w:type="dxa"/>
            <w:vAlign w:val="bottom"/>
            <w:gridSpan w:val="22"/>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PROPOSED BUSINESS</w:t>
              </w:r>
            </w:hyperlink>
          </w:p>
        </w:tc>
        <w:tc>
          <w:tcPr>
            <w:tcW w:w="300" w:type="dxa"/>
            <w:vAlign w:val="bottom"/>
            <w:gridSpan w:val="5"/>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80</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1340" w:type="dxa"/>
            <w:vAlign w:val="bottom"/>
            <w:gridSpan w:val="6"/>
            <w:shd w:val="clear" w:color="auto" w:fill="CCEEFF"/>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MANAGEMENT</w:t>
              </w:r>
            </w:hyperlink>
          </w:p>
        </w:tc>
        <w:tc>
          <w:tcPr>
            <w:tcW w:w="6540" w:type="dxa"/>
            <w:vAlign w:val="bottom"/>
            <w:gridSpan w:val="16"/>
            <w:shd w:val="clear" w:color="auto" w:fill="CCEEFF"/>
          </w:tcPr>
          <w:p>
            <w:pPr>
              <w:spacing w:after="0"/>
              <w:rPr>
                <w:sz w:val="19"/>
                <w:szCs w:val="19"/>
                <w:color w:val="auto"/>
              </w:rPr>
            </w:pPr>
          </w:p>
        </w:tc>
        <w:tc>
          <w:tcPr>
            <w:tcW w:w="300" w:type="dxa"/>
            <w:vAlign w:val="bottom"/>
            <w:gridSpan w:val="5"/>
            <w:shd w:val="clear" w:color="auto" w:fill="CCEEFF"/>
          </w:tcPr>
          <w:p>
            <w:pPr>
              <w:jc w:val="right"/>
              <w:spacing w:after="0"/>
              <w:rPr>
                <w:rFonts w:ascii="Arial" w:cs="Arial" w:eastAsia="Arial" w:hAnsi="Arial"/>
                <w:sz w:val="18"/>
                <w:szCs w:val="18"/>
                <w:color w:val="0000EE"/>
                <w:w w:val="93"/>
              </w:rPr>
            </w:pPr>
            <w:hyperlink w:anchor="page115">
              <w:r>
                <w:rPr>
                  <w:rFonts w:ascii="Arial" w:cs="Arial" w:eastAsia="Arial" w:hAnsi="Arial"/>
                  <w:sz w:val="18"/>
                  <w:szCs w:val="18"/>
                  <w:color w:val="0000EE"/>
                  <w:w w:val="93"/>
                </w:rPr>
                <w:t>111</w:t>
              </w:r>
            </w:hyperlink>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80" w:type="dxa"/>
            <w:vAlign w:val="bottom"/>
            <w:gridSpan w:val="22"/>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PRINCIPAL STOCKHOLDERS</w:t>
              </w:r>
            </w:hyperlink>
          </w:p>
        </w:tc>
        <w:tc>
          <w:tcPr>
            <w:tcW w:w="300" w:type="dxa"/>
            <w:vAlign w:val="bottom"/>
            <w:gridSpan w:val="5"/>
          </w:tcPr>
          <w:p>
            <w:pPr>
              <w:jc w:val="right"/>
              <w:spacing w:after="0"/>
              <w:rPr>
                <w:rFonts w:ascii="Arial" w:cs="Arial" w:eastAsia="Arial" w:hAnsi="Arial"/>
                <w:sz w:val="18"/>
                <w:szCs w:val="18"/>
                <w:color w:val="0000EE"/>
                <w:w w:val="93"/>
              </w:rPr>
            </w:pPr>
            <w:hyperlink w:anchor="page127">
              <w:r>
                <w:rPr>
                  <w:rFonts w:ascii="Arial" w:cs="Arial" w:eastAsia="Arial" w:hAnsi="Arial"/>
                  <w:sz w:val="18"/>
                  <w:szCs w:val="18"/>
                  <w:color w:val="0000EE"/>
                  <w:w w:val="93"/>
                </w:rPr>
                <w:t>123</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660" w:type="dxa"/>
            <w:vAlign w:val="bottom"/>
            <w:tcBorders>
              <w:bottom w:val="single" w:sz="8" w:color="0000EE"/>
            </w:tcBorders>
            <w:gridSpan w:val="19"/>
            <w:shd w:val="clear" w:color="auto" w:fill="CCEEFF"/>
          </w:tcPr>
          <w:p>
            <w:pPr>
              <w:spacing w:after="0"/>
              <w:rPr>
                <w:rFonts w:ascii="Arial" w:cs="Arial" w:eastAsia="Arial" w:hAnsi="Arial"/>
                <w:sz w:val="18"/>
                <w:szCs w:val="18"/>
                <w:color w:val="0000EE"/>
                <w:w w:val="98"/>
              </w:rPr>
            </w:pPr>
            <w:hyperlink w:anchor="page130">
              <w:r>
                <w:rPr>
                  <w:rFonts w:ascii="Arial" w:cs="Arial" w:eastAsia="Arial" w:hAnsi="Arial"/>
                  <w:sz w:val="18"/>
                  <w:szCs w:val="18"/>
                  <w:color w:val="0000EE"/>
                  <w:w w:val="98"/>
                </w:rPr>
                <w:t>CERTAIN RELATIONSHIPS AND RELATED PARTY TRANSACTIONS</w:t>
              </w:r>
            </w:hyperlink>
          </w:p>
        </w:tc>
        <w:tc>
          <w:tcPr>
            <w:tcW w:w="2220" w:type="dxa"/>
            <w:vAlign w:val="bottom"/>
            <w:tcBorders>
              <w:bottom w:val="single" w:sz="8" w:color="CCEEFF"/>
            </w:tcBorders>
            <w:gridSpan w:val="3"/>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6"/>
              </w:rPr>
            </w:pPr>
            <w:hyperlink w:anchor="page130">
              <w:r>
                <w:rPr>
                  <w:rFonts w:ascii="Arial" w:cs="Arial" w:eastAsia="Arial" w:hAnsi="Arial"/>
                  <w:sz w:val="18"/>
                  <w:szCs w:val="18"/>
                  <w:color w:val="0000EE"/>
                  <w:w w:val="86"/>
                </w:rPr>
                <w:t>126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29"/>
        </w:trPr>
        <w:tc>
          <w:tcPr>
            <w:tcW w:w="7880" w:type="dxa"/>
            <w:vAlign w:val="bottom"/>
            <w:gridSpan w:val="22"/>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DESCRIPTION OF SECURITIES</w:t>
              </w:r>
            </w:hyperlink>
          </w:p>
        </w:tc>
        <w:tc>
          <w:tcPr>
            <w:tcW w:w="300" w:type="dxa"/>
            <w:vAlign w:val="bottom"/>
            <w:gridSpan w:val="5"/>
          </w:tcPr>
          <w:p>
            <w:pPr>
              <w:jc w:val="right"/>
              <w:spacing w:after="0"/>
              <w:rPr>
                <w:rFonts w:ascii="Arial" w:cs="Arial" w:eastAsia="Arial" w:hAnsi="Arial"/>
                <w:sz w:val="18"/>
                <w:szCs w:val="18"/>
                <w:color w:val="0000EE"/>
                <w:w w:val="93"/>
              </w:rPr>
            </w:pPr>
            <w:hyperlink w:anchor="page134">
              <w:r>
                <w:rPr>
                  <w:rFonts w:ascii="Arial" w:cs="Arial" w:eastAsia="Arial" w:hAnsi="Arial"/>
                  <w:sz w:val="18"/>
                  <w:szCs w:val="18"/>
                  <w:color w:val="0000EE"/>
                  <w:w w:val="93"/>
                </w:rPr>
                <w:t>130</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60" w:type="dxa"/>
            <w:vAlign w:val="bottom"/>
            <w:tcBorders>
              <w:bottom w:val="single" w:sz="8" w:color="0000EE"/>
            </w:tcBorders>
            <w:gridSpan w:val="17"/>
            <w:shd w:val="clear" w:color="auto" w:fill="CCEEFF"/>
          </w:tcPr>
          <w:p>
            <w:pPr>
              <w:spacing w:after="0"/>
              <w:rPr>
                <w:rFonts w:ascii="Arial" w:cs="Arial" w:eastAsia="Arial" w:hAnsi="Arial"/>
                <w:sz w:val="18"/>
                <w:szCs w:val="18"/>
                <w:color w:val="0000EE"/>
                <w:w w:val="99"/>
              </w:rPr>
            </w:pPr>
            <w:hyperlink w:anchor="page148">
              <w:r>
                <w:rPr>
                  <w:rFonts w:ascii="Arial" w:cs="Arial" w:eastAsia="Arial" w:hAnsi="Arial"/>
                  <w:sz w:val="18"/>
                  <w:szCs w:val="18"/>
                  <w:color w:val="0000EE"/>
                  <w:w w:val="99"/>
                </w:rPr>
                <w:t>U.S. FEDERAL INCOME TAX CONSIDERATIONS</w:t>
              </w:r>
            </w:hyperlink>
          </w:p>
        </w:tc>
        <w:tc>
          <w:tcPr>
            <w:tcW w:w="3820" w:type="dxa"/>
            <w:vAlign w:val="bottom"/>
            <w:tcBorders>
              <w:bottom w:val="single" w:sz="8" w:color="CCEEFF"/>
            </w:tcBorders>
            <w:gridSpan w:val="5"/>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6"/>
              </w:rPr>
            </w:pPr>
            <w:hyperlink w:anchor="page148">
              <w:r>
                <w:rPr>
                  <w:rFonts w:ascii="Arial" w:cs="Arial" w:eastAsia="Arial" w:hAnsi="Arial"/>
                  <w:sz w:val="18"/>
                  <w:szCs w:val="18"/>
                  <w:color w:val="0000EE"/>
                  <w:w w:val="86"/>
                </w:rPr>
                <w:t>144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29"/>
        </w:trPr>
        <w:tc>
          <w:tcPr>
            <w:tcW w:w="7880" w:type="dxa"/>
            <w:vAlign w:val="bottom"/>
            <w:gridSpan w:val="22"/>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UNDERWRITING (CONFLICTS OF INTEREST)</w:t>
              </w:r>
            </w:hyperlink>
          </w:p>
        </w:tc>
        <w:tc>
          <w:tcPr>
            <w:tcW w:w="300" w:type="dxa"/>
            <w:vAlign w:val="bottom"/>
            <w:gridSpan w:val="5"/>
          </w:tcPr>
          <w:p>
            <w:pPr>
              <w:jc w:val="right"/>
              <w:spacing w:after="0"/>
              <w:rPr>
                <w:rFonts w:ascii="Arial" w:cs="Arial" w:eastAsia="Arial" w:hAnsi="Arial"/>
                <w:sz w:val="18"/>
                <w:szCs w:val="18"/>
                <w:color w:val="0000EE"/>
                <w:w w:val="93"/>
              </w:rPr>
            </w:pPr>
            <w:hyperlink w:anchor="page157">
              <w:r>
                <w:rPr>
                  <w:rFonts w:ascii="Arial" w:cs="Arial" w:eastAsia="Arial" w:hAnsi="Arial"/>
                  <w:sz w:val="18"/>
                  <w:szCs w:val="18"/>
                  <w:color w:val="0000EE"/>
                  <w:w w:val="93"/>
                </w:rPr>
                <w:t>153</w:t>
              </w:r>
            </w:hyperlink>
          </w:p>
        </w:tc>
        <w:tc>
          <w:tcPr>
            <w:tcW w:w="20" w:type="dxa"/>
            <w:vAlign w:val="bottom"/>
          </w:tcPr>
          <w:p>
            <w:pPr>
              <w:spacing w:after="0"/>
              <w:rPr>
                <w:sz w:val="19"/>
                <w:szCs w:val="19"/>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0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9"/>
              </w:rPr>
            </w:pPr>
            <w:hyperlink w:anchor="page162">
              <w:r>
                <w:rPr>
                  <w:rFonts w:ascii="Arial" w:cs="Arial" w:eastAsia="Arial" w:hAnsi="Arial"/>
                  <w:sz w:val="18"/>
                  <w:szCs w:val="18"/>
                  <w:color w:val="0000EE"/>
                  <w:w w:val="99"/>
                </w:rPr>
                <w:t>LEGAL MATTERS</w:t>
              </w:r>
            </w:hyperlink>
          </w:p>
        </w:tc>
        <w:tc>
          <w:tcPr>
            <w:tcW w:w="6380" w:type="dxa"/>
            <w:vAlign w:val="bottom"/>
            <w:tcBorders>
              <w:bottom w:val="single" w:sz="8" w:color="CCEEFF"/>
            </w:tcBorders>
            <w:gridSpan w:val="15"/>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6"/>
              </w:rPr>
            </w:pPr>
            <w:hyperlink w:anchor="page162">
              <w:r>
                <w:rPr>
                  <w:rFonts w:ascii="Arial" w:cs="Arial" w:eastAsia="Arial" w:hAnsi="Arial"/>
                  <w:sz w:val="18"/>
                  <w:szCs w:val="18"/>
                  <w:color w:val="0000EE"/>
                  <w:w w:val="86"/>
                </w:rPr>
                <w:t>158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30"/>
        </w:trPr>
        <w:tc>
          <w:tcPr>
            <w:tcW w:w="7880" w:type="dxa"/>
            <w:vAlign w:val="bottom"/>
            <w:gridSpan w:val="22"/>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EXPERTS</w:t>
              </w:r>
            </w:hyperlink>
          </w:p>
        </w:tc>
        <w:tc>
          <w:tcPr>
            <w:tcW w:w="300" w:type="dxa"/>
            <w:vAlign w:val="bottom"/>
            <w:gridSpan w:val="5"/>
          </w:tcPr>
          <w:p>
            <w:pPr>
              <w:jc w:val="right"/>
              <w:spacing w:after="0"/>
              <w:rPr>
                <w:rFonts w:ascii="Arial" w:cs="Arial" w:eastAsia="Arial" w:hAnsi="Arial"/>
                <w:sz w:val="18"/>
                <w:szCs w:val="18"/>
                <w:color w:val="0000EE"/>
                <w:w w:val="93"/>
              </w:rPr>
            </w:pPr>
            <w:hyperlink w:anchor="page162">
              <w:r>
                <w:rPr>
                  <w:rFonts w:ascii="Arial" w:cs="Arial" w:eastAsia="Arial" w:hAnsi="Arial"/>
                  <w:sz w:val="18"/>
                  <w:szCs w:val="18"/>
                  <w:color w:val="0000EE"/>
                  <w:w w:val="93"/>
                </w:rPr>
                <w:t>158</w:t>
              </w:r>
            </w:hyperlink>
          </w:p>
        </w:tc>
        <w:tc>
          <w:tcPr>
            <w:tcW w:w="20" w:type="dxa"/>
            <w:vAlign w:val="bottom"/>
          </w:tcPr>
          <w:p>
            <w:pPr>
              <w:spacing w:after="0"/>
              <w:rPr>
                <w:sz w:val="19"/>
                <w:szCs w:val="19"/>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60" w:type="dxa"/>
            <w:vAlign w:val="bottom"/>
            <w:tcBorders>
              <w:bottom w:val="single" w:sz="8" w:color="0000EE"/>
            </w:tcBorders>
            <w:gridSpan w:val="18"/>
            <w:shd w:val="clear" w:color="auto" w:fill="CCEEFF"/>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WHERE YOU CAN FIND ADDITIONAL INFORMATION</w:t>
              </w:r>
            </w:hyperlink>
          </w:p>
        </w:tc>
        <w:tc>
          <w:tcPr>
            <w:tcW w:w="3320" w:type="dxa"/>
            <w:vAlign w:val="bottom"/>
            <w:tcBorders>
              <w:bottom w:val="single" w:sz="8" w:color="CCEEFF"/>
            </w:tcBorders>
            <w:gridSpan w:val="4"/>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6"/>
              </w:rPr>
            </w:pPr>
            <w:hyperlink w:anchor="page162">
              <w:r>
                <w:rPr>
                  <w:rFonts w:ascii="Arial" w:cs="Arial" w:eastAsia="Arial" w:hAnsi="Arial"/>
                  <w:sz w:val="18"/>
                  <w:szCs w:val="18"/>
                  <w:color w:val="0000EE"/>
                  <w:w w:val="86"/>
                </w:rPr>
                <w:t>158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30"/>
        </w:trPr>
        <w:tc>
          <w:tcPr>
            <w:tcW w:w="3140" w:type="dxa"/>
            <w:vAlign w:val="bottom"/>
            <w:tcBorders>
              <w:bottom w:val="single" w:sz="8" w:color="0000EE"/>
            </w:tcBorders>
            <w:gridSpan w:val="15"/>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INDEX TO FINANCIAL STATEMENTS</w:t>
              </w:r>
            </w:hyperlink>
          </w:p>
        </w:tc>
        <w:tc>
          <w:tcPr>
            <w:tcW w:w="4740" w:type="dxa"/>
            <w:vAlign w:val="bottom"/>
            <w:gridSpan w:val="7"/>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88"/>
              </w:rPr>
            </w:pPr>
            <w:hyperlink w:anchor="page163">
              <w:r>
                <w:rPr>
                  <w:rFonts w:ascii="Arial" w:cs="Arial" w:eastAsia="Arial" w:hAnsi="Arial"/>
                  <w:sz w:val="18"/>
                  <w:szCs w:val="18"/>
                  <w:color w:val="0000EE"/>
                  <w:w w:val="88"/>
                </w:rPr>
                <w:t>F-1</w:t>
              </w:r>
            </w:hyperlink>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-3668395</wp:posOffset>
            </wp:positionV>
            <wp:extent cx="49974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164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6245" cy="816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1280" w:right="439" w:firstLine="360"/>
        <w:spacing w:after="0" w:line="241"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Unless otherwise stated in this prospectus:</w:t>
      </w:r>
    </w:p>
    <w:p>
      <w:pPr>
        <w:spacing w:after="0" w:line="81" w:lineRule="exact"/>
        <w:rPr>
          <w:sz w:val="20"/>
          <w:szCs w:val="20"/>
          <w:color w:val="auto"/>
        </w:rPr>
      </w:pPr>
    </w:p>
    <w:p>
      <w:pPr>
        <w:ind w:left="1820" w:hanging="182"/>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“US$” and “U.S. dollar” each refer to the United States dollar;</w:t>
      </w:r>
    </w:p>
    <w:p>
      <w:pPr>
        <w:spacing w:after="0" w:line="90" w:lineRule="exact"/>
        <w:rPr>
          <w:rFonts w:ascii="Arial" w:cs="Arial" w:eastAsia="Arial" w:hAnsi="Arial"/>
          <w:sz w:val="18"/>
          <w:szCs w:val="18"/>
          <w:color w:val="auto"/>
        </w:rPr>
      </w:pPr>
    </w:p>
    <w:p>
      <w:pPr>
        <w:ind w:left="1820" w:hanging="182"/>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“Chardan” refers to Chardan Capital Markets, LLC, the representative of the underwriters,</w:t>
      </w:r>
    </w:p>
    <w:p>
      <w:pPr>
        <w:spacing w:after="0" w:line="103" w:lineRule="exact"/>
        <w:rPr>
          <w:rFonts w:ascii="Arial" w:cs="Arial" w:eastAsia="Arial" w:hAnsi="Arial"/>
          <w:sz w:val="18"/>
          <w:szCs w:val="18"/>
          <w:color w:val="auto"/>
        </w:rPr>
      </w:pPr>
    </w:p>
    <w:p>
      <w:pPr>
        <w:ind w:left="1820" w:hanging="182"/>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“common stock” refers to our shares of common stock, par value $0.0001 per share;</w:t>
      </w:r>
    </w:p>
    <w:p>
      <w:pPr>
        <w:spacing w:after="0" w:line="90" w:lineRule="exact"/>
        <w:rPr>
          <w:rFonts w:ascii="Arial" w:cs="Arial" w:eastAsia="Arial" w:hAnsi="Arial"/>
          <w:sz w:val="18"/>
          <w:szCs w:val="18"/>
          <w:color w:val="auto"/>
        </w:rPr>
      </w:pPr>
    </w:p>
    <w:p>
      <w:pPr>
        <w:ind w:left="1820" w:right="479" w:hanging="182"/>
        <w:spacing w:after="0" w:line="259"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“founder shares” refers to the 2,875,000 shares of common stock held by our sponsor, officers, directors, and affiliates of our management team prior to this offering (including up to an aggregate of 375,000 shares of common stock subject to forfeiture to the extent that the underwriters’ over-allotment option is not exercised in full or in part);</w:t>
      </w:r>
    </w:p>
    <w:p>
      <w:pPr>
        <w:spacing w:after="0" w:line="51" w:lineRule="exact"/>
        <w:rPr>
          <w:rFonts w:ascii="Arial" w:cs="Arial" w:eastAsia="Arial" w:hAnsi="Arial"/>
          <w:sz w:val="18"/>
          <w:szCs w:val="18"/>
          <w:color w:val="auto"/>
        </w:rPr>
      </w:pPr>
    </w:p>
    <w:p>
      <w:pPr>
        <w:ind w:left="1820" w:right="839" w:hanging="182"/>
        <w:spacing w:after="0" w:line="308" w:lineRule="auto"/>
        <w:tabs>
          <w:tab w:leader="none" w:pos="18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“initial stockholders” refers to all of our stockholders immediately prior to the date of this prospectus, including our sponsor, officers and directors to the extent they hold founder shares;</w:t>
      </w:r>
    </w:p>
    <w:p>
      <w:pPr>
        <w:spacing w:after="0" w:line="24" w:lineRule="exact"/>
        <w:rPr>
          <w:rFonts w:ascii="Arial" w:cs="Arial" w:eastAsia="Arial" w:hAnsi="Arial"/>
          <w:sz w:val="17"/>
          <w:szCs w:val="17"/>
          <w:color w:val="auto"/>
        </w:rPr>
      </w:pPr>
    </w:p>
    <w:p>
      <w:pPr>
        <w:ind w:left="1820" w:right="739" w:hanging="182"/>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“insiders” refers to our officers, directors, initial stockholders, and Chardan NexTech 2 Warrant Holdings LLC, an affiliate of our sponsor;</w:t>
      </w:r>
    </w:p>
    <w:p>
      <w:pPr>
        <w:spacing w:after="0" w:line="35" w:lineRule="exact"/>
        <w:rPr>
          <w:rFonts w:ascii="Arial" w:cs="Arial" w:eastAsia="Arial" w:hAnsi="Arial"/>
          <w:sz w:val="18"/>
          <w:szCs w:val="18"/>
          <w:color w:val="auto"/>
        </w:rPr>
      </w:pPr>
    </w:p>
    <w:p>
      <w:pPr>
        <w:ind w:left="1820" w:hanging="182"/>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w:t>
      </w:r>
    </w:p>
    <w:p>
      <w:pPr>
        <w:spacing w:after="0" w:line="103" w:lineRule="exact"/>
        <w:rPr>
          <w:rFonts w:ascii="Arial" w:cs="Arial" w:eastAsia="Arial" w:hAnsi="Arial"/>
          <w:sz w:val="18"/>
          <w:szCs w:val="18"/>
          <w:color w:val="auto"/>
        </w:rPr>
      </w:pPr>
    </w:p>
    <w:p>
      <w:pPr>
        <w:ind w:left="1820" w:right="719" w:hanging="182"/>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warrants” refers to the warrants we are selling privately to our sponsor or its designees upon consummation of this offering;</w:t>
      </w:r>
    </w:p>
    <w:p>
      <w:pPr>
        <w:spacing w:after="0" w:line="35" w:lineRule="exact"/>
        <w:rPr>
          <w:rFonts w:ascii="Arial" w:cs="Arial" w:eastAsia="Arial" w:hAnsi="Arial"/>
          <w:sz w:val="18"/>
          <w:szCs w:val="18"/>
          <w:color w:val="auto"/>
        </w:rPr>
      </w:pPr>
    </w:p>
    <w:p>
      <w:pPr>
        <w:ind w:left="1820" w:right="539" w:hanging="182"/>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shares,” refers to the shares of common stock that are being sold as part of the units in this public offering, whether they are purchased in this public offering or in the aftermarket;</w:t>
      </w:r>
    </w:p>
    <w:p>
      <w:pPr>
        <w:spacing w:after="0" w:line="35" w:lineRule="exact"/>
        <w:rPr>
          <w:rFonts w:ascii="Arial" w:cs="Arial" w:eastAsia="Arial" w:hAnsi="Arial"/>
          <w:sz w:val="18"/>
          <w:szCs w:val="18"/>
          <w:color w:val="auto"/>
        </w:rPr>
      </w:pPr>
    </w:p>
    <w:p>
      <w:pPr>
        <w:ind w:left="1820" w:right="499" w:hanging="182"/>
        <w:spacing w:after="0" w:line="286" w:lineRule="auto"/>
        <w:tabs>
          <w:tab w:leader="none" w:pos="18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“public stockholders” refers to the holders of our public shares, including any of our initial stockholders to the extent that they purchase such public shares (except that our initial stockholders will not have redemption or tender rights with respect to any public shares they own);</w:t>
      </w:r>
    </w:p>
    <w:p>
      <w:pPr>
        <w:spacing w:after="0" w:line="43" w:lineRule="exact"/>
        <w:rPr>
          <w:rFonts w:ascii="Arial" w:cs="Arial" w:eastAsia="Arial" w:hAnsi="Arial"/>
          <w:sz w:val="17"/>
          <w:szCs w:val="17"/>
          <w:color w:val="auto"/>
        </w:rPr>
      </w:pPr>
    </w:p>
    <w:p>
      <w:pPr>
        <w:ind w:left="1820" w:hanging="182"/>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“sponsor” refers to Chardan NexTech Investments 2 LLC, an entity affiliated with Chardan;</w:t>
      </w:r>
    </w:p>
    <w:p>
      <w:pPr>
        <w:spacing w:after="0" w:line="90" w:lineRule="exact"/>
        <w:rPr>
          <w:rFonts w:ascii="Arial" w:cs="Arial" w:eastAsia="Arial" w:hAnsi="Arial"/>
          <w:sz w:val="18"/>
          <w:szCs w:val="18"/>
          <w:color w:val="auto"/>
        </w:rPr>
      </w:pPr>
    </w:p>
    <w:p>
      <w:pPr>
        <w:ind w:left="1820" w:right="459" w:hanging="182"/>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“warrants” refers to our redeemable warrants, which include the warrants underlying the units sold in this offering, whether they are purchased in this public offering or in the aftermarket; and</w:t>
      </w:r>
    </w:p>
    <w:p>
      <w:pPr>
        <w:spacing w:after="0" w:line="48" w:lineRule="exact"/>
        <w:rPr>
          <w:rFonts w:ascii="Arial" w:cs="Arial" w:eastAsia="Arial" w:hAnsi="Arial"/>
          <w:sz w:val="18"/>
          <w:szCs w:val="18"/>
          <w:color w:val="auto"/>
        </w:rPr>
      </w:pPr>
    </w:p>
    <w:p>
      <w:pPr>
        <w:ind w:left="1820" w:right="1139" w:hanging="182"/>
        <w:spacing w:after="0" w:line="277" w:lineRule="auto"/>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or “our company” refers to Chardan NexTech Acquisition 2 Corp., a Delaware corporation.</w:t>
      </w:r>
    </w:p>
    <w:p>
      <w:pPr>
        <w:spacing w:after="0" w:line="89" w:lineRule="exact"/>
        <w:rPr>
          <w:sz w:val="20"/>
          <w:szCs w:val="20"/>
          <w:color w:val="auto"/>
        </w:rPr>
      </w:pPr>
    </w:p>
    <w:p>
      <w:pPr>
        <w:ind w:left="1280" w:right="519" w:firstLine="360"/>
        <w:spacing w:after="0" w:line="257" w:lineRule="auto"/>
        <w:rPr>
          <w:sz w:val="20"/>
          <w:szCs w:val="20"/>
          <w:color w:val="auto"/>
        </w:rPr>
      </w:pPr>
      <w:r>
        <w:rPr>
          <w:rFonts w:ascii="Arial" w:cs="Arial" w:eastAsia="Arial" w:hAnsi="Arial"/>
          <w:sz w:val="17"/>
          <w:szCs w:val="17"/>
          <w:i w:val="1"/>
          <w:iCs w:val="1"/>
          <w:color w:val="auto"/>
        </w:rPr>
        <w:t>Each unit consists of one share of common stock and one-half of one redeemable warrant. Each whole warrant entitles the holder thereof to purchase one share of our common stock at a price of $11.50 per share, subject to adjustment as described in this prospectus, and only whole warrants are exercisable. No fractional warrants will be issued upon separation of the units and only whole warrants will trade. Accordingly, unless you purchase a multiple of two units, the number of warrants issuable to you upon separation of the units will be rounded down to the nearest whole number of warrants.</w:t>
      </w:r>
    </w:p>
    <w:p>
      <w:pPr>
        <w:spacing w:after="0" w:line="108" w:lineRule="exact"/>
        <w:rPr>
          <w:sz w:val="20"/>
          <w:szCs w:val="20"/>
          <w:color w:val="auto"/>
        </w:rPr>
      </w:pPr>
    </w:p>
    <w:p>
      <w:pPr>
        <w:jc w:val="both"/>
        <w:ind w:left="1280" w:right="419" w:firstLine="360"/>
        <w:spacing w:after="0" w:line="248" w:lineRule="auto"/>
        <w:rPr>
          <w:sz w:val="20"/>
          <w:szCs w:val="20"/>
          <w:color w:val="auto"/>
        </w:rPr>
      </w:pPr>
      <w:r>
        <w:rPr>
          <w:rFonts w:ascii="Arial" w:cs="Arial" w:eastAsia="Arial" w:hAnsi="Arial"/>
          <w:sz w:val="18"/>
          <w:szCs w:val="18"/>
          <w:i w:val="1"/>
          <w:iCs w:val="1"/>
          <w:color w:val="auto"/>
        </w:rPr>
        <w:t>Unless otherwise provided herein, the information in this prospectus assumes that the underwriters will not exercise their over-allotment option and gives effect to a 2.875-for-1 stock split we effected on March 4, 2021.</w:t>
      </w:r>
    </w:p>
    <w:p>
      <w:pPr>
        <w:spacing w:after="0" w:line="114" w:lineRule="exact"/>
        <w:rPr>
          <w:sz w:val="20"/>
          <w:szCs w:val="20"/>
          <w:color w:val="auto"/>
        </w:rPr>
      </w:pPr>
    </w:p>
    <w:p>
      <w:pPr>
        <w:ind w:left="1280" w:right="619" w:firstLine="360"/>
        <w:spacing w:after="0" w:line="248" w:lineRule="auto"/>
        <w:rPr>
          <w:sz w:val="20"/>
          <w:szCs w:val="20"/>
          <w:color w:val="auto"/>
        </w:rPr>
      </w:pPr>
      <w:r>
        <w:rPr>
          <w:rFonts w:ascii="Arial" w:cs="Arial" w:eastAsia="Arial" w:hAnsi="Arial"/>
          <w:sz w:val="18"/>
          <w:szCs w:val="18"/>
          <w:i w:val="1"/>
          <w:iCs w:val="1"/>
          <w:color w:val="auto"/>
        </w:rPr>
        <w:t>Certain financial information contained in this prospectus has been rounded and, as a result, certain totals shown in this prospectus may not equal the arithmetic sum of the figures that should otherwise aggregate to those totals.</w:t>
      </w:r>
    </w:p>
    <w:p>
      <w:pPr>
        <w:spacing w:after="0" w:line="101" w:lineRule="exact"/>
        <w:rPr>
          <w:sz w:val="20"/>
          <w:szCs w:val="20"/>
          <w:color w:val="auto"/>
        </w:rPr>
      </w:pPr>
    </w:p>
    <w:p>
      <w:pPr>
        <w:jc w:val="both"/>
        <w:ind w:left="1280" w:right="399" w:firstLine="360"/>
        <w:spacing w:after="0" w:line="270" w:lineRule="auto"/>
        <w:rPr>
          <w:sz w:val="20"/>
          <w:szCs w:val="20"/>
          <w:color w:val="auto"/>
        </w:rPr>
      </w:pPr>
      <w:r>
        <w:rPr>
          <w:rFonts w:ascii="Arial" w:cs="Arial" w:eastAsia="Arial" w:hAnsi="Arial"/>
          <w:sz w:val="17"/>
          <w:szCs w:val="17"/>
          <w:i w:val="1"/>
          <w:i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16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80" w:right="419" w:firstLine="360"/>
        <w:spacing w:after="0" w:line="324" w:lineRule="auto"/>
        <w:rPr>
          <w:sz w:val="20"/>
          <w:szCs w:val="20"/>
          <w:color w:val="auto"/>
        </w:rPr>
      </w:pPr>
      <w:r>
        <w:rPr>
          <w:rFonts w:ascii="Arial" w:cs="Arial" w:eastAsia="Arial" w:hAnsi="Arial"/>
          <w:sz w:val="16"/>
          <w:szCs w:val="16"/>
          <w:color w:val="auto"/>
        </w:rPr>
        <w:t>We are a blank check company formed under the laws of the State of Delaware on June 23, 2020. We were formed for the purpose of effecting a merger, capital stock exchange, asset acquisition, stock purchase,</w:t>
      </w:r>
    </w:p>
    <w:p>
      <w:pPr>
        <w:sectPr>
          <w:pgSz w:w="11900" w:h="16838" w:orient="portrait"/>
          <w:cols w:equalWidth="0" w:num="1">
            <w:col w:w="9879"/>
          </w:cols>
          <w:pgMar w:left="580" w:top="131" w:right="1440" w:bottom="1440" w:gutter="0" w:footer="0" w:header="0"/>
        </w:sectPr>
      </w:pPr>
    </w:p>
    <w:p>
      <w:pPr>
        <w:spacing w:after="0" w:line="32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39"/>
        <w:spacing w:after="0" w:line="257" w:lineRule="auto"/>
        <w:rPr>
          <w:sz w:val="20"/>
          <w:szCs w:val="20"/>
          <w:color w:val="auto"/>
        </w:rPr>
      </w:pPr>
      <w:r>
        <w:rPr>
          <w:rFonts w:ascii="Arial" w:cs="Arial" w:eastAsia="Arial" w:hAnsi="Arial"/>
          <w:sz w:val="18"/>
          <w:szCs w:val="18"/>
          <w:color w:val="auto"/>
        </w:rPr>
        <w:t>reorganization or similar business combination with one or more businesses, which we refer to throughout this prospectus as our initial business combination. Our intent is to focus on opportunities in disruptive technologies and leverage the tremendous proprietary deal flow that our Board, executive team and sponsor, Chardan have developed over the past 17 years in the special purpose acquisition company and investment banking marketplaces.</w:t>
      </w:r>
    </w:p>
    <w:p>
      <w:pPr>
        <w:spacing w:after="0" w:line="107" w:lineRule="exact"/>
        <w:rPr>
          <w:sz w:val="20"/>
          <w:szCs w:val="20"/>
          <w:color w:val="auto"/>
        </w:rPr>
      </w:pPr>
    </w:p>
    <w:p>
      <w:pPr>
        <w:ind w:left="1280" w:right="459" w:firstLine="360"/>
        <w:spacing w:after="0" w:line="254" w:lineRule="auto"/>
        <w:rPr>
          <w:sz w:val="20"/>
          <w:szCs w:val="20"/>
          <w:color w:val="auto"/>
        </w:rPr>
      </w:pPr>
      <w:r>
        <w:rPr>
          <w:rFonts w:ascii="Arial" w:cs="Arial" w:eastAsia="Arial" w:hAnsi="Arial"/>
          <w:sz w:val="18"/>
          <w:szCs w:val="18"/>
          <w:color w:val="auto"/>
        </w:rPr>
        <w:t>Our focus on disruptive technologies is aligned to the investment expertise, relationships, proprietary deal flow, and connectivity of our management team, Board of Directors, and Chardan. Through our multiple decades of special purpose acquisition company, sector, direct investment, and investment banking advisory experiences, our sponsor and management team receive proprietary access to a tremendous pipeline of disruptive technology investment opportunities. As Chardan’s special purpose acquisition company advisory and principal special purpose acquisition company practices have expanded, our inbound deal flow in technology, among other sectors, has significantly increased as private companies seek out our proprietary expertise.</w:t>
      </w:r>
    </w:p>
    <w:p>
      <w:pPr>
        <w:spacing w:after="0" w:line="124" w:lineRule="exact"/>
        <w:rPr>
          <w:sz w:val="20"/>
          <w:szCs w:val="20"/>
          <w:color w:val="auto"/>
        </w:rPr>
      </w:pPr>
    </w:p>
    <w:p>
      <w:pPr>
        <w:jc w:val="both"/>
        <w:ind w:left="1280" w:right="439" w:firstLine="360"/>
        <w:spacing w:after="0" w:line="286" w:lineRule="auto"/>
        <w:rPr>
          <w:sz w:val="20"/>
          <w:szCs w:val="20"/>
          <w:color w:val="auto"/>
        </w:rPr>
      </w:pPr>
      <w:r>
        <w:rPr>
          <w:rFonts w:ascii="Arial" w:cs="Arial" w:eastAsia="Arial" w:hAnsi="Arial"/>
          <w:sz w:val="17"/>
          <w:szCs w:val="17"/>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6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The Opportunity</w:t>
      </w:r>
    </w:p>
    <w:p>
      <w:pPr>
        <w:spacing w:after="0" w:line="162" w:lineRule="exact"/>
        <w:rPr>
          <w:sz w:val="20"/>
          <w:szCs w:val="20"/>
          <w:color w:val="auto"/>
        </w:rPr>
      </w:pPr>
    </w:p>
    <w:p>
      <w:pPr>
        <w:ind w:left="1280" w:right="459" w:firstLine="360"/>
        <w:spacing w:after="0" w:line="269" w:lineRule="auto"/>
        <w:rPr>
          <w:sz w:val="20"/>
          <w:szCs w:val="20"/>
          <w:color w:val="auto"/>
        </w:rPr>
      </w:pPr>
      <w:r>
        <w:rPr>
          <w:rFonts w:ascii="Arial" w:cs="Arial" w:eastAsia="Arial" w:hAnsi="Arial"/>
          <w:sz w:val="17"/>
          <w:szCs w:val="17"/>
          <w:color w:val="auto"/>
        </w:rPr>
        <w:t>Having founded the third-ever publicly listed special purpose acquisition company in 2004, Chardan had the foresight to recognize that the traditional initial public offering process was broken. The initial public offering process has not changed in decades and it is a time and resource intensive process that not only lacks deal and price certainty, but also prevents high-growth technology companies from sharing their financial projections. We believe that Chardan has an unmatched track record as a special purpose acquisition company underwriter, sponsor (or co-sponsor) and special purpose acquisition mergers and acquisitions advisor, which we intend to leverage as special purpose acquisition companies have become more mainstream. We believe that the market is now only beginning to recognize the benefits of special purpose acquisition companies as has been demonstrated within the last several months. In the second half of 2020, special purpose acquisition companies accounted for ~56% of all capital raised in the initial public offering market, and have had record issuances in the first month of 2021, raising nearly $24 billion, almost two times U.S. initial public offerings during the same period.</w:t>
      </w:r>
    </w:p>
    <w:p>
      <w:pPr>
        <w:spacing w:after="0" w:line="98" w:lineRule="exact"/>
        <w:rPr>
          <w:sz w:val="20"/>
          <w:szCs w:val="20"/>
          <w:color w:val="auto"/>
        </w:rPr>
      </w:pPr>
    </w:p>
    <w:p>
      <w:pPr>
        <w:ind w:left="1280" w:right="419" w:firstLine="360"/>
        <w:spacing w:after="0" w:line="268" w:lineRule="auto"/>
        <w:rPr>
          <w:sz w:val="20"/>
          <w:szCs w:val="20"/>
          <w:color w:val="auto"/>
        </w:rPr>
      </w:pPr>
      <w:r>
        <w:rPr>
          <w:rFonts w:ascii="Arial" w:cs="Arial" w:eastAsia="Arial" w:hAnsi="Arial"/>
          <w:sz w:val="17"/>
          <w:szCs w:val="17"/>
          <w:color w:val="auto"/>
        </w:rPr>
        <w:t>The opportunity for disruptive technology companies to take advantage of the public markets is evident as there are over 2,000 private technology companies that have raised at least $50MM in private funding or over $1 trillion in aggregate. We believe that such private funding has been a result of many entrepreneurs adopting the philosophy to stay private longer, not only from a cost perspective, but also because of the volume of private capital. Over the past year, however, we believe private company executives’ and stakeholders’ mindset has fundamentally shifted as special purpose acquisition companies have provided a more effective and efficient path to access public markets and its greater access to capital providers. We believe private companies are realizing that they are rewarded for providing greater transparency into their growth plans and can potentially capture further upside via the special purpose acquisition company structure. Since 2019, disruptive technology companies that have gone public via a special purpose acquisition company have experienced substantial share price growth, with a number of recent transactions surging over 100% growth since their public market debuts. We aim to capitalize on the number of disruptive technology companies that are still private and capable of achieving attractive risk-adjusted returns through our decades of special purpose acquisition company experience.</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Management Team, Sponsor, and Board of Directors</w:t>
      </w:r>
    </w:p>
    <w:p>
      <w:pPr>
        <w:spacing w:after="0" w:line="162" w:lineRule="exact"/>
        <w:rPr>
          <w:sz w:val="20"/>
          <w:szCs w:val="20"/>
          <w:color w:val="auto"/>
        </w:rPr>
      </w:pPr>
    </w:p>
    <w:p>
      <w:pPr>
        <w:ind w:left="1280" w:right="419" w:firstLine="360"/>
        <w:spacing w:after="0" w:line="275" w:lineRule="auto"/>
        <w:rPr>
          <w:sz w:val="20"/>
          <w:szCs w:val="20"/>
          <w:color w:val="auto"/>
        </w:rPr>
      </w:pPr>
      <w:r>
        <w:rPr>
          <w:rFonts w:ascii="Arial" w:cs="Arial" w:eastAsia="Arial" w:hAnsi="Arial"/>
          <w:sz w:val="17"/>
          <w:szCs w:val="17"/>
          <w:color w:val="auto"/>
        </w:rPr>
        <w:t>As we search for a prospective target company or business, we intend to leverage the multiple decades of combined investment experience, successful special purpose acquisition company and mergers and acquisitions execution experience, and the expansive network of relationships of the principals and affiliates of our sponsor. Our management team, led by co-founders Kerry Propper and Jonas Grossman, have a combined 80 years of investment and execution experience. Together with our management team, sponsor,</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739"/>
        <w:spacing w:after="0" w:line="263" w:lineRule="auto"/>
        <w:rPr>
          <w:sz w:val="20"/>
          <w:szCs w:val="20"/>
          <w:color w:val="auto"/>
        </w:rPr>
      </w:pPr>
      <w:r>
        <w:rPr>
          <w:rFonts w:ascii="Arial" w:cs="Arial" w:eastAsia="Arial" w:hAnsi="Arial"/>
          <w:sz w:val="18"/>
          <w:szCs w:val="18"/>
          <w:color w:val="auto"/>
        </w:rPr>
        <w:t>and our board of directors, we are confident that the combined experience makes us uniquely situated to identify, source, negotiate and execute an initial business combination with a disruptive technology company.</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Management Team</w:t>
      </w:r>
    </w:p>
    <w:p>
      <w:pPr>
        <w:spacing w:after="0" w:line="144" w:lineRule="exact"/>
        <w:rPr>
          <w:sz w:val="20"/>
          <w:szCs w:val="20"/>
          <w:color w:val="auto"/>
        </w:rPr>
      </w:pPr>
    </w:p>
    <w:p>
      <w:pPr>
        <w:ind w:left="1280" w:right="419" w:firstLine="360"/>
        <w:spacing w:after="0" w:line="272" w:lineRule="auto"/>
        <w:rPr>
          <w:sz w:val="20"/>
          <w:szCs w:val="20"/>
          <w:color w:val="auto"/>
        </w:rPr>
      </w:pPr>
      <w:r>
        <w:rPr>
          <w:rFonts w:ascii="Arial" w:cs="Arial" w:eastAsia="Arial" w:hAnsi="Arial"/>
          <w:sz w:val="17"/>
          <w:szCs w:val="17"/>
          <w:b w:val="1"/>
          <w:bCs w:val="1"/>
          <w:i w:val="1"/>
          <w:iCs w:val="1"/>
          <w:color w:val="auto"/>
        </w:rPr>
        <w:t xml:space="preserve">Kerry Propper </w:t>
      </w:r>
      <w:r>
        <w:rPr>
          <w:rFonts w:ascii="Arial" w:cs="Arial" w:eastAsia="Arial" w:hAnsi="Arial"/>
          <w:sz w:val="17"/>
          <w:szCs w:val="17"/>
          <w:color w:val="auto"/>
        </w:rPr>
        <w:t>is our co-founder and will serve as our Chairman of the board of directors upon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effectiveness of the registration statement of which this prospectus is a part. Mr. Propper was co-founder of Chardan and served as its chief executive officer and head of its investment bank from 2003 to 2015. He is a pioneer in the special purpose acquisition marketplace and has been an executive or senior advisor for six special purpose acquisition companies. Since 2015, Mr. Propper has served as the chairman of Chardan’s board of directors and the co-founder and managing partner of ATW Partners, a growth-focused investment firm. Mr. Propper also sits on the board of 340Basics, Credit Sesame, and PierianDx among other boards.</w:t>
      </w:r>
    </w:p>
    <w:p>
      <w:pPr>
        <w:spacing w:after="0" w:line="110" w:lineRule="exact"/>
        <w:rPr>
          <w:sz w:val="20"/>
          <w:szCs w:val="20"/>
          <w:color w:val="auto"/>
        </w:rPr>
      </w:pPr>
    </w:p>
    <w:p>
      <w:pPr>
        <w:ind w:left="1280" w:right="419" w:firstLine="360"/>
        <w:spacing w:after="0" w:line="267" w:lineRule="auto"/>
        <w:rPr>
          <w:sz w:val="20"/>
          <w:szCs w:val="20"/>
          <w:color w:val="auto"/>
        </w:rPr>
      </w:pPr>
      <w:r>
        <w:rPr>
          <w:rFonts w:ascii="Arial" w:cs="Arial" w:eastAsia="Arial" w:hAnsi="Arial"/>
          <w:sz w:val="17"/>
          <w:szCs w:val="17"/>
          <w:b w:val="1"/>
          <w:bCs w:val="1"/>
          <w:i w:val="1"/>
          <w:iCs w:val="1"/>
          <w:color w:val="auto"/>
        </w:rPr>
        <w:t xml:space="preserve">Jonas Grossman </w:t>
      </w:r>
      <w:r>
        <w:rPr>
          <w:rFonts w:ascii="Arial" w:cs="Arial" w:eastAsia="Arial" w:hAnsi="Arial"/>
          <w:sz w:val="17"/>
          <w:szCs w:val="17"/>
          <w:color w:val="auto"/>
        </w:rPr>
        <w:t>is our co-founder and has been our Chief Executive Officer and a member of our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since June 2020 and our President, Secretary, and Treasurer since July 2020. Mr. Grossman has served as managing partner and head of capital markets for Chardan since December 2003, and has additionally served as president of Chardan since September 2015. With nearly two decades of transactional and special acquisition company expertise, Mr. Grossman has led or managed more than 500 transactions, including providing underwriting and business combination advisory services to more than 85 special purpose acquisition companies in a variety of industries. Mr. Grossman has been a founder and / or a member of the board of seven special purpose acquisition companies, of which on four he also has served as Chief Executive Officer and President. Since April 2020, Mr. Grossman has served as the President and Chief Executive Officer of Chardan Healthcare Acquisition 2 Corp which announced its merger with Renovacor, Inc in March 2021. He also served as President and Chief Executive Officer of Chardan Healthcare Acquisition Corp. from March 2018 until its merger in October 2019 with BiomX Ltd. (NYSE: PHGE). He is currently a director of BiomX. Mr. Grossman was a founder and director of LifeSci Acquisition Corp. from March 2020 until the close of its business combination with Vincera Pharma, Inc. in December 2020. He has served as a director to Ventoux CCM Acquisition Corp. since December 2020 and CleanTech Acquisition Corp since May 2021. Since July 2020, he has served as Chief Executive Officer and director of Chardan NexTech Acquisition Corp. Previously, from 2001 to 2003, Mr. Grossman worked at Ramius Capital Group, LLC, a global multi-strategy hedge fund where he served as Vice President and Head Trader. Mr. Grossman holds a B.A. in Economics from Cornell University and an M.B.A. from New York University’s Stern School of Business. He has served on the board of directors for UNICEF since December 2016.</w:t>
      </w:r>
    </w:p>
    <w:p>
      <w:pPr>
        <w:spacing w:after="0" w:line="335" w:lineRule="exact"/>
        <w:rPr>
          <w:sz w:val="20"/>
          <w:szCs w:val="20"/>
          <w:color w:val="auto"/>
        </w:rPr>
      </w:pPr>
    </w:p>
    <w:p>
      <w:pPr>
        <w:ind w:left="1280" w:right="459" w:firstLine="360"/>
        <w:spacing w:after="0" w:line="267" w:lineRule="auto"/>
        <w:rPr>
          <w:sz w:val="20"/>
          <w:szCs w:val="20"/>
          <w:color w:val="auto"/>
        </w:rPr>
      </w:pPr>
      <w:r>
        <w:rPr>
          <w:rFonts w:ascii="Arial" w:cs="Arial" w:eastAsia="Arial" w:hAnsi="Arial"/>
          <w:sz w:val="17"/>
          <w:szCs w:val="17"/>
          <w:b w:val="1"/>
          <w:bCs w:val="1"/>
          <w:i w:val="1"/>
          <w:iCs w:val="1"/>
          <w:color w:val="auto"/>
        </w:rPr>
        <w:t xml:space="preserve">Alex Weil </w:t>
      </w:r>
      <w:r>
        <w:rPr>
          <w:rFonts w:ascii="Arial" w:cs="Arial" w:eastAsia="Arial" w:hAnsi="Arial"/>
          <w:sz w:val="17"/>
          <w:szCs w:val="17"/>
          <w:color w:val="auto"/>
        </w:rPr>
        <w:t>has served as our Chief Financial Officer since April 2021 and will serve as a member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upon the effective date of the registration statement of which this prospectus is a part. Mr. Weil has spent over two decades on Wall Street providing strategic advisory services to global companies, senior executives, boards of directors, and investors. Since March 2021, he has served as chief financial officer of Chardan NexTech Acquisition Corp., and he has agreed to also serve on the board of directors. Since December 2020 he has served as a director of Ventoux CCM Acquisition Corp., a special purpose acquisition company. Mr. Weil’s background in strategic advisory work was built during his career at both global companies, such Citibank’s corporate strategy and mergers and acquisition group, UBS Financial Institutions Group’s investment bank, and General Electric’s corporate development group, and at boutique investment banking advisors, such as Lazard Middle Market and William Blair. He has advised on billions of dollars of transactions ranging from corporate divestitures and spin offs, innovative technology company acquisitions to larger, more complex mergers and acquisitions. Mr. Weil has participated or led a variety of transactions, such as: Genworth’s spin-off initial public offering from General Electric; Citi-related transactions including a variety of technology and capital markets businesses (e.g. Lava Trading, Knight Options Market Making, and Automated Trading Desk) along with the creation of Citi Holdings and subsequent sales of Nikko Asset Management and its subprime auto finance business; Schwab’s acquisition of OptionsXpress; and CVC Capital Partner’s majority investment in Alix Partners. Mr. Weil’s extensive FinTech and mergers and acquisitions expertise will help put us in a strong position to originate and structure profitable investments.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Chardan</w:t>
      </w:r>
    </w:p>
    <w:p>
      <w:pPr>
        <w:spacing w:after="0" w:line="158" w:lineRule="exact"/>
        <w:rPr>
          <w:sz w:val="20"/>
          <w:szCs w:val="20"/>
          <w:color w:val="auto"/>
        </w:rPr>
      </w:pPr>
    </w:p>
    <w:p>
      <w:pPr>
        <w:ind w:left="1280" w:right="679" w:firstLine="360"/>
        <w:spacing w:after="0" w:line="248" w:lineRule="auto"/>
        <w:rPr>
          <w:sz w:val="20"/>
          <w:szCs w:val="20"/>
          <w:color w:val="auto"/>
        </w:rPr>
      </w:pPr>
      <w:r>
        <w:rPr>
          <w:rFonts w:ascii="Arial" w:cs="Arial" w:eastAsia="Arial" w:hAnsi="Arial"/>
          <w:sz w:val="18"/>
          <w:szCs w:val="18"/>
          <w:color w:val="auto"/>
        </w:rPr>
        <w:t>Our management team is supported by Chardan’s team of investment banking professionals, which possesses extensive collective experience in corporate finance, mergers and acquisitions, equity and debt capital markets, strategic consulting and operations.</w:t>
      </w:r>
    </w:p>
    <w:p>
      <w:pPr>
        <w:spacing w:after="0" w:line="114" w:lineRule="exact"/>
        <w:rPr>
          <w:sz w:val="20"/>
          <w:szCs w:val="20"/>
          <w:color w:val="auto"/>
        </w:rPr>
      </w:pPr>
    </w:p>
    <w:p>
      <w:pPr>
        <w:ind w:left="1280" w:right="419" w:firstLine="360"/>
        <w:spacing w:after="0" w:line="251" w:lineRule="auto"/>
        <w:rPr>
          <w:sz w:val="20"/>
          <w:szCs w:val="20"/>
          <w:color w:val="auto"/>
        </w:rPr>
      </w:pPr>
      <w:r>
        <w:rPr>
          <w:rFonts w:ascii="Arial" w:cs="Arial" w:eastAsia="Arial" w:hAnsi="Arial"/>
          <w:sz w:val="17"/>
          <w:szCs w:val="17"/>
          <w:color w:val="auto"/>
        </w:rPr>
        <w:t>Chardan has an extensive track record in the special purpose acquisition company market as underwriter, sponsor and advisor. Since 2004, Chardan has been lead or co -lead underwriter on 90 special purpose acquisition company initial public offerings. Since 2018, Chardan has been a mergers and acquisition advisor to 16 special purpose acquisition companies, helping them close transactions valued at approximately $6.8 billion. Chardan-advised special purpose acquisition companies have targeted a wide range of industries, including life sciences, healthcare services, technology hardware and software, FinTech, insurance, financial services, education, media and entertainment, industrials, materials, consumer staple, energy, hospitality, leisure, travel and dining sectors. Chardan has advised special purpose acquisition companies targeting both global and regional markets as well as those with more defined areas of focus in emerging and other geographic markets, including in North America. No special purpose acquisition company that has either been advised by Chardan or for which Chardan served as the lead underwriter has liquidated to-date. In addition to its active advisory and underwriting business, Chardan’s principals have founded or co-founded 13 special purpose acquisition companies, six of which have closed successful business combinations, one of which has announced a business combination, three of which are seeking acquisitions, and three of which are publicly filed.</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Our Board of Directors</w:t>
      </w:r>
    </w:p>
    <w:p>
      <w:pPr>
        <w:spacing w:after="0" w:line="144" w:lineRule="exact"/>
        <w:rPr>
          <w:sz w:val="20"/>
          <w:szCs w:val="20"/>
          <w:color w:val="auto"/>
        </w:rPr>
      </w:pPr>
    </w:p>
    <w:p>
      <w:pPr>
        <w:ind w:left="1280" w:right="639" w:firstLine="360"/>
        <w:spacing w:after="0" w:line="261" w:lineRule="auto"/>
        <w:rPr>
          <w:sz w:val="20"/>
          <w:szCs w:val="20"/>
          <w:color w:val="auto"/>
        </w:rPr>
      </w:pPr>
      <w:r>
        <w:rPr>
          <w:rFonts w:ascii="Arial" w:cs="Arial" w:eastAsia="Arial" w:hAnsi="Arial"/>
          <w:sz w:val="18"/>
          <w:szCs w:val="18"/>
          <w:color w:val="auto"/>
        </w:rPr>
        <w:t>In addition to Messrs. Propper, Grossman, and Weil, the other members of our board will include the following independent directors:</w:t>
      </w:r>
    </w:p>
    <w:p>
      <w:pPr>
        <w:spacing w:after="0" w:line="103" w:lineRule="exact"/>
        <w:rPr>
          <w:sz w:val="20"/>
          <w:szCs w:val="20"/>
          <w:color w:val="auto"/>
        </w:rPr>
      </w:pPr>
    </w:p>
    <w:p>
      <w:pPr>
        <w:ind w:left="1280" w:right="419" w:firstLine="360"/>
        <w:spacing w:after="0" w:line="251" w:lineRule="auto"/>
        <w:rPr>
          <w:sz w:val="20"/>
          <w:szCs w:val="20"/>
          <w:color w:val="auto"/>
        </w:rPr>
      </w:pPr>
      <w:r>
        <w:rPr>
          <w:rFonts w:ascii="Arial" w:cs="Arial" w:eastAsia="Arial" w:hAnsi="Arial"/>
          <w:sz w:val="17"/>
          <w:szCs w:val="17"/>
          <w:b w:val="1"/>
          <w:bCs w:val="1"/>
          <w:i w:val="1"/>
          <w:iCs w:val="1"/>
          <w:color w:val="auto"/>
        </w:rPr>
        <w:t xml:space="preserve">Jonathan C. “Jon” Biele </w:t>
      </w:r>
      <w:r>
        <w:rPr>
          <w:rFonts w:ascii="Arial" w:cs="Arial" w:eastAsia="Arial" w:hAnsi="Arial"/>
          <w:sz w:val="17"/>
          <w:szCs w:val="17"/>
          <w:color w:val="auto"/>
        </w:rPr>
        <w:t>will serve as a member of our board of directors upon the effective date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of which this prospectus is a part. Mr. Biele has over 28 years of investment banking experience serving in a variety of roles. He recently joined PREEM, a vertical technology platform, as head of business and corporate development. Most recently, Mr. Biele served as head of technology and services investment banking after helping rejuvenate the equity capital markets practice at SunTrust Robinson Humphrey. During his career, Mr. Biele has focused on providing capital markets, strategic and tactical advice to companies, boards of directors, private equity and venture capitalists. In addition to his tenure at SunTrust Robinson Humphrey, he has served as head of equity capital markets for Citadel Securities, Cowen and Co,. and Lazard Freres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one of the premier ski academies in the United States, and remains the lead investor and advisor to the chief executive officer of inGamba Tours, a luxury cyclo-tourism business. Mr. Biele holds a B.A. in History from St. Lawrence University.</w:t>
      </w:r>
    </w:p>
    <w:p>
      <w:pPr>
        <w:spacing w:after="0" w:line="118" w:lineRule="exact"/>
        <w:rPr>
          <w:sz w:val="20"/>
          <w:szCs w:val="20"/>
          <w:color w:val="auto"/>
        </w:rPr>
      </w:pPr>
    </w:p>
    <w:p>
      <w:pPr>
        <w:ind w:left="1280" w:right="399" w:firstLine="360"/>
        <w:spacing w:after="0" w:line="251" w:lineRule="auto"/>
        <w:rPr>
          <w:sz w:val="20"/>
          <w:szCs w:val="20"/>
          <w:color w:val="auto"/>
        </w:rPr>
      </w:pPr>
      <w:r>
        <w:rPr>
          <w:rFonts w:ascii="Arial" w:cs="Arial" w:eastAsia="Arial" w:hAnsi="Arial"/>
          <w:sz w:val="17"/>
          <w:szCs w:val="17"/>
          <w:b w:val="1"/>
          <w:bCs w:val="1"/>
          <w:i w:val="1"/>
          <w:iCs w:val="1"/>
          <w:color w:val="auto"/>
        </w:rPr>
        <w:t xml:space="preserve">Perry Boyle </w:t>
      </w:r>
      <w:r>
        <w:rPr>
          <w:rFonts w:ascii="Arial" w:cs="Arial" w:eastAsia="Arial" w:hAnsi="Arial"/>
          <w:sz w:val="17"/>
          <w:szCs w:val="17"/>
          <w:color w:val="auto"/>
        </w:rPr>
        <w:t>will serve as a member of our board of directors upon the effective date of the registration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of which this prospectus is a part. Mr. Boyle helped lead the launch of Point72 Asset Management, L.P., or Point72, as a registered investment advisor, raising over $6 billion in external capital. He originally joined S.A.C. Capital Advisors, or S.A.C.,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firm, overseeing offices in London, Hong Kong, Tokyo and Singapore. Prior to joining S.A.C., Mr. Boyle was a founding partner of Thomas Weisel Partners, an investment banking company, and a managing director at Alex. Brown &amp; Sons, an investment firm. He began his career as an investment banker with Salomon Brothers Inc. Additionally, Mr. Boyle is a member of the advisory board of the Center for a New American Security (CNAS), and a director of The US Friends of the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79"/>
        <w:spacing w:after="0" w:line="259" w:lineRule="auto"/>
        <w:rPr>
          <w:sz w:val="20"/>
          <w:szCs w:val="20"/>
          <w:color w:val="auto"/>
        </w:rPr>
      </w:pPr>
      <w:r>
        <w:rPr>
          <w:rFonts w:ascii="Arial" w:cs="Arial" w:eastAsia="Arial" w:hAnsi="Arial"/>
          <w:sz w:val="17"/>
          <w:szCs w:val="17"/>
          <w:color w:val="auto"/>
        </w:rPr>
        <w:t>International Institute for Strategic Studies (IISS). He has agreed to serve on the board of directors of Chardan NexTech Acquisition Corp. upon the effectiveness of its registration statement. He was a 2018 and 2019 delegate from the IISS to the Shangri-La Dialogue in Singapore. He is a council member of the Hoover Institution and a Lionel Curtis member of Chatham House. Mr. Boyle helps lead the annual Ride For Our Vets, the major source of funding for the Connecticut Veterans Legal Center.</w:t>
      </w:r>
    </w:p>
    <w:p>
      <w:pPr>
        <w:spacing w:after="0" w:line="93" w:lineRule="exact"/>
        <w:rPr>
          <w:sz w:val="20"/>
          <w:szCs w:val="20"/>
          <w:color w:val="auto"/>
        </w:rPr>
      </w:pPr>
    </w:p>
    <w:p>
      <w:pPr>
        <w:ind w:left="1280" w:right="399" w:firstLine="360"/>
        <w:spacing w:after="0" w:line="266" w:lineRule="auto"/>
        <w:rPr>
          <w:sz w:val="20"/>
          <w:szCs w:val="20"/>
          <w:color w:val="auto"/>
        </w:rPr>
      </w:pPr>
      <w:r>
        <w:rPr>
          <w:rFonts w:ascii="Arial" w:cs="Arial" w:eastAsia="Arial" w:hAnsi="Arial"/>
          <w:sz w:val="16"/>
          <w:szCs w:val="16"/>
          <w:b w:val="1"/>
          <w:bCs w:val="1"/>
          <w:i w:val="1"/>
          <w:iCs w:val="1"/>
          <w:color w:val="auto"/>
        </w:rPr>
        <w:t xml:space="preserve">Roderick Hardamon </w:t>
      </w:r>
      <w:r>
        <w:rPr>
          <w:rFonts w:ascii="Arial" w:cs="Arial" w:eastAsia="Arial" w:hAnsi="Arial"/>
          <w:sz w:val="16"/>
          <w:szCs w:val="16"/>
          <w:color w:val="auto"/>
        </w:rPr>
        <w:t>will serve as a member of our board of directors upon the effective date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registration statement of which this prospectus is a part. Mr. Hardamon has over two decades of mergers and acquisitions business innovation and senior executive leadership experience. He has served as chief executive officer of URGE Imprint LLC, a boutique management consulting firm headquartered in Detroit, Michigan, and URGE Development Group LLC, a real estate development firm headquartered in Detroit, Michigan, since May 2016. Previously, Mr. Hardamon held various positions at Citigroup, a leading global bank, including managing director and North American head of Citigroup’s alternative investor services business. In this role, he led an organization with over $300 billion in assets under administration and over 2,000 professionals spanning eight locations across the United States, Cayman Islands, Bermuda, Bahamas, and India. Mr. Hardamon led multiple phases of Citigroup’s ownership of the business including: (1) initial acquisition (BISYS Inc.); (2) integration into Citigroup; (3) operational transformation and growth; and</w:t>
      </w:r>
    </w:p>
    <w:p>
      <w:pPr>
        <w:ind w:left="1280" w:right="499" w:hanging="2"/>
        <w:spacing w:after="0" w:line="237" w:lineRule="auto"/>
        <w:tabs>
          <w:tab w:leader="none" w:pos="1549"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divestiture to SS&amp;C Technologies in March 2016. His prior roles at Citigroup included managing director and head of infrastructure &amp; integration and co-head/head of internal mergers and acquisitions for Citi Markets &amp; Banking and Global Transaction Services, respectively. After Citigroup, Mr. Hardamon briefly served as a managing director at SS&amp;C Technologies, a global provider of services and software for the financial services and healthcare industries. He is a graduate of Morehouse College with B.A.s in Accounting and Philosophy.</w:t>
      </w:r>
    </w:p>
    <w:p>
      <w:pPr>
        <w:spacing w:after="0" w:line="121" w:lineRule="exact"/>
        <w:rPr>
          <w:sz w:val="20"/>
          <w:szCs w:val="20"/>
          <w:color w:val="auto"/>
        </w:rPr>
      </w:pPr>
    </w:p>
    <w:p>
      <w:pPr>
        <w:ind w:left="1280" w:right="439" w:firstLine="360"/>
        <w:spacing w:after="0" w:line="236" w:lineRule="auto"/>
        <w:rPr>
          <w:sz w:val="20"/>
          <w:szCs w:val="20"/>
          <w:color w:val="auto"/>
        </w:rPr>
      </w:pPr>
      <w:r>
        <w:rPr>
          <w:rFonts w:ascii="Arial" w:cs="Arial" w:eastAsia="Arial" w:hAnsi="Arial"/>
          <w:sz w:val="18"/>
          <w:szCs w:val="18"/>
          <w:b w:val="1"/>
          <w:bCs w:val="1"/>
          <w:i w:val="1"/>
          <w:iCs w:val="1"/>
          <w:color w:val="auto"/>
        </w:rPr>
        <w:t xml:space="preserve">Jory Des Jardins </w:t>
      </w:r>
      <w:r>
        <w:rPr>
          <w:rFonts w:ascii="Arial" w:cs="Arial" w:eastAsia="Arial" w:hAnsi="Arial"/>
          <w:sz w:val="18"/>
          <w:szCs w:val="18"/>
          <w:color w:val="auto"/>
        </w:rPr>
        <w:t>will serve as a member of our board of directors upon the effective date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statement of which this prospectus is a part. Ms. Jardins has decades of startup and marketing experience. Ms. Jardins is the chief marketing officer of The @ Company, a builder of an internet protocol designed to put control over online data and user experiences back into the hands of people. Additionally, Ms. Jardins is VC-in-Residence at the W Fund, a venture capital and private equity firm passionate about evangelizing emerging and disruptive tech and leveling the playing field for underrepresented founders. She pioneered social marketing as co -founder and president of BlogHer, a media marketplace representing thousands of digital influencers, which reached 100 million monthly unique viewers at the time of its acquisition in 2015. She recently served as the head of global startup marketing at Amazon Web Services, providing startups with the technology to launch, build, and scale. Ms. Jardins previously held the position of global head of community at ConsenSys, a block chain studio building decentralized applications on Ethereum. Before ConsenSys, she was an advisor at Tribal Advisors, a consulting and mergers and acquisitions advisory firm providing services to startups and corporates in the consumer digital, software and systems technology sectors. She has advised dozens of scaling startups, focusing on companies that are evolving digital influence, social content, media models, consumer marketplaces, ecommerce, block chain/ token-based economies, and AR/VR/MR. Ms. Jardins graduated from the University of Illinois at Urbana-Champaign.</w:t>
      </w:r>
    </w:p>
    <w:p>
      <w:pPr>
        <w:spacing w:after="0" w:line="131" w:lineRule="exact"/>
        <w:rPr>
          <w:sz w:val="20"/>
          <w:szCs w:val="20"/>
          <w:color w:val="auto"/>
        </w:rPr>
      </w:pPr>
    </w:p>
    <w:p>
      <w:pPr>
        <w:ind w:left="1280" w:right="619" w:firstLine="360"/>
        <w:spacing w:after="0" w:line="253" w:lineRule="auto"/>
        <w:rPr>
          <w:sz w:val="20"/>
          <w:szCs w:val="20"/>
          <w:color w:val="auto"/>
        </w:rPr>
      </w:pPr>
      <w:r>
        <w:rPr>
          <w:rFonts w:ascii="Arial" w:cs="Arial" w:eastAsia="Arial" w:hAnsi="Arial"/>
          <w:sz w:val="17"/>
          <w:szCs w:val="17"/>
          <w:b w:val="1"/>
          <w:bCs w:val="1"/>
          <w:i w:val="1"/>
          <w:iCs w:val="1"/>
          <w:color w:val="auto"/>
        </w:rPr>
        <w:t xml:space="preserve">Hitesh Thakrar </w:t>
      </w:r>
      <w:r>
        <w:rPr>
          <w:rFonts w:ascii="Arial" w:cs="Arial" w:eastAsia="Arial" w:hAnsi="Arial"/>
          <w:sz w:val="17"/>
          <w:szCs w:val="17"/>
          <w:color w:val="auto"/>
        </w:rPr>
        <w:t>will serve as a member of our board of directors upon the effective date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of which this prospectus is a part. Mr. Thakrar is an experienced investor in the technology sector, having spent over 20 years investing in public equities in the life sciences, information technology and innovation sectors. Since 2015, he has been active in early stage venture investing.</w:t>
      </w:r>
    </w:p>
    <w:p>
      <w:pPr>
        <w:spacing w:after="0" w:line="2" w:lineRule="exact"/>
        <w:rPr>
          <w:sz w:val="20"/>
          <w:szCs w:val="20"/>
          <w:color w:val="auto"/>
        </w:rPr>
      </w:pPr>
    </w:p>
    <w:p>
      <w:pPr>
        <w:ind w:left="1280" w:right="439"/>
        <w:spacing w:after="0" w:line="235" w:lineRule="auto"/>
        <w:rPr>
          <w:sz w:val="20"/>
          <w:szCs w:val="20"/>
          <w:color w:val="auto"/>
        </w:rPr>
      </w:pPr>
      <w:r>
        <w:rPr>
          <w:rFonts w:ascii="Arial" w:cs="Arial" w:eastAsia="Arial" w:hAnsi="Arial"/>
          <w:sz w:val="18"/>
          <w:szCs w:val="18"/>
          <w:color w:val="auto"/>
        </w:rPr>
        <w:t>Mr. Thakrar is currently a Venture Partner at Syncona Limited, a Wellcome Trust backed early stage venture fund. He is also a Governance Board Member of KQ Labs at the Francis Crick Institute, an accelerator supporting next generation businesses in data science and life sciences. He is the main Board Trustee of the Alan Turing Institute which is the UK National Institute for Artificial Intelligence and Data Science research. Additionally, Mr. Thakrar is the Chair of the Investment Committee for Newable Ventures, a pre-Series A fund focused on deep technology. He is also an advisor to UKRI’s Science and Technology Funding Council (SFTC) which helps early stage companies spin out from UK universities. He has previously served as a non-executive director for Desktop Genetics and Tropic Biosciences, both of which specialize in the use of CRISPR technology in gene editing. Prior to 2015, Mr. Thakrar worked at various public market institutions in global equity research and fund management including at ADIA (Abu Dhabi’s sovereign wealth fund), JP Morgan, Aviva Group, Dresdner Bank and New Star Asset Management. He has previously held the</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519"/>
        <w:spacing w:after="0" w:line="243" w:lineRule="auto"/>
        <w:rPr>
          <w:sz w:val="20"/>
          <w:szCs w:val="20"/>
          <w:color w:val="auto"/>
        </w:rPr>
      </w:pPr>
      <w:r>
        <w:rPr>
          <w:rFonts w:ascii="Arial" w:cs="Arial" w:eastAsia="Arial" w:hAnsi="Arial"/>
          <w:sz w:val="18"/>
          <w:szCs w:val="18"/>
          <w:color w:val="auto"/>
        </w:rPr>
        <w:t>position of Innovation Fellow at the University of Cambridge, recently joined as a Trustee of the Royal National Orthopaedic Hospital Charity and is a member of the commercial Board of the Institute and Audit committee. Mr. Thakrar has a degree in chemistry from Kings College, London, an MBA from Cranfield University and a CFA from the American Association of Investment Analysts.</w:t>
      </w:r>
    </w:p>
    <w:p>
      <w:pPr>
        <w:spacing w:after="0" w:line="107" w:lineRule="exact"/>
        <w:rPr>
          <w:sz w:val="20"/>
          <w:szCs w:val="20"/>
          <w:color w:val="auto"/>
        </w:rPr>
      </w:pPr>
    </w:p>
    <w:p>
      <w:pPr>
        <w:ind w:left="1280" w:right="399" w:firstLine="360"/>
        <w:spacing w:after="0" w:line="251" w:lineRule="auto"/>
        <w:rPr>
          <w:sz w:val="20"/>
          <w:szCs w:val="20"/>
          <w:color w:val="auto"/>
        </w:rPr>
      </w:pPr>
      <w:r>
        <w:rPr>
          <w:rFonts w:ascii="Arial" w:cs="Arial" w:eastAsia="Arial" w:hAnsi="Arial"/>
          <w:sz w:val="17"/>
          <w:szCs w:val="17"/>
          <w:b w:val="1"/>
          <w:bCs w:val="1"/>
          <w:i w:val="1"/>
          <w:iCs w:val="1"/>
          <w:color w:val="auto"/>
        </w:rPr>
        <w:t xml:space="preserve">Todd Thomson </w:t>
      </w:r>
      <w:r>
        <w:rPr>
          <w:rFonts w:ascii="Arial" w:cs="Arial" w:eastAsia="Arial" w:hAnsi="Arial"/>
          <w:sz w:val="17"/>
          <w:szCs w:val="17"/>
          <w:color w:val="auto"/>
        </w:rPr>
        <w:t>will serve as a member of our board of directors upon the effective date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of which this prospectus is a part. Mr. Thomson is currently the chief operating officer and chief financial officer of Kairos Ventures, an early- stage investment firm. He is an accomplished operating executive and entrepreneur, having served as Citigroup chief financial officer for five years and as chief executive officer of Citigroup’s nearly $10 billion global wealth management division for more than two years. Mr. Thomson is a leading practitioner on mergers and acquisitions and business strategy, having led the acquisition and strategy efforts for Citigroup and GE Capital, as well as serving as advisor to Fortune 500 firms while at Bain &amp; Co., Booz Allen Hamilton, and Barents Group. He has extensive investing experience as chief executive officer of Citigroup alternative investments, chairman of the Citigroup pension investment committee, chairman of the dynasty investment committee, and a member of the investment committees for the Davidson College and World Resources Institute endowments. Prior to joining Kairos Ventures, Mr. Thomson served as co-founder and chairman of Dynasty Financial Partners, or Dynasty, a leading investment and technology platform for sophisticated independent advisors. Founded by Mr. Thomson and his colleagues in 2010, Dynasty serves nearly 50 registered investment advisor firms nationally, with $50 billion under management. In addition to serving as chairman, Todd served in several operating roles since Dynasty’s founding, including chairing the investment committee, serving as chief investment officer, and designing and leading Dynasty Capital Strategies. Mr. Thomson has also agreed to serve on the board of Chardan NexTech Acquisition Corp., a blank check company, upon the effectiveness of its registration statement.</w:t>
      </w:r>
    </w:p>
    <w:p>
      <w:pPr>
        <w:spacing w:after="0" w:line="112" w:lineRule="exact"/>
        <w:rPr>
          <w:sz w:val="20"/>
          <w:szCs w:val="20"/>
          <w:color w:val="auto"/>
        </w:rPr>
      </w:pPr>
    </w:p>
    <w:p>
      <w:pPr>
        <w:ind w:left="1280" w:right="479" w:firstLine="360"/>
        <w:spacing w:after="0" w:line="254" w:lineRule="auto"/>
        <w:rPr>
          <w:sz w:val="20"/>
          <w:szCs w:val="20"/>
          <w:color w:val="auto"/>
        </w:rPr>
      </w:pPr>
      <w:r>
        <w:rPr>
          <w:rFonts w:ascii="Arial" w:cs="Arial" w:eastAsia="Arial" w:hAnsi="Arial"/>
          <w:sz w:val="17"/>
          <w:szCs w:val="17"/>
          <w:color w:val="auto"/>
        </w:rPr>
        <w:t>We believe our management team’s operating, special purpose acquisition company, and mergers and acquisitions transaction experience and relationships with companies will quickly provide us with a substantial number of attractive potential business combination targets. Over the course of their careers, the members of our management team have developed a broad network of contacts and corporate relationships in and around the disruptive technology industry. This network has grown through the activities of our management team sourcing, acquiring and financing businesses, our management team’s relationships with sellers, financing sources and target management teams and the experience of our management team in executing transactions under varying economic and financial market conditions.</w:t>
      </w:r>
    </w:p>
    <w:p>
      <w:pPr>
        <w:spacing w:after="0" w:line="113" w:lineRule="exact"/>
        <w:rPr>
          <w:sz w:val="20"/>
          <w:szCs w:val="20"/>
          <w:color w:val="auto"/>
        </w:rPr>
      </w:pPr>
    </w:p>
    <w:p>
      <w:pPr>
        <w:ind w:left="1280" w:right="439" w:firstLine="360"/>
        <w:spacing w:after="0" w:line="243" w:lineRule="auto"/>
        <w:rPr>
          <w:sz w:val="20"/>
          <w:szCs w:val="20"/>
          <w:color w:val="auto"/>
        </w:rPr>
      </w:pPr>
      <w:r>
        <w:rPr>
          <w:rFonts w:ascii="Arial" w:cs="Arial" w:eastAsia="Arial" w:hAnsi="Arial"/>
          <w:sz w:val="18"/>
          <w:szCs w:val="18"/>
          <w:color w:val="auto"/>
        </w:rPr>
        <w:t>Certain of our executive officers and directors also served as executive officers and directors of Chardan Healthcare Acquisition Corp., or Chardan Health SPAC 1, a blank check company that consummated its initial public offering in December 2018 and consummated its initial business combination with BiomX Ltd. (NYSE: PHGE) in October 2019.</w:t>
      </w:r>
    </w:p>
    <w:p>
      <w:pPr>
        <w:spacing w:after="0" w:line="107" w:lineRule="exact"/>
        <w:rPr>
          <w:sz w:val="20"/>
          <w:szCs w:val="20"/>
          <w:color w:val="auto"/>
        </w:rPr>
      </w:pPr>
    </w:p>
    <w:p>
      <w:pPr>
        <w:ind w:left="1280" w:right="439" w:firstLine="360"/>
        <w:spacing w:after="0" w:line="248"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Healthcare Acquisition 2 Corp., or Chardan Health SPAC 2, a blank check company that consummated its initial public offering in April 2020.</w:t>
      </w:r>
    </w:p>
    <w:p>
      <w:pPr>
        <w:spacing w:after="0" w:line="114" w:lineRule="exact"/>
        <w:rPr>
          <w:sz w:val="20"/>
          <w:szCs w:val="20"/>
          <w:color w:val="auto"/>
        </w:rPr>
      </w:pPr>
    </w:p>
    <w:p>
      <w:pPr>
        <w:ind w:left="1280" w:right="459" w:firstLine="360"/>
        <w:spacing w:after="0" w:line="248" w:lineRule="auto"/>
        <w:rPr>
          <w:sz w:val="20"/>
          <w:szCs w:val="20"/>
          <w:color w:val="auto"/>
        </w:rPr>
      </w:pPr>
      <w:r>
        <w:rPr>
          <w:rFonts w:ascii="Arial" w:cs="Arial" w:eastAsia="Arial" w:hAnsi="Arial"/>
          <w:sz w:val="18"/>
          <w:szCs w:val="18"/>
          <w:color w:val="auto"/>
        </w:rPr>
        <w:t>Certain of our executive officers and directors also serve as executive officers and directors of Ventoux CCM Acquisition Corp., or Ventoux CCM, a blank check company that consummated its initial public offering in December 2020.</w:t>
      </w:r>
    </w:p>
    <w:p>
      <w:pPr>
        <w:spacing w:after="0" w:line="114" w:lineRule="exact"/>
        <w:rPr>
          <w:sz w:val="20"/>
          <w:szCs w:val="20"/>
          <w:color w:val="auto"/>
        </w:rPr>
      </w:pPr>
    </w:p>
    <w:p>
      <w:pPr>
        <w:ind w:left="1280" w:right="579" w:firstLine="360"/>
        <w:spacing w:after="0" w:line="291" w:lineRule="auto"/>
        <w:rPr>
          <w:sz w:val="20"/>
          <w:szCs w:val="20"/>
          <w:color w:val="auto"/>
        </w:rPr>
      </w:pPr>
      <w:r>
        <w:rPr>
          <w:rFonts w:ascii="Arial" w:cs="Arial" w:eastAsia="Arial" w:hAnsi="Arial"/>
          <w:sz w:val="17"/>
          <w:szCs w:val="17"/>
          <w:color w:val="auto"/>
        </w:rPr>
        <w:t>Our executive officer and director Jonas Grossman also serves as a director of CleanTech Acquisition Corp., or CleanTech, a blank check company that consummated its initial public offering in July 2021.</w:t>
      </w:r>
    </w:p>
    <w:p>
      <w:pPr>
        <w:spacing w:after="0" w:line="66" w:lineRule="exact"/>
        <w:rPr>
          <w:sz w:val="20"/>
          <w:szCs w:val="20"/>
          <w:color w:val="auto"/>
        </w:rPr>
      </w:pPr>
    </w:p>
    <w:p>
      <w:pPr>
        <w:ind w:left="1280" w:right="439" w:firstLine="360"/>
        <w:spacing w:after="0" w:line="243"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NexTech Acquisition Corp., or Chardan NexTech 1, a blank check company that has publicly filed its registration statement on Form S-1, but is not expected to consummate its initial public offering before the consummation of this offering.</w:t>
      </w:r>
    </w:p>
    <w:p>
      <w:pPr>
        <w:spacing w:after="0" w:line="120" w:lineRule="exact"/>
        <w:rPr>
          <w:sz w:val="20"/>
          <w:szCs w:val="20"/>
          <w:color w:val="auto"/>
        </w:rPr>
      </w:pPr>
    </w:p>
    <w:p>
      <w:pPr>
        <w:ind w:left="1280" w:right="479" w:firstLine="360"/>
        <w:spacing w:after="0" w:line="243" w:lineRule="auto"/>
        <w:rPr>
          <w:sz w:val="20"/>
          <w:szCs w:val="20"/>
          <w:color w:val="auto"/>
        </w:rPr>
      </w:pPr>
      <w:r>
        <w:rPr>
          <w:rFonts w:ascii="Arial" w:cs="Arial" w:eastAsia="Arial" w:hAnsi="Arial"/>
          <w:sz w:val="18"/>
          <w:szCs w:val="18"/>
          <w:color w:val="auto"/>
        </w:rPr>
        <w:t>From time to time, Chardan acts as an underwriter for the initial public offering of special purpose acquisition companies and in addition to cash fees, Chardan receive equity in the form of private placement securities. Some of those special purpose acquisition companies may be competitive with our company as they look for targets in the same industries and geographies.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19" w:firstLine="360"/>
        <w:spacing w:after="0" w:line="250" w:lineRule="auto"/>
        <w:rPr>
          <w:sz w:val="20"/>
          <w:szCs w:val="20"/>
          <w:color w:val="auto"/>
        </w:rPr>
      </w:pPr>
      <w:r>
        <w:rPr>
          <w:rFonts w:ascii="Arial" w:cs="Arial" w:eastAsia="Arial" w:hAnsi="Arial"/>
          <w:sz w:val="17"/>
          <w:szCs w:val="17"/>
          <w:color w:val="auto"/>
        </w:rPr>
        <w:t>With respect to the foregoing descriptions, the past performance of Chardan and its affiliates and our management team is not a guarantee either (i) that we will be able to identify a suitable candidate for our initial business combination or (ii) of success with respect to any business combination we may consummate. As described in this prospectus, Messrs. Propper, Grossman and Weil have had management and/or board experience with blank check companies. None of our other officers or directors, our sponsor, nor any of its respective officers, directors, employees, or affiliates, have had management experience with blank check companies or special purpose acquisition corporations in the past. You should not rely on their respective historical records or performance of Chardan, its affiliates, or our management team as indicative of our future performance. Our officers and directors may have conflicts of interest with other entities to which they owe fiduciary or contractual obligations with respect to initial business combination opportunities, including for our officers with respect to Chardan Health SPAC 2, Ventoux CCM, CleanTech and Chardan NexTech 1, collectively which we refer to as the Affiliated SPACs. In order to minimize potential conflicts of interest which may arise from multiple affiliations, our officers who are also officers of any of the Affiliated SPACs will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Business Strategy</w:t>
      </w:r>
    </w:p>
    <w:p>
      <w:pPr>
        <w:spacing w:after="0" w:line="148" w:lineRule="exact"/>
        <w:rPr>
          <w:sz w:val="20"/>
          <w:szCs w:val="20"/>
          <w:color w:val="auto"/>
        </w:rPr>
      </w:pPr>
    </w:p>
    <w:p>
      <w:pPr>
        <w:ind w:left="1280" w:right="559" w:firstLine="360"/>
        <w:spacing w:after="0"/>
        <w:rPr>
          <w:sz w:val="20"/>
          <w:szCs w:val="20"/>
          <w:color w:val="auto"/>
        </w:rPr>
      </w:pPr>
      <w:r>
        <w:rPr>
          <w:rFonts w:ascii="Arial" w:cs="Arial" w:eastAsia="Arial" w:hAnsi="Arial"/>
          <w:sz w:val="18"/>
          <w:szCs w:val="18"/>
          <w:color w:val="auto"/>
        </w:rPr>
        <w:t>Our management team’s objective is to generate attractive returns and create long-term value for our stockholders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22" w:lineRule="exact"/>
        <w:rPr>
          <w:sz w:val="20"/>
          <w:szCs w:val="20"/>
          <w:color w:val="auto"/>
        </w:rPr>
      </w:pPr>
    </w:p>
    <w:p>
      <w:pPr>
        <w:ind w:left="1280" w:right="579" w:firstLine="360"/>
        <w:spacing w:after="0" w:line="255" w:lineRule="auto"/>
        <w:rPr>
          <w:sz w:val="20"/>
          <w:szCs w:val="20"/>
          <w:color w:val="auto"/>
        </w:rPr>
      </w:pPr>
      <w:r>
        <w:rPr>
          <w:rFonts w:ascii="Arial" w:cs="Arial" w:eastAsia="Arial" w:hAnsi="Arial"/>
          <w:sz w:val="17"/>
          <w:szCs w:val="17"/>
          <w:color w:val="auto"/>
        </w:rPr>
        <w:t>Our evaluation process will leverage our co-founders’ and board’s network of industry, private equity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11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Certain members of our management team, board and advisors have experience in:</w:t>
      </w:r>
    </w:p>
    <w:p>
      <w:pPr>
        <w:spacing w:after="0" w:line="104" w:lineRule="exact"/>
        <w:rPr>
          <w:sz w:val="20"/>
          <w:szCs w:val="20"/>
          <w:color w:val="auto"/>
        </w:rPr>
      </w:pPr>
    </w:p>
    <w:p>
      <w:pPr>
        <w:ind w:left="1820" w:right="599" w:hanging="182"/>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key activities of special purpose acquisition companies, including sponsoring, underwriting and mergers and acquisitions advisory;</w:t>
      </w:r>
    </w:p>
    <w:p>
      <w:pPr>
        <w:spacing w:after="0" w:line="62" w:lineRule="exact"/>
        <w:rPr>
          <w:rFonts w:ascii="Arial" w:cs="Arial" w:eastAsia="Arial" w:hAnsi="Arial"/>
          <w:sz w:val="18"/>
          <w:szCs w:val="18"/>
          <w:color w:val="auto"/>
        </w:rPr>
      </w:pPr>
    </w:p>
    <w:p>
      <w:pPr>
        <w:ind w:left="1820" w:right="799" w:hanging="182"/>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62" w:lineRule="exact"/>
        <w:rPr>
          <w:rFonts w:ascii="Arial" w:cs="Arial" w:eastAsia="Arial" w:hAnsi="Arial"/>
          <w:sz w:val="18"/>
          <w:szCs w:val="18"/>
          <w:color w:val="auto"/>
        </w:rPr>
      </w:pPr>
    </w:p>
    <w:p>
      <w:pPr>
        <w:jc w:val="both"/>
        <w:ind w:left="1820" w:right="1099" w:hanging="182"/>
        <w:spacing w:after="0" w:line="263"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75" w:lineRule="exact"/>
        <w:rPr>
          <w:rFonts w:ascii="Arial" w:cs="Arial" w:eastAsia="Arial" w:hAnsi="Arial"/>
          <w:sz w:val="18"/>
          <w:szCs w:val="18"/>
          <w:color w:val="auto"/>
        </w:rPr>
      </w:pPr>
    </w:p>
    <w:p>
      <w:pPr>
        <w:ind w:left="1820" w:hanging="182"/>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03" w:lineRule="exact"/>
        <w:rPr>
          <w:rFonts w:ascii="Arial" w:cs="Arial" w:eastAsia="Arial" w:hAnsi="Arial"/>
          <w:sz w:val="18"/>
          <w:szCs w:val="18"/>
          <w:color w:val="auto"/>
        </w:rPr>
      </w:pPr>
    </w:p>
    <w:p>
      <w:pPr>
        <w:ind w:left="1820" w:right="719" w:hanging="182"/>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117" w:lineRule="exact"/>
        <w:rPr>
          <w:rFonts w:ascii="Arial" w:cs="Arial" w:eastAsia="Arial" w:hAnsi="Arial"/>
          <w:sz w:val="18"/>
          <w:szCs w:val="18"/>
          <w:color w:val="auto"/>
        </w:rPr>
      </w:pPr>
    </w:p>
    <w:p>
      <w:pPr>
        <w:ind w:left="1820" w:right="759" w:hanging="182"/>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59" w:firstLine="360"/>
        <w:spacing w:after="0" w:line="254" w:lineRule="auto"/>
        <w:rPr>
          <w:sz w:val="20"/>
          <w:szCs w:val="20"/>
          <w:color w:val="auto"/>
        </w:rPr>
      </w:pPr>
      <w:r>
        <w:rPr>
          <w:rFonts w:ascii="Arial" w:cs="Arial" w:eastAsia="Arial" w:hAnsi="Arial"/>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9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Investment Criteria</w:t>
      </w:r>
    </w:p>
    <w:p>
      <w:pPr>
        <w:spacing w:after="0" w:line="148" w:lineRule="exact"/>
        <w:rPr>
          <w:sz w:val="20"/>
          <w:szCs w:val="20"/>
          <w:color w:val="auto"/>
        </w:rPr>
      </w:pPr>
    </w:p>
    <w:p>
      <w:pPr>
        <w:ind w:left="1280" w:right="519" w:firstLine="360"/>
        <w:spacing w:after="0" w:line="257"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93" w:lineRule="exact"/>
        <w:rPr>
          <w:sz w:val="20"/>
          <w:szCs w:val="20"/>
          <w:color w:val="auto"/>
        </w:rPr>
      </w:pPr>
    </w:p>
    <w:p>
      <w:pPr>
        <w:ind w:left="1820" w:right="73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102" w:lineRule="exact"/>
        <w:rPr>
          <w:rFonts w:ascii="Arial" w:cs="Arial" w:eastAsia="Arial" w:hAnsi="Arial"/>
          <w:sz w:val="18"/>
          <w:szCs w:val="18"/>
          <w:color w:val="auto"/>
        </w:rPr>
      </w:pPr>
    </w:p>
    <w:p>
      <w:pPr>
        <w:ind w:left="1820" w:right="75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89" w:lineRule="exact"/>
        <w:rPr>
          <w:rFonts w:ascii="Arial" w:cs="Arial" w:eastAsia="Arial" w:hAnsi="Arial"/>
          <w:sz w:val="18"/>
          <w:szCs w:val="18"/>
          <w:color w:val="auto"/>
        </w:rPr>
      </w:pPr>
    </w:p>
    <w:p>
      <w:pPr>
        <w:jc w:val="both"/>
        <w:ind w:left="1820" w:right="419" w:hanging="182"/>
        <w:spacing w:after="0" w:line="263"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116" w:lineRule="exact"/>
        <w:rPr>
          <w:rFonts w:ascii="Arial" w:cs="Arial" w:eastAsia="Arial" w:hAnsi="Arial"/>
          <w:sz w:val="18"/>
          <w:szCs w:val="18"/>
          <w:color w:val="auto"/>
        </w:rPr>
      </w:pPr>
    </w:p>
    <w:p>
      <w:pPr>
        <w:ind w:left="1820" w:hanging="182"/>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w:t>
      </w:r>
    </w:p>
    <w:p>
      <w:pPr>
        <w:spacing w:after="0" w:line="144" w:lineRule="exact"/>
        <w:rPr>
          <w:rFonts w:ascii="Arial" w:cs="Arial" w:eastAsia="Arial" w:hAnsi="Arial"/>
          <w:sz w:val="18"/>
          <w:szCs w:val="18"/>
          <w:color w:val="auto"/>
        </w:rPr>
      </w:pPr>
    </w:p>
    <w:p>
      <w:pPr>
        <w:ind w:left="1820" w:hanging="182"/>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157" w:lineRule="exact"/>
        <w:rPr>
          <w:rFonts w:ascii="Arial" w:cs="Arial" w:eastAsia="Arial" w:hAnsi="Arial"/>
          <w:sz w:val="18"/>
          <w:szCs w:val="18"/>
          <w:color w:val="auto"/>
        </w:rPr>
      </w:pPr>
    </w:p>
    <w:p>
      <w:pPr>
        <w:ind w:left="1820" w:right="39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has an operating model that has adapted or has an executable strategy to be able to meet the changing consumer or business behaviors in a COVID-19 or post-COVID 19 environment;</w:t>
      </w:r>
    </w:p>
    <w:p>
      <w:pPr>
        <w:spacing w:after="0" w:line="89" w:lineRule="exact"/>
        <w:rPr>
          <w:rFonts w:ascii="Arial" w:cs="Arial" w:eastAsia="Arial" w:hAnsi="Arial"/>
          <w:sz w:val="18"/>
          <w:szCs w:val="18"/>
          <w:color w:val="auto"/>
        </w:rPr>
      </w:pPr>
    </w:p>
    <w:p>
      <w:pPr>
        <w:ind w:left="1820" w:hanging="182"/>
        <w:spacing w:after="0"/>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157" w:lineRule="exact"/>
        <w:rPr>
          <w:rFonts w:ascii="Arial" w:cs="Arial" w:eastAsia="Arial" w:hAnsi="Arial"/>
          <w:sz w:val="18"/>
          <w:szCs w:val="18"/>
          <w:color w:val="auto"/>
        </w:rPr>
      </w:pPr>
    </w:p>
    <w:p>
      <w:pPr>
        <w:ind w:left="1820" w:right="479" w:hanging="182"/>
        <w:spacing w:after="0" w:line="277" w:lineRule="auto"/>
        <w:tabs>
          <w:tab w:leader="none" w:pos="1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can benefit from being a publicly traded company, are prepared to be a publicly traded company and can utilize access to broader capital markets.</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Acquisition Strategy</w:t>
      </w:r>
    </w:p>
    <w:p>
      <w:pPr>
        <w:spacing w:after="0" w:line="162" w:lineRule="exact"/>
        <w:rPr>
          <w:sz w:val="20"/>
          <w:szCs w:val="20"/>
          <w:color w:val="auto"/>
        </w:rPr>
      </w:pPr>
    </w:p>
    <w:p>
      <w:pPr>
        <w:ind w:left="1280" w:right="459" w:firstLine="360"/>
        <w:spacing w:after="0" w:line="272" w:lineRule="auto"/>
        <w:rPr>
          <w:sz w:val="20"/>
          <w:szCs w:val="20"/>
          <w:color w:val="auto"/>
        </w:rPr>
      </w:pPr>
      <w:r>
        <w:rPr>
          <w:rFonts w:ascii="Arial" w:cs="Arial" w:eastAsia="Arial" w:hAnsi="Arial"/>
          <w:sz w:val="17"/>
          <w:szCs w:val="17"/>
          <w:color w:val="auto"/>
        </w:rPr>
        <w:t>Rigorous and comprehensive due diligence on prospective business targets is particularly important for disruptive technology companies,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96" w:lineRule="exact"/>
        <w:rPr>
          <w:sz w:val="20"/>
          <w:szCs w:val="20"/>
          <w:color w:val="auto"/>
        </w:rPr>
      </w:pPr>
    </w:p>
    <w:p>
      <w:pPr>
        <w:ind w:left="1280" w:right="439" w:firstLine="360"/>
        <w:spacing w:after="0" w:line="273" w:lineRule="auto"/>
        <w:rPr>
          <w:sz w:val="20"/>
          <w:szCs w:val="20"/>
          <w:color w:val="auto"/>
        </w:rPr>
      </w:pPr>
      <w:r>
        <w:rPr>
          <w:rFonts w:ascii="Arial" w:cs="Arial" w:eastAsia="Arial" w:hAnsi="Arial"/>
          <w:sz w:val="17"/>
          <w:szCs w:val="17"/>
          <w:color w:val="auto"/>
        </w:rPr>
        <w:t>We have not identified any business combination target and we have not, nor has anyone on our behalf, initiated any substantive discussions, directly or indirectly, with any business combination target. Our sponsor, all of the members of our management team and our board, and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10" w:lineRule="exact"/>
        <w:rPr>
          <w:sz w:val="20"/>
          <w:szCs w:val="20"/>
          <w:color w:val="auto"/>
        </w:rPr>
      </w:pPr>
    </w:p>
    <w:p>
      <w:pPr>
        <w:ind w:left="1280" w:right="619" w:firstLine="360"/>
        <w:spacing w:after="0" w:line="263" w:lineRule="auto"/>
        <w:rPr>
          <w:sz w:val="20"/>
          <w:szCs w:val="20"/>
          <w:color w:val="auto"/>
        </w:rPr>
      </w:pPr>
      <w:r>
        <w:rPr>
          <w:rFonts w:ascii="Arial" w:cs="Arial" w:eastAsia="Arial" w:hAnsi="Arial"/>
          <w:sz w:val="18"/>
          <w:szCs w:val="18"/>
          <w:color w:val="auto"/>
        </w:rPr>
        <w:t>In addition, our officers and directors are not prohibited from becoming either a director or officer of any other special purpose acquisition company with a class of securities registered under the Securities Exchange Act of 1934, as amended, which we refer to as the Exchange Act.</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ind w:left="1280" w:right="419" w:firstLine="360"/>
        <w:spacing w:after="0" w:line="250" w:lineRule="auto"/>
        <w:rPr>
          <w:sz w:val="20"/>
          <w:szCs w:val="20"/>
          <w:color w:val="auto"/>
        </w:rPr>
      </w:pPr>
      <w:r>
        <w:rPr>
          <w:rFonts w:ascii="Arial" w:cs="Arial" w:eastAsia="Arial" w:hAnsi="Arial"/>
          <w:sz w:val="17"/>
          <w:szCs w:val="17"/>
          <w:color w:val="auto"/>
        </w:rPr>
        <w:t xml:space="preserve">We will have 12 months from the closing of this offering to consummate an initial business combination. In addition, if we anticipate that we may not be able to consummate our initial business combination within 12 months, our insiders or their affiliates may, but are not obligated to, extend the period of time to consummate a business combination up to two times by an additional three months each time (for a total of up to 18 months to complete a business combination); </w:t>
      </w:r>
      <w:r>
        <w:rPr>
          <w:rFonts w:ascii="Arial" w:cs="Arial" w:eastAsia="Arial" w:hAnsi="Arial"/>
          <w:sz w:val="17"/>
          <w:szCs w:val="17"/>
          <w:i w:val="1"/>
          <w:iCs w:val="1"/>
          <w:color w:val="auto"/>
        </w:rPr>
        <w:t>provided that</w:t>
      </w:r>
      <w:r>
        <w:rPr>
          <w:rFonts w:ascii="Arial" w:cs="Arial" w:eastAsia="Arial" w:hAnsi="Arial"/>
          <w:sz w:val="17"/>
          <w:szCs w:val="17"/>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Public stockholders will not be offered the opportunity to vote on or redeem their shares in connection with any such extension.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In the event of our dissolution and liquidation, the private units will expire and will be worthless.</w:t>
      </w:r>
    </w:p>
    <w:p>
      <w:pPr>
        <w:spacing w:after="0" w:line="114" w:lineRule="exact"/>
        <w:rPr>
          <w:sz w:val="20"/>
          <w:szCs w:val="20"/>
          <w:color w:val="auto"/>
        </w:rPr>
      </w:pPr>
    </w:p>
    <w:p>
      <w:pPr>
        <w:ind w:left="1280" w:right="439" w:firstLine="360"/>
        <w:spacing w:after="0" w:line="253" w:lineRule="auto"/>
        <w:rPr>
          <w:sz w:val="20"/>
          <w:szCs w:val="20"/>
          <w:color w:val="auto"/>
        </w:rPr>
      </w:pPr>
      <w:r>
        <w:rPr>
          <w:rFonts w:ascii="Arial" w:cs="Arial" w:eastAsia="Arial" w:hAnsi="Arial"/>
          <w:sz w:val="17"/>
          <w:szCs w:val="17"/>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 We have also agreed not to enter into a definitive agreement regarding an initial business combination without the prior consent of our sponsor. In addition, pursuant to Nasdaq rules, any initial business combination must be approved by a majority of our independent directors.</w:t>
      </w:r>
    </w:p>
    <w:p>
      <w:pPr>
        <w:spacing w:after="0" w:line="99" w:lineRule="exact"/>
        <w:rPr>
          <w:sz w:val="20"/>
          <w:szCs w:val="20"/>
          <w:color w:val="auto"/>
        </w:rPr>
      </w:pPr>
    </w:p>
    <w:p>
      <w:pPr>
        <w:ind w:left="1280" w:right="459" w:firstLine="360"/>
        <w:spacing w:after="0" w:line="237" w:lineRule="auto"/>
        <w:rPr>
          <w:sz w:val="20"/>
          <w:szCs w:val="20"/>
          <w:color w:val="auto"/>
        </w:rPr>
      </w:pPr>
      <w:r>
        <w:rPr>
          <w:rFonts w:ascii="Arial" w:cs="Arial" w:eastAsia="Arial" w:hAnsi="Arial"/>
          <w:sz w:val="18"/>
          <w:szCs w:val="18"/>
          <w:color w:val="auto"/>
        </w:rPr>
        <w:t>We may, at our option, pursue a business combination opportunity jointly with Chardan or one or more entities affiliated with Chardan, which we refer to as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 -investors,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19"/>
        <w:spacing w:after="0" w:line="254" w:lineRule="auto"/>
        <w:rPr>
          <w:sz w:val="20"/>
          <w:szCs w:val="20"/>
          <w:color w:val="auto"/>
        </w:rPr>
      </w:pPr>
      <w:r>
        <w:rPr>
          <w:rFonts w:ascii="Arial" w:cs="Arial" w:eastAsia="Arial" w:hAnsi="Arial"/>
          <w:sz w:val="18"/>
          <w:szCs w:val="18"/>
          <w:color w:val="auto"/>
        </w:rPr>
        <w:t>parties a class of equity or equity-linked securities. We refer to this potential future issuance, or a similar issuance to other specified purchasers, as a “specified future issuance” throughout this prospectus. Any such Affiliated Joint Acquisition or specified future issuance would be in addition to, and would not include, the forward purchase securities issued pursuant to the forward purchase contract. The amount and other terms and conditions of any such specified future issuance would be determined at the time thereof. We are not obligated to make any specified future issuance and may determine not to do so. This is not an offer for any specified future issuance.</w:t>
      </w:r>
    </w:p>
    <w:p>
      <w:pPr>
        <w:spacing w:after="0" w:line="114" w:lineRule="exact"/>
        <w:rPr>
          <w:sz w:val="20"/>
          <w:szCs w:val="20"/>
          <w:color w:val="auto"/>
        </w:rPr>
      </w:pPr>
    </w:p>
    <w:p>
      <w:pPr>
        <w:ind w:left="1280" w:right="459" w:firstLine="360"/>
        <w:spacing w:after="0" w:line="267" w:lineRule="auto"/>
        <w:rPr>
          <w:sz w:val="20"/>
          <w:szCs w:val="20"/>
          <w:color w:val="auto"/>
        </w:rPr>
      </w:pPr>
      <w:r>
        <w:rPr>
          <w:rFonts w:ascii="Arial" w:cs="Arial" w:eastAsia="Arial" w:hAnsi="Arial"/>
          <w:sz w:val="17"/>
          <w:szCs w:val="17"/>
          <w:color w:val="auto"/>
        </w:rPr>
        <w:t>We have not selected any specific business combination target and we have not, nor has anyone on our behalf, initiated any substantive discussions, directly or indirectly, with any business combination target. From the period commencing with our formation through the date of this prospectus, there have been no communications or discussions between any of our officers, directors or our sponsor and any of their potential contacts or relationships regarding a potential initial business combination. Additionally, we have not engaged or retained any agent or other representative to identify or locate any suitable acquisition candidate, to conduct any research or take any measures, directly or indirectly, to locate or contact a target business. Additionally, we have not contacted any of the prospective target businesses that any of the Affiliated SPACs had considered and rejected while such entity was a blank check company searching for target businesses to acquire. We do not currently intend to contact any of such targets; however, we may do so in the future if we become aware that the valuations, operations, profits or prospects of such target business, or the benefits of any potential transaction with such target business, would be attractive.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22" w:lineRule="exact"/>
        <w:rPr>
          <w:sz w:val="20"/>
          <w:szCs w:val="20"/>
          <w:color w:val="auto"/>
        </w:rPr>
      </w:pPr>
    </w:p>
    <w:p>
      <w:pPr>
        <w:ind w:left="1280" w:right="519" w:firstLine="360"/>
        <w:spacing w:after="0" w:line="268" w:lineRule="auto"/>
        <w:rPr>
          <w:sz w:val="20"/>
          <w:szCs w:val="20"/>
          <w:color w:val="auto"/>
        </w:rPr>
      </w:pPr>
      <w:r>
        <w:rPr>
          <w:rFonts w:ascii="Arial" w:cs="Arial" w:eastAsia="Arial" w:hAnsi="Arial"/>
          <w:sz w:val="17"/>
          <w:szCs w:val="17"/>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including an Affiliated Joint Acquisition as described above.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pacing w:after="0" w:line="119" w:lineRule="exact"/>
        <w:rPr>
          <w:sz w:val="20"/>
          <w:szCs w:val="20"/>
          <w:color w:val="auto"/>
        </w:rPr>
      </w:pPr>
    </w:p>
    <w:p>
      <w:pPr>
        <w:ind w:left="1280" w:right="419" w:firstLine="360"/>
        <w:spacing w:after="0" w:line="257" w:lineRule="auto"/>
        <w:rPr>
          <w:sz w:val="20"/>
          <w:szCs w:val="20"/>
          <w:color w:val="auto"/>
        </w:rPr>
      </w:pPr>
      <w:r>
        <w:rPr>
          <w:rFonts w:ascii="Arial" w:cs="Arial" w:eastAsia="Arial" w:hAnsi="Arial"/>
          <w:sz w:val="18"/>
          <w:szCs w:val="18"/>
          <w:color w:val="auto"/>
        </w:rPr>
        <w:t>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07" w:lineRule="exact"/>
        <w:rPr>
          <w:sz w:val="20"/>
          <w:szCs w:val="20"/>
          <w:color w:val="auto"/>
        </w:rPr>
      </w:pPr>
    </w:p>
    <w:p>
      <w:pPr>
        <w:ind w:left="1280" w:right="419" w:firstLine="360"/>
        <w:spacing w:after="0" w:line="253" w:lineRule="auto"/>
        <w:rPr>
          <w:sz w:val="20"/>
          <w:szCs w:val="20"/>
          <w:color w:val="auto"/>
        </w:rPr>
      </w:pPr>
      <w:r>
        <w:rPr>
          <w:rFonts w:ascii="Arial" w:cs="Arial" w:eastAsia="Arial" w:hAnsi="Arial"/>
          <w:sz w:val="18"/>
          <w:szCs w:val="18"/>
          <w:color w:val="auto"/>
        </w:rPr>
        <w:t>Chardan will be the beneficial owner of founder shares or private warrants following this offering by virtue of its ownership of our sponsor and members of our management team may indirectly own such securities. Our sponsor intends to allocate up to 20,000 founder shares to each of our independent directors. Because of such ownership and interests, Chardan and our officers and directors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1991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16245" cy="8199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79" w:firstLine="360"/>
        <w:spacing w:after="0" w:line="272"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We have not, however, selected any specific business combination target and we have not, nor has anyone on our behalf, initiated any substantive discussions, directly or indirectly, with any business combination target regarding an initial business combination with our company.</w:t>
      </w:r>
    </w:p>
    <w:p>
      <w:pPr>
        <w:spacing w:after="0" w:line="96" w:lineRule="exact"/>
        <w:rPr>
          <w:sz w:val="20"/>
          <w:szCs w:val="20"/>
          <w:color w:val="auto"/>
        </w:rPr>
      </w:pPr>
    </w:p>
    <w:p>
      <w:pPr>
        <w:ind w:left="1280" w:right="439" w:firstLine="360"/>
        <w:spacing w:after="0" w:line="254" w:lineRule="auto"/>
        <w:rPr>
          <w:sz w:val="20"/>
          <w:szCs w:val="20"/>
          <w:color w:val="auto"/>
        </w:rPr>
      </w:pPr>
      <w:r>
        <w:rPr>
          <w:rFonts w:ascii="Arial" w:cs="Arial" w:eastAsia="Arial" w:hAnsi="Arial"/>
          <w:sz w:val="18"/>
          <w:szCs w:val="18"/>
          <w:color w:val="auto"/>
        </w:rPr>
        <w:t>Our sponsor, officers, directors, Chardan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24" w:lineRule="exact"/>
        <w:rPr>
          <w:sz w:val="20"/>
          <w:szCs w:val="20"/>
          <w:color w:val="auto"/>
        </w:rPr>
      </w:pPr>
    </w:p>
    <w:p>
      <w:pPr>
        <w:ind w:left="1280" w:right="459" w:firstLine="360"/>
        <w:spacing w:after="0" w:line="252"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97" w:lineRule="exact"/>
        <w:rPr>
          <w:sz w:val="20"/>
          <w:szCs w:val="20"/>
          <w:color w:val="auto"/>
        </w:rPr>
      </w:pPr>
    </w:p>
    <w:p>
      <w:pPr>
        <w:ind w:left="1280"/>
        <w:spacing w:after="0"/>
        <w:rPr>
          <w:sz w:val="20"/>
          <w:szCs w:val="20"/>
          <w:color w:val="auto"/>
        </w:rPr>
      </w:pPr>
      <w:r>
        <w:rPr>
          <w:rFonts w:ascii="Arial" w:cs="Arial" w:eastAsia="Arial" w:hAnsi="Arial"/>
          <w:sz w:val="18"/>
          <w:szCs w:val="18"/>
          <w:b w:val="1"/>
          <w:bCs w:val="1"/>
          <w:i w:val="1"/>
          <w:iCs w:val="1"/>
          <w:color w:val="auto"/>
        </w:rPr>
        <w:t>Advisory Services in Connection with the Business Combination</w:t>
      </w:r>
    </w:p>
    <w:p>
      <w:pPr>
        <w:spacing w:after="0" w:line="158" w:lineRule="exact"/>
        <w:rPr>
          <w:sz w:val="20"/>
          <w:szCs w:val="20"/>
          <w:color w:val="auto"/>
        </w:rPr>
      </w:pPr>
    </w:p>
    <w:p>
      <w:pPr>
        <w:ind w:left="1280" w:right="419" w:firstLine="360"/>
        <w:spacing w:after="0" w:line="273" w:lineRule="auto"/>
        <w:rPr>
          <w:sz w:val="20"/>
          <w:szCs w:val="20"/>
          <w:color w:val="auto"/>
        </w:rPr>
      </w:pPr>
      <w:r>
        <w:rPr>
          <w:rFonts w:ascii="Arial" w:cs="Arial" w:eastAsia="Arial" w:hAnsi="Arial"/>
          <w:sz w:val="17"/>
          <w:szCs w:val="17"/>
          <w:color w:val="auto"/>
        </w:rPr>
        <w:t>We have engaged Chardan as an advisor in connection with our business combination, pursuant to the Business Combination Marketing Agreement.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 Certain individuals who will perform advisory services on behalf of Chardan in connection with the business combination also serve as our officers and directors.</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48" w:lineRule="exact"/>
        <w:rPr>
          <w:sz w:val="20"/>
          <w:szCs w:val="20"/>
          <w:color w:val="auto"/>
        </w:rPr>
      </w:pPr>
    </w:p>
    <w:p>
      <w:pPr>
        <w:ind w:left="1280" w:right="539" w:firstLine="360"/>
        <w:spacing w:after="0" w:line="253"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24" w:lineRule="exact"/>
        <w:rPr>
          <w:sz w:val="20"/>
          <w:szCs w:val="20"/>
          <w:color w:val="auto"/>
        </w:rPr>
      </w:pPr>
    </w:p>
    <w:p>
      <w:pPr>
        <w:ind w:left="1280" w:right="619" w:firstLine="360"/>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w:t>
      </w:r>
    </w:p>
    <w:p>
      <w:pPr>
        <w:sectPr>
          <w:pgSz w:w="11900" w:h="16838" w:orient="portrait"/>
          <w:cols w:equalWidth="0" w:num="1">
            <w:col w:w="9879"/>
          </w:cols>
          <w:pgMar w:left="580" w:top="132" w:right="1440" w:bottom="1440" w:gutter="0" w:footer="0" w:header="0"/>
        </w:sectPr>
      </w:pPr>
    </w:p>
    <w:p>
      <w:pPr>
        <w:spacing w:after="0" w:line="389"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adoption of certain accounting standards until those standards would otherwise apply to private companies.</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We intend to take advantage of the benefits of this extended transition period.</w:t>
      </w:r>
    </w:p>
    <w:p>
      <w:pPr>
        <w:spacing w:after="0" w:line="11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spacing w:after="0" w:line="12" w:lineRule="exact"/>
        <w:rPr>
          <w:sz w:val="20"/>
          <w:szCs w:val="20"/>
          <w:color w:val="auto"/>
        </w:rPr>
      </w:pPr>
    </w:p>
    <w:p>
      <w:pPr>
        <w:ind w:left="1280" w:right="399" w:hanging="2"/>
        <w:spacing w:after="0" w:line="237" w:lineRule="auto"/>
        <w:tabs>
          <w:tab w:leader="none" w:pos="1539"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year’s second quarter, and (2) the date on which we have issued more than $1.0 billion in non-convertible debt securities during the prior three-year period. References herein to “emerging growth company” shall have the meaning associated with it in the JOBS Act.</w:t>
      </w:r>
    </w:p>
    <w:p>
      <w:pPr>
        <w:spacing w:after="0" w:line="121" w:lineRule="exact"/>
        <w:rPr>
          <w:sz w:val="20"/>
          <w:szCs w:val="20"/>
          <w:color w:val="auto"/>
        </w:rPr>
      </w:pPr>
    </w:p>
    <w:p>
      <w:pPr>
        <w:ind w:left="1280" w:right="539" w:firstLine="360"/>
        <w:spacing w:after="0" w:line="251" w:lineRule="auto"/>
        <w:rPr>
          <w:sz w:val="20"/>
          <w:szCs w:val="20"/>
          <w:color w:val="auto"/>
        </w:rPr>
      </w:pPr>
      <w:r>
        <w:rPr>
          <w:rFonts w:ascii="Arial" w:cs="Arial" w:eastAsia="Arial" w:hAnsi="Arial"/>
          <w:sz w:val="17"/>
          <w:szCs w:val="17"/>
          <w:color w:val="auto"/>
        </w:rPr>
        <w:t>Additionally, we are a “smaller reporting company” as defined in Item 10(f)(1) of Regulation S -K promulgated by the Securities and Exchange Commission, or the SEC.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that year’s second fiscal quarter, or (2) our annual revenues exceeded</w:t>
      </w:r>
    </w:p>
    <w:p>
      <w:pPr>
        <w:spacing w:after="0" w:line="4" w:lineRule="exact"/>
        <w:rPr>
          <w:sz w:val="20"/>
          <w:szCs w:val="20"/>
          <w:color w:val="auto"/>
        </w:rPr>
      </w:pPr>
    </w:p>
    <w:p>
      <w:pPr>
        <w:ind w:left="1280" w:right="759"/>
        <w:spacing w:after="0" w:line="243" w:lineRule="auto"/>
        <w:rPr>
          <w:sz w:val="20"/>
          <w:szCs w:val="20"/>
          <w:color w:val="auto"/>
        </w:rPr>
      </w:pPr>
      <w:r>
        <w:rPr>
          <w:rFonts w:ascii="Arial" w:cs="Arial" w:eastAsia="Arial" w:hAnsi="Arial"/>
          <w:sz w:val="18"/>
          <w:szCs w:val="18"/>
          <w:color w:val="auto"/>
        </w:rPr>
        <w:t>$100 million during such completed fiscal year and the market value of our common stock held by non-affiliates exceeds $700 million as of the end of that year’s second fiscal quarter.</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Private Placements</w:t>
      </w:r>
    </w:p>
    <w:p>
      <w:pPr>
        <w:spacing w:after="0" w:line="162" w:lineRule="exact"/>
        <w:rPr>
          <w:sz w:val="20"/>
          <w:szCs w:val="20"/>
          <w:color w:val="auto"/>
        </w:rPr>
      </w:pPr>
    </w:p>
    <w:p>
      <w:pPr>
        <w:jc w:val="both"/>
        <w:ind w:left="1280" w:right="499" w:firstLine="360"/>
        <w:spacing w:after="0" w:line="255" w:lineRule="auto"/>
        <w:rPr>
          <w:sz w:val="20"/>
          <w:szCs w:val="20"/>
          <w:color w:val="auto"/>
        </w:rPr>
      </w:pPr>
      <w:r>
        <w:rPr>
          <w:rFonts w:ascii="Arial" w:cs="Arial" w:eastAsia="Arial" w:hAnsi="Arial"/>
          <w:sz w:val="17"/>
          <w:szCs w:val="17"/>
          <w:color w:val="auto"/>
        </w:rPr>
        <w:t>On July 23, 2020, our sponsor purchased 1,000,000 shares of common stock for an aggregate purchase price of $25,000. On March 4, 2021, we effected a 2.875-for-1 stock split, resulting in 2,875,000 shares of common stock being held by our sponsor. Such number of shares includes an aggregate of up to</w:t>
      </w:r>
    </w:p>
    <w:p>
      <w:pPr>
        <w:ind w:left="1280" w:right="499"/>
        <w:spacing w:after="0" w:line="238" w:lineRule="auto"/>
        <w:rPr>
          <w:sz w:val="20"/>
          <w:szCs w:val="20"/>
          <w:color w:val="auto"/>
        </w:rPr>
      </w:pPr>
      <w:r>
        <w:rPr>
          <w:rFonts w:ascii="Arial" w:cs="Arial" w:eastAsia="Arial" w:hAnsi="Arial"/>
          <w:sz w:val="18"/>
          <w:szCs w:val="18"/>
          <w:color w:val="auto"/>
        </w:rPr>
        <w:t>375,000 shares that are subject to forfeiture to the extent that the underwriters’ over- allotment option is not exercised in full or in part, so that our initial stockholders will collectively own 20% of our issued and outstanding shares after this offering. None of our initial stockholders has indicated any intention to purchase public units in this offering.</w:t>
      </w:r>
    </w:p>
    <w:p>
      <w:pPr>
        <w:spacing w:after="0" w:line="108"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The founder shares are identical to the public shares. However, our initial stockholders have agreed</w:t>
      </w:r>
    </w:p>
    <w:p>
      <w:pPr>
        <w:spacing w:after="0" w:line="23" w:lineRule="exact"/>
        <w:rPr>
          <w:sz w:val="20"/>
          <w:szCs w:val="20"/>
          <w:color w:val="auto"/>
        </w:rPr>
      </w:pPr>
    </w:p>
    <w:p>
      <w:pPr>
        <w:ind w:left="1280" w:right="419" w:hanging="2"/>
        <w:spacing w:after="0" w:line="251" w:lineRule="auto"/>
        <w:tabs>
          <w:tab w:leader="none" w:pos="1549"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vote their founder shares in favor of any proposed business combination, (2)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12 months (or up to 18 months, as applicable) of the closing of this offering, unless we provide public stockholders an opportunity to redeem their public shares in conjunction with any such amendment, (3) not to redeem any shares, including any founder shares, into the right to receive cash from the trust account in connection with a stockholder vote to approve our proposed initial business combination, (4) not to sell any shares to us in any tender offer in connection with our proposed initial business combination, and (5) that the founder shares shall not participate in any liquidating distribution upon winding up if a business combination is not consummated.</w:t>
      </w:r>
    </w:p>
    <w:p>
      <w:pPr>
        <w:spacing w:after="0" w:line="113" w:lineRule="exact"/>
        <w:rPr>
          <w:sz w:val="20"/>
          <w:szCs w:val="20"/>
          <w:color w:val="auto"/>
        </w:rPr>
      </w:pPr>
    </w:p>
    <w:p>
      <w:pPr>
        <w:ind w:left="1280" w:right="419" w:firstLine="360"/>
        <w:spacing w:after="0" w:line="237" w:lineRule="auto"/>
        <w:rPr>
          <w:sz w:val="20"/>
          <w:szCs w:val="20"/>
          <w:color w:val="auto"/>
        </w:rPr>
      </w:pPr>
      <w:r>
        <w:rPr>
          <w:rFonts w:ascii="Arial" w:cs="Arial" w:eastAsia="Arial" w:hAnsi="Arial"/>
          <w:sz w:val="18"/>
          <w:szCs w:val="18"/>
          <w:color w:val="auto"/>
        </w:rPr>
        <w:t>On the date of this prospectus, the founder shares will be placed into an escrow account maintained by Continental Stock Transfer &amp; Trust Company acting as escrow agent. 50% of these founder shares will not be transferred, assigned, sold or released from escrow until the earlier of (i) six months after the date of the consummation of our initial business combination or (ii) the date on which the closing price of our shares of common stock equals or exceeds $12.50 per share (as adjusted for stock splits, stock dividends, reorganizations and recapitalizations) for any 10 trading days within any 30-trading day period commencing after our initial business combination. And the remaining 50% of the founder shares will not be transferred, assigned, sold or released from escrow until six months after the date of the consummation of our initial business combination or earlier, in either case, if, subsequent to our initial business combination, we consummate a subsequent liquidation, merger, stock exchange or other similar transaction that results in all of our stockholders having the right to exchange their shares of common stock for cash, securities or other property.</w:t>
      </w:r>
    </w:p>
    <w:p>
      <w:pPr>
        <w:spacing w:after="0" w:line="126" w:lineRule="exact"/>
        <w:rPr>
          <w:sz w:val="20"/>
          <w:szCs w:val="20"/>
          <w:color w:val="auto"/>
        </w:rPr>
      </w:pPr>
    </w:p>
    <w:p>
      <w:pPr>
        <w:ind w:left="1280" w:right="479" w:firstLine="360"/>
        <w:spacing w:after="0" w:line="243" w:lineRule="auto"/>
        <w:rPr>
          <w:sz w:val="20"/>
          <w:szCs w:val="20"/>
          <w:color w:val="auto"/>
        </w:rPr>
      </w:pPr>
      <w:r>
        <w:rPr>
          <w:rFonts w:ascii="Arial" w:cs="Arial" w:eastAsia="Arial" w:hAnsi="Arial"/>
          <w:sz w:val="18"/>
          <w:szCs w:val="18"/>
          <w:color w:val="auto"/>
        </w:rPr>
        <w:t>In addition, Chardan NexTech 2 Warrant Holdings LLC, an affiliate of our sponsor, has committed to purchase 4,200,000 warrants (or up to 4,442,183 warrants depending on the extent to which the underwriters’ over-allotment option is exercised) at a price of approximately $0.93 per warrant ($3,902,000 (or up to</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779"/>
        <w:spacing w:after="0" w:line="277" w:lineRule="auto"/>
        <w:rPr>
          <w:sz w:val="20"/>
          <w:szCs w:val="20"/>
          <w:color w:val="auto"/>
        </w:rPr>
      </w:pPr>
      <w:r>
        <w:rPr>
          <w:rFonts w:ascii="Arial" w:cs="Arial" w:eastAsia="Arial" w:hAnsi="Arial"/>
          <w:sz w:val="18"/>
          <w:szCs w:val="18"/>
          <w:color w:val="auto"/>
        </w:rPr>
        <w:t>$4,127,000 depending on the extent to which the underwriters’ over-allotment option is exercised)) in a private placement that will close simultaneously with the closing of this offering.</w:t>
      </w:r>
    </w:p>
    <w:p>
      <w:pPr>
        <w:spacing w:after="0" w:line="89" w:lineRule="exact"/>
        <w:rPr>
          <w:sz w:val="20"/>
          <w:szCs w:val="20"/>
          <w:color w:val="auto"/>
        </w:rPr>
      </w:pPr>
    </w:p>
    <w:p>
      <w:pPr>
        <w:ind w:left="1280" w:right="399" w:firstLine="360"/>
        <w:spacing w:after="0" w:line="257" w:lineRule="auto"/>
        <w:rPr>
          <w:sz w:val="20"/>
          <w:szCs w:val="20"/>
          <w:color w:val="auto"/>
        </w:rPr>
      </w:pPr>
      <w:r>
        <w:rPr>
          <w:rFonts w:ascii="Arial" w:cs="Arial" w:eastAsia="Arial" w:hAnsi="Arial"/>
          <w:sz w:val="18"/>
          <w:szCs w:val="18"/>
          <w:color w:val="auto"/>
        </w:rPr>
        <w:t>The proceeds from the sale of the private warrants will be added to the proceeds of this offering and placed in a trust account in the United States maintained by Continental Stock Transfer &amp; Trust Company, as trustee. If we do not complete our initial business combination within 12 months (or up to 18 months, as applicable), the proceeds from the sale of the private warrants will be included in the liquidating distribution to the holders of our public shares.</w:t>
      </w:r>
    </w:p>
    <w:p>
      <w:pPr>
        <w:spacing w:after="0" w:line="120" w:lineRule="exact"/>
        <w:rPr>
          <w:sz w:val="20"/>
          <w:szCs w:val="20"/>
          <w:color w:val="auto"/>
        </w:rPr>
      </w:pPr>
    </w:p>
    <w:p>
      <w:pPr>
        <w:ind w:left="1280" w:right="479" w:firstLine="360"/>
        <w:spacing w:after="0" w:line="253" w:lineRule="auto"/>
        <w:rPr>
          <w:sz w:val="20"/>
          <w:szCs w:val="20"/>
          <w:color w:val="auto"/>
        </w:rPr>
      </w:pPr>
      <w:r>
        <w:rPr>
          <w:rFonts w:ascii="Arial" w:cs="Arial" w:eastAsia="Arial" w:hAnsi="Arial"/>
          <w:sz w:val="18"/>
          <w:szCs w:val="18"/>
          <w:color w:val="auto"/>
        </w:rPr>
        <w:t>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Chardan NexTech 2 Warrant Holdings LLC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129" w:lineRule="exact"/>
        <w:rPr>
          <w:sz w:val="20"/>
          <w:szCs w:val="20"/>
          <w:color w:val="auto"/>
        </w:rPr>
      </w:pPr>
    </w:p>
    <w:p>
      <w:pPr>
        <w:ind w:left="1280" w:right="479" w:firstLine="360"/>
        <w:spacing w:after="0" w:line="259" w:lineRule="auto"/>
        <w:rPr>
          <w:sz w:val="20"/>
          <w:szCs w:val="20"/>
          <w:color w:val="auto"/>
        </w:rPr>
      </w:pPr>
      <w:r>
        <w:rPr>
          <w:rFonts w:ascii="Arial" w:cs="Arial" w:eastAsia="Arial" w:hAnsi="Arial"/>
          <w:sz w:val="18"/>
          <w:szCs w:val="18"/>
          <w:color w:val="auto"/>
        </w:rPr>
        <w:t>If public units or public shares are purchased by any of our directors, officers or initial stockholders, they will be entitled to funds from the trust account to the same extent as any other public stockholder upon our liquidation, but such directors, officers, or initial stockholders will not have redemption rights related thereto.</w:t>
      </w:r>
    </w:p>
    <w:p>
      <w:pPr>
        <w:spacing w:after="0" w:line="82" w:lineRule="exact"/>
        <w:rPr>
          <w:sz w:val="20"/>
          <w:szCs w:val="20"/>
          <w:color w:val="auto"/>
        </w:rPr>
      </w:pPr>
    </w:p>
    <w:p>
      <w:pPr>
        <w:ind w:left="1280" w:right="1179" w:firstLine="360"/>
        <w:spacing w:after="0" w:line="229" w:lineRule="auto"/>
        <w:rPr>
          <w:sz w:val="20"/>
          <w:szCs w:val="20"/>
          <w:color w:val="auto"/>
        </w:rPr>
      </w:pPr>
      <w:r>
        <w:rPr>
          <w:rFonts w:ascii="Arial" w:cs="Arial" w:eastAsia="Arial" w:hAnsi="Arial"/>
          <w:sz w:val="18"/>
          <w:szCs w:val="18"/>
          <w:color w:val="auto"/>
        </w:rPr>
        <w:t>Our executive offices are located at 17 State Street, 21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Floor, New York, NY 10004, and our telephone number is (646) 465-9000.</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1280" w:right="499" w:firstLine="360"/>
        <w:spacing w:after="0" w:line="255" w:lineRule="auto"/>
        <w:rPr>
          <w:sz w:val="20"/>
          <w:szCs w:val="20"/>
          <w:color w:val="auto"/>
        </w:rPr>
      </w:pPr>
      <w:r>
        <w:rPr>
          <w:rFonts w:ascii="Arial" w:cs="Arial" w:eastAsia="Arial" w:hAnsi="Arial"/>
          <w:sz w:val="18"/>
          <w:szCs w:val="18"/>
          <w:color w:val="auto"/>
        </w:rPr>
        <w:t>In making your decision on whether to invest in our securities, you should take into account not only the backgrounds of the members of our management team, but also the special risks we face as a blank check company and the fact that we are not conducting this offering in compliance with Rule 419 promulgated under the Securities Act. You will not be entitled to protections normally afforded to investors in Rule 419 blank check offerings. You should carefully consider these and the other risks set forth in the section below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28 of this prospectus.</w:t>
      </w:r>
    </w:p>
    <w:p>
      <w:pPr>
        <w:spacing w:after="0" w:line="80"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b w:val="1"/>
          <w:bCs w:val="1"/>
          <w:color w:val="auto"/>
        </w:rPr>
        <w:t>Securities offered</w:t>
      </w:r>
      <w:r>
        <w:rPr>
          <w:sz w:val="20"/>
          <w:szCs w:val="20"/>
          <w:color w:val="auto"/>
        </w:rPr>
        <w:tab/>
      </w:r>
      <w:r>
        <w:rPr>
          <w:rFonts w:ascii="Arial" w:cs="Arial" w:eastAsia="Arial" w:hAnsi="Arial"/>
          <w:sz w:val="17"/>
          <w:szCs w:val="17"/>
          <w:color w:val="auto"/>
        </w:rPr>
        <w:t>10,000,000 units, at $10.00 per unit, each unit consisting of one</w:t>
      </w:r>
    </w:p>
    <w:p>
      <w:pPr>
        <w:spacing w:after="0" w:line="27" w:lineRule="exact"/>
        <w:rPr>
          <w:sz w:val="20"/>
          <w:szCs w:val="20"/>
          <w:color w:val="auto"/>
        </w:rPr>
      </w:pPr>
    </w:p>
    <w:p>
      <w:pPr>
        <w:ind w:left="4300" w:right="439"/>
        <w:spacing w:after="0" w:line="253" w:lineRule="auto"/>
        <w:rPr>
          <w:sz w:val="20"/>
          <w:szCs w:val="20"/>
          <w:color w:val="auto"/>
        </w:rPr>
      </w:pPr>
      <w:r>
        <w:rPr>
          <w:rFonts w:ascii="Arial" w:cs="Arial" w:eastAsia="Arial" w:hAnsi="Arial"/>
          <w:sz w:val="18"/>
          <w:szCs w:val="18"/>
          <w:color w:val="auto"/>
        </w:rPr>
        <w:t>share of common stock and one-half of one warrant. Each whole warrant entitles the holder thereof to purchase one share of common stock at a price of $11.50, subject to adjustment as described in this prospectus.</w:t>
      </w:r>
    </w:p>
    <w:p>
      <w:pPr>
        <w:spacing w:after="0" w:line="8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Listing of our securities and</w:t>
      </w:r>
    </w:p>
    <w:p>
      <w:pPr>
        <w:spacing w:after="0" w:line="27" w:lineRule="exact"/>
        <w:rPr>
          <w:sz w:val="20"/>
          <w:szCs w:val="20"/>
          <w:color w:val="auto"/>
        </w:rPr>
      </w:pPr>
    </w:p>
    <w:p>
      <w:pPr>
        <w:ind w:left="1460"/>
        <w:spacing w:after="0"/>
        <w:tabs>
          <w:tab w:leader="none" w:pos="4280" w:val="left"/>
        </w:tabs>
        <w:rPr>
          <w:sz w:val="20"/>
          <w:szCs w:val="20"/>
          <w:color w:val="auto"/>
        </w:rPr>
      </w:pPr>
      <w:r>
        <w:rPr>
          <w:rFonts w:ascii="Arial" w:cs="Arial" w:eastAsia="Arial" w:hAnsi="Arial"/>
          <w:sz w:val="18"/>
          <w:szCs w:val="18"/>
          <w:b w:val="1"/>
          <w:bCs w:val="1"/>
          <w:color w:val="auto"/>
        </w:rPr>
        <w:t>proposed symbols</w:t>
      </w:r>
      <w:r>
        <w:rPr>
          <w:sz w:val="20"/>
          <w:szCs w:val="20"/>
          <w:color w:val="auto"/>
        </w:rPr>
        <w:tab/>
      </w:r>
      <w:r>
        <w:rPr>
          <w:rFonts w:ascii="Arial" w:cs="Arial" w:eastAsia="Arial" w:hAnsi="Arial"/>
          <w:sz w:val="16"/>
          <w:szCs w:val="16"/>
          <w:color w:val="auto"/>
        </w:rPr>
        <w:t>We anticipate the units, and the shares of common stock and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warrants, once they begin separate trading, will be listed on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Nasdaq under the symbols “CNTQU,” “CNTQ,” and “CNTQW,”</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respectively.</w:t>
      </w:r>
    </w:p>
    <w:p>
      <w:pPr>
        <w:spacing w:after="0" w:line="1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Each of the shares of common stock and warrants may trade</w:t>
      </w:r>
    </w:p>
    <w:p>
      <w:pPr>
        <w:ind w:left="4300"/>
        <w:spacing w:after="0" w:line="225" w:lineRule="auto"/>
        <w:rPr>
          <w:sz w:val="20"/>
          <w:szCs w:val="20"/>
          <w:color w:val="auto"/>
        </w:rPr>
      </w:pPr>
      <w:r>
        <w:rPr>
          <w:rFonts w:ascii="Arial" w:cs="Arial" w:eastAsia="Arial" w:hAnsi="Arial"/>
          <w:sz w:val="17"/>
          <w:szCs w:val="17"/>
          <w:color w:val="auto"/>
        </w:rPr>
        <w:t>separately on the 90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after the date of this prospectus unless</w:t>
      </w:r>
    </w:p>
    <w:p>
      <w:pPr>
        <w:spacing w:after="0" w:line="1" w:lineRule="exact"/>
        <w:rPr>
          <w:sz w:val="20"/>
          <w:szCs w:val="20"/>
          <w:color w:val="auto"/>
        </w:rPr>
      </w:pPr>
    </w:p>
    <w:p>
      <w:pPr>
        <w:ind w:left="4300" w:right="579"/>
        <w:spacing w:after="0" w:line="251" w:lineRule="auto"/>
        <w:rPr>
          <w:sz w:val="20"/>
          <w:szCs w:val="20"/>
          <w:color w:val="auto"/>
        </w:rPr>
      </w:pPr>
      <w:r>
        <w:rPr>
          <w:rFonts w:ascii="Arial" w:cs="Arial" w:eastAsia="Arial" w:hAnsi="Arial"/>
          <w:sz w:val="18"/>
          <w:szCs w:val="18"/>
          <w:color w:val="auto"/>
        </w:rPr>
        <w:t>Chardan determines that an earlier date is acceptable (based upon, among other things, its assessment of the relative strengths of the securities markets and small capitalization companies in general, and the trading pattern of, and demand for, our securities in particular). In no event will Chardan allow separate trading of the shares of common stock and warrants until we file an audited balance sheet reflecting our receipt of the gross proceeds of this offering.</w:t>
      </w:r>
    </w:p>
    <w:p>
      <w:pPr>
        <w:spacing w:after="0" w:line="115" w:lineRule="exact"/>
        <w:rPr>
          <w:sz w:val="20"/>
          <w:szCs w:val="20"/>
          <w:color w:val="auto"/>
        </w:rPr>
      </w:pPr>
    </w:p>
    <w:p>
      <w:pPr>
        <w:ind w:left="4300" w:right="499"/>
        <w:spacing w:after="0" w:line="255" w:lineRule="auto"/>
        <w:rPr>
          <w:sz w:val="20"/>
          <w:szCs w:val="20"/>
          <w:color w:val="auto"/>
        </w:rPr>
      </w:pPr>
      <w:r>
        <w:rPr>
          <w:rFonts w:ascii="Arial" w:cs="Arial" w:eastAsia="Arial" w:hAnsi="Arial"/>
          <w:sz w:val="18"/>
          <w:szCs w:val="18"/>
          <w:color w:val="auto"/>
        </w:rPr>
        <w:t>Once the shares of common stock and warrants commence separate trading, holders will have the option to continue to hold units or separate their units into the component pieces. Holders will need to have their brokers contact our transfer agent in order to separate the units into separately trading shares of common stock and warrants.</w:t>
      </w:r>
    </w:p>
    <w:p>
      <w:pPr>
        <w:spacing w:after="0" w:line="125" w:lineRule="exact"/>
        <w:rPr>
          <w:sz w:val="20"/>
          <w:szCs w:val="20"/>
          <w:color w:val="auto"/>
        </w:rPr>
      </w:pPr>
    </w:p>
    <w:p>
      <w:pPr>
        <w:ind w:left="4300" w:right="459"/>
        <w:spacing w:after="0" w:line="266" w:lineRule="auto"/>
        <w:rPr>
          <w:sz w:val="20"/>
          <w:szCs w:val="20"/>
          <w:color w:val="auto"/>
        </w:rPr>
      </w:pPr>
      <w:r>
        <w:rPr>
          <w:rFonts w:ascii="Arial" w:cs="Arial" w:eastAsia="Arial" w:hAnsi="Arial"/>
          <w:sz w:val="17"/>
          <w:szCs w:val="17"/>
          <w:color w:val="auto"/>
        </w:rPr>
        <w:t>We will file a Current Report on Form 8-K with the SEC, including an audited balance sheet, promptly upon the consummation of this offering, which is anticipated to take place two business days from the date the units commence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Current Report on Form 8-K or a new Current Report on Form 8-K to provide updated financial information to reflect the exercise of the over-allotment option. We will also include in the Current Report on Form 8-K, or amendment thereto, or in a subsequent Current Report on Form 8-K, information indicating if Chardan has allowed separate trading of the shares of common stock and warrants prior to the 90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after the date of this prospectus.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Shares of common stock:</w:t>
      </w:r>
    </w:p>
    <w:p>
      <w:pPr>
        <w:spacing w:after="0" w:line="117" w:lineRule="exact"/>
        <w:rPr>
          <w:sz w:val="20"/>
          <w:szCs w:val="20"/>
          <w:color w:val="auto"/>
        </w:rPr>
      </w:pPr>
    </w:p>
    <w:p>
      <w:pPr>
        <w:ind w:left="1460" w:right="40" w:hanging="179"/>
        <w:spacing w:after="0" w:line="366" w:lineRule="auto"/>
        <w:rPr>
          <w:sz w:val="20"/>
          <w:szCs w:val="20"/>
          <w:color w:val="auto"/>
        </w:rPr>
      </w:pPr>
      <w:r>
        <w:rPr>
          <w:rFonts w:ascii="Arial" w:cs="Arial" w:eastAsia="Arial" w:hAnsi="Arial"/>
          <w:sz w:val="15"/>
          <w:szCs w:val="15"/>
          <w:b w:val="1"/>
          <w:bCs w:val="1"/>
          <w:color w:val="auto"/>
        </w:rPr>
        <w:t>Number issued and outstanding before this offering</w:t>
      </w:r>
    </w:p>
    <w:p>
      <w:pPr>
        <w:ind w:left="1280"/>
        <w:spacing w:after="0"/>
        <w:rPr>
          <w:sz w:val="20"/>
          <w:szCs w:val="20"/>
          <w:color w:val="auto"/>
        </w:rPr>
      </w:pPr>
      <w:r>
        <w:rPr>
          <w:rFonts w:ascii="Arial" w:cs="Arial" w:eastAsia="Arial" w:hAnsi="Arial"/>
          <w:sz w:val="18"/>
          <w:szCs w:val="18"/>
          <w:b w:val="1"/>
          <w:bCs w:val="1"/>
          <w:color w:val="auto"/>
        </w:rPr>
        <w:t>Number to be issued and</w:t>
      </w:r>
    </w:p>
    <w:p>
      <w:pPr>
        <w:spacing w:after="0" w:line="2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outstanding after this</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offering</w:t>
      </w:r>
    </w:p>
    <w:p>
      <w:pPr>
        <w:spacing w:after="0" w:line="11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Redeemable Warrants:</w:t>
      </w:r>
    </w:p>
    <w:p>
      <w:pPr>
        <w:spacing w:after="0" w:line="117" w:lineRule="exact"/>
        <w:rPr>
          <w:sz w:val="20"/>
          <w:szCs w:val="20"/>
          <w:color w:val="auto"/>
        </w:rPr>
      </w:pPr>
    </w:p>
    <w:p>
      <w:pPr>
        <w:ind w:left="1460" w:right="40" w:hanging="179"/>
        <w:spacing w:after="0" w:line="375" w:lineRule="auto"/>
        <w:rPr>
          <w:sz w:val="20"/>
          <w:szCs w:val="20"/>
          <w:color w:val="auto"/>
        </w:rPr>
      </w:pPr>
      <w:r>
        <w:rPr>
          <w:rFonts w:ascii="Arial" w:cs="Arial" w:eastAsia="Arial" w:hAnsi="Arial"/>
          <w:sz w:val="15"/>
          <w:szCs w:val="15"/>
          <w:b w:val="1"/>
          <w:bCs w:val="1"/>
          <w:color w:val="auto"/>
        </w:rPr>
        <w:t>Number issued and outstanding before this offering</w:t>
      </w:r>
    </w:p>
    <w:p>
      <w:pPr>
        <w:spacing w:after="0" w:line="1" w:lineRule="exact"/>
        <w:rPr>
          <w:sz w:val="20"/>
          <w:szCs w:val="20"/>
          <w:color w:val="auto"/>
        </w:rPr>
      </w:pPr>
    </w:p>
    <w:p>
      <w:pPr>
        <w:ind w:left="1460" w:hanging="179"/>
        <w:spacing w:after="0" w:line="245" w:lineRule="auto"/>
        <w:rPr>
          <w:sz w:val="20"/>
          <w:szCs w:val="20"/>
          <w:color w:val="auto"/>
        </w:rPr>
      </w:pPr>
      <w:r>
        <w:rPr>
          <w:rFonts w:ascii="Arial" w:cs="Arial" w:eastAsia="Arial" w:hAnsi="Arial"/>
          <w:sz w:val="18"/>
          <w:szCs w:val="18"/>
          <w:b w:val="1"/>
          <w:bCs w:val="1"/>
          <w:color w:val="auto"/>
        </w:rPr>
        <w:t>Number to be issued and outstanding after this offering and sale of private warrants</w:t>
      </w:r>
    </w:p>
    <w:p>
      <w:pPr>
        <w:spacing w:after="0" w:line="8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Exercise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2,875,000 shares</w:t>
      </w:r>
      <w:r>
        <w:rPr>
          <w:rFonts w:ascii="Arial" w:cs="Arial" w:eastAsia="Arial" w:hAnsi="Arial"/>
          <w:sz w:val="26"/>
          <w:szCs w:val="26"/>
          <w:color w:val="auto"/>
          <w:vertAlign w:val="superscript"/>
        </w:rPr>
        <w:t>(1)</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12,500,000 shares</w:t>
      </w:r>
      <w:r>
        <w:rPr>
          <w:rFonts w:ascii="Arial" w:cs="Arial" w:eastAsia="Arial" w:hAnsi="Arial"/>
          <w:sz w:val="26"/>
          <w:szCs w:val="26"/>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0 warrants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5,000,000 public warrants and 4,200,000 private warrants</w:t>
      </w:r>
      <w:r>
        <w:rPr>
          <w:rFonts w:ascii="Arial" w:cs="Arial" w:eastAsia="Arial" w:hAnsi="Arial"/>
          <w:sz w:val="26"/>
          <w:szCs w:val="26"/>
          <w:color w:val="auto"/>
          <w:vertAlign w:val="superscript"/>
        </w:rPr>
        <w:t>(3)</w:t>
      </w:r>
    </w:p>
    <w:p>
      <w:pPr>
        <w:spacing w:after="0" w:line="75" w:lineRule="exact"/>
        <w:rPr>
          <w:sz w:val="20"/>
          <w:szCs w:val="20"/>
          <w:color w:val="auto"/>
        </w:rPr>
      </w:pPr>
    </w:p>
    <w:p>
      <w:pPr>
        <w:ind w:right="439"/>
        <w:spacing w:after="0" w:line="270" w:lineRule="auto"/>
        <w:rPr>
          <w:sz w:val="20"/>
          <w:szCs w:val="20"/>
          <w:color w:val="auto"/>
        </w:rPr>
      </w:pPr>
      <w:r>
        <w:rPr>
          <w:rFonts w:ascii="Arial" w:cs="Arial" w:eastAsia="Arial" w:hAnsi="Arial"/>
          <w:sz w:val="17"/>
          <w:szCs w:val="17"/>
          <w:color w:val="auto"/>
        </w:rPr>
        <w:t>Each unit contains one-half of one redeemable public warrant. Each whole redeemable public warrant entitles the holder thereof to purchase one share of common stock, and each private warrant entitles the holder thereof to purchase one share of common stock. Only whole warrants are exercisable. No fractional warrants will be issued upon separation of the units and only whole warrants will trade. Accordingly, unless you purchase a multiple of two units, the number of warrants issuable to you upon separation of the units will be rounded down to the nearest whole number of warrants.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$11.50 per share</w:t>
      </w:r>
    </w:p>
    <w:p>
      <w:pPr>
        <w:spacing w:after="0" w:line="144" w:lineRule="exact"/>
        <w:rPr>
          <w:sz w:val="20"/>
          <w:szCs w:val="20"/>
          <w:color w:val="auto"/>
        </w:rPr>
      </w:pPr>
    </w:p>
    <w:p>
      <w:pPr>
        <w:sectPr>
          <w:pgSz w:w="11900" w:h="16838" w:orient="portrait"/>
          <w:cols w:equalWidth="0" w:num="2">
            <w:col w:w="3660" w:space="640"/>
            <w:col w:w="5579"/>
          </w:cols>
          <w:pgMar w:left="580" w:top="131" w:right="1440" w:bottom="1440" w:gutter="0" w:footer="0" w:header="0"/>
          <w:type w:val="continuous"/>
        </w:sectPr>
      </w:pPr>
    </w:p>
    <w:p>
      <w:pPr>
        <w:ind w:left="4300" w:right="419"/>
        <w:spacing w:after="0" w:line="250" w:lineRule="auto"/>
        <w:rPr>
          <w:sz w:val="20"/>
          <w:szCs w:val="20"/>
          <w:color w:val="auto"/>
        </w:rPr>
      </w:pPr>
      <w:r>
        <w:rPr>
          <w:rFonts w:ascii="Arial" w:cs="Arial" w:eastAsia="Arial" w:hAnsi="Arial"/>
          <w:sz w:val="17"/>
          <w:szCs w:val="17"/>
          <w:color w:val="auto"/>
        </w:rPr>
        <w:t>In addition, if (x) 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an issue price or effective issue price of less than $9.20 per share (as adjusted for stock splits, stock dividends, rights issuances, subdivisions, reorganizations, recapitalizations and the like)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shares during the 20 trading day period starting on the trading day prior to the day on which we consummate our initial business</w:t>
      </w:r>
    </w:p>
    <w:p>
      <w:pPr>
        <w:spacing w:after="0" w:line="221" w:lineRule="exact"/>
        <w:rPr>
          <w:sz w:val="20"/>
          <w:szCs w:val="20"/>
          <w:color w:val="auto"/>
        </w:rPr>
      </w:pPr>
    </w:p>
    <w:p>
      <w:pPr>
        <w:ind w:left="1640" w:right="419" w:hanging="362"/>
        <w:spacing w:after="0" w:line="306" w:lineRule="auto"/>
        <w:tabs>
          <w:tab w:leader="none" w:pos="1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number includes an aggregate of up to 375,000 founder shares held by our initial stockholders that are subject to forfeiture if the over-allotment option is not fully exercised by the underwriters.</w:t>
      </w:r>
    </w:p>
    <w:p>
      <w:pPr>
        <w:spacing w:after="0" w:line="1" w:lineRule="exact"/>
        <w:rPr>
          <w:rFonts w:ascii="Arial" w:cs="Arial" w:eastAsia="Arial" w:hAnsi="Arial"/>
          <w:sz w:val="17"/>
          <w:szCs w:val="17"/>
          <w:color w:val="auto"/>
        </w:rPr>
      </w:pPr>
    </w:p>
    <w:p>
      <w:pPr>
        <w:ind w:left="1640" w:right="519" w:hanging="362"/>
        <w:spacing w:after="0" w:line="286" w:lineRule="auto"/>
        <w:tabs>
          <w:tab w:leader="none" w:pos="1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Assumes the over-allotment option has not been exercised and an aggregate of 375,000 founder shares held by our initial stockholders have been forfeited. If the over-allotment option is exercised in full, there will be a total of 14,375,000 shares of common stock issued and outstanding.</w:t>
      </w:r>
    </w:p>
    <w:p>
      <w:pPr>
        <w:spacing w:after="0" w:line="16" w:lineRule="exact"/>
        <w:rPr>
          <w:rFonts w:ascii="Arial" w:cs="Arial" w:eastAsia="Arial" w:hAnsi="Arial"/>
          <w:sz w:val="17"/>
          <w:szCs w:val="17"/>
          <w:color w:val="auto"/>
        </w:rPr>
      </w:pPr>
    </w:p>
    <w:p>
      <w:pPr>
        <w:ind w:left="1640" w:right="539" w:hanging="362"/>
        <w:spacing w:after="0" w:line="263" w:lineRule="auto"/>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If the over-allotment option is exercised in full, there will be a total of 5,750,000 public warrants and 4,442,183 private warrants issued and outstanding.</w:t>
      </w:r>
    </w:p>
    <w:p>
      <w:pPr>
        <w:sectPr>
          <w:pgSz w:w="11900" w:h="16838" w:orient="portrait"/>
          <w:cols w:equalWidth="0" w:num="1">
            <w:col w:w="9879"/>
          </w:cols>
          <w:pgMar w:left="580" w:top="131" w:right="1440"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419"/>
        <w:spacing w:after="0" w:line="238" w:lineRule="auto"/>
        <w:rPr>
          <w:sz w:val="20"/>
          <w:szCs w:val="20"/>
          <w:color w:val="auto"/>
        </w:rPr>
      </w:pPr>
      <w:r>
        <w:rPr>
          <w:rFonts w:ascii="Arial" w:cs="Arial" w:eastAsia="Arial" w:hAnsi="Arial"/>
          <w:sz w:val="18"/>
          <w:szCs w:val="18"/>
          <w:color w:val="auto"/>
        </w:rPr>
        <w:t>combination (such price, the “Market Value”) is below $9.20 per share, the exercise price of each warrant will be adjusted (to the nearest cent) such that the effective exercise price per full share will be equal to 115% of the higher of (i) the Market Value and (ii) the Newly Issued Price, and the $16.00 per share redemption trigger price described below under “Redemption” will be adjusted (to the nearest cent) to be equal to 160% of the higher of (i) the Market Value and (ii) the Newly Issued Price.</w:t>
      </w:r>
    </w:p>
    <w:p>
      <w:pPr>
        <w:spacing w:after="0" w:line="113"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No public warrants will be exercisable for cash unless we have an</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effective and current registration statement covering the shares of</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common stock issuable upon exercise of the public warrants and a</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current prospectus relating to such shares of common stock. It is our</w:t>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current intention to have an effective and current registration</w:t>
      </w:r>
    </w:p>
    <w:p>
      <w:pPr>
        <w:ind w:left="4300"/>
        <w:spacing w:after="0" w:line="234" w:lineRule="auto"/>
        <w:rPr>
          <w:sz w:val="20"/>
          <w:szCs w:val="20"/>
          <w:color w:val="auto"/>
        </w:rPr>
      </w:pPr>
      <w:r>
        <w:rPr>
          <w:rFonts w:ascii="Arial" w:cs="Arial" w:eastAsia="Arial" w:hAnsi="Arial"/>
          <w:sz w:val="18"/>
          <w:szCs w:val="18"/>
          <w:color w:val="auto"/>
        </w:rPr>
        <w:t>statement covering the shares of common stock issuable upon</w:t>
      </w:r>
    </w:p>
    <w:p>
      <w:pPr>
        <w:spacing w:after="0" w:line="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exercise of the public warrants and a current prospectus relating to</w:t>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such shares of common stock in effect promptly following</w:t>
      </w:r>
    </w:p>
    <w:p>
      <w:pPr>
        <w:ind w:left="4300"/>
        <w:spacing w:after="0"/>
        <w:rPr>
          <w:sz w:val="20"/>
          <w:szCs w:val="20"/>
          <w:color w:val="auto"/>
        </w:rPr>
      </w:pPr>
      <w:r>
        <w:rPr>
          <w:rFonts w:ascii="Arial" w:cs="Arial" w:eastAsia="Arial" w:hAnsi="Arial"/>
          <w:sz w:val="17"/>
          <w:szCs w:val="17"/>
          <w:color w:val="auto"/>
        </w:rPr>
        <w:t>consummation of an initial business combination. Notwithstanding</w:t>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foregoing, if a registration statement covering the shares of</w:t>
      </w:r>
    </w:p>
    <w:p>
      <w:pPr>
        <w:ind w:left="4300"/>
        <w:spacing w:after="0"/>
        <w:rPr>
          <w:sz w:val="20"/>
          <w:szCs w:val="20"/>
          <w:color w:val="auto"/>
        </w:rPr>
      </w:pPr>
      <w:r>
        <w:rPr>
          <w:rFonts w:ascii="Arial" w:cs="Arial" w:eastAsia="Arial" w:hAnsi="Arial"/>
          <w:sz w:val="17"/>
          <w:szCs w:val="17"/>
          <w:color w:val="auto"/>
        </w:rPr>
        <w:t>common stock issuable upon exercise of the public warrants is not</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effective within 120 days following the consummation of our initial</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business combination, public warrant holders may, until such time</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as there is an effective registration statement and during any period</w:t>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when we shall have failed to maintain an effective registration</w:t>
      </w:r>
    </w:p>
    <w:p>
      <w:pPr>
        <w:ind w:left="4300"/>
        <w:spacing w:after="0" w:line="234" w:lineRule="auto"/>
        <w:rPr>
          <w:sz w:val="20"/>
          <w:szCs w:val="20"/>
          <w:color w:val="auto"/>
        </w:rPr>
      </w:pPr>
      <w:r>
        <w:rPr>
          <w:rFonts w:ascii="Arial" w:cs="Arial" w:eastAsia="Arial" w:hAnsi="Arial"/>
          <w:sz w:val="18"/>
          <w:szCs w:val="18"/>
          <w:color w:val="auto"/>
        </w:rPr>
        <w:t>statement, exercise warrants on a cashless basis pursuant to an</w:t>
      </w:r>
    </w:p>
    <w:p>
      <w:pPr>
        <w:ind w:left="4300"/>
        <w:spacing w:after="0" w:line="235" w:lineRule="auto"/>
        <w:rPr>
          <w:sz w:val="20"/>
          <w:szCs w:val="20"/>
          <w:color w:val="auto"/>
        </w:rPr>
      </w:pPr>
      <w:r>
        <w:rPr>
          <w:rFonts w:ascii="Arial" w:cs="Arial" w:eastAsia="Arial" w:hAnsi="Arial"/>
          <w:sz w:val="18"/>
          <w:szCs w:val="18"/>
          <w:color w:val="auto"/>
        </w:rPr>
        <w:t>available exemption from registration under the Securities Act. In</w:t>
      </w:r>
    </w:p>
    <w:p>
      <w:pPr>
        <w:ind w:left="4300"/>
        <w:spacing w:after="0" w:line="235" w:lineRule="auto"/>
        <w:rPr>
          <w:sz w:val="20"/>
          <w:szCs w:val="20"/>
          <w:color w:val="auto"/>
        </w:rPr>
      </w:pPr>
      <w:r>
        <w:rPr>
          <w:rFonts w:ascii="Arial" w:cs="Arial" w:eastAsia="Arial" w:hAnsi="Arial"/>
          <w:sz w:val="18"/>
          <w:szCs w:val="18"/>
          <w:color w:val="auto"/>
        </w:rPr>
        <w:t>such event, each holder would pay the exercise price by</w:t>
      </w:r>
    </w:p>
    <w:p>
      <w:pPr>
        <w:ind w:left="4300"/>
        <w:spacing w:after="0"/>
        <w:rPr>
          <w:sz w:val="20"/>
          <w:szCs w:val="20"/>
          <w:color w:val="auto"/>
        </w:rPr>
      </w:pPr>
      <w:r>
        <w:rPr>
          <w:rFonts w:ascii="Arial" w:cs="Arial" w:eastAsia="Arial" w:hAnsi="Arial"/>
          <w:sz w:val="17"/>
          <w:szCs w:val="17"/>
          <w:color w:val="auto"/>
        </w:rPr>
        <w:t>surrendering the whole public warrants for that number of shares of</w:t>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common stock equal to the quotient obtained by dividing (x) the</w:t>
      </w:r>
    </w:p>
    <w:p>
      <w:pPr>
        <w:ind w:left="4300"/>
        <w:spacing w:after="0" w:line="234" w:lineRule="auto"/>
        <w:rPr>
          <w:sz w:val="20"/>
          <w:szCs w:val="20"/>
          <w:color w:val="auto"/>
        </w:rPr>
      </w:pPr>
      <w:r>
        <w:rPr>
          <w:rFonts w:ascii="Arial" w:cs="Arial" w:eastAsia="Arial" w:hAnsi="Arial"/>
          <w:sz w:val="18"/>
          <w:szCs w:val="18"/>
          <w:color w:val="auto"/>
        </w:rPr>
        <w:t>product of the number of shares of common stock underlying the</w:t>
      </w:r>
    </w:p>
    <w:p>
      <w:pPr>
        <w:spacing w:after="0" w:line="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public warrants, multiplied by the difference between the exercise</w:t>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price of the public warrants and the “fair market value” (defined</w:t>
      </w:r>
    </w:p>
    <w:p>
      <w:pPr>
        <w:ind w:left="4300"/>
        <w:spacing w:after="0" w:line="234" w:lineRule="auto"/>
        <w:rPr>
          <w:sz w:val="20"/>
          <w:szCs w:val="20"/>
          <w:color w:val="auto"/>
        </w:rPr>
      </w:pPr>
      <w:r>
        <w:rPr>
          <w:rFonts w:ascii="Arial" w:cs="Arial" w:eastAsia="Arial" w:hAnsi="Arial"/>
          <w:sz w:val="18"/>
          <w:szCs w:val="18"/>
          <w:color w:val="auto"/>
        </w:rPr>
        <w:t>below) by (y) the fair market value. The “fair market value” shall</w:t>
      </w:r>
    </w:p>
    <w:p>
      <w:pPr>
        <w:spacing w:after="0" w:line="1"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mean the average last reported sale price of the shares of common</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stock for the 10 trading days ending on the day prior to the date of</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exercise. For example, if a holder held 300 warrants to purchase 300</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shares and the fair market value on the date prior to exercise was</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$15.00, that holder would receive 70 shares without the payment of</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any additional cash consideration.</w:t>
      </w:r>
    </w:p>
    <w:p>
      <w:pPr>
        <w:spacing w:after="0" w:line="84" w:lineRule="exact"/>
        <w:rPr>
          <w:sz w:val="20"/>
          <w:szCs w:val="20"/>
          <w:color w:val="auto"/>
        </w:rPr>
      </w:pPr>
    </w:p>
    <w:p>
      <w:pPr>
        <w:ind w:left="4300" w:right="459" w:hanging="3023"/>
        <w:spacing w:after="0" w:line="269" w:lineRule="auto"/>
        <w:tabs>
          <w:tab w:leader="none" w:pos="4280" w:val="left"/>
        </w:tabs>
        <w:rPr>
          <w:sz w:val="20"/>
          <w:szCs w:val="20"/>
          <w:color w:val="auto"/>
        </w:rPr>
      </w:pPr>
      <w:r>
        <w:rPr>
          <w:rFonts w:ascii="Arial" w:cs="Arial" w:eastAsia="Arial" w:hAnsi="Arial"/>
          <w:sz w:val="18"/>
          <w:szCs w:val="18"/>
          <w:b w:val="1"/>
          <w:bCs w:val="1"/>
          <w:color w:val="auto"/>
        </w:rPr>
        <w:t>Exercise period</w:t>
      </w:r>
      <w:r>
        <w:rPr>
          <w:sz w:val="20"/>
          <w:szCs w:val="20"/>
          <w:color w:val="auto"/>
        </w:rPr>
        <w:tab/>
      </w:r>
      <w:r>
        <w:rPr>
          <w:rFonts w:ascii="Arial" w:cs="Arial" w:eastAsia="Arial" w:hAnsi="Arial"/>
          <w:sz w:val="17"/>
          <w:szCs w:val="17"/>
          <w:color w:val="auto"/>
        </w:rPr>
        <w:t>The warrants will become exercisable 30 days after the consummation of an initial business combination. The warrants will expire at 5:00 p.m., New York City time, on the fifth anniversary of our completion of an initial business combination, or earlier upon redemption. The private warrants purchased by Chardan NexTech 2 Warrant Holdings LLC will not be exercisable more than five years from the effective date of the registration statement, of which this prospectus forms a part, in accordance with FINRA Rule 5110(g), as long as Chardan or any of its related persons beneficially own these private warrants.</w:t>
      </w:r>
    </w:p>
    <w:p>
      <w:pPr>
        <w:spacing w:after="0" w:line="77" w:lineRule="exact"/>
        <w:rPr>
          <w:sz w:val="20"/>
          <w:szCs w:val="20"/>
          <w:color w:val="auto"/>
        </w:rPr>
      </w:pPr>
    </w:p>
    <w:p>
      <w:pPr>
        <w:ind w:left="4300" w:right="539" w:hanging="3019"/>
        <w:spacing w:after="0" w:line="308" w:lineRule="auto"/>
        <w:tabs>
          <w:tab w:leader="none" w:pos="4280" w:val="left"/>
        </w:tabs>
        <w:rPr>
          <w:sz w:val="20"/>
          <w:szCs w:val="20"/>
          <w:color w:val="auto"/>
        </w:rPr>
      </w:pPr>
      <w:r>
        <w:rPr>
          <w:rFonts w:ascii="Arial" w:cs="Arial" w:eastAsia="Arial" w:hAnsi="Arial"/>
          <w:sz w:val="17"/>
          <w:szCs w:val="17"/>
          <w:b w:val="1"/>
          <w:bCs w:val="1"/>
          <w:color w:val="auto"/>
        </w:rPr>
        <w:t>Redemption</w:t>
      </w:r>
      <w:r>
        <w:rPr>
          <w:sz w:val="20"/>
          <w:szCs w:val="20"/>
          <w:color w:val="auto"/>
        </w:rPr>
        <w:tab/>
      </w:r>
      <w:r>
        <w:rPr>
          <w:rFonts w:ascii="Arial" w:cs="Arial" w:eastAsia="Arial" w:hAnsi="Arial"/>
          <w:sz w:val="17"/>
          <w:szCs w:val="17"/>
          <w:color w:val="auto"/>
        </w:rPr>
        <w:t>We may redeem the outstanding warrants (excluding the private warrants), in whole and not in part, at a price of $0.01 per warrant:</w:t>
      </w:r>
    </w:p>
    <w:p>
      <w:pPr>
        <w:spacing w:after="0" w:line="83" w:lineRule="exact"/>
        <w:rPr>
          <w:sz w:val="20"/>
          <w:szCs w:val="20"/>
          <w:color w:val="auto"/>
        </w:rPr>
      </w:pPr>
    </w:p>
    <w:p>
      <w:pPr>
        <w:ind w:left="5020" w:hanging="358"/>
        <w:spacing w:after="0"/>
        <w:tabs>
          <w:tab w:leader="none" w:pos="5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any time while the warrants are exercisable;</w:t>
      </w:r>
    </w:p>
    <w:p>
      <w:pPr>
        <w:spacing w:after="0" w:line="157" w:lineRule="exact"/>
        <w:rPr>
          <w:rFonts w:ascii="Arial" w:cs="Arial" w:eastAsia="Arial" w:hAnsi="Arial"/>
          <w:sz w:val="18"/>
          <w:szCs w:val="18"/>
          <w:color w:val="auto"/>
        </w:rPr>
      </w:pPr>
    </w:p>
    <w:p>
      <w:pPr>
        <w:ind w:left="5020" w:right="959" w:hanging="358"/>
        <w:spacing w:after="0" w:line="277" w:lineRule="auto"/>
        <w:tabs>
          <w:tab w:leader="none" w:pos="5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020" w:right="439" w:hanging="358"/>
        <w:spacing w:after="0" w:line="279" w:lineRule="auto"/>
        <w:tabs>
          <w:tab w:leader="none" w:pos="5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and only if, the last sales price of our common stock equals or exceeds $16.00 per share for any 10 trading days within a 30-trading day period ending three business days before we send the notice of redemption; and</w:t>
      </w:r>
    </w:p>
    <w:p>
      <w:pPr>
        <w:spacing w:after="0" w:line="90" w:lineRule="exact"/>
        <w:rPr>
          <w:rFonts w:ascii="Arial" w:cs="Arial" w:eastAsia="Arial" w:hAnsi="Arial"/>
          <w:sz w:val="17"/>
          <w:szCs w:val="17"/>
          <w:color w:val="auto"/>
        </w:rPr>
      </w:pPr>
    </w:p>
    <w:p>
      <w:pPr>
        <w:ind w:left="5020" w:right="519" w:hanging="358"/>
        <w:spacing w:after="0" w:line="255" w:lineRule="auto"/>
        <w:tabs>
          <w:tab w:leader="none" w:pos="5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offer and sale of the shares of common stock underlying such warrants at the time of redemption and for the entire 30-day trading period referred to above and continuing each day thereafter until the date of redemption.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460" w:right="40" w:hanging="179"/>
        <w:spacing w:after="0" w:line="282" w:lineRule="auto"/>
        <w:rPr>
          <w:sz w:val="20"/>
          <w:szCs w:val="20"/>
          <w:color w:val="auto"/>
        </w:rPr>
      </w:pPr>
      <w:r>
        <w:rPr>
          <w:rFonts w:ascii="Arial" w:cs="Arial" w:eastAsia="Arial" w:hAnsi="Arial"/>
          <w:sz w:val="18"/>
          <w:szCs w:val="18"/>
          <w:b w:val="1"/>
          <w:bCs w:val="1"/>
          <w:color w:val="auto"/>
        </w:rPr>
        <w:t>Offering proceeds to be held in trust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right="499"/>
        <w:spacing w:after="0"/>
        <w:rPr>
          <w:sz w:val="20"/>
          <w:szCs w:val="20"/>
          <w:color w:val="auto"/>
        </w:rPr>
      </w:pPr>
      <w:r>
        <w:rPr>
          <w:rFonts w:ascii="Arial" w:cs="Arial" w:eastAsia="Arial" w:hAnsi="Arial"/>
          <w:sz w:val="18"/>
          <w:szCs w:val="18"/>
          <w:color w:val="auto"/>
        </w:rPr>
        <w:t>If the foregoing conditions are satisfied and we issue a notice of redemption, each warrant holder can exercise his, her or its warrant prior to the scheduled redemption date. However, the price of our common stock may fall below the $16.00 trigger price, as well as the $11.50 warrant exercise price after the redemption notice is issued.</w:t>
      </w:r>
    </w:p>
    <w:p>
      <w:pPr>
        <w:spacing w:after="0" w:line="108" w:lineRule="exact"/>
        <w:rPr>
          <w:sz w:val="20"/>
          <w:szCs w:val="20"/>
          <w:color w:val="auto"/>
        </w:rPr>
      </w:pPr>
    </w:p>
    <w:p>
      <w:pPr>
        <w:ind w:right="499"/>
        <w:spacing w:after="0" w:line="255" w:lineRule="auto"/>
        <w:rPr>
          <w:sz w:val="20"/>
          <w:szCs w:val="20"/>
          <w:color w:val="auto"/>
        </w:rPr>
      </w:pPr>
      <w:r>
        <w:rPr>
          <w:rFonts w:ascii="Arial" w:cs="Arial" w:eastAsia="Arial" w:hAnsi="Arial"/>
          <w:sz w:val="17"/>
          <w:szCs w:val="17"/>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12" w:lineRule="exact"/>
        <w:rPr>
          <w:sz w:val="20"/>
          <w:szCs w:val="20"/>
          <w:color w:val="auto"/>
        </w:rPr>
      </w:pPr>
    </w:p>
    <w:p>
      <w:pPr>
        <w:ind w:right="399"/>
        <w:spacing w:after="0" w:line="251"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whole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last reported sale price of the shares of common stock for the 10 trading days ending on the third trading day prior to the date on which the notice of redemption is sent to the holders of warrants. Whether we will exercise our option to require all holders to exercise their warrants on a “cashless basis” will depend on a variety of factors including the price of our shares of common stock at the time the warrants are called for redemption, our cash needs at such time and concerns regarding dilutive share issuances.</w:t>
      </w:r>
    </w:p>
    <w:p>
      <w:pPr>
        <w:spacing w:after="0" w:line="289" w:lineRule="exact"/>
        <w:rPr>
          <w:sz w:val="20"/>
          <w:szCs w:val="20"/>
          <w:color w:val="auto"/>
        </w:rPr>
      </w:pPr>
    </w:p>
    <w:p>
      <w:pPr>
        <w:ind w:right="399"/>
        <w:spacing w:after="0" w:line="255" w:lineRule="auto"/>
        <w:rPr>
          <w:sz w:val="20"/>
          <w:szCs w:val="20"/>
          <w:color w:val="auto"/>
        </w:rPr>
      </w:pPr>
      <w:r>
        <w:rPr>
          <w:rFonts w:ascii="Arial" w:cs="Arial" w:eastAsia="Arial" w:hAnsi="Arial"/>
          <w:sz w:val="18"/>
          <w:szCs w:val="18"/>
          <w:color w:val="auto"/>
        </w:rPr>
        <w:t>$101,500,000 of the net proceeds of this offering and the private placement (or $116,725,000 if the over-allotment option is exercised in full), will be placed in a trust account at Morgan Stanley, maintained by Continental Stock Transfer &amp; Trust Company, acting as trustee pursuant to an agreement to be signed on the date of this prospectus.</w:t>
      </w:r>
    </w:p>
    <w:p>
      <w:pPr>
        <w:spacing w:after="0" w:line="125" w:lineRule="exact"/>
        <w:rPr>
          <w:sz w:val="20"/>
          <w:szCs w:val="20"/>
          <w:color w:val="auto"/>
        </w:rPr>
      </w:pPr>
    </w:p>
    <w:p>
      <w:pPr>
        <w:ind w:right="459"/>
        <w:spacing w:after="0"/>
        <w:rPr>
          <w:sz w:val="20"/>
          <w:szCs w:val="20"/>
          <w:color w:val="auto"/>
        </w:rPr>
      </w:pPr>
      <w:r>
        <w:rPr>
          <w:rFonts w:ascii="Arial" w:cs="Arial" w:eastAsia="Arial" w:hAnsi="Arial"/>
          <w:sz w:val="18"/>
          <w:szCs w:val="18"/>
          <w:color w:val="auto"/>
        </w:rPr>
        <w:t>Except as set forth below, the proceeds in the trust account will not be released until the earlier of: (1) the completion of an initial business combination within the required time period or (2) the redemption of 100% of the outstanding public shares if we have not completed a business combination in the required time period. Therefore,</w:t>
      </w:r>
    </w:p>
    <w:p>
      <w:pPr>
        <w:spacing w:after="0" w:line="200" w:lineRule="exact"/>
        <w:rPr>
          <w:sz w:val="20"/>
          <w:szCs w:val="20"/>
          <w:color w:val="auto"/>
        </w:rPr>
      </w:pPr>
    </w:p>
    <w:p>
      <w:pPr>
        <w:sectPr>
          <w:pgSz w:w="11900" w:h="16838" w:orient="portrait"/>
          <w:cols w:equalWidth="0" w:num="2">
            <w:col w:w="3580" w:space="720"/>
            <w:col w:w="5579"/>
          </w:cols>
          <w:pgMar w:left="580" w:top="131" w:right="1440" w:bottom="1440" w:gutter="0" w:footer="0" w:header="0"/>
          <w:type w:val="continuous"/>
        </w:sectPr>
      </w:pPr>
    </w:p>
    <w:p>
      <w:pPr>
        <w:spacing w:after="0" w:line="20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67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460" w:hanging="179"/>
        <w:spacing w:after="0" w:line="289" w:lineRule="auto"/>
        <w:rPr>
          <w:sz w:val="20"/>
          <w:szCs w:val="20"/>
          <w:color w:val="auto"/>
        </w:rPr>
      </w:pPr>
      <w:r>
        <w:rPr>
          <w:rFonts w:ascii="Arial" w:cs="Arial" w:eastAsia="Arial" w:hAnsi="Arial"/>
          <w:sz w:val="17"/>
          <w:szCs w:val="17"/>
          <w:b w:val="1"/>
          <w:bCs w:val="1"/>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599"/>
        <w:spacing w:after="0"/>
        <w:rPr>
          <w:sz w:val="20"/>
          <w:szCs w:val="20"/>
          <w:color w:val="auto"/>
        </w:rPr>
      </w:pPr>
      <w:r>
        <w:rPr>
          <w:rFonts w:ascii="Arial" w:cs="Arial" w:eastAsia="Arial" w:hAnsi="Arial"/>
          <w:sz w:val="18"/>
          <w:szCs w:val="18"/>
          <w:color w:val="auto"/>
        </w:rPr>
        <w:t>unless and until our initial business combination is consummated, the proceeds held in the trust account will not be available for our use for any expenses related to this offering or expenses that we may incur related to the investigation and selection of a target business and the negotiation of an agreement to acquire a target business.</w:t>
      </w:r>
    </w:p>
    <w:p>
      <w:pPr>
        <w:spacing w:after="0" w:line="108" w:lineRule="exact"/>
        <w:rPr>
          <w:sz w:val="20"/>
          <w:szCs w:val="20"/>
          <w:color w:val="auto"/>
        </w:rPr>
      </w:pPr>
    </w:p>
    <w:p>
      <w:pPr>
        <w:ind w:right="439"/>
        <w:spacing w:after="0" w:line="251" w:lineRule="auto"/>
        <w:rPr>
          <w:sz w:val="20"/>
          <w:szCs w:val="20"/>
          <w:color w:val="auto"/>
        </w:rPr>
      </w:pPr>
      <w:r>
        <w:rPr>
          <w:rFonts w:ascii="Arial" w:cs="Arial" w:eastAsia="Arial" w:hAnsi="Arial"/>
          <w:sz w:val="17"/>
          <w:szCs w:val="17"/>
          <w:color w:val="auto"/>
        </w:rPr>
        <w:t>Notwithstanding the foregoing, there can be released to us, from time to time, any interest earned on the funds in the trust account that we may need to pay our tax obligations. Unless and until we complete our initial business combination, no proceeds held in the trust account will be available for our use. The proceeds held in the trust account will be invested only in U.S. government securities with a maturity of 185 days or less or in money market funds meeting certain conditions under Rule 2a-7 under the Investment Company Act which invest only in direct U.S. government treasury obligations. We will disclose in each quarterly and annual report filed with the SEC prior to our initial business combination whether the proceeds deposited in the trust account are invested in U.S. government treasury obligations or money market funds or a combination thereof. Based upon current interest rates, we expect the trust account to generate approximately $100,000 of interest annually assuming an interest rate of 0.1% per year; however, we can provide no assurances regarding this amount.</w:t>
      </w:r>
    </w:p>
    <w:p>
      <w:pPr>
        <w:spacing w:after="0" w:line="116" w:lineRule="exact"/>
        <w:rPr>
          <w:sz w:val="20"/>
          <w:szCs w:val="20"/>
          <w:color w:val="auto"/>
        </w:rPr>
      </w:pPr>
    </w:p>
    <w:p>
      <w:pPr>
        <w:ind w:right="419"/>
        <w:spacing w:after="0" w:line="252" w:lineRule="auto"/>
        <w:rPr>
          <w:sz w:val="20"/>
          <w:szCs w:val="20"/>
          <w:color w:val="auto"/>
        </w:rPr>
      </w:pPr>
      <w:r>
        <w:rPr>
          <w:rFonts w:ascii="Arial" w:cs="Arial" w:eastAsia="Arial" w:hAnsi="Arial"/>
          <w:sz w:val="17"/>
          <w:szCs w:val="17"/>
          <w:color w:val="auto"/>
        </w:rPr>
        <w:t xml:space="preserve">Unless and until we complete our initial business combination, expenses incurred by us may be paid prior to a business combination only from the net proceeds of this offering not held in the trust account of approximately $1,327,000; </w:t>
      </w:r>
      <w:r>
        <w:rPr>
          <w:rFonts w:ascii="Arial" w:cs="Arial" w:eastAsia="Arial" w:hAnsi="Arial"/>
          <w:sz w:val="17"/>
          <w:szCs w:val="17"/>
          <w:i w:val="1"/>
          <w:iCs w:val="1"/>
          <w:color w:val="auto"/>
        </w:rPr>
        <w:t>provided, however</w:t>
      </w:r>
      <w:r>
        <w:rPr>
          <w:rFonts w:ascii="Arial" w:cs="Arial" w:eastAsia="Arial" w:hAnsi="Arial"/>
          <w:sz w:val="17"/>
          <w:szCs w:val="17"/>
          <w:color w:val="auto"/>
        </w:rPr>
        <w:t>, that 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be paid upon consummation of our initial business combination, without interest.</w:t>
      </w:r>
    </w:p>
    <w:p>
      <w:pPr>
        <w:spacing w:after="0" w:line="200" w:lineRule="exact"/>
        <w:rPr>
          <w:sz w:val="20"/>
          <w:szCs w:val="20"/>
          <w:color w:val="auto"/>
        </w:rPr>
      </w:pPr>
    </w:p>
    <w:p>
      <w:pPr>
        <w:spacing w:after="0" w:line="307" w:lineRule="exact"/>
        <w:rPr>
          <w:sz w:val="20"/>
          <w:szCs w:val="20"/>
          <w:color w:val="auto"/>
        </w:rPr>
      </w:pPr>
    </w:p>
    <w:p>
      <w:pPr>
        <w:ind w:right="539"/>
        <w:spacing w:after="0" w:line="267" w:lineRule="auto"/>
        <w:rPr>
          <w:sz w:val="20"/>
          <w:szCs w:val="20"/>
          <w:color w:val="auto"/>
        </w:rPr>
      </w:pPr>
      <w:r>
        <w:rPr>
          <w:rFonts w:ascii="Arial" w:cs="Arial" w:eastAsia="Arial" w:hAnsi="Arial"/>
          <w:sz w:val="17"/>
          <w:szCs w:val="17"/>
          <w:color w:val="auto"/>
        </w:rPr>
        <w:t>On the completion of our initial business combination, the funds held in the trust account will be used to pay amounts due to any public stockholders who exercise their redemption rights. We will use the remaining funds to pay all or a portion of the consideration payable to the target or owners of the target of our initial business combination and to pay other expenses associated with our initial business combination, including the fee payable to Chardan pursuant to the Business Combination Marketing Agreement</w:t>
      </w:r>
    </w:p>
    <w:p>
      <w:pPr>
        <w:spacing w:after="0" w:line="3" w:lineRule="exact"/>
        <w:rPr>
          <w:sz w:val="20"/>
          <w:szCs w:val="20"/>
          <w:color w:val="auto"/>
        </w:rPr>
      </w:pPr>
    </w:p>
    <w:p>
      <w:pPr>
        <w:ind w:right="659"/>
        <w:spacing w:after="0" w:line="265" w:lineRule="auto"/>
        <w:rPr>
          <w:sz w:val="20"/>
          <w:szCs w:val="20"/>
          <w:color w:val="auto"/>
        </w:rPr>
      </w:pPr>
      <w:r>
        <w:rPr>
          <w:rFonts w:ascii="Arial" w:cs="Arial" w:eastAsia="Arial" w:hAnsi="Arial"/>
          <w:sz w:val="17"/>
          <w:szCs w:val="17"/>
          <w:color w:val="auto"/>
        </w:rPr>
        <w:t>described under “</w:t>
      </w:r>
      <w:r>
        <w:rPr>
          <w:rFonts w:ascii="Arial" w:cs="Arial" w:eastAsia="Arial" w:hAnsi="Arial"/>
          <w:sz w:val="17"/>
          <w:szCs w:val="17"/>
          <w:i w:val="1"/>
          <w:iCs w:val="1"/>
          <w:color w:val="auto"/>
        </w:rPr>
        <w:t>Underwriting (Conflicts of Interest) —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Marketing Agreement</w:t>
      </w:r>
      <w:r>
        <w:rPr>
          <w:rFonts w:ascii="Arial" w:cs="Arial" w:eastAsia="Arial" w:hAnsi="Arial"/>
          <w:sz w:val="17"/>
          <w:szCs w:val="17"/>
          <w:color w:val="auto"/>
        </w:rPr>
        <w:t>,” which fee we refer to</w:t>
      </w:r>
    </w:p>
    <w:p>
      <w:pPr>
        <w:ind w:right="459"/>
        <w:spacing w:after="0" w:line="251" w:lineRule="auto"/>
        <w:rPr>
          <w:sz w:val="20"/>
          <w:szCs w:val="20"/>
          <w:color w:val="auto"/>
        </w:rPr>
      </w:pPr>
      <w:r>
        <w:rPr>
          <w:rFonts w:ascii="Arial" w:cs="Arial" w:eastAsia="Arial" w:hAnsi="Arial"/>
          <w:sz w:val="18"/>
          <w:szCs w:val="18"/>
          <w:color w:val="auto"/>
        </w:rPr>
        <w:t>throughout this prospectus as the Marketing Fee. If our initial business combination is paid for using equity or debt securities, or not all of the funds released from the trust account are used for payment of the consideration in connection with our initial business combination or used for redemptions of our common stock, we may apply the balance of the cash released to us from the trust account, as well as the proceeds from the sale of the private warrants described elsewhere in this prospectus, for general corporate purposes,</w:t>
      </w:r>
    </w:p>
    <w:p>
      <w:pPr>
        <w:spacing w:after="0" w:line="200" w:lineRule="exact"/>
        <w:rPr>
          <w:sz w:val="20"/>
          <w:szCs w:val="20"/>
          <w:color w:val="auto"/>
        </w:rPr>
      </w:pPr>
    </w:p>
    <w:p>
      <w:pPr>
        <w:sectPr>
          <w:pgSz w:w="11900" w:h="16838" w:orient="portrait"/>
          <w:cols w:equalWidth="0" w:num="2">
            <w:col w:w="3800" w:space="500"/>
            <w:col w:w="5579"/>
          </w:cols>
          <w:pgMar w:left="580" w:top="131" w:right="1440" w:bottom="1440" w:gutter="0" w:footer="0" w:header="0"/>
          <w:type w:val="continuous"/>
        </w:sectPr>
      </w:pPr>
    </w:p>
    <w:p>
      <w:pPr>
        <w:spacing w:after="0" w:line="20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599"/>
        <w:spacing w:after="0" w:line="257" w:lineRule="auto"/>
        <w:rPr>
          <w:sz w:val="20"/>
          <w:szCs w:val="20"/>
          <w:color w:val="auto"/>
        </w:rPr>
      </w:pPr>
      <w:r>
        <w:rPr>
          <w:rFonts w:ascii="Arial" w:cs="Arial" w:eastAsia="Arial" w:hAnsi="Arial"/>
          <w:sz w:val="18"/>
          <w:szCs w:val="18"/>
          <w:color w:val="auto"/>
        </w:rPr>
        <w:t>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76"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b w:val="1"/>
          <w:bCs w:val="1"/>
          <w:color w:val="auto"/>
        </w:rPr>
        <w:t>Limited payments to insiders</w:t>
      </w:r>
      <w:r>
        <w:rPr>
          <w:sz w:val="20"/>
          <w:szCs w:val="20"/>
          <w:color w:val="auto"/>
        </w:rPr>
        <w:tab/>
      </w:r>
      <w:r>
        <w:rPr>
          <w:rFonts w:ascii="Arial" w:cs="Arial" w:eastAsia="Arial" w:hAnsi="Arial"/>
          <w:sz w:val="17"/>
          <w:szCs w:val="17"/>
          <w:color w:val="auto"/>
        </w:rPr>
        <w:t>Prior to the consummation of a business combination, there will be</w:t>
      </w:r>
    </w:p>
    <w:p>
      <w:pPr>
        <w:spacing w:after="0" w:line="27" w:lineRule="exact"/>
        <w:rPr>
          <w:sz w:val="20"/>
          <w:szCs w:val="20"/>
          <w:color w:val="auto"/>
        </w:rPr>
      </w:pPr>
    </w:p>
    <w:p>
      <w:pPr>
        <w:ind w:left="4300" w:right="399"/>
        <w:spacing w:after="0" w:line="253" w:lineRule="auto"/>
        <w:rPr>
          <w:sz w:val="20"/>
          <w:szCs w:val="20"/>
          <w:color w:val="auto"/>
        </w:rPr>
      </w:pPr>
      <w:r>
        <w:rPr>
          <w:rFonts w:ascii="Arial" w:cs="Arial" w:eastAsia="Arial" w:hAnsi="Arial"/>
          <w:sz w:val="18"/>
          <w:szCs w:val="18"/>
          <w:color w:val="auto"/>
        </w:rPr>
        <w:t>no fees, reimbursements or other cash payments paid to our initial stockholders, officers, directors or their affiliates prior to, or for any services they render in order to effectuate, the consummation of a business combination (regardless of the type of transaction that it is) other than:</w:t>
      </w:r>
    </w:p>
    <w:p>
      <w:pPr>
        <w:spacing w:after="0" w:line="123"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repayment of loans of up to $250,000 advanced to us by</w:t>
      </w:r>
    </w:p>
    <w:p>
      <w:pPr>
        <w:spacing w:after="0" w:line="3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our sponsor to cover offering-related and organizational</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expenses;</w:t>
      </w:r>
    </w:p>
    <w:p>
      <w:pPr>
        <w:spacing w:after="0" w:line="143"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payment of $10,000 per month to an affiliate of our</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sponsor for office space and related services, subject to</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deferral as described herein;</w:t>
      </w:r>
    </w:p>
    <w:p>
      <w:pPr>
        <w:spacing w:after="0" w:line="143"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repayment of loans that may be made by our insiders,</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officers, directors or any of its or their respective affiliates</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to finance transaction costs in connection with an initial</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business combination, the terms of which have not been</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determined;</w:t>
      </w:r>
    </w:p>
    <w:p>
      <w:pPr>
        <w:spacing w:after="0" w:line="157"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reimbursement of out-of-pocket expenses incurred by our</w:t>
      </w:r>
    </w:p>
    <w:p>
      <w:pPr>
        <w:spacing w:after="0" w:line="35"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insiders, officers, directors or any of its or their respective</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affiliates in connection with certain activities on our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behalf, such as identifying and investigating possible</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business targets and business combinations;</w:t>
      </w:r>
    </w:p>
    <w:p>
      <w:pPr>
        <w:spacing w:after="0" w:line="143"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our sponsor will transfer up to 20,000 founder shares to</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each of our independent directors; and</w:t>
      </w:r>
    </w:p>
    <w:p>
      <w:pPr>
        <w:spacing w:after="0" w:line="143" w:lineRule="exact"/>
        <w:rPr>
          <w:sz w:val="20"/>
          <w:szCs w:val="20"/>
          <w:color w:val="auto"/>
        </w:rPr>
      </w:pPr>
    </w:p>
    <w:p>
      <w:pPr>
        <w:ind w:left="4660"/>
        <w:spacing w:after="0"/>
        <w:tabs>
          <w:tab w:leader="none" w:pos="50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payment to Chardan of the underwriting discount and the</w:t>
      </w:r>
    </w:p>
    <w:p>
      <w:pPr>
        <w:spacing w:after="0" w:line="35"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Marketing Fee, fees for any financial advisory, placement</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agency or other similar investment banking services</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Chardan may provide to our company in the future,</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including in connection with the closing of our initial</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business combination, and reimbursement of Chardan for</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any out-of-pocket expenses incurred by it in connection</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with the performance of such services.</w:t>
      </w:r>
    </w:p>
    <w:p>
      <w:pPr>
        <w:spacing w:after="0" w:line="143" w:lineRule="exact"/>
        <w:rPr>
          <w:sz w:val="20"/>
          <w:szCs w:val="20"/>
          <w:color w:val="auto"/>
        </w:rPr>
      </w:pPr>
    </w:p>
    <w:p>
      <w:pPr>
        <w:ind w:left="4300" w:right="479"/>
        <w:spacing w:after="0" w:line="252" w:lineRule="auto"/>
        <w:rPr>
          <w:sz w:val="20"/>
          <w:szCs w:val="20"/>
          <w:color w:val="auto"/>
        </w:rPr>
      </w:pPr>
      <w:r>
        <w:rPr>
          <w:rFonts w:ascii="Arial" w:cs="Arial" w:eastAsia="Arial" w:hAnsi="Arial"/>
          <w:sz w:val="18"/>
          <w:szCs w:val="18"/>
          <w:color w:val="auto"/>
        </w:rPr>
        <w:t xml:space="preserve">There is no limit on the amount of out-of-pocket expenses reimbursable by us; </w:t>
      </w:r>
      <w:r>
        <w:rPr>
          <w:rFonts w:ascii="Arial" w:cs="Arial" w:eastAsia="Arial" w:hAnsi="Arial"/>
          <w:sz w:val="18"/>
          <w:szCs w:val="18"/>
          <w:i w:val="1"/>
          <w:iCs w:val="1"/>
          <w:color w:val="auto"/>
        </w:rPr>
        <w:t>provided, however</w:t>
      </w:r>
      <w:r>
        <w:rPr>
          <w:rFonts w:ascii="Arial" w:cs="Arial" w:eastAsia="Arial" w:hAnsi="Arial"/>
          <w:sz w:val="18"/>
          <w:szCs w:val="18"/>
          <w:color w:val="auto"/>
        </w:rPr>
        <w:t>, that to the extent such expenses exceed the available proceeds not deposited in the trust account and the interest income earned on the amounts held in the trust account available to us, such expenses would not be reimbursed by us unless we consummate an initial business combination. Our audit committee will review and approve all reimbursements and payments made to any initial stockholder or member of our management team, or any of their respective affiliates, and any reimbursements and payments made to members of our audit committee will be reviewed and approved by our board of directors, with any interested director abstaining from such review and approval.</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460" w:hanging="179"/>
        <w:spacing w:after="0" w:line="343" w:lineRule="auto"/>
        <w:rPr>
          <w:sz w:val="20"/>
          <w:szCs w:val="20"/>
          <w:color w:val="auto"/>
        </w:rPr>
      </w:pPr>
      <w:r>
        <w:rPr>
          <w:rFonts w:ascii="Arial" w:cs="Arial" w:eastAsia="Arial" w:hAnsi="Arial"/>
          <w:sz w:val="15"/>
          <w:szCs w:val="15"/>
          <w:b w:val="1"/>
          <w:bCs w:val="1"/>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19"/>
        <w:spacing w:after="0" w:line="251" w:lineRule="auto"/>
        <w:rPr>
          <w:sz w:val="20"/>
          <w:szCs w:val="20"/>
          <w:color w:val="auto"/>
        </w:rPr>
      </w:pPr>
      <w:r>
        <w:rPr>
          <w:rFonts w:ascii="Arial" w:cs="Arial" w:eastAsia="Arial" w:hAnsi="Arial"/>
          <w:sz w:val="18"/>
          <w:szCs w:val="18"/>
          <w:color w:val="auto"/>
        </w:rPr>
        <w:t>In connection with any proposed initial business combination, we will either (1) seek stockholder approval of such initial business combination at a meeting called for such purpose at which public stockholders may seek to redeem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redeem any public shares held by them into their pro rata share of the aggregate amount then on deposit in the trust account. If we determine to engage in a tender offer, such tender offer will be structured so that each public stockholder may tender any or all of his, her or its public shares rather than some pro rata portion of his, her or its shares.</w:t>
      </w:r>
    </w:p>
    <w:p>
      <w:pPr>
        <w:spacing w:after="0" w:line="126" w:lineRule="exact"/>
        <w:rPr>
          <w:sz w:val="20"/>
          <w:szCs w:val="20"/>
          <w:color w:val="auto"/>
        </w:rPr>
      </w:pPr>
    </w:p>
    <w:p>
      <w:pPr>
        <w:ind w:right="459"/>
        <w:spacing w:after="0" w:line="252" w:lineRule="auto"/>
        <w:rPr>
          <w:sz w:val="20"/>
          <w:szCs w:val="20"/>
          <w:color w:val="auto"/>
        </w:rPr>
      </w:pPr>
      <w:r>
        <w:rPr>
          <w:rFonts w:ascii="Arial" w:cs="Arial" w:eastAsia="Arial" w:hAnsi="Arial"/>
          <w:sz w:val="17"/>
          <w:szCs w:val="17"/>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16" w:lineRule="exact"/>
        <w:rPr>
          <w:sz w:val="20"/>
          <w:szCs w:val="20"/>
          <w:color w:val="auto"/>
        </w:rPr>
      </w:pPr>
    </w:p>
    <w:p>
      <w:pPr>
        <w:ind w:right="479"/>
        <w:spacing w:after="0" w:line="251" w:lineRule="auto"/>
        <w:rPr>
          <w:sz w:val="20"/>
          <w:szCs w:val="20"/>
          <w:color w:val="auto"/>
        </w:rPr>
      </w:pPr>
      <w:r>
        <w:rPr>
          <w:rFonts w:ascii="Arial" w:cs="Arial" w:eastAsia="Arial" w:hAnsi="Arial"/>
          <w:sz w:val="17"/>
          <w:szCs w:val="17"/>
          <w:color w:val="auto"/>
        </w:rPr>
        <w:t>The decision as to whether we will seek stockholder approval of a proposed business combination or will allow stockholders to sell their shares to us in a tender offer will be made by us based on a variety of factors such as the timing of the transaction or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such business combination.</w:t>
      </w:r>
    </w:p>
    <w:p>
      <w:pPr>
        <w:spacing w:after="0" w:line="121" w:lineRule="exact"/>
        <w:rPr>
          <w:sz w:val="20"/>
          <w:szCs w:val="20"/>
          <w:color w:val="auto"/>
        </w:rPr>
      </w:pPr>
    </w:p>
    <w:p>
      <w:pPr>
        <w:ind w:right="419"/>
        <w:spacing w:after="0" w:line="257" w:lineRule="auto"/>
        <w:rPr>
          <w:sz w:val="20"/>
          <w:szCs w:val="20"/>
          <w:color w:val="auto"/>
        </w:rPr>
      </w:pPr>
      <w:r>
        <w:rPr>
          <w:rFonts w:ascii="Arial" w:cs="Arial" w:eastAsia="Arial" w:hAnsi="Arial"/>
          <w:sz w:val="17"/>
          <w:szCs w:val="17"/>
          <w:color w:val="auto"/>
        </w:rPr>
        <w:t>We have determined not to consummate any business combination unless we have net tangible assets of at least $5,000,001 either immediately prior to or upon such consummation to avoid being subject to Rule 419 promulgated under the Securities Act. However, if we seek to consummate an initial business combination with a target business that imposes any type of working capital closing</w:t>
      </w:r>
    </w:p>
    <w:p>
      <w:pPr>
        <w:spacing w:after="0" w:line="200" w:lineRule="exact"/>
        <w:rPr>
          <w:sz w:val="20"/>
          <w:szCs w:val="20"/>
          <w:color w:val="auto"/>
        </w:rPr>
      </w:pPr>
    </w:p>
    <w:p>
      <w:pPr>
        <w:sectPr>
          <w:pgSz w:w="11900" w:h="16838" w:orient="portrait"/>
          <w:cols w:equalWidth="0" w:num="2">
            <w:col w:w="3820" w:space="480"/>
            <w:col w:w="5579"/>
          </w:cols>
          <w:pgMar w:left="580" w:top="131"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419"/>
        <w:spacing w:after="0" w:line="238" w:lineRule="auto"/>
        <w:rPr>
          <w:sz w:val="20"/>
          <w:szCs w:val="20"/>
          <w:color w:val="auto"/>
        </w:rPr>
      </w:pPr>
      <w:r>
        <w:rPr>
          <w:rFonts w:ascii="Arial" w:cs="Arial" w:eastAsia="Arial" w:hAnsi="Arial"/>
          <w:sz w:val="18"/>
          <w:szCs w:val="18"/>
          <w:color w:val="auto"/>
        </w:rPr>
        <w:t>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and may force us to seek third-party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107" w:lineRule="exact"/>
        <w:rPr>
          <w:sz w:val="20"/>
          <w:szCs w:val="20"/>
          <w:color w:val="auto"/>
        </w:rPr>
      </w:pPr>
    </w:p>
    <w:p>
      <w:pPr>
        <w:ind w:left="4300" w:right="399"/>
        <w:spacing w:after="0" w:line="249" w:lineRule="auto"/>
        <w:rPr>
          <w:sz w:val="20"/>
          <w:szCs w:val="20"/>
          <w:color w:val="auto"/>
        </w:rPr>
      </w:pPr>
      <w:r>
        <w:rPr>
          <w:rFonts w:ascii="Arial" w:cs="Arial" w:eastAsia="Arial" w:hAnsi="Arial"/>
          <w:sz w:val="17"/>
          <w:szCs w:val="17"/>
          <w:color w:val="auto"/>
        </w:rPr>
        <w:t>Our initial stockholders have agreed (A) to vote their founder shares and any public shares in favor of any proposed business combination, (B)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12 months (or up to 18 months, as applicable) unless we provide public stockholder an opportunity to redeem their public shares in conjunction with any such amendment, (C) not to redeem any shares (including the founder shares) into the right to receive cash from the trust account in connection with a stockholder vote to approve our proposed initial business combination or sell any shares to us in a tender offer in connection with our proposed initial business combination, and (D) that the founder shares shall not participate in any liquidating distribution upon winding up if a business combination is not consummated. None of our initial stockholders or their affiliates has indicated any intention to purchase</w:t>
      </w:r>
    </w:p>
    <w:p>
      <w:pPr>
        <w:spacing w:after="0" w:line="11" w:lineRule="exact"/>
        <w:rPr>
          <w:sz w:val="20"/>
          <w:szCs w:val="20"/>
          <w:color w:val="auto"/>
        </w:rPr>
      </w:pPr>
    </w:p>
    <w:p>
      <w:pPr>
        <w:ind w:left="4300" w:right="439"/>
        <w:spacing w:after="0" w:line="250" w:lineRule="auto"/>
        <w:rPr>
          <w:sz w:val="20"/>
          <w:szCs w:val="20"/>
          <w:color w:val="auto"/>
        </w:rPr>
      </w:pPr>
      <w:r>
        <w:rPr>
          <w:rFonts w:ascii="Arial" w:cs="Arial" w:eastAsia="Arial" w:hAnsi="Arial"/>
          <w:sz w:val="17"/>
          <w:szCs w:val="17"/>
          <w:color w:val="auto"/>
        </w:rPr>
        <w:t>public units in this offering or any units or shares of common stock in the open market or in private transactions. However, if a significant number of stockholders vote, or indicate an intention to vote, against a proposed business combination, our initial stockholders, officers, directors or their affiliates could make such purchases in the open market or in private transactions in order to influence the vote. Our initial stockholders, officers, directors and their affiliates could purchase sufficient shares so that the initial business combination may be approved without the majority vote of public shares held by non-affiliates. Notwithstanding the foregoing, our officers, directors, initial stockholders and their affiliates will not make purchases of shares of common stock if the purchases would violate Section 9(a)(2) or Rule 10b -5 of the Securities and Exchange Act of 1940, which we refer to as the Exchange Act, which are rules designed to stop potential manipulation of a company’s stock or purchasing shares when the buyer is in possession of material non-public information about the Company.</w:t>
      </w:r>
    </w:p>
    <w:p>
      <w:pPr>
        <w:spacing w:after="0" w:line="69" w:lineRule="exact"/>
        <w:rPr>
          <w:sz w:val="20"/>
          <w:szCs w:val="20"/>
          <w:color w:val="auto"/>
        </w:rPr>
      </w:pPr>
    </w:p>
    <w:p>
      <w:pPr>
        <w:ind w:left="4300" w:right="499" w:hanging="3023"/>
        <w:spacing w:after="0" w:line="273" w:lineRule="auto"/>
        <w:tabs>
          <w:tab w:leader="none" w:pos="4280" w:val="left"/>
        </w:tabs>
        <w:rPr>
          <w:sz w:val="20"/>
          <w:szCs w:val="20"/>
          <w:color w:val="auto"/>
        </w:rPr>
      </w:pPr>
      <w:r>
        <w:rPr>
          <w:rFonts w:ascii="Arial" w:cs="Arial" w:eastAsia="Arial" w:hAnsi="Arial"/>
          <w:sz w:val="18"/>
          <w:szCs w:val="18"/>
          <w:b w:val="1"/>
          <w:bCs w:val="1"/>
          <w:color w:val="auto"/>
        </w:rPr>
        <w:t>Redemption rights</w:t>
      </w:r>
      <w:r>
        <w:rPr>
          <w:sz w:val="20"/>
          <w:szCs w:val="20"/>
          <w:color w:val="auto"/>
        </w:rPr>
        <w:tab/>
      </w:r>
      <w:r>
        <w:rPr>
          <w:rFonts w:ascii="Arial" w:cs="Arial" w:eastAsia="Arial" w:hAnsi="Arial"/>
          <w:sz w:val="17"/>
          <w:szCs w:val="17"/>
          <w:color w:val="auto"/>
        </w:rPr>
        <w:t xml:space="preserve">In connection with any stockholder meeting called to approve a proposed initial business combination, each public stockholder will have the right, regardless of whether he, she or it is voting for or against such proposed business combination, to demand that we redeem his, her or its public shares into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trust account upon consummation of the business combination.</w:t>
      </w:r>
    </w:p>
    <w:p>
      <w:pPr>
        <w:spacing w:after="0" w:line="114" w:lineRule="exact"/>
        <w:rPr>
          <w:sz w:val="20"/>
          <w:szCs w:val="20"/>
          <w:color w:val="auto"/>
        </w:rPr>
      </w:pPr>
    </w:p>
    <w:p>
      <w:pPr>
        <w:ind w:left="4300" w:right="459"/>
        <w:spacing w:after="0" w:line="270" w:lineRule="auto"/>
        <w:rPr>
          <w:sz w:val="20"/>
          <w:szCs w:val="20"/>
          <w:color w:val="auto"/>
        </w:rPr>
      </w:pPr>
      <w:r>
        <w:rPr>
          <w:rFonts w:ascii="Arial" w:cs="Arial" w:eastAsia="Arial" w:hAnsi="Arial"/>
          <w:sz w:val="17"/>
          <w:szCs w:val="17"/>
          <w:color w:val="auto"/>
        </w:rPr>
        <w:t>We may require public stockholders wishing to exercise redemption rights, whether they are a record holder or hold their shares in “street name,” to either tender the certificates they are seeking to</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933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399"/>
        <w:spacing w:after="0" w:line="267" w:lineRule="auto"/>
        <w:rPr>
          <w:sz w:val="20"/>
          <w:szCs w:val="20"/>
          <w:color w:val="auto"/>
        </w:rPr>
      </w:pPr>
      <w:r>
        <w:rPr>
          <w:rFonts w:ascii="Arial" w:cs="Arial" w:eastAsia="Arial" w:hAnsi="Arial"/>
          <w:sz w:val="17"/>
          <w:szCs w:val="17"/>
          <w:color w:val="auto"/>
        </w:rPr>
        <w:t>redeem to our transfer agent or to deliver the shares they are seeking to redeem to the transfer agent electronically using Depository Trust Company’s Deposit/Withdrawal At Custodian System, or DWAC System, at the holder’s option, at any time at or prior to the vote on the business combination. There is a nominal cost associated with this tendering process and the act of certificating the shares or delivering them through the DWAC System. The transfer agent will typically charge the tendering broker $45 and it would be up to the broker whether to pass this cost on to the redeeming holder. However, this fee would be incurred regardless of whether we require holders to deliver their shares prior to the vote on the business combination in order to exercise redemption rights, because a holder would need to deliver shares to exercise redemption rights regardless of the timing of when such delivery must be effectuated. However, in the event we require stockholders to deliver their shares prior to the vote on the proposed business combination and the proposed business combination is not consummated, this may result in an increased cost to stockholders. The redemption rights will include the requirement that a beneficial holder must identify itself in order to validly redeem its shares.</w:t>
      </w:r>
    </w:p>
    <w:p>
      <w:pPr>
        <w:spacing w:after="0" w:line="10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Under Delaware law, we may be required to give a minimum of</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only 10 days’ notice for each general meeting. As a result, if we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require public stockholders who wish to redeem their shares of</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xml:space="preserve">common stock into the right to receive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funds in the trust account to comply with the foregoing delivery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requirements, holders may not have sufficient time to receive the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notice and deliver their shares for redemption. Accordingly,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investors may not be able to exercise their redemption rights and</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may be forced to retain our securities when they otherwise would</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not want to.</w:t>
      </w:r>
    </w:p>
    <w:p>
      <w:pPr>
        <w:spacing w:after="0" w:line="143" w:lineRule="exact"/>
        <w:rPr>
          <w:sz w:val="20"/>
          <w:szCs w:val="20"/>
          <w:color w:val="auto"/>
        </w:rPr>
      </w:pPr>
    </w:p>
    <w:p>
      <w:pPr>
        <w:ind w:left="4300" w:right="479"/>
        <w:spacing w:after="0" w:line="275" w:lineRule="auto"/>
        <w:rPr>
          <w:sz w:val="20"/>
          <w:szCs w:val="20"/>
          <w:color w:val="auto"/>
        </w:rPr>
      </w:pPr>
      <w:r>
        <w:rPr>
          <w:rFonts w:ascii="Arial" w:cs="Arial" w:eastAsia="Arial" w:hAnsi="Arial"/>
          <w:sz w:val="17"/>
          <w:szCs w:val="17"/>
          <w:color w:val="auto"/>
        </w:rPr>
        <w:t>If we require public stockholders who wish to redeem their shares of common stock to comply with specific delivery requirements for redemption described above and such proposed business combination is not consummated, we will promptly return such certificates to the tendering public stockholders.</w:t>
      </w:r>
    </w:p>
    <w:p>
      <w:pPr>
        <w:spacing w:after="0" w:line="6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Liquidation if no business</w:t>
      </w:r>
    </w:p>
    <w:p>
      <w:pPr>
        <w:spacing w:after="0" w:line="27" w:lineRule="exact"/>
        <w:rPr>
          <w:sz w:val="20"/>
          <w:szCs w:val="20"/>
          <w:color w:val="auto"/>
        </w:rPr>
      </w:pPr>
    </w:p>
    <w:p>
      <w:pPr>
        <w:ind w:left="4300" w:right="419" w:hanging="2839"/>
        <w:spacing w:after="0" w:line="266" w:lineRule="auto"/>
        <w:tabs>
          <w:tab w:leader="none" w:pos="4280" w:val="left"/>
        </w:tabs>
        <w:rPr>
          <w:sz w:val="20"/>
          <w:szCs w:val="20"/>
          <w:color w:val="auto"/>
        </w:rPr>
      </w:pPr>
      <w:r>
        <w:rPr>
          <w:rFonts w:ascii="Arial" w:cs="Arial" w:eastAsia="Arial" w:hAnsi="Arial"/>
          <w:sz w:val="17"/>
          <w:szCs w:val="17"/>
          <w:b w:val="1"/>
          <w:bCs w:val="1"/>
          <w:color w:val="auto"/>
        </w:rPr>
        <w:t>combination</w:t>
      </w:r>
      <w:r>
        <w:rPr>
          <w:sz w:val="20"/>
          <w:szCs w:val="20"/>
          <w:color w:val="auto"/>
        </w:rPr>
        <w:tab/>
      </w:r>
      <w:r>
        <w:rPr>
          <w:rFonts w:ascii="Arial" w:cs="Arial" w:eastAsia="Arial" w:hAnsi="Arial"/>
          <w:sz w:val="17"/>
          <w:szCs w:val="17"/>
          <w:color w:val="auto"/>
        </w:rPr>
        <w:t>If we are unable to complete our initial business combination within 12 months (or up to 18 months, as applicable) from the closing of this offering, we will (i) cease all operations except for the purpose of winding up, (ii) as promptly as reasonably possible but not more than five business days thereafter, redeem 100% of the outstanding public shares (including any public units in this offering or any public units or shares that our initial stockholders or their affiliates purchased in this offering or later acquired in the open market or in private transactions),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our remaining holders of common stock and our board of directors, proceed to commence a voluntary liquidation and thereby a formal dissolution of the Company, subject (in the case of (ii) and (iii) above) to our obligations to provide for claims of creditors and the requirements of applicable law.</w:t>
      </w:r>
    </w:p>
    <w:p>
      <w:pPr>
        <w:sectPr>
          <w:pgSz w:w="11900" w:h="16838" w:orient="portrait"/>
          <w:cols w:equalWidth="0" w:num="1">
            <w:col w:w="9879"/>
          </w:cols>
          <w:pgMar w:left="580" w:top="131" w:right="1440"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19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460" w:hanging="179"/>
        <w:spacing w:after="0" w:line="386" w:lineRule="auto"/>
        <w:rPr>
          <w:sz w:val="20"/>
          <w:szCs w:val="20"/>
          <w:color w:val="auto"/>
        </w:rPr>
      </w:pPr>
      <w:r>
        <w:rPr>
          <w:rFonts w:ascii="Arial" w:cs="Arial" w:eastAsia="Arial" w:hAnsi="Arial"/>
          <w:sz w:val="15"/>
          <w:szCs w:val="15"/>
          <w:b w:val="1"/>
          <w:bCs w:val="1"/>
          <w:color w:val="auto"/>
        </w:rPr>
        <w:t>Ability to extend time to complete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19"/>
        <w:spacing w:after="0" w:line="238" w:lineRule="auto"/>
        <w:rPr>
          <w:sz w:val="20"/>
          <w:szCs w:val="20"/>
          <w:color w:val="auto"/>
        </w:rPr>
      </w:pPr>
      <w:r>
        <w:rPr>
          <w:rFonts w:ascii="Arial" w:cs="Arial" w:eastAsia="Arial" w:hAnsi="Arial"/>
          <w:sz w:val="18"/>
          <w:szCs w:val="18"/>
          <w:color w:val="auto"/>
        </w:rPr>
        <w:t>In connection with our redemption of 100% of our outstanding public shares for a portion of the funds held in the trust account, each holder will receive a full pro rata portion of the amount then in the trust account, plus any pro rata interest earned on the funds held in the trust account and not necessary to pay our taxes payable on such funds. Holders of warrants will receive no proceeds in connection with the liquidation with respect to such warrants, which will expire worthless.</w:t>
      </w:r>
    </w:p>
    <w:p>
      <w:pPr>
        <w:spacing w:after="0" w:line="113" w:lineRule="exact"/>
        <w:rPr>
          <w:sz w:val="20"/>
          <w:szCs w:val="20"/>
          <w:color w:val="auto"/>
        </w:rPr>
      </w:pPr>
    </w:p>
    <w:p>
      <w:pPr>
        <w:ind w:right="419"/>
        <w:spacing w:after="0" w:line="253" w:lineRule="auto"/>
        <w:rPr>
          <w:sz w:val="20"/>
          <w:szCs w:val="20"/>
          <w:color w:val="auto"/>
        </w:rPr>
      </w:pPr>
      <w:r>
        <w:rPr>
          <w:rFonts w:ascii="Arial" w:cs="Arial" w:eastAsia="Arial" w:hAnsi="Arial"/>
          <w:sz w:val="18"/>
          <w:szCs w:val="18"/>
          <w:color w:val="auto"/>
        </w:rPr>
        <w:t>We may not have funds sufficient to pay or provide for all creditors’ claims. Although we will seek to have all third parties (including any vendors or other entities we engage after this offering) and any prospective target businesses enter into valid and enforceable agreements with us waiving any right, title, interest or claim of any kind in or to any monies held in the trust account, there is no guarantee that they will execute such agreements. There is also no guarantee that the third parties would not challenge the enforceability of these waivers and bring claims against the trust account for monies owed them.</w:t>
      </w:r>
    </w:p>
    <w:p>
      <w:pPr>
        <w:spacing w:after="0" w:line="127" w:lineRule="exact"/>
        <w:rPr>
          <w:sz w:val="20"/>
          <w:szCs w:val="20"/>
          <w:color w:val="auto"/>
        </w:rPr>
      </w:pPr>
    </w:p>
    <w:p>
      <w:pPr>
        <w:ind w:right="419"/>
        <w:spacing w:after="0" w:line="259" w:lineRule="auto"/>
        <w:rPr>
          <w:sz w:val="20"/>
          <w:szCs w:val="20"/>
          <w:color w:val="auto"/>
        </w:rPr>
      </w:pPr>
      <w:r>
        <w:rPr>
          <w:rFonts w:ascii="Arial" w:cs="Arial" w:eastAsia="Arial" w:hAnsi="Arial"/>
          <w:sz w:val="18"/>
          <w:szCs w:val="18"/>
          <w:color w:val="auto"/>
        </w:rPr>
        <w:t>The holders of the founder shares and private warrants will not participate in any redemption distribution with respect to their founder shares and private warrants, but may have any public shares held by them redeemed upon liquidation.</w:t>
      </w:r>
    </w:p>
    <w:p>
      <w:pPr>
        <w:spacing w:after="0" w:line="119" w:lineRule="exact"/>
        <w:rPr>
          <w:sz w:val="20"/>
          <w:szCs w:val="20"/>
          <w:color w:val="auto"/>
        </w:rPr>
      </w:pPr>
    </w:p>
    <w:p>
      <w:pPr>
        <w:ind w:right="399"/>
        <w:spacing w:after="0" w:line="267" w:lineRule="auto"/>
        <w:rPr>
          <w:sz w:val="20"/>
          <w:szCs w:val="20"/>
          <w:color w:val="auto"/>
        </w:rPr>
      </w:pPr>
      <w:r>
        <w:rPr>
          <w:rFonts w:ascii="Arial" w:cs="Arial" w:eastAsia="Arial" w:hAnsi="Arial"/>
          <w:sz w:val="17"/>
          <w:szCs w:val="17"/>
          <w:color w:val="auto"/>
        </w:rPr>
        <w:t>If we are unable to conclude our initial business combination and we expend all of the net proceeds of this offering not deposited in the trust account, without taking into account any interest earned on the trust account, we expect that the initial per-share redemption price will be approximately $10.15. The proceeds deposited in the trust account could, however, become subject to claims of our creditors that are in preference to the claims of our stockholders. Furthermore, our underwriters may seek recourse against the proceeds in the trust account relating to any future claims they may have against us. In addition, 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Therefore, the actual per-share redemption price may be less than approximately $10.15. We will pay the costs of any subsequent liquidation from our remaining assets outside of the trust account. If such funds are insufficient, our sponsor has agreed to pay the funds necessary to complete such liquidation and has agreed not to seek repayment for such expenses. We currently do not anticipate that such funds will be insufficient.</w:t>
      </w:r>
    </w:p>
    <w:p>
      <w:pPr>
        <w:spacing w:after="0" w:line="293" w:lineRule="exact"/>
        <w:rPr>
          <w:sz w:val="20"/>
          <w:szCs w:val="20"/>
          <w:color w:val="auto"/>
        </w:rPr>
      </w:pPr>
    </w:p>
    <w:p>
      <w:pPr>
        <w:ind w:right="419"/>
        <w:spacing w:after="0" w:line="253" w:lineRule="auto"/>
        <w:rPr>
          <w:sz w:val="20"/>
          <w:szCs w:val="20"/>
          <w:color w:val="auto"/>
        </w:rPr>
      </w:pPr>
      <w:r>
        <w:rPr>
          <w:rFonts w:ascii="Arial" w:cs="Arial" w:eastAsia="Arial" w:hAnsi="Arial"/>
          <w:sz w:val="18"/>
          <w:szCs w:val="18"/>
          <w:color w:val="auto"/>
        </w:rPr>
        <w:t>We will have 12 months from the closing of this offering to complete an initial business combination. However, if we anticipate that we may not be able to consummate our initial business combination within 12 months, we may, by resolution of our board if requested by our sponsor, extend the period of time to consummate a business combination up to two times, each by an additional three months (for a total of up to 18 months to complete a business combination), subject to the sponsor depositing additional funds into the trust account as set out below. Pursuant to the terms of our amended and</w:t>
      </w:r>
    </w:p>
    <w:p>
      <w:pPr>
        <w:spacing w:after="0" w:line="200" w:lineRule="exact"/>
        <w:rPr>
          <w:sz w:val="20"/>
          <w:szCs w:val="20"/>
          <w:color w:val="auto"/>
        </w:rPr>
      </w:pPr>
    </w:p>
    <w:p>
      <w:pPr>
        <w:sectPr>
          <w:pgSz w:w="11900" w:h="16838" w:orient="portrait"/>
          <w:cols w:equalWidth="0" w:num="2">
            <w:col w:w="3760" w:space="540"/>
            <w:col w:w="5579"/>
          </w:cols>
          <w:pgMar w:left="580" w:top="131" w:right="1440" w:bottom="1440" w:gutter="0" w:footer="0" w:header="0"/>
          <w:type w:val="continuous"/>
        </w:sectPr>
      </w:pPr>
    </w:p>
    <w:p>
      <w:pPr>
        <w:spacing w:after="0" w:line="18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933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399"/>
        <w:spacing w:after="0" w:line="266" w:lineRule="auto"/>
        <w:rPr>
          <w:sz w:val="20"/>
          <w:szCs w:val="20"/>
          <w:color w:val="auto"/>
        </w:rPr>
      </w:pPr>
      <w:r>
        <w:rPr>
          <w:rFonts w:ascii="Arial" w:cs="Arial" w:eastAsia="Arial" w:hAnsi="Arial"/>
          <w:sz w:val="17"/>
          <w:szCs w:val="17"/>
          <w:color w:val="auto"/>
        </w:rPr>
        <w:t>restated certificate of incorporation and the trust agreement to be entered into between us and Continental Stock Transfer &amp; Trust Company on the date of this prospectus, in order for the time available for us to consummate our initial business combination to be extended, our sponsor or its affiliates or designees, upon five days advance notice prior to the applicable deadline, must deposit into the trust account $1,000,000, or $1,150,000 if the underwriters’ over-allotment option is exercised in full ($0.10 per share in either case), on or prior to the date of the applicable deadline, for each of the available three month extensions providing a total possible business combination period of 18 months at a total payment value of $2,000,000, or $2,300,000 if the underwriters’ over-allotment option is exercised in full. Any such payments would be made in the form of non-interest bearing loans, evidenced by an unsecured promissory note equal to the amount of any such deposit, which will not be repaid in the event that we are unable to close a business combination unless there are funds available outside the trust account to do so. Our sponsor and its affiliates or designees are not obligated to fund the trust account to extend the time for us to complete our initial business combination. Our public stockholders will not be entitled to vote or redeem their shares in connection with any such extension. As a result, we may conduct such an extension even though a majority of our public stockholders do not support such an extension and will not be able to redeem their shares in connection therewith.</w:t>
      </w:r>
    </w:p>
    <w:p>
      <w:pPr>
        <w:spacing w:after="0" w:line="88"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b w:val="1"/>
          <w:bCs w:val="1"/>
          <w:color w:val="auto"/>
        </w:rPr>
        <w:t>Conflict of Interest</w:t>
      </w:r>
      <w:r>
        <w:rPr>
          <w:sz w:val="20"/>
          <w:szCs w:val="20"/>
          <w:color w:val="auto"/>
        </w:rPr>
        <w:tab/>
      </w:r>
      <w:r>
        <w:rPr>
          <w:rFonts w:ascii="Arial" w:cs="Arial" w:eastAsia="Arial" w:hAnsi="Arial"/>
          <w:sz w:val="17"/>
          <w:szCs w:val="17"/>
          <w:color w:val="auto"/>
        </w:rPr>
        <w:t>Both we and our sponsor are affiliates of Chardan, the</w:t>
      </w:r>
    </w:p>
    <w:p>
      <w:pPr>
        <w:spacing w:after="0" w:line="27" w:lineRule="exact"/>
        <w:rPr>
          <w:sz w:val="20"/>
          <w:szCs w:val="20"/>
          <w:color w:val="auto"/>
        </w:rPr>
      </w:pPr>
    </w:p>
    <w:p>
      <w:pPr>
        <w:ind w:left="4300" w:right="419"/>
        <w:spacing w:after="0" w:line="252" w:lineRule="auto"/>
        <w:rPr>
          <w:sz w:val="20"/>
          <w:szCs w:val="20"/>
          <w:color w:val="auto"/>
        </w:rPr>
      </w:pPr>
      <w:r>
        <w:rPr>
          <w:rFonts w:ascii="Arial" w:cs="Arial" w:eastAsia="Arial" w:hAnsi="Arial"/>
          <w:sz w:val="18"/>
          <w:szCs w:val="18"/>
          <w:color w:val="auto"/>
        </w:rPr>
        <w:t>representative of the underwriters in this offering, and certain of our officers and directors are affiliated with Chardan. As a result, Chardan is deemed to have a “conflict of interest” within the meaning of FINRA Rule 5121(f)(5), or Rule 5121. Accordingly, this offering is being made in compliance with the applicable requirements of Rule 5121.</w:t>
      </w:r>
    </w:p>
    <w:p>
      <w:pPr>
        <w:spacing w:after="0" w:line="113" w:lineRule="exact"/>
        <w:rPr>
          <w:sz w:val="20"/>
          <w:szCs w:val="20"/>
          <w:color w:val="auto"/>
        </w:rPr>
      </w:pPr>
    </w:p>
    <w:p>
      <w:pPr>
        <w:ind w:left="4300" w:right="419"/>
        <w:spacing w:after="0" w:line="252" w:lineRule="auto"/>
        <w:rPr>
          <w:sz w:val="20"/>
          <w:szCs w:val="20"/>
          <w:color w:val="auto"/>
        </w:rPr>
      </w:pPr>
      <w:r>
        <w:rPr>
          <w:rFonts w:ascii="Arial" w:cs="Arial" w:eastAsia="Arial" w:hAnsi="Arial"/>
          <w:sz w:val="18"/>
          <w:szCs w:val="18"/>
          <w:color w:val="auto"/>
        </w:rPr>
        <w:t>Rule 5121 requires that a “qualified independent underwriter,” as defined in Rule 5121, participate in the preparation of the registration statement and prospectus and exercise the usual standards of due diligence with respect thereto. B. Riley Securities, Inc. has agreed to act as a “qualified independent underwriter” for this offering. B. Riley Securities, Inc. will receive $100,000 from the total underwriting discount, acting as a qualified independent underwriter. We have agreed to indemnify B. Riley Securities, Inc. against certain liabilities incurred in connection with acting as a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30" w:lineRule="exact"/>
        <w:rPr>
          <w:sz w:val="20"/>
          <w:szCs w:val="20"/>
          <w:color w:val="auto"/>
        </w:rPr>
      </w:pPr>
    </w:p>
    <w:p>
      <w:pPr>
        <w:ind w:left="4300" w:right="399"/>
        <w:spacing w:after="0" w:line="271"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In addition, our officers and directors may have a duty to offer acquisition</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459"/>
        <w:spacing w:after="0" w:line="261" w:lineRule="auto"/>
        <w:rPr>
          <w:sz w:val="20"/>
          <w:szCs w:val="20"/>
          <w:color w:val="auto"/>
        </w:rPr>
      </w:pPr>
      <w:r>
        <w:rPr>
          <w:rFonts w:ascii="Arial" w:cs="Arial" w:eastAsia="Arial" w:hAnsi="Arial"/>
          <w:sz w:val="18"/>
          <w:szCs w:val="18"/>
          <w:color w:val="auto"/>
        </w:rPr>
        <w:t>opportunities to other entities to which they owe duties or clients of affiliates of our sponsor.</w:t>
      </w:r>
    </w:p>
    <w:p>
      <w:pPr>
        <w:spacing w:after="0" w:line="90" w:lineRule="exact"/>
        <w:rPr>
          <w:sz w:val="20"/>
          <w:szCs w:val="20"/>
          <w:color w:val="auto"/>
        </w:rPr>
      </w:pPr>
    </w:p>
    <w:p>
      <w:pPr>
        <w:ind w:left="4300" w:right="439"/>
        <w:spacing w:after="0" w:line="251" w:lineRule="auto"/>
        <w:rPr>
          <w:sz w:val="20"/>
          <w:szCs w:val="20"/>
          <w:color w:val="auto"/>
        </w:rPr>
      </w:pPr>
      <w:r>
        <w:rPr>
          <w:rFonts w:ascii="Arial" w:cs="Arial" w:eastAsia="Arial" w:hAnsi="Arial"/>
          <w:sz w:val="17"/>
          <w:szCs w:val="17"/>
          <w:color w:val="auto"/>
        </w:rPr>
        <w:t>As a result, affiliates of our sponsor and their respective clients may compete with us for acquisition opportunities in the same industries and sectors as we may target for our initial business combination. If any of them decide to pursue any such opportunity, we may be precluded from procuring such opportunities. In addition, investment ideas generated within Chardan, including by any of our officers and other persons who may make decisions for the company, may be suitable both for us and for affiliates of our sponsor or any of their respective clients, and will be directed initially to such persons rather than to us. None of Chardan nor members of our management team who are also employed by Chardan or any of its affiliates have any obligation to present us with any opportunity for a potential business combination of which they become aware unless it is offered to them solely in their capacity as a director or officer of the Company and after they have satisfied their contractual and fiduciary obligations to other parties.</w:t>
      </w:r>
    </w:p>
    <w:p>
      <w:pPr>
        <w:spacing w:after="0" w:line="118" w:lineRule="exact"/>
        <w:rPr>
          <w:sz w:val="20"/>
          <w:szCs w:val="20"/>
          <w:color w:val="auto"/>
        </w:rPr>
      </w:pPr>
    </w:p>
    <w:p>
      <w:pPr>
        <w:ind w:left="4300" w:right="539"/>
        <w:spacing w:after="0" w:line="252" w:lineRule="auto"/>
        <w:rPr>
          <w:sz w:val="20"/>
          <w:szCs w:val="20"/>
          <w:color w:val="auto"/>
        </w:rPr>
      </w:pPr>
      <w:r>
        <w:rPr>
          <w:rFonts w:ascii="Arial" w:cs="Arial" w:eastAsia="Arial" w:hAnsi="Arial"/>
          <w:sz w:val="17"/>
          <w:szCs w:val="17"/>
          <w:color w:val="auto"/>
        </w:rPr>
        <w:t>Our sponsor, officers, directors, Chardan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16" w:lineRule="exact"/>
        <w:rPr>
          <w:sz w:val="20"/>
          <w:szCs w:val="20"/>
          <w:color w:val="auto"/>
        </w:rPr>
      </w:pPr>
    </w:p>
    <w:p>
      <w:pPr>
        <w:ind w:left="4300" w:right="419"/>
        <w:spacing w:after="0" w:line="268" w:lineRule="auto"/>
        <w:rPr>
          <w:sz w:val="20"/>
          <w:szCs w:val="20"/>
          <w:color w:val="auto"/>
        </w:rPr>
      </w:pPr>
      <w:r>
        <w:rPr>
          <w:rFonts w:ascii="Arial" w:cs="Arial" w:eastAsia="Arial" w:hAnsi="Arial"/>
          <w:sz w:val="17"/>
          <w:szCs w:val="17"/>
          <w:color w:val="auto"/>
        </w:rPr>
        <w:t>As described herein,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an Affiliated SPAC.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 (including as described above). These conflicts may not be resolved in our favor and a potential target business may be presented to another entity prior to its presentation to us.</w:t>
      </w:r>
    </w:p>
    <w:p>
      <w:pPr>
        <w:spacing w:after="0" w:line="9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In addition, we may, at our option, pursue an Affiliated Joint</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Acquisition. We do not expect that we would pursue any such</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opportunity with an Affiliated SPAC. This would only occur,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though, if (i) permitted by applicable regulatory and other legal</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limitations; (ii) we and Chardan considered a transaction to be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mutually beneficial to us as well as the affiliated entity; and</w:t>
      </w:r>
    </w:p>
    <w:p>
      <w:pPr>
        <w:spacing w:after="0" w:line="9" w:lineRule="exact"/>
        <w:rPr>
          <w:sz w:val="20"/>
          <w:szCs w:val="20"/>
          <w:color w:val="auto"/>
        </w:rPr>
      </w:pPr>
    </w:p>
    <w:p>
      <w:pPr>
        <w:ind w:left="4300" w:right="879" w:firstLine="2"/>
        <w:spacing w:after="0" w:line="260" w:lineRule="auto"/>
        <w:tabs>
          <w:tab w:leader="none" w:pos="46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business reasons exist to do so, such as the strategic merits of including such</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399"/>
        <w:spacing w:after="0" w:line="254" w:lineRule="auto"/>
        <w:rPr>
          <w:sz w:val="20"/>
          <w:szCs w:val="20"/>
          <w:color w:val="auto"/>
        </w:rPr>
      </w:pPr>
      <w:r>
        <w:rPr>
          <w:rFonts w:ascii="Arial" w:cs="Arial" w:eastAsia="Arial" w:hAnsi="Arial"/>
          <w:sz w:val="18"/>
          <w:szCs w:val="18"/>
          <w:color w:val="auto"/>
        </w:rPr>
        <w:t>co-investors, the need for additional capital beyond the amount held in our trust account to fund the initial business combination and/or the desire to obtain committed capital for closing the initial business combination. An Affiliated Joint Acquisition could involve a co-investment with us in the target business at the time of our initial business combination, or we could raise additional proceeds to complete the initial business combination.</w:t>
      </w:r>
    </w:p>
    <w:p>
      <w:pPr>
        <w:spacing w:after="0" w:line="114" w:lineRule="exact"/>
        <w:rPr>
          <w:sz w:val="20"/>
          <w:szCs w:val="20"/>
          <w:color w:val="auto"/>
        </w:rPr>
      </w:pPr>
    </w:p>
    <w:p>
      <w:pPr>
        <w:ind w:left="4300" w:right="399"/>
        <w:spacing w:after="0" w:line="255" w:lineRule="auto"/>
        <w:rPr>
          <w:sz w:val="20"/>
          <w:szCs w:val="20"/>
          <w:color w:val="auto"/>
        </w:rPr>
      </w:pPr>
      <w:r>
        <w:rPr>
          <w:rFonts w:ascii="Arial" w:cs="Arial" w:eastAsia="Arial" w:hAnsi="Arial"/>
          <w:sz w:val="18"/>
          <w:szCs w:val="18"/>
          <w:color w:val="auto"/>
        </w:rPr>
        <w:t>The potential conflicts described above may limit our ability to enter into a business combination or other transactions. These circumstances could give rise to numerous situations where interests may conflict. There can be no assurance that these or other conflicts of interest with the potential for adverse effects on the Company and investors will not arise.</w:t>
      </w:r>
    </w:p>
    <w:p>
      <w:pPr>
        <w:spacing w:after="0" w:line="18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Risks</w:t>
      </w:r>
    </w:p>
    <w:p>
      <w:pPr>
        <w:spacing w:after="0" w:line="162" w:lineRule="exact"/>
        <w:rPr>
          <w:sz w:val="20"/>
          <w:szCs w:val="20"/>
          <w:color w:val="auto"/>
        </w:rPr>
      </w:pPr>
    </w:p>
    <w:p>
      <w:pPr>
        <w:ind w:left="1280" w:right="399" w:firstLine="360"/>
        <w:spacing w:after="0" w:line="269" w:lineRule="auto"/>
        <w:rPr>
          <w:sz w:val="20"/>
          <w:szCs w:val="20"/>
          <w:color w:val="auto"/>
        </w:rPr>
      </w:pPr>
      <w:r>
        <w:rPr>
          <w:rFonts w:ascii="Arial" w:cs="Arial" w:eastAsia="Arial" w:hAnsi="Arial"/>
          <w:sz w:val="17"/>
          <w:szCs w:val="17"/>
          <w:color w:val="auto"/>
        </w:rPr>
        <w:t>We are a newly formed company that has conducted no operations and has generated no revenues. Until we complete our initial business combination, we will have no operations and will generate no operating revenues. In making your decision on whether to invest in our securities, you should take into account not only the background of our management team, but also the special risks we face as a blank check company,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our offering, please see “</w:t>
      </w:r>
      <w:r>
        <w:rPr>
          <w:rFonts w:ascii="Arial" w:cs="Arial" w:eastAsia="Arial" w:hAnsi="Arial"/>
          <w:sz w:val="17"/>
          <w:szCs w:val="17"/>
          <w:i w:val="1"/>
          <w:iCs w:val="1"/>
          <w:color w:val="auto"/>
        </w:rPr>
        <w:t>Proposed Business — Comparison to offerings of blank check</w:t>
      </w:r>
      <w:r>
        <w:rPr>
          <w:rFonts w:ascii="Arial" w:cs="Arial" w:eastAsia="Arial" w:hAnsi="Arial"/>
          <w:sz w:val="17"/>
          <w:szCs w:val="17"/>
          <w:color w:val="auto"/>
        </w:rPr>
        <w:t xml:space="preserve"> </w:t>
      </w:r>
      <w:r>
        <w:rPr>
          <w:rFonts w:ascii="Arial" w:cs="Arial" w:eastAsia="Arial" w:hAnsi="Arial"/>
          <w:sz w:val="17"/>
          <w:szCs w:val="17"/>
          <w:i w:val="1"/>
          <w:iCs w:val="1"/>
          <w:color w:val="auto"/>
        </w:rPr>
        <w:t>companies subject to Rule 419</w:t>
      </w:r>
      <w:r>
        <w:rPr>
          <w:rFonts w:ascii="Arial" w:cs="Arial" w:eastAsia="Arial" w:hAnsi="Arial"/>
          <w:sz w:val="17"/>
          <w:szCs w:val="17"/>
          <w:color w:val="auto"/>
        </w:rPr>
        <w:t>.” You should carefully consider these and the other risks set forth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28 of this prospectus.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SUMMARY FINANCIAL DATA</w:t>
      </w:r>
    </w:p>
    <w:p>
      <w:pPr>
        <w:spacing w:after="0" w:line="162" w:lineRule="exact"/>
        <w:rPr>
          <w:sz w:val="20"/>
          <w:szCs w:val="20"/>
          <w:color w:val="auto"/>
        </w:rPr>
      </w:pPr>
    </w:p>
    <w:p>
      <w:pPr>
        <w:ind w:left="1280" w:right="399" w:firstLine="360"/>
        <w:spacing w:after="0" w:line="263"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are presented.</w:t>
      </w:r>
    </w:p>
    <w:p>
      <w:pPr>
        <w:spacing w:after="0" w:line="121"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March 31, 2021</w:t>
            </w:r>
          </w:p>
        </w:tc>
      </w:tr>
      <w:tr>
        <w:trPr>
          <w:trHeight w:val="26"/>
        </w:trPr>
        <w:tc>
          <w:tcPr>
            <w:tcW w:w="6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40" w:type="dxa"/>
            <w:vAlign w:val="bottom"/>
            <w:gridSpan w:val="3"/>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98"/>
              </w:rPr>
              <w:t>Actual</w:t>
            </w:r>
          </w:p>
        </w:tc>
        <w:tc>
          <w:tcPr>
            <w:tcW w:w="1020" w:type="dxa"/>
            <w:vAlign w:val="bottom"/>
            <w:tcBorders>
              <w:top w:val="single" w:sz="8" w:color="auto"/>
            </w:tcBorders>
            <w:gridSpan w:val="2"/>
          </w:tcPr>
          <w:p>
            <w:pPr>
              <w:jc w:val="right"/>
              <w:spacing w:after="0" w:line="237" w:lineRule="exact"/>
              <w:rPr>
                <w:sz w:val="20"/>
                <w:szCs w:val="20"/>
                <w:color w:val="auto"/>
              </w:rPr>
            </w:pPr>
            <w:r>
              <w:rPr>
                <w:rFonts w:ascii="Arial" w:cs="Arial" w:eastAsia="Arial" w:hAnsi="Arial"/>
                <w:sz w:val="14"/>
                <w:szCs w:val="14"/>
                <w:b w:val="1"/>
                <w:bCs w:val="1"/>
                <w:color w:val="auto"/>
                <w:w w:val="93"/>
              </w:rPr>
              <w:t>As Adjusted</w:t>
            </w:r>
            <w:r>
              <w:rPr>
                <w:rFonts w:ascii="Arial" w:cs="Arial" w:eastAsia="Arial" w:hAnsi="Arial"/>
                <w:sz w:val="21"/>
                <w:szCs w:val="21"/>
                <w:b w:val="1"/>
                <w:bCs w:val="1"/>
                <w:color w:val="auto"/>
                <w:w w:val="93"/>
                <w:vertAlign w:val="superscript"/>
              </w:rPr>
              <w:t>(1)</w:t>
            </w:r>
          </w:p>
        </w:tc>
        <w:tc>
          <w:tcPr>
            <w:tcW w:w="20" w:type="dxa"/>
            <w:vAlign w:val="bottom"/>
          </w:tcPr>
          <w:p>
            <w:pPr>
              <w:spacing w:after="0"/>
              <w:rPr>
                <w:sz w:val="20"/>
                <w:szCs w:val="20"/>
                <w:color w:val="auto"/>
              </w:rPr>
            </w:pPr>
          </w:p>
        </w:tc>
      </w:tr>
      <w:tr>
        <w:trPr>
          <w:trHeight w:val="25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6280" w:type="dxa"/>
            <w:vAlign w:val="bottom"/>
          </w:tcPr>
          <w:p>
            <w:pPr>
              <w:spacing w:after="0"/>
              <w:rPr>
                <w:sz w:val="20"/>
                <w:szCs w:val="20"/>
                <w:color w:val="auto"/>
              </w:rPr>
            </w:pPr>
            <w:r>
              <w:rPr>
                <w:rFonts w:ascii="Arial" w:cs="Arial" w:eastAsia="Arial" w:hAnsi="Arial"/>
                <w:sz w:val="18"/>
                <w:szCs w:val="18"/>
                <w:color w:val="auto"/>
              </w:rPr>
              <w:t>Working capital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(53,118)</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99,911,000</w:t>
            </w:r>
          </w:p>
        </w:tc>
      </w:tr>
      <w:tr>
        <w:trPr>
          <w:trHeight w:val="257"/>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150,000</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102,851,000</w:t>
            </w:r>
          </w:p>
        </w:tc>
        <w:tc>
          <w:tcPr>
            <w:tcW w:w="20" w:type="dxa"/>
            <w:vAlign w:val="bottom"/>
          </w:tcPr>
          <w:p>
            <w:pPr>
              <w:spacing w:after="0"/>
              <w:rPr>
                <w:sz w:val="22"/>
                <w:szCs w:val="22"/>
                <w:color w:val="auto"/>
              </w:rPr>
            </w:pPr>
          </w:p>
        </w:tc>
      </w:tr>
      <w:tr>
        <w:trPr>
          <w:trHeight w:val="257"/>
        </w:trPr>
        <w:tc>
          <w:tcPr>
            <w:tcW w:w="628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126,000</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2,940,000</w:t>
            </w:r>
          </w:p>
        </w:tc>
      </w:tr>
      <w:tr>
        <w:trPr>
          <w:trHeight w:val="27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Value of shares of common stock subject to possible redemption/tender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94,910,990</w:t>
            </w:r>
          </w:p>
        </w:tc>
        <w:tc>
          <w:tcPr>
            <w:tcW w:w="20" w:type="dxa"/>
            <w:vAlign w:val="bottom"/>
          </w:tcPr>
          <w:p>
            <w:pPr>
              <w:spacing w:after="0"/>
              <w:rPr>
                <w:sz w:val="23"/>
                <w:szCs w:val="23"/>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24,000</w:t>
            </w: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5,000,010</w:t>
            </w:r>
          </w:p>
        </w:tc>
      </w:tr>
    </w:tbl>
    <w:p>
      <w:pPr>
        <w:spacing w:after="0" w:line="377" w:lineRule="exact"/>
        <w:rPr>
          <w:sz w:val="20"/>
          <w:szCs w:val="20"/>
          <w:color w:val="auto"/>
        </w:rPr>
      </w:pPr>
    </w:p>
    <w:p>
      <w:pPr>
        <w:ind w:left="1640" w:right="399" w:hanging="362"/>
        <w:spacing w:after="0" w:line="263" w:lineRule="auto"/>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“as adjusted” working capital and total assets amounts include the $3,902,000 we will receive from the sale of the private warrants, and the “as adjusted” total liabilities of $2,940,000 relates to the warrant liability.</w:t>
      </w:r>
    </w:p>
    <w:p>
      <w:pPr>
        <w:spacing w:after="0" w:line="11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The “as adjusted” information gives effect to the sale of the units we are offering, including the</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application of the related gross proceeds and the payment of the estimated remaining costs from such sale</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and the repayment of the accrued and other liabilities required to be repaid such that we have at least</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$5,000,001 of net tangible assets upon consummation of this offering and upon consummation of our initial</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business combination.</w:t>
      </w:r>
    </w:p>
    <w:p>
      <w:pPr>
        <w:spacing w:after="0" w:line="130" w:lineRule="exact"/>
        <w:rPr>
          <w:sz w:val="20"/>
          <w:szCs w:val="20"/>
          <w:color w:val="auto"/>
        </w:rPr>
      </w:pPr>
    </w:p>
    <w:p>
      <w:pPr>
        <w:ind w:left="1280" w:right="479" w:firstLine="360"/>
        <w:spacing w:after="0" w:line="259" w:lineRule="auto"/>
        <w:rPr>
          <w:sz w:val="20"/>
          <w:szCs w:val="20"/>
          <w:color w:val="auto"/>
        </w:rPr>
      </w:pPr>
      <w:r>
        <w:rPr>
          <w:rFonts w:ascii="Arial" w:cs="Arial" w:eastAsia="Arial" w:hAnsi="Arial"/>
          <w:sz w:val="18"/>
          <w:szCs w:val="18"/>
          <w:color w:val="auto"/>
        </w:rPr>
        <w:t>The “as adjusted” working capital and total assets amounts include the $101,500,000 (without exercise of over-allotment option) to be held in the trust account, which, except for limited situations described in this prospectus, will be available to us only upon the consummation of our initial business combination within the time period described in this prospectus.</w:t>
      </w:r>
    </w:p>
    <w:p>
      <w:pPr>
        <w:spacing w:after="0" w:line="11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will consummate our initial business combination only if we have net tangible assets of at least</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$5,000,001 either immediately prior to or upon such consummation and a majority of the outstanding shares</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of common stock voted are voted in favor of the business combination (if a vote is required or being</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obtained).</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CAUTIONARY NOTE REGARDING FORWARD-LOOKING STATEMENTS AND RISK FACTOR</w:t>
      </w:r>
    </w:p>
    <w:p>
      <w:pPr>
        <w:spacing w:after="0" w:line="27"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SUMMARY</w:t>
      </w:r>
    </w:p>
    <w:p>
      <w:pPr>
        <w:spacing w:after="0" w:line="143" w:lineRule="exact"/>
        <w:rPr>
          <w:sz w:val="20"/>
          <w:szCs w:val="20"/>
          <w:color w:val="auto"/>
        </w:rPr>
      </w:pPr>
    </w:p>
    <w:p>
      <w:pPr>
        <w:ind w:left="1280" w:right="399" w:firstLine="360"/>
        <w:spacing w:after="0" w:line="253" w:lineRule="auto"/>
        <w:rPr>
          <w:sz w:val="20"/>
          <w:szCs w:val="20"/>
          <w:color w:val="auto"/>
        </w:rPr>
      </w:pPr>
      <w:r>
        <w:rPr>
          <w:rFonts w:ascii="Arial" w:cs="Arial" w:eastAsia="Arial" w:hAnsi="Arial"/>
          <w:sz w:val="18"/>
          <w:szCs w:val="18"/>
          <w:color w:val="auto"/>
        </w:rPr>
        <w:t>Some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These risks and uncertainties include, but are not limited to the following risks, uncertainties and other factors:</w:t>
      </w:r>
    </w:p>
    <w:p>
      <w:pPr>
        <w:spacing w:after="0" w:line="86" w:lineRule="exact"/>
        <w:rPr>
          <w:sz w:val="20"/>
          <w:szCs w:val="20"/>
          <w:color w:val="auto"/>
        </w:rPr>
      </w:pPr>
    </w:p>
    <w:p>
      <w:pPr>
        <w:ind w:left="1820" w:hanging="182"/>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117" w:lineRule="exact"/>
        <w:rPr>
          <w:rFonts w:ascii="Arial" w:cs="Arial" w:eastAsia="Arial" w:hAnsi="Arial"/>
          <w:sz w:val="18"/>
          <w:szCs w:val="18"/>
          <w:color w:val="auto"/>
        </w:rPr>
      </w:pPr>
    </w:p>
    <w:p>
      <w:pPr>
        <w:ind w:left="1820" w:right="599" w:hanging="182"/>
        <w:spacing w:after="0" w:line="277"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even if an appropriate target business is selected;</w:t>
      </w:r>
    </w:p>
    <w:p>
      <w:pPr>
        <w:spacing w:after="0" w:line="62" w:lineRule="exact"/>
        <w:rPr>
          <w:rFonts w:ascii="Arial" w:cs="Arial" w:eastAsia="Arial" w:hAnsi="Arial"/>
          <w:sz w:val="18"/>
          <w:szCs w:val="18"/>
          <w:color w:val="auto"/>
        </w:rPr>
      </w:pPr>
    </w:p>
    <w:p>
      <w:pPr>
        <w:ind w:left="1820" w:right="399" w:hanging="182"/>
        <w:spacing w:after="0" w:line="277"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62" w:lineRule="exact"/>
        <w:rPr>
          <w:rFonts w:ascii="Arial" w:cs="Arial" w:eastAsia="Arial" w:hAnsi="Arial"/>
          <w:sz w:val="18"/>
          <w:szCs w:val="18"/>
          <w:color w:val="auto"/>
        </w:rPr>
      </w:pPr>
    </w:p>
    <w:p>
      <w:pPr>
        <w:jc w:val="both"/>
        <w:ind w:left="1820" w:right="459" w:hanging="182"/>
        <w:spacing w:after="0" w:line="263"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75" w:lineRule="exact"/>
        <w:rPr>
          <w:rFonts w:ascii="Arial" w:cs="Arial" w:eastAsia="Arial" w:hAnsi="Arial"/>
          <w:sz w:val="18"/>
          <w:szCs w:val="18"/>
          <w:color w:val="auto"/>
        </w:rPr>
      </w:pPr>
    </w:p>
    <w:p>
      <w:pPr>
        <w:ind w:left="1820" w:hanging="182"/>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pool of prospective target businesses in the disruptive technology sectors;</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acquiring an operating company in the disruptive technology sectors;</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ability of our officers and directors to generate a number of potential investment opportunities;</w:t>
      </w:r>
    </w:p>
    <w:p>
      <w:pPr>
        <w:spacing w:after="0" w:line="128" w:lineRule="exact"/>
        <w:rPr>
          <w:rFonts w:ascii="Arial" w:cs="Arial" w:eastAsia="Arial" w:hAnsi="Arial"/>
          <w:sz w:val="17"/>
          <w:szCs w:val="17"/>
          <w:color w:val="auto"/>
        </w:rPr>
      </w:pPr>
    </w:p>
    <w:p>
      <w:pPr>
        <w:ind w:left="1820" w:right="479" w:hanging="182"/>
        <w:spacing w:after="0" w:line="277"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delisting of our securities from the Nasdaq or an inability to have our securities listed on Nasdaq following a business combination;</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17" w:lineRule="exact"/>
        <w:rPr>
          <w:rFonts w:ascii="Arial" w:cs="Arial" w:eastAsia="Arial" w:hAnsi="Arial"/>
          <w:sz w:val="18"/>
          <w:szCs w:val="18"/>
          <w:color w:val="auto"/>
        </w:rPr>
      </w:pPr>
    </w:p>
    <w:p>
      <w:pPr>
        <w:ind w:left="1820" w:right="579" w:hanging="182"/>
        <w:spacing w:after="0" w:line="277" w:lineRule="auto"/>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62" w:lineRule="exact"/>
        <w:rPr>
          <w:rFonts w:ascii="Arial" w:cs="Arial" w:eastAsia="Arial" w:hAnsi="Arial"/>
          <w:sz w:val="18"/>
          <w:szCs w:val="18"/>
          <w:color w:val="auto"/>
        </w:rPr>
      </w:pPr>
    </w:p>
    <w:p>
      <w:pPr>
        <w:ind w:left="1820" w:hanging="182"/>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 account being subject to the claims of third parties; or</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58" w:lineRule="exact"/>
        <w:rPr>
          <w:sz w:val="20"/>
          <w:szCs w:val="20"/>
          <w:color w:val="auto"/>
        </w:rPr>
      </w:pPr>
    </w:p>
    <w:p>
      <w:pPr>
        <w:ind w:left="1280" w:right="439" w:firstLine="360"/>
        <w:spacing w:after="0" w:line="269"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28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18" w:lineRule="exact"/>
        <w:rPr>
          <w:sz w:val="20"/>
          <w:szCs w:val="20"/>
          <w:color w:val="auto"/>
        </w:rPr>
      </w:pPr>
    </w:p>
    <w:p>
      <w:pPr>
        <w:ind w:left="1620" w:right="539" w:hanging="360"/>
        <w:spacing w:after="0" w:line="282" w:lineRule="auto"/>
        <w:tabs>
          <w:tab w:leader="none" w:pos="16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our Search for, Consummation of, or Inability to Consummate, a Business Combination and Post-Business Combination Risks</w:t>
      </w:r>
    </w:p>
    <w:p>
      <w:pPr>
        <w:spacing w:after="0" w:line="166" w:lineRule="exact"/>
        <w:rPr>
          <w:sz w:val="20"/>
          <w:szCs w:val="20"/>
          <w:color w:val="auto"/>
        </w:rPr>
      </w:pPr>
    </w:p>
    <w:p>
      <w:pPr>
        <w:jc w:val="both"/>
        <w:ind w:left="1260" w:right="559"/>
        <w:spacing w:after="0" w:line="248" w:lineRule="auto"/>
        <w:rPr>
          <w:sz w:val="20"/>
          <w:szCs w:val="20"/>
          <w:color w:val="auto"/>
        </w:rPr>
      </w:pPr>
      <w:r>
        <w:rPr>
          <w:rFonts w:ascii="Arial" w:cs="Arial" w:eastAsia="Arial" w:hAnsi="Arial"/>
          <w:sz w:val="18"/>
          <w:szCs w:val="18"/>
          <w:b w:val="1"/>
          <w:bCs w:val="1"/>
          <w:i w:val="1"/>
          <w:iCs w:val="1"/>
          <w:color w:val="auto"/>
        </w:rPr>
        <w:t>Our public stockholders may not be afforded an opportunity to vote on our proposed initial business combination, which means we may complete our initial business combination even though a majority of our public stockholders do not support such a combination.</w:t>
      </w:r>
    </w:p>
    <w:p>
      <w:pPr>
        <w:spacing w:after="0" w:line="101"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We may choose not to hold a stockholder vote to approve our initial business combination unless the initial business combination would require stockholder approval under applicable law or stock exchange listing requirements or if we decide to hold a stockholder vote for business or other legal reasons. Except as required by law, the decision as to whether we will seek stockholder approval of a proposed initial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complete our initial business combination even if holders of a majority of our public shares do not approve of the initial business combination we complete. Please see the section of this prospectus entitled “Proposed Business — Stockholders May Not Have the Ability to Approve Our Initial Business Combination” for additional information.</w:t>
      </w:r>
    </w:p>
    <w:p>
      <w:pPr>
        <w:spacing w:after="0" w:line="183" w:lineRule="exact"/>
        <w:rPr>
          <w:sz w:val="20"/>
          <w:szCs w:val="20"/>
          <w:color w:val="auto"/>
        </w:rPr>
      </w:pPr>
    </w:p>
    <w:p>
      <w:pPr>
        <w:ind w:left="1260" w:right="479"/>
        <w:spacing w:after="0" w:line="362" w:lineRule="auto"/>
        <w:rPr>
          <w:sz w:val="20"/>
          <w:szCs w:val="20"/>
          <w:color w:val="auto"/>
        </w:rPr>
      </w:pPr>
      <w:r>
        <w:rPr>
          <w:rFonts w:ascii="Arial" w:cs="Arial" w:eastAsia="Arial" w:hAnsi="Arial"/>
          <w:sz w:val="15"/>
          <w:szCs w:val="15"/>
          <w:b w:val="1"/>
          <w:bCs w:val="1"/>
          <w:i w:val="1"/>
          <w:iCs w:val="1"/>
          <w:color w:val="auto"/>
        </w:rPr>
        <w:t>If we seek stockholder approval of our initial business combination, our sponsor, officers and directors have agreed to vote in favor of such initial business combination, regardless of how our public stockholders vote.</w:t>
      </w:r>
    </w:p>
    <w:p>
      <w:pPr>
        <w:spacing w:after="0" w:line="33"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Pursuant to the letter agreement, our sponsor, officers and directors have agreed to vote their founder shares and any public shares purchased during or after this offering (including in open market and privately negotiated transactions), in favor of our initial business combination. As a result, in addition to our initial stockholders’ founder shares, we would need only 3,750,001, or 37.5%, of the 10,000,000 public shares sold in this offering to be voted in favor of an initial business combination (assuming all outstanding shares are voted) in order to have our initial business combination approved (assuming the over-allotment option is not exercised). Our initial stockholders and their permitted transferees will own shares representing 20% of our outstanding shares of common stock immediately following the completion of this offering. Accordingly, if we seek stockholder approval of our initial business combination, the agreement by our initial stockholders to vote in favor of our initial business combination will increase the likelihood that we will receive the requisite stockholder approval for such initial business combination. In addition, we have agreed not to enter into a definitive agreement regarding an initial business combination without the prior consent of our sponsor.</w:t>
      </w:r>
    </w:p>
    <w:p>
      <w:pPr>
        <w:spacing w:after="0" w:line="191" w:lineRule="exact"/>
        <w:rPr>
          <w:sz w:val="20"/>
          <w:szCs w:val="20"/>
          <w:color w:val="auto"/>
        </w:rPr>
      </w:pPr>
    </w:p>
    <w:p>
      <w:pPr>
        <w:jc w:val="both"/>
        <w:ind w:left="1260" w:right="479"/>
        <w:spacing w:after="0" w:line="248"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114" w:lineRule="exact"/>
        <w:rPr>
          <w:sz w:val="20"/>
          <w:szCs w:val="20"/>
          <w:color w:val="auto"/>
        </w:rPr>
      </w:pPr>
    </w:p>
    <w:p>
      <w:pPr>
        <w:ind w:left="1260" w:right="699" w:firstLine="360"/>
        <w:spacing w:after="0" w:line="262" w:lineRule="auto"/>
        <w:rPr>
          <w:sz w:val="20"/>
          <w:szCs w:val="20"/>
          <w:color w:val="auto"/>
        </w:rPr>
      </w:pPr>
      <w:r>
        <w:rPr>
          <w:rFonts w:ascii="Arial" w:cs="Arial" w:eastAsia="Arial" w:hAnsi="Arial"/>
          <w:sz w:val="17"/>
          <w:szCs w:val="17"/>
          <w:color w:val="auto"/>
        </w:rPr>
        <w:t>At the time of your investment in us, you will not be provided with an opportunity to evaluate the specific merits or risks of our initial business combination. Since our board of directors may complete an initial business combination without seeking stockholder approval, public stockholders may not have the right or opportunity to vote on the initial business combination, unless we seek such stockholder vote.</w:t>
      </w:r>
    </w:p>
    <w:p>
      <w:pPr>
        <w:spacing w:after="0" w:line="91" w:lineRule="exact"/>
        <w:rPr>
          <w:sz w:val="20"/>
          <w:szCs w:val="20"/>
          <w:color w:val="auto"/>
        </w:rPr>
      </w:pPr>
    </w:p>
    <w:p>
      <w:pPr>
        <w:jc w:val="both"/>
        <w:ind w:left="1260" w:right="679" w:firstLine="360"/>
        <w:spacing w:after="0" w:line="262" w:lineRule="auto"/>
        <w:rPr>
          <w:sz w:val="20"/>
          <w:szCs w:val="20"/>
          <w:color w:val="auto"/>
        </w:rPr>
      </w:pPr>
      <w:r>
        <w:rPr>
          <w:rFonts w:ascii="Arial" w:cs="Arial" w:eastAsia="Arial" w:hAnsi="Arial"/>
          <w:sz w:val="17"/>
          <w:szCs w:val="17"/>
          <w:color w:val="auto"/>
        </w:rPr>
        <w:t>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3" w:lineRule="auto"/>
        <w:rPr>
          <w:sz w:val="20"/>
          <w:szCs w:val="20"/>
          <w:color w:val="auto"/>
        </w:rPr>
      </w:pPr>
      <w:r>
        <w:rPr>
          <w:rFonts w:ascii="Arial" w:cs="Arial" w:eastAsia="Arial" w:hAnsi="Arial"/>
          <w:sz w:val="18"/>
          <w:szCs w:val="18"/>
          <w:b w:val="1"/>
          <w:bCs w:val="1"/>
          <w:i w:val="1"/>
          <w:iCs w:val="1"/>
          <w:color w:val="auto"/>
        </w:rPr>
        <w:t>The ability of our public stockholders to redeem their shares for cash may make our financial condition unattractive to potential business combination targets, which may make it difficult for us to enter into an initial business combination with a target.</w:t>
      </w:r>
    </w:p>
    <w:p>
      <w:pPr>
        <w:spacing w:after="0" w:line="103"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We may seek to enter into an initial business combination agreement with a prospective target that requires as a closing condition that we have a minimum net worth or a certain amount of cash. While we will have access to the proceeds from the $3,902,000 (or up to $4,127,000 depending on the extent to which the underwriters’ over-allotment option is exercised) private placement from our sponsor, if too many public stockholders exercise their redemption rights, we would not be able to meet such closing condition and, as a result, would not be able to proceed with the initial business combination. If too many public stockholders exercise their redemption rights, we would not be able to meet such closing condition and, as a result, would not be able to proceed with the initial business combination. Furthermore,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an initial business combination with us. The ability of a large number of our stockholders to exercise redemption rights may not allow us to consummate the most desirable business combination or optimize our capital structure.</w:t>
      </w:r>
    </w:p>
    <w:p>
      <w:pPr>
        <w:spacing w:after="0" w:line="188" w:lineRule="exact"/>
        <w:rPr>
          <w:sz w:val="20"/>
          <w:szCs w:val="20"/>
          <w:color w:val="auto"/>
        </w:rPr>
      </w:pPr>
    </w:p>
    <w:p>
      <w:pPr>
        <w:ind w:left="1260" w:right="739"/>
        <w:spacing w:after="0" w:line="465" w:lineRule="auto"/>
        <w:rPr>
          <w:sz w:val="20"/>
          <w:szCs w:val="20"/>
          <w:color w:val="auto"/>
        </w:rPr>
      </w:pPr>
      <w:r>
        <w:rPr>
          <w:rFonts w:ascii="Arial" w:cs="Arial" w:eastAsia="Arial" w:hAnsi="Arial"/>
          <w:sz w:val="13"/>
          <w:szCs w:val="13"/>
          <w:b w:val="1"/>
          <w:bCs w:val="1"/>
          <w:i w:val="1"/>
          <w:i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stockholders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is submitted for redemption than we initially expected, we may need to restructure the transaction to reserve a greater portion of the cash in the trust account or arrange for third party financing. 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w:t>
      </w:r>
    </w:p>
    <w:p>
      <w:pPr>
        <w:spacing w:after="0" w:line="182" w:lineRule="exact"/>
        <w:rPr>
          <w:sz w:val="20"/>
          <w:szCs w:val="20"/>
          <w:color w:val="auto"/>
        </w:rPr>
      </w:pPr>
    </w:p>
    <w:p>
      <w:pPr>
        <w:ind w:left="1260" w:right="479"/>
        <w:spacing w:after="0" w:line="286" w:lineRule="auto"/>
        <w:rPr>
          <w:sz w:val="20"/>
          <w:szCs w:val="20"/>
          <w:color w:val="auto"/>
        </w:rPr>
      </w:pPr>
      <w:r>
        <w:rPr>
          <w:rFonts w:ascii="Arial" w:cs="Arial" w:eastAsia="Arial" w:hAnsi="Arial"/>
          <w:sz w:val="17"/>
          <w:szCs w:val="17"/>
          <w:b w:val="1"/>
          <w:bCs w:val="1"/>
          <w:i w:val="1"/>
          <w:i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9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9" w:lineRule="auto"/>
        <w:rPr>
          <w:sz w:val="20"/>
          <w:szCs w:val="20"/>
          <w:color w:val="auto"/>
        </w:rPr>
      </w:pPr>
      <w:r>
        <w:rPr>
          <w:rFonts w:ascii="Arial" w:cs="Arial" w:eastAsia="Arial" w:hAnsi="Arial"/>
          <w:sz w:val="16"/>
          <w:szCs w:val="16"/>
          <w:b w:val="1"/>
          <w:bCs w:val="1"/>
          <w:i w:val="1"/>
          <w:iCs w:val="1"/>
          <w:color w:val="auto"/>
        </w:rPr>
        <w:t>The requirement that we complete our initial business combination within the prescribed time frame may give potential target businesses leverage over us in negotiating an initial business combination and may decrease our ability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7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Any potential target business with which we enter into negotiations concerning an initial business combination will be aware that we must complete our initial business combination within 12 months (or up to 18 months, as applicable) from the closing of this offering. Consequently, such target business may obtain leverage over us in negotiating an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91" w:lineRule="exact"/>
        <w:rPr>
          <w:sz w:val="20"/>
          <w:szCs w:val="20"/>
          <w:color w:val="auto"/>
        </w:rPr>
      </w:pPr>
    </w:p>
    <w:p>
      <w:pPr>
        <w:ind w:left="1260" w:right="459"/>
        <w:spacing w:after="0" w:line="284" w:lineRule="auto"/>
        <w:rPr>
          <w:sz w:val="20"/>
          <w:szCs w:val="20"/>
          <w:color w:val="auto"/>
        </w:rPr>
      </w:pPr>
      <w:r>
        <w:rPr>
          <w:rFonts w:ascii="Arial" w:cs="Arial" w:eastAsia="Arial" w:hAnsi="Arial"/>
          <w:sz w:val="16"/>
          <w:szCs w:val="16"/>
          <w:b w:val="1"/>
          <w:bCs w:val="1"/>
          <w:i w:val="1"/>
          <w:i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stockholders may only receive $10.15 per share, or less than such amount in certain circumstances, and our warrants will expire worthless.</w:t>
      </w:r>
    </w:p>
    <w:p>
      <w:pPr>
        <w:spacing w:after="0" w:line="88" w:lineRule="exact"/>
        <w:rPr>
          <w:sz w:val="20"/>
          <w:szCs w:val="20"/>
          <w:color w:val="auto"/>
        </w:rPr>
      </w:pPr>
    </w:p>
    <w:p>
      <w:pPr>
        <w:ind w:left="1260" w:right="419" w:firstLine="360"/>
        <w:spacing w:after="0" w:line="249" w:lineRule="auto"/>
        <w:rPr>
          <w:sz w:val="20"/>
          <w:szCs w:val="20"/>
          <w:color w:val="auto"/>
        </w:rPr>
      </w:pPr>
      <w:r>
        <w:rPr>
          <w:rFonts w:ascii="Arial" w:cs="Arial" w:eastAsia="Arial" w:hAnsi="Arial"/>
          <w:sz w:val="17"/>
          <w:szCs w:val="17"/>
          <w:color w:val="auto"/>
        </w:rPr>
        <w:t>Our sponsor, officers and directors have agreed that we must complete our initial business combination within 12 months from the closing of this offering to consummate an initial business combination. In addition, if we anticipate that we may not be able to consummate our initial business combination within 12 months, our insiders or their affiliates may, but are not obligated to, extend the period of time to consummate a business combination up to two times by an additional three months each time (for a total of up to 18 months to complete a business combination), as described in more detail in this prospectus.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 For example, the outbreak of COVID-19 continues to grow both in the United States and globally and, while the extent of the impact of the outbreak on us will depend on future developments, it could limit our ability to complete our initial business combination, including as a result of increased market volatility, decreased market liquidity and third -party financing being unavailable on terms acceptable to us or at all. Additionally, the continued outbreak of COVID -19 may negatively impact businesses we may seek to acquire. If we have not completed our initial business combination within such 12-month (or up to 18-month) period, we will:</w:t>
      </w:r>
    </w:p>
    <w:p>
      <w:pPr>
        <w:spacing w:after="0" w:line="11" w:lineRule="exact"/>
        <w:rPr>
          <w:sz w:val="20"/>
          <w:szCs w:val="20"/>
          <w:color w:val="auto"/>
        </w:rPr>
      </w:pPr>
    </w:p>
    <w:p>
      <w:pPr>
        <w:ind w:left="1260" w:right="419"/>
        <w:spacing w:after="0" w:line="250" w:lineRule="auto"/>
        <w:tabs>
          <w:tab w:leader="none" w:pos="1489" w:val="left"/>
        </w:tabs>
        <w:numPr>
          <w:ilvl w:val="0"/>
          <w:numId w:val="16"/>
        </w:numPr>
        <w:rPr>
          <w:rFonts w:ascii="Arial" w:cs="Arial" w:eastAsia="Arial" w:hAnsi="Arial"/>
          <w:sz w:val="17"/>
          <w:szCs w:val="17"/>
          <w:color w:val="auto"/>
        </w:rPr>
      </w:pPr>
      <w:r>
        <w:rPr>
          <w:rFonts w:ascii="Arial" w:cs="Arial" w:eastAsia="Arial" w:hAnsi="Arial"/>
          <w:sz w:val="17"/>
          <w:szCs w:val="17"/>
          <w:color w:val="auto"/>
        </w:rPr>
        <w:t>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in which case, our public stockholders may only receive $10.15 per share, or less than such amount in certain circumstances, and our warrants will expire worthless. See “— If third parties bring claims against us, the proceeds held in the trust account could be reduced and the per-share redemption amount received by stockholders may be less than $10.15 per share” and other risk factors herein.</w:t>
      </w:r>
    </w:p>
    <w:p>
      <w:pPr>
        <w:spacing w:after="0" w:line="184"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b w:val="1"/>
          <w:bCs w:val="1"/>
          <w:i w:val="1"/>
          <w:i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14"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In March 2020, the World Health Organization declared novel coronavirus disease 2019 (COVID-19) a global pandemic. The COVID -19 pandemic has negatively impacted the global economy, disrupted global supply chains, lowered equity market valuations, created significant volatility and disruption in financial</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72" w:lineRule="auto"/>
        <w:rPr>
          <w:sz w:val="20"/>
          <w:szCs w:val="20"/>
          <w:color w:val="auto"/>
        </w:rPr>
      </w:pPr>
      <w:r>
        <w:rPr>
          <w:rFonts w:ascii="Arial" w:cs="Arial" w:eastAsia="Arial" w:hAnsi="Arial"/>
          <w:sz w:val="17"/>
          <w:szCs w:val="17"/>
          <w:color w:val="auto"/>
        </w:rPr>
        <w:t>markets, and increased unemployment levels, all of which may become heightened concerns upon a second wave of infection or future developments. In addition, the pandemic has resulted in temporary closures of many businesses and the institution of social distancing and sheltering in place requirements in many states and communities. The COVID-19 pandemic has and a significant outbreak of other infectious diseases could result in a widespread health crisis that could adversely affect the economies and financial markets worldwide, and the business of any potential partner business with which we consummate a business combination could be materially and adversely affected.</w:t>
      </w:r>
    </w:p>
    <w:p>
      <w:pPr>
        <w:spacing w:after="0" w:line="96"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Furthermore, we may be unable to complete a business combination if concerns relating to COVID-19 continue to restrict travel, limit the ability to have meetings with potential investors or the partner business’s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partner business with which we ultimately consummate a business combination, may be materially adversely affected.</w:t>
      </w:r>
    </w:p>
    <w:p>
      <w:pPr>
        <w:spacing w:after="0" w:line="127"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spacing w:after="0" w:line="187" w:lineRule="exact"/>
        <w:rPr>
          <w:sz w:val="20"/>
          <w:szCs w:val="20"/>
          <w:color w:val="auto"/>
        </w:rPr>
      </w:pPr>
    </w:p>
    <w:p>
      <w:pPr>
        <w:jc w:val="both"/>
        <w:ind w:left="1260" w:right="419"/>
        <w:spacing w:after="0" w:line="411" w:lineRule="auto"/>
        <w:rPr>
          <w:sz w:val="20"/>
          <w:szCs w:val="20"/>
          <w:color w:val="auto"/>
        </w:rPr>
      </w:pPr>
      <w:r>
        <w:rPr>
          <w:rFonts w:ascii="Arial" w:cs="Arial" w:eastAsia="Arial" w:hAnsi="Arial"/>
          <w:sz w:val="13"/>
          <w:szCs w:val="13"/>
          <w:b w:val="1"/>
          <w:bCs w:val="1"/>
          <w:i w:val="1"/>
          <w:iCs w:val="1"/>
          <w:color w:val="auto"/>
        </w:rPr>
        <w:t>If we seek stockholder approval of our initial business combination, our sponsor, directors, officers, advisors or any of their respective affiliates may elect to purchase shares or warrants from public stockholders, which may influence a vote on a proposed initial business combination and reduce the public “float” of our common stock or warrants.</w:t>
      </w:r>
    </w:p>
    <w:p>
      <w:pPr>
        <w:spacing w:after="0" w:line="2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purchase shares or public warrants or a combination thereof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111"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Such a purchase may include a contractual acknowledgement that such stockholder, although still the record holder of our shares is no longer the beneficial owner thereof and therefore agrees not to exercise its redemption rights. In the event that our sponsor, directors, officers, advisors or any of their respective affiliates purchase shares in privately negotiated transactions from public stockholders who have already elected to exercise their redemption rights, such selling stockholders would be required to revoke their prior elections to redeem their shares. The price per share paid in any such transaction may be different than the amount per share a public stockholder would receive if it elected to redeem its shares in connection with our initial business combination. The purpose of such purchases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w:t>
      </w: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99" w:firstLine="360"/>
        <w:spacing w:after="0" w:line="248" w:lineRule="auto"/>
        <w:rPr>
          <w:sz w:val="20"/>
          <w:szCs w:val="20"/>
          <w:color w:val="auto"/>
        </w:rPr>
      </w:pPr>
      <w:r>
        <w:rPr>
          <w:rFonts w:ascii="Arial" w:cs="Arial" w:eastAsia="Arial" w:hAnsi="Arial"/>
          <w:sz w:val="18"/>
          <w:szCs w:val="18"/>
          <w:color w:val="auto"/>
        </w:rPr>
        <w:t>In addition, if such purchases are made, the public “float” of our common stock or public warrants and the number of beneficial holders of our securities may be reduced, possibly making it difficult to obtain or maintain the quotation, listing or trading of our securities on a national securities exchange.</w:t>
      </w:r>
    </w:p>
    <w:p>
      <w:pPr>
        <w:spacing w:after="0" w:line="182" w:lineRule="exact"/>
        <w:rPr>
          <w:sz w:val="20"/>
          <w:szCs w:val="20"/>
          <w:color w:val="auto"/>
        </w:rPr>
      </w:pPr>
    </w:p>
    <w:p>
      <w:pPr>
        <w:jc w:val="both"/>
        <w:ind w:left="1260" w:right="939"/>
        <w:spacing w:after="0" w:line="248"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01" w:lineRule="exact"/>
        <w:rPr>
          <w:sz w:val="20"/>
          <w:szCs w:val="20"/>
          <w:color w:val="auto"/>
        </w:rPr>
      </w:pPr>
    </w:p>
    <w:p>
      <w:pPr>
        <w:ind w:left="1260" w:right="499" w:firstLine="360"/>
        <w:spacing w:after="0" w:line="236" w:lineRule="auto"/>
        <w:rPr>
          <w:sz w:val="20"/>
          <w:szCs w:val="20"/>
          <w:color w:val="auto"/>
        </w:rPr>
      </w:pPr>
      <w:r>
        <w:rPr>
          <w:rFonts w:ascii="Arial" w:cs="Arial" w:eastAsia="Arial" w:hAnsi="Arial"/>
          <w:sz w:val="18"/>
          <w:szCs w:val="18"/>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or any other procedures, its shares may not be redeemed. See the section of this prospectus entitled “Proposed Business — Redemption Rights for Public Stockholders upon Completion of our Initial Business Combination — Redemption/Tender Rights.”</w:t>
      </w:r>
    </w:p>
    <w:p>
      <w:pPr>
        <w:spacing w:after="0" w:line="200"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14"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Our public stockholders will be entitled to receive funds from the trust account only upon the earliest to occur of: (i) our completion of an initial business combination, and then only in connection with those shares of common stock that such stockholder properly elected to redeem, subject to the limitations described herein,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12 months (or up to 18 months, as applicable) from the closing of this offering or (B) with respect to any other provision relating to stockholders’ rights or pre-initial business combination activity and (iii) the redemption of our public shares if we are unable to complete an initial business combination within</w:t>
      </w:r>
    </w:p>
    <w:p>
      <w:pPr>
        <w:spacing w:after="0" w:line="5" w:lineRule="exact"/>
        <w:rPr>
          <w:sz w:val="20"/>
          <w:szCs w:val="20"/>
          <w:color w:val="auto"/>
        </w:rPr>
      </w:pPr>
    </w:p>
    <w:p>
      <w:pPr>
        <w:ind w:left="1260" w:right="479"/>
        <w:spacing w:after="0" w:line="237" w:lineRule="auto"/>
        <w:rPr>
          <w:sz w:val="20"/>
          <w:szCs w:val="20"/>
          <w:color w:val="auto"/>
        </w:rPr>
      </w:pPr>
      <w:r>
        <w:rPr>
          <w:rFonts w:ascii="Arial" w:cs="Arial" w:eastAsia="Arial" w:hAnsi="Arial"/>
          <w:sz w:val="18"/>
          <w:szCs w:val="18"/>
          <w:color w:val="auto"/>
        </w:rPr>
        <w:t>12 months (or up to 18 months, as applicable) from the closing of this offering, subject to applicable law and as further described herein.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You will not be entitled to protections normally afforded to investors of many other blank check companies.</w:t>
      </w:r>
    </w:p>
    <w:p>
      <w:pPr>
        <w:spacing w:after="0" w:line="181" w:lineRule="exact"/>
        <w:rPr>
          <w:sz w:val="20"/>
          <w:szCs w:val="20"/>
          <w:color w:val="auto"/>
        </w:rPr>
      </w:pPr>
    </w:p>
    <w:p>
      <w:pPr>
        <w:ind w:left="1260" w:right="519" w:firstLine="360"/>
        <w:spacing w:after="0" w:line="237" w:lineRule="auto"/>
        <w:rPr>
          <w:sz w:val="20"/>
          <w:szCs w:val="20"/>
          <w:color w:val="auto"/>
        </w:rPr>
      </w:pPr>
      <w:r>
        <w:rPr>
          <w:rFonts w:ascii="Arial" w:cs="Arial" w:eastAsia="Arial" w:hAnsi="Arial"/>
          <w:sz w:val="18"/>
          <w:szCs w:val="18"/>
          <w:color w:val="auto"/>
        </w:rPr>
        <w:t>Since the net proceeds of this offering and the sale of the private warrants are intended to be used to complete an initial business combination with a target business that has not been identified, we may be deemed to be a “blank check” company under the United States securities laws. However, because we will have net tangible assets in excess of $5,000,000 either immediately prior to or upon the successful completion of this offering and the sale of the private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48" w:lineRule="auto"/>
        <w:rPr>
          <w:sz w:val="20"/>
          <w:szCs w:val="20"/>
          <w:color w:val="auto"/>
        </w:rPr>
      </w:pPr>
      <w:r>
        <w:rPr>
          <w:rFonts w:ascii="Arial" w:cs="Arial" w:eastAsia="Arial" w:hAnsi="Arial"/>
          <w:sz w:val="18"/>
          <w:szCs w:val="18"/>
          <w:color w:val="auto"/>
        </w:rPr>
        <w:t>detailed comparison of our offering to offerings that comply with Rule 419, please see the section of this prospectus entitled “Proposed Business — Comparison to Offerings of Blank Check Companies Subject to Rule 419.”</w:t>
      </w:r>
    </w:p>
    <w:p>
      <w:pPr>
        <w:spacing w:after="0" w:line="182" w:lineRule="exact"/>
        <w:rPr>
          <w:sz w:val="20"/>
          <w:szCs w:val="20"/>
          <w:color w:val="auto"/>
        </w:rPr>
      </w:pPr>
    </w:p>
    <w:p>
      <w:pPr>
        <w:ind w:left="1260" w:right="539"/>
        <w:spacing w:after="0" w:line="368" w:lineRule="auto"/>
        <w:rPr>
          <w:sz w:val="20"/>
          <w:szCs w:val="20"/>
          <w:color w:val="auto"/>
        </w:rPr>
      </w:pPr>
      <w:r>
        <w:rPr>
          <w:rFonts w:ascii="Arial" w:cs="Arial" w:eastAsia="Arial" w:hAnsi="Arial"/>
          <w:sz w:val="13"/>
          <w:szCs w:val="13"/>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approximately $10.15 per share on our redemption of our public shares, or less than such amount in certain circumstances, and our warrants will expire worthless.</w:t>
      </w:r>
    </w:p>
    <w:p>
      <w:pPr>
        <w:spacing w:after="0" w:line="28"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competing for the types of businesses we intend to acquire, including affiliates of our sponsor.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because we are obligated to pay cash for the shares of common stock which our public stockholders redeem in connection with our initial business combination, target companies will be aware that this may reduce the resources available to us for our initial business combination. This may place us at a competitive disadvantage in successfully negotiating an initial business combination. If we are unable to complete our initial business combination, our public stockholders may receive only approximately $10.15 per share, or less in certain circumstances, on the liquidation of our trust account and our warrants will expire worthless. In certain circumstances, our public stockholders may receive less than $10.15 per share upon our liquidation. See “— If third parties bring claims against us, the proceeds held in the trust account could be reduced and the per-share redemption amount received by stockholders may be less than $10.15 per share” and other risk factors below.</w:t>
      </w:r>
    </w:p>
    <w:p>
      <w:pPr>
        <w:spacing w:after="0" w:line="193" w:lineRule="exact"/>
        <w:rPr>
          <w:sz w:val="20"/>
          <w:szCs w:val="20"/>
          <w:color w:val="auto"/>
        </w:rPr>
      </w:pPr>
    </w:p>
    <w:p>
      <w:pPr>
        <w:jc w:val="both"/>
        <w:ind w:left="1260" w:right="519"/>
        <w:spacing w:after="0" w:line="279" w:lineRule="auto"/>
        <w:rPr>
          <w:sz w:val="20"/>
          <w:szCs w:val="20"/>
          <w:color w:val="auto"/>
        </w:rPr>
      </w:pPr>
      <w:r>
        <w:rPr>
          <w:rFonts w:ascii="Arial" w:cs="Arial" w:eastAsia="Arial" w:hAnsi="Arial"/>
          <w:sz w:val="16"/>
          <w:szCs w:val="16"/>
          <w:b w:val="1"/>
          <w:bCs w:val="1"/>
          <w:i w:val="1"/>
          <w:iCs w:val="1"/>
          <w:color w:val="auto"/>
        </w:rPr>
        <w:t>If the net proceeds of this offering, the sale of the private warrants not being held in the trust account and the loan committed by our sponsor for working capital are insufficient to allow us to operate for at least the next 12 months (or up to 18 months, as applicable), we may be unable to complete our initial business combination, in which case our public stockholders may only receive $10.15 per share, or less than such amount in certain circumstances, and our warrants will expire worthless.</w:t>
      </w:r>
    </w:p>
    <w:p>
      <w:pPr>
        <w:spacing w:after="0" w:line="92" w:lineRule="exact"/>
        <w:rPr>
          <w:sz w:val="20"/>
          <w:szCs w:val="20"/>
          <w:color w:val="auto"/>
        </w:rPr>
      </w:pPr>
    </w:p>
    <w:p>
      <w:pPr>
        <w:ind w:left="1260" w:right="499" w:firstLine="360"/>
        <w:spacing w:after="0" w:line="258" w:lineRule="auto"/>
        <w:rPr>
          <w:sz w:val="20"/>
          <w:szCs w:val="20"/>
          <w:color w:val="auto"/>
        </w:rPr>
      </w:pPr>
      <w:r>
        <w:rPr>
          <w:rFonts w:ascii="Arial" w:cs="Arial" w:eastAsia="Arial" w:hAnsi="Arial"/>
          <w:sz w:val="17"/>
          <w:szCs w:val="17"/>
          <w:color w:val="auto"/>
        </w:rPr>
        <w:t>The funds available to us outside of the trust account, together with the loan committed by our sponsor for working capital, may not be sufficient to allow us to operate for at least the next 12 months (or up to</w:t>
      </w:r>
    </w:p>
    <w:p>
      <w:pPr>
        <w:spacing w:after="0" w:line="1" w:lineRule="exact"/>
        <w:rPr>
          <w:sz w:val="20"/>
          <w:szCs w:val="20"/>
          <w:color w:val="auto"/>
        </w:rPr>
      </w:pPr>
    </w:p>
    <w:p>
      <w:pPr>
        <w:ind w:left="1260" w:right="439"/>
        <w:spacing w:after="0" w:line="235" w:lineRule="auto"/>
        <w:rPr>
          <w:sz w:val="20"/>
          <w:szCs w:val="20"/>
          <w:color w:val="auto"/>
        </w:rPr>
      </w:pPr>
      <w:r>
        <w:rPr>
          <w:rFonts w:ascii="Arial" w:cs="Arial" w:eastAsia="Arial" w:hAnsi="Arial"/>
          <w:sz w:val="18"/>
          <w:szCs w:val="18"/>
          <w:color w:val="auto"/>
        </w:rPr>
        <w:t>18 months, as applicable), assuming that our initial business combination is not completed during that time. Management’s plans to address this need for capital through this offering and potential loans from certain of our affiliates are discussed in the section of this prospectus titled “Management’s Discussion and Analysis of Financial Condition and Results of Operations.” However, our affiliates are not obligated to make loans to us in the future, and we may not be able to raise additional financing from unaffiliated parties necessary to fund our expenses. We believe that, upon closing of this offering, the funds available to us outside of the trust account, together with funds available from loans from our sponsor will be sufficient to allow us to operate for at least the next 12 months (or up to 18 months, as applicable);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 shop” provision (a provision in letters of intent or merger agreements designed to keep target businesses from “shopping” around for transactions with other companies on terms more favorable to such target businesses) with respect to a particular proposed initial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w:t>
      </w: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41" w:lineRule="auto"/>
        <w:rPr>
          <w:sz w:val="20"/>
          <w:szCs w:val="20"/>
          <w:color w:val="auto"/>
        </w:rPr>
      </w:pPr>
      <w:r>
        <w:rPr>
          <w:rFonts w:ascii="Arial" w:cs="Arial" w:eastAsia="Arial" w:hAnsi="Arial"/>
          <w:sz w:val="18"/>
          <w:szCs w:val="18"/>
          <w:color w:val="auto"/>
        </w:rPr>
        <w:t>approximately $10.15 per share, or less in certain circumstances, on the liquidation of our trust account and our warrants will expire worthless. In certain circumstances, our public stockholders may receive less than $10.15 per share upon our liquidation. See “— If third parties bring claims against us, the proceeds held in the trust account could be reduced and the per-share redemption amount received by stockholders may be less than $10.15 per share” and other risk factors below.</w:t>
      </w:r>
    </w:p>
    <w:p>
      <w:pPr>
        <w:spacing w:after="0" w:line="189" w:lineRule="exact"/>
        <w:rPr>
          <w:sz w:val="20"/>
          <w:szCs w:val="20"/>
          <w:color w:val="auto"/>
        </w:rPr>
      </w:pPr>
    </w:p>
    <w:p>
      <w:pPr>
        <w:ind w:left="1260" w:right="479"/>
        <w:spacing w:after="0" w:line="297" w:lineRule="auto"/>
        <w:rPr>
          <w:sz w:val="20"/>
          <w:szCs w:val="20"/>
          <w:color w:val="auto"/>
        </w:rPr>
      </w:pPr>
      <w:r>
        <w:rPr>
          <w:rFonts w:ascii="Arial" w:cs="Arial" w:eastAsia="Arial" w:hAnsi="Arial"/>
          <w:sz w:val="15"/>
          <w:szCs w:val="15"/>
          <w:b w:val="1"/>
          <w:bCs w:val="1"/>
          <w:i w:val="1"/>
          <w:iCs w:val="1"/>
          <w:color w:val="auto"/>
        </w:rPr>
        <w:t>If the net proceeds from this offering and the sale of the private warrants, not being held in the trust account, and the loan committed by our sponsor for working capital are insufficient, it could limit the amount available to fund our search for a target business or businesses and complete our initial business combination and we will depend on additional loans from our sponsor or management team to fund our search for an initial business combination, to pay our taxes and to complete our initial business combination. If we are unable to obtain these loans, we may be unable to complete our initial business combination.</w:t>
      </w:r>
    </w:p>
    <w:p>
      <w:pPr>
        <w:spacing w:after="0" w:line="69"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color w:val="auto"/>
        </w:rPr>
        <w:t>Of the net proceeds of this offering and the sale of the private warrants, only approximately $ 1,327,000 will be available to us initially outside the trust account to fund our working capital requirements. In the event that our offering expenses exceed our estimate of $575,000, we may fund such excess with funds not to be held in the trust account. In such case, the amount of funds we intend to be held outside the trust account would decrease by a corresponding amount. The amount held in the trust account will not be impacted as a result of such increase or decrease. Conversely, in the event that the offering expenses are less than our estimate of $575,000,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In order to finance transaction costs in connection with an intended initial business combination, our sponsor has committed up to $250,000 to be provided to us to fund our expenses relating to investigating and selecting a target business and other working capital requirements after this offering and prior to our initial business combination. None of our sponsor, members of our management team nor any of their affiliates is under any obligation to advance additional funds to us in such circumstances. Any such advances would be repaid only from funds held outside the trust account or from funds released to us upon completion of our initial business combination.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obtain these loans, we may be unable to complete our initial business combination. If we are unable to complete our initial business combination because we do not have sufficient funds available to us, we will be forced to cease operations and liquidate the trust account. Consequently, our public stockholders may only receive approximately $10.15 per share on our redemption of our public shares, and our warrants will expire worthless. In certain circumstances, our public stockholders may receive less than $10.15 per share on the redemption of their shares. See “— If third parties bring claims against us, the proceeds held in the trust account could be reduced and the per-share redemption amount received by stockholders may be less than $10.15 per share” and other risk factors below.</w:t>
      </w:r>
    </w:p>
    <w:p>
      <w:pPr>
        <w:spacing w:after="0" w:line="389" w:lineRule="exact"/>
        <w:rPr>
          <w:sz w:val="20"/>
          <w:szCs w:val="20"/>
          <w:color w:val="auto"/>
        </w:rPr>
      </w:pPr>
    </w:p>
    <w:p>
      <w:pPr>
        <w:ind w:left="1260" w:right="499"/>
        <w:spacing w:after="0" w:line="389" w:lineRule="auto"/>
        <w:rPr>
          <w:sz w:val="20"/>
          <w:szCs w:val="20"/>
          <w:color w:val="auto"/>
        </w:rPr>
      </w:pPr>
      <w:r>
        <w:rPr>
          <w:rFonts w:ascii="Arial" w:cs="Arial" w:eastAsia="Arial" w:hAnsi="Arial"/>
          <w:sz w:val="13"/>
          <w:szCs w:val="13"/>
          <w:b w:val="1"/>
          <w:bCs w:val="1"/>
          <w:i w:val="1"/>
          <w:iCs w:val="1"/>
          <w:color w:val="auto"/>
        </w:rPr>
        <w:t>Subsequent to the completion of our initial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29"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 -down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39" w:lineRule="auto"/>
        <w:rPr>
          <w:sz w:val="20"/>
          <w:szCs w:val="20"/>
          <w:color w:val="auto"/>
        </w:rPr>
      </w:pPr>
      <w:r>
        <w:rPr>
          <w:rFonts w:ascii="Arial" w:cs="Arial" w:eastAsia="Arial" w:hAnsi="Arial"/>
          <w:sz w:val="18"/>
          <w:szCs w:val="18"/>
          <w:color w:val="auto"/>
        </w:rPr>
        <w:t>combination. Accordingly, any security holders who choose to remain security holders following the initial business combination could suffer a reduction in the value of their securities. Such security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initial business combination constituted an actionable material misstatement or omission.</w:t>
      </w:r>
    </w:p>
    <w:p>
      <w:pPr>
        <w:spacing w:after="0" w:line="191" w:lineRule="exact"/>
        <w:rPr>
          <w:sz w:val="20"/>
          <w:szCs w:val="20"/>
          <w:color w:val="auto"/>
        </w:rPr>
      </w:pPr>
    </w:p>
    <w:p>
      <w:pPr>
        <w:ind w:left="1260" w:right="659"/>
        <w:spacing w:after="0" w:line="324" w:lineRule="auto"/>
        <w:rPr>
          <w:sz w:val="20"/>
          <w:szCs w:val="20"/>
          <w:color w:val="auto"/>
        </w:rPr>
      </w:pPr>
      <w:r>
        <w:rPr>
          <w:rFonts w:ascii="Arial" w:cs="Arial" w:eastAsia="Arial" w:hAnsi="Arial"/>
          <w:sz w:val="16"/>
          <w:szCs w:val="16"/>
          <w:b w:val="1"/>
          <w:bCs w:val="1"/>
          <w:i w:val="1"/>
          <w:iCs w:val="1"/>
          <w:color w:val="auto"/>
        </w:rPr>
        <w:t>If third parties bring claims against us, the proceeds held in the trust account could be reduced and the per-share redemption amount received by stockholders may be less than $10.15 per share.</w:t>
      </w:r>
    </w:p>
    <w:p>
      <w:pPr>
        <w:spacing w:after="0" w:line="43"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Making such a request of potential target businesses may make our acquisition proposal less attractive to them and, to the extent prospective target businesses refuse to execute such a waiver, it may limit the field of potential target businesses that we might pursue. WithumSmith+Brown, PC, our independent registered public accounting firm, and the underwriters of the offering, will not execute agreements with us waiving such claims to the monies held in the trust account.</w:t>
      </w:r>
    </w:p>
    <w:p>
      <w:pPr>
        <w:spacing w:after="0" w:line="116"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$10.15 per share initially held in the trust account, due to claims of such creditors. Pursuant to the letter agreement, the form of which is filed as Exhibit 10.1 to the registration statement of which this prospectus forms a part, our sponsor has agreed that it will be liable to us if and to the extent any claims by a third party (other than our independent registered public accounting firm)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324" w:lineRule="auto"/>
        <w:rPr>
          <w:sz w:val="20"/>
          <w:szCs w:val="20"/>
          <w:color w:val="auto"/>
        </w:rPr>
      </w:pPr>
      <w:r>
        <w:rPr>
          <w:rFonts w:ascii="Arial" w:cs="Arial" w:eastAsia="Arial" w:hAnsi="Arial"/>
          <w:sz w:val="16"/>
          <w:szCs w:val="16"/>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43"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In the event that the proceeds in the trust account are reduced below the lesser of (i) $10.15 per share and (ii) the actual amount per share held in the trust account as of the date of the liquidation of the trust account if less than $10.15 per share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w:t>
      </w:r>
    </w:p>
    <w:p>
      <w:pPr>
        <w:spacing w:after="0" w:line="12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stockholders may be reduced below $10.15 per share.</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directors and officers.</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 (ii) 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86" w:lineRule="exact"/>
        <w:rPr>
          <w:sz w:val="20"/>
          <w:szCs w:val="20"/>
          <w:color w:val="auto"/>
        </w:rPr>
      </w:pPr>
    </w:p>
    <w:p>
      <w:pPr>
        <w:jc w:val="both"/>
        <w:ind w:left="1260" w:right="419"/>
        <w:spacing w:after="0" w:line="294" w:lineRule="auto"/>
        <w:rPr>
          <w:sz w:val="20"/>
          <w:szCs w:val="20"/>
          <w:color w:val="auto"/>
        </w:rPr>
      </w:pPr>
      <w:r>
        <w:rPr>
          <w:rFonts w:ascii="Arial" w:cs="Arial" w:eastAsia="Arial" w:hAnsi="Arial"/>
          <w:sz w:val="16"/>
          <w:szCs w:val="16"/>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we and our board may be exposed to claims of punitive damages.</w:t>
      </w:r>
    </w:p>
    <w:p>
      <w:pPr>
        <w:spacing w:after="0" w:line="66"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194" w:lineRule="exact"/>
        <w:rPr>
          <w:sz w:val="20"/>
          <w:szCs w:val="20"/>
          <w:color w:val="auto"/>
        </w:rPr>
      </w:pPr>
    </w:p>
    <w:p>
      <w:pPr>
        <w:ind w:left="1260" w:right="459"/>
        <w:spacing w:after="0" w:line="308" w:lineRule="auto"/>
        <w:rPr>
          <w:sz w:val="20"/>
          <w:szCs w:val="20"/>
          <w:color w:val="auto"/>
        </w:rPr>
      </w:pPr>
      <w:r>
        <w:rPr>
          <w:rFonts w:ascii="Arial" w:cs="Arial" w:eastAsia="Arial" w:hAnsi="Arial"/>
          <w:sz w:val="15"/>
          <w:szCs w:val="15"/>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73"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61"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76"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12 months (or up to 18 months, as applicable) from the closing of this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12th month (or up to the 18th month, as applicable) from the closing of this offering in the event we do not complete our initial business combination and, therefore, we do not intend to comply with the foregoing procedures.</w:t>
      </w:r>
    </w:p>
    <w:p>
      <w:pPr>
        <w:spacing w:after="0" w:line="120"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12 months (or up to 18 months, as applicable)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80" w:lineRule="exact"/>
        <w:rPr>
          <w:sz w:val="20"/>
          <w:szCs w:val="20"/>
          <w:color w:val="auto"/>
        </w:rPr>
      </w:pPr>
    </w:p>
    <w:p>
      <w:pPr>
        <w:ind w:left="1260" w:right="1259"/>
        <w:spacing w:after="0" w:line="324" w:lineRule="auto"/>
        <w:rPr>
          <w:sz w:val="20"/>
          <w:szCs w:val="20"/>
          <w:color w:val="auto"/>
        </w:rPr>
      </w:pPr>
      <w:r>
        <w:rPr>
          <w:rFonts w:ascii="Arial" w:cs="Arial" w:eastAsia="Arial" w:hAnsi="Arial"/>
          <w:sz w:val="16"/>
          <w:szCs w:val="16"/>
          <w:b w:val="1"/>
          <w:bCs w:val="1"/>
          <w:i w:val="1"/>
          <w:iCs w:val="1"/>
          <w:color w:val="auto"/>
        </w:rPr>
        <w:t>We may not hold an annual meeting of stockholders until after the consummation of our initial business combination, which could delay the opportunity for our stockholders to elect directors.</w:t>
      </w:r>
    </w:p>
    <w:p>
      <w:pPr>
        <w:spacing w:after="0" w:line="4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75" w:lineRule="exact"/>
        <w:rPr>
          <w:sz w:val="20"/>
          <w:szCs w:val="20"/>
          <w:color w:val="auto"/>
        </w:rPr>
      </w:pPr>
    </w:p>
    <w:p>
      <w:pPr>
        <w:ind w:left="1260" w:right="459"/>
        <w:spacing w:after="0" w:line="294" w:lineRule="auto"/>
        <w:rPr>
          <w:sz w:val="20"/>
          <w:szCs w:val="20"/>
          <w:color w:val="auto"/>
        </w:rPr>
      </w:pPr>
      <w:r>
        <w:rPr>
          <w:rFonts w:ascii="Arial" w:cs="Arial" w:eastAsia="Arial" w:hAnsi="Arial"/>
          <w:sz w:val="16"/>
          <w:szCs w:val="16"/>
          <w:b w:val="1"/>
          <w:bCs w:val="1"/>
          <w:i w:val="1"/>
          <w:i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53" w:lineRule="exact"/>
        <w:rPr>
          <w:sz w:val="20"/>
          <w:szCs w:val="20"/>
          <w:color w:val="auto"/>
        </w:rPr>
      </w:pPr>
    </w:p>
    <w:p>
      <w:pPr>
        <w:ind w:left="1260" w:right="479" w:firstLine="360"/>
        <w:spacing w:after="0" w:line="291" w:lineRule="auto"/>
        <w:rPr>
          <w:sz w:val="20"/>
          <w:szCs w:val="20"/>
          <w:color w:val="auto"/>
        </w:rPr>
      </w:pPr>
      <w:r>
        <w:rPr>
          <w:rFonts w:ascii="Arial" w:cs="Arial" w:eastAsia="Arial" w:hAnsi="Arial"/>
          <w:sz w:val="17"/>
          <w:szCs w:val="17"/>
          <w:color w:val="auto"/>
        </w:rPr>
        <w:t>We will seek to complete an initial business combination with an operating company in any industry or sector, though we intend to focus on the financial services, healthcare, real estate services, technology and</w:t>
      </w:r>
    </w:p>
    <w:p>
      <w:pPr>
        <w:sectPr>
          <w:pgSz w:w="11900" w:h="16838" w:orient="portrait"/>
          <w:cols w:equalWidth="0" w:num="1">
            <w:col w:w="9879"/>
          </w:cols>
          <w:pgMar w:left="580" w:top="132"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0" w:lineRule="auto"/>
        <w:rPr>
          <w:sz w:val="20"/>
          <w:szCs w:val="20"/>
          <w:color w:val="auto"/>
        </w:rPr>
      </w:pPr>
      <w:r>
        <w:rPr>
          <w:rFonts w:ascii="Arial" w:cs="Arial" w:eastAsia="Arial" w:hAnsi="Arial"/>
          <w:sz w:val="17"/>
          <w:szCs w:val="17"/>
          <w:color w:val="auto"/>
        </w:rPr>
        <w:t>software industries, except that we will not, under our amended and restated certificate of incorporation,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security holders who choose to remain security holders following our initial business combination could suffer a reduction in the value of their securities. Such security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91"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b w:val="1"/>
          <w:bCs w:val="1"/>
          <w:i w:val="1"/>
          <w:iCs w:val="1"/>
          <w:color w:val="auto"/>
        </w:rPr>
        <w:t>We may seek business combination opportunities in industries or sectors which may or may not be outside of our management’s area of expertise.</w:t>
      </w:r>
    </w:p>
    <w:p>
      <w:pPr>
        <w:spacing w:after="0" w:line="90"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We will consider a business combination in sectors which may be outside of our management’s areas of expertise if such business combination candidate is presented to us and we determine that such candidate offers an attractive acquisition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an initial business combination candidate.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relevant to such acquisition. Accordingly, any security holders who choose to remain security holders following our initial business combination could suffer a reduction in the value of their securities. Such security holders are unlikely to have a remedy for such reduction in value.</w:t>
      </w:r>
    </w:p>
    <w:p>
      <w:pPr>
        <w:spacing w:after="0" w:line="200" w:lineRule="exact"/>
        <w:rPr>
          <w:sz w:val="20"/>
          <w:szCs w:val="20"/>
          <w:color w:val="auto"/>
        </w:rPr>
      </w:pPr>
    </w:p>
    <w:p>
      <w:pPr>
        <w:ind w:left="1260" w:right="539"/>
        <w:spacing w:after="0" w:line="308" w:lineRule="auto"/>
        <w:rPr>
          <w:sz w:val="20"/>
          <w:szCs w:val="20"/>
          <w:color w:val="auto"/>
        </w:rPr>
      </w:pPr>
      <w:r>
        <w:rPr>
          <w:rFonts w:ascii="Arial" w:cs="Arial" w:eastAsia="Arial" w:hAnsi="Arial"/>
          <w:sz w:val="15"/>
          <w:szCs w:val="15"/>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73"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applicable law or stock exchange rules, or we decide to obtain stockholder approval for business or other legal reasons, it may be more difficult for us to attain stockholder approval of our initial business combination if the target</w:t>
      </w:r>
    </w:p>
    <w:p>
      <w:pPr>
        <w:sectPr>
          <w:pgSz w:w="11900" w:h="16838" w:orient="portrait"/>
          <w:cols w:equalWidth="0" w:num="1">
            <w:col w:w="9879"/>
          </w:cols>
          <w:pgMar w:left="580" w:top="132"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39" w:lineRule="auto"/>
        <w:rPr>
          <w:sz w:val="20"/>
          <w:szCs w:val="20"/>
          <w:color w:val="auto"/>
        </w:rPr>
      </w:pPr>
      <w:r>
        <w:rPr>
          <w:rFonts w:ascii="Arial" w:cs="Arial" w:eastAsia="Arial" w:hAnsi="Arial"/>
          <w:sz w:val="18"/>
          <w:szCs w:val="18"/>
          <w:color w:val="auto"/>
        </w:rPr>
        <w:t>business does not meet our general criteria and guidelines. If we are unable to complete our initial business combination, our public stockholders may receive only approximately $10.15 per share, or less in certain circumstances, on the liquidation of our trust account and our warrants will expire worthless. In certain circumstances, our public stockholders may receive less than $10.15 per share on the redemption of their shares. See “ — If third parties bring claims against us, the proceeds held in the trust account could be reduced and the per-share redemption amount received by stockholders may be less than $10.15 per share” and other risk factors below.</w:t>
      </w:r>
    </w:p>
    <w:p>
      <w:pPr>
        <w:spacing w:after="0" w:line="191" w:lineRule="exact"/>
        <w:rPr>
          <w:sz w:val="20"/>
          <w:szCs w:val="20"/>
          <w:color w:val="auto"/>
        </w:rPr>
      </w:pPr>
    </w:p>
    <w:p>
      <w:pPr>
        <w:ind w:left="1260" w:right="439"/>
        <w:spacing w:after="0" w:line="294" w:lineRule="auto"/>
        <w:rPr>
          <w:sz w:val="20"/>
          <w:szCs w:val="20"/>
          <w:color w:val="auto"/>
        </w:rPr>
      </w:pPr>
      <w:r>
        <w:rPr>
          <w:rFonts w:ascii="Arial" w:cs="Arial" w:eastAsia="Arial" w:hAnsi="Arial"/>
          <w:sz w:val="16"/>
          <w:szCs w:val="16"/>
          <w:b w:val="1"/>
          <w:bCs w:val="1"/>
          <w:i w:val="1"/>
          <w:iCs w:val="1"/>
          <w:color w:val="auto"/>
        </w:rPr>
        <w:t>We may seek business combination opportunities with an early stage company, a financially unstable business or an entity lacking an established record of revenue, cash flow or earnings, which could subject us to volatile revenues, cash flows or earnings or difficulty in retaining key personnel.</w:t>
      </w:r>
    </w:p>
    <w:p>
      <w:pPr>
        <w:spacing w:after="0" w:line="66"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88" w:lineRule="exact"/>
        <w:rPr>
          <w:sz w:val="20"/>
          <w:szCs w:val="20"/>
          <w:color w:val="auto"/>
        </w:rPr>
      </w:pPr>
    </w:p>
    <w:p>
      <w:pPr>
        <w:ind w:left="1260" w:right="619"/>
        <w:spacing w:after="0" w:line="322" w:lineRule="auto"/>
        <w:rPr>
          <w:sz w:val="20"/>
          <w:szCs w:val="20"/>
          <w:color w:val="auto"/>
        </w:rPr>
      </w:pPr>
      <w:r>
        <w:rPr>
          <w:rFonts w:ascii="Arial" w:cs="Arial" w:eastAsia="Arial" w:hAnsi="Arial"/>
          <w:sz w:val="15"/>
          <w:szCs w:val="15"/>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stockholders from a financial point of view.</w:t>
      </w:r>
    </w:p>
    <w:p>
      <w:pPr>
        <w:spacing w:after="0" w:line="62"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Unless we complete our initial business combination with an affiliated entity or our board cannot independently determine the fair market value of the target business or businesses, we are not required to obtain an opinion from an independent investment banking firm or another independent firm that commonly renders valuation opinions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94" w:lineRule="exact"/>
        <w:rPr>
          <w:sz w:val="20"/>
          <w:szCs w:val="20"/>
          <w:color w:val="auto"/>
        </w:rPr>
      </w:pPr>
    </w:p>
    <w:p>
      <w:pPr>
        <w:ind w:left="1260" w:right="859"/>
        <w:spacing w:after="0" w:line="465" w:lineRule="auto"/>
        <w:rPr>
          <w:sz w:val="20"/>
          <w:szCs w:val="20"/>
          <w:color w:val="auto"/>
        </w:rPr>
      </w:pPr>
      <w:r>
        <w:rPr>
          <w:rFonts w:ascii="Arial" w:cs="Arial" w:eastAsia="Arial" w:hAnsi="Arial"/>
          <w:sz w:val="13"/>
          <w:szCs w:val="13"/>
          <w:b w:val="1"/>
          <w:bCs w:val="1"/>
          <w:i w:val="1"/>
          <w:i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 w:lineRule="exact"/>
        <w:rPr>
          <w:sz w:val="20"/>
          <w:szCs w:val="20"/>
          <w:color w:val="auto"/>
        </w:rPr>
      </w:pPr>
    </w:p>
    <w:p>
      <w:pPr>
        <w:ind w:left="1260" w:right="599" w:firstLine="360"/>
        <w:spacing w:after="0" w:line="252" w:lineRule="auto"/>
        <w:rPr>
          <w:sz w:val="20"/>
          <w:szCs w:val="20"/>
          <w:color w:val="auto"/>
        </w:rPr>
      </w:pPr>
      <w:r>
        <w:rPr>
          <w:rFonts w:ascii="Arial" w:cs="Arial" w:eastAsia="Arial" w:hAnsi="Arial"/>
          <w:sz w:val="18"/>
          <w:szCs w:val="18"/>
          <w:color w:val="auto"/>
        </w:rPr>
        <w:t>The federal proxy rules require that a proxy statement with respect to a vote on an initial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w:t>
      </w:r>
    </w:p>
    <w:p>
      <w:pPr>
        <w:spacing w:after="0" w:line="199" w:lineRule="exact"/>
        <w:rPr>
          <w:sz w:val="20"/>
          <w:szCs w:val="20"/>
          <w:color w:val="auto"/>
        </w:rPr>
      </w:pPr>
    </w:p>
    <w:p>
      <w:pPr>
        <w:ind w:left="1260" w:right="539"/>
        <w:spacing w:after="0" w:line="263" w:lineRule="auto"/>
        <w:rPr>
          <w:sz w:val="20"/>
          <w:szCs w:val="20"/>
          <w:color w:val="auto"/>
        </w:rPr>
      </w:pPr>
      <w:r>
        <w:rPr>
          <w:rFonts w:ascii="Arial" w:cs="Arial" w:eastAsia="Arial" w:hAnsi="Arial"/>
          <w:sz w:val="18"/>
          <w:szCs w:val="18"/>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03" w:lineRule="exact"/>
        <w:rPr>
          <w:sz w:val="20"/>
          <w:szCs w:val="20"/>
          <w:color w:val="auto"/>
        </w:rPr>
      </w:pPr>
    </w:p>
    <w:p>
      <w:pPr>
        <w:ind w:left="1260" w:right="579" w:firstLine="360"/>
        <w:spacing w:after="0" w:line="308"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2022. Only in</w:t>
      </w:r>
    </w:p>
    <w:p>
      <w:pPr>
        <w:sectPr>
          <w:pgSz w:w="11900" w:h="16838" w:orient="portrait"/>
          <w:cols w:equalWidth="0" w:num="1">
            <w:col w:w="9879"/>
          </w:cols>
          <w:pgMar w:left="580" w:top="132"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the event we are deemed to be a large accelerated filer or an accelerated filer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initial business combination.</w:t>
      </w:r>
    </w:p>
    <w:p>
      <w:pPr>
        <w:spacing w:after="0" w:line="192" w:lineRule="exact"/>
        <w:rPr>
          <w:sz w:val="20"/>
          <w:szCs w:val="20"/>
          <w:color w:val="auto"/>
        </w:rPr>
      </w:pPr>
    </w:p>
    <w:p>
      <w:pPr>
        <w:ind w:left="1260" w:right="459"/>
        <w:spacing w:after="0" w:line="263"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an initial business combination with which a substantial majority of our stockholders do not agree.</w:t>
      </w:r>
    </w:p>
    <w:p>
      <w:pPr>
        <w:spacing w:after="0" w:line="103"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Our amended and restated certificate of incorporation will not provide a specified maximum redemption threshold, except that we may only redeem our public shares so long as our net tangible assets are at least $5,000,001 either immediately prior to or upon consummation of our initial business combination and after payment of underwriters’ fees and commissions (such that we are not subject to the SEC’s “penny stock” rules) or any greater net tangible asset or cash requirement which may be contained in the agreement relating to our initial business combination.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respective affiliates. In the event the aggregate cash consideration we would be required to pay for all shares of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all shares of common stock submitted for redemption will be returned to the holders thereof, and we instead may search for an alternate business combination.</w:t>
      </w:r>
    </w:p>
    <w:p>
      <w:pPr>
        <w:spacing w:after="0" w:line="180" w:lineRule="exact"/>
        <w:rPr>
          <w:sz w:val="20"/>
          <w:szCs w:val="20"/>
          <w:color w:val="auto"/>
        </w:rPr>
      </w:pPr>
    </w:p>
    <w:p>
      <w:pPr>
        <w:ind w:left="1260" w:right="539"/>
        <w:spacing w:after="0" w:line="275" w:lineRule="auto"/>
        <w:rPr>
          <w:sz w:val="20"/>
          <w:szCs w:val="20"/>
          <w:color w:val="auto"/>
        </w:rPr>
      </w:pPr>
      <w:r>
        <w:rPr>
          <w:rFonts w:ascii="Arial" w:cs="Arial" w:eastAsia="Arial" w:hAnsi="Arial"/>
          <w:sz w:val="17"/>
          <w:szCs w:val="17"/>
          <w:b w:val="1"/>
          <w:bCs w:val="1"/>
          <w:i w:val="1"/>
          <w:i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09"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certificate of incorporation will require the approval of holders of a majority of our common stock, and amending our warrant agreement will require a vote of holders of at least a majority of the public warrants. In addition, our amended and restated certificate of incorporation requires us to provide our public stockholders with the opportunity to redeem their public shares for cash if we propose an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12 months (or up to 18 months, as applicable) from the closing of this offering or (B) with respect to any other provision relating to stockholders’ rights or pre-initial business combination activity. To the extent any such amendments would be deemed to fundamentally change the nature of any securities offered through this registration statement, we would register, or seek an exemption from registration for, the affected securities. We cannot assure you that we will not seek to</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299"/>
        <w:spacing w:after="0" w:line="261" w:lineRule="auto"/>
        <w:rPr>
          <w:sz w:val="20"/>
          <w:szCs w:val="20"/>
          <w:color w:val="auto"/>
        </w:rPr>
      </w:pPr>
      <w:r>
        <w:rPr>
          <w:rFonts w:ascii="Arial" w:cs="Arial" w:eastAsia="Arial" w:hAnsi="Arial"/>
          <w:sz w:val="18"/>
          <w:szCs w:val="18"/>
          <w:color w:val="auto"/>
        </w:rPr>
        <w:t>amend our charter or governing instruments or extend the time to consummate an initial business combination in order to effectuate our initial business combination.</w:t>
      </w:r>
    </w:p>
    <w:p>
      <w:pPr>
        <w:spacing w:after="0" w:line="171" w:lineRule="exact"/>
        <w:rPr>
          <w:sz w:val="20"/>
          <w:szCs w:val="20"/>
          <w:color w:val="auto"/>
        </w:rPr>
      </w:pPr>
    </w:p>
    <w:p>
      <w:pPr>
        <w:ind w:left="1260" w:right="479"/>
        <w:spacing w:after="0" w:line="293" w:lineRule="auto"/>
        <w:rPr>
          <w:sz w:val="20"/>
          <w:szCs w:val="20"/>
          <w:color w:val="auto"/>
        </w:rPr>
      </w:pPr>
      <w:r>
        <w:rPr>
          <w:rFonts w:ascii="Arial" w:cs="Arial" w:eastAsia="Arial" w:hAnsi="Arial"/>
          <w:sz w:val="15"/>
          <w:szCs w:val="15"/>
          <w:b w:val="1"/>
          <w:bCs w:val="1"/>
          <w:i w:val="1"/>
          <w:iCs w:val="1"/>
          <w:color w:val="auto"/>
        </w:rPr>
        <w:t>The provisions of our amended and restated certificate of incorporation that relate to our pre-business combination activity (and corresponding provisions of the agreement governing the release of funds from our trust account), including an amendment to permit us to withdraw funds from the trust account such that the per share amount investors will receive upon any redemption or liquidation is substantially reduced or eliminated, may be amended with the approval of holders of majority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70"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Our amended and restated certificate of incorporation will provide that any of its provisions may be amended if approved by holders of majority of our common stock entitled to vote thereon, and corresponding provisions of the trust agreement governing the release of funds from our trust account may be amended if approved by holders of majority of our common stock entitled to vote thereon, subject to applicable provisions of the DGCL or applicable stock exchange rules. We may not issue additional securities that can vote with common stockholders on matters related to our pre-initial business combination activity, on any amendment to certain provisions of our amended and restated certificate of incorporation or on our initial business combination. Our initial stockholders, who will collectively beneficially own up to 20% of our common stock upon the closing of this offering (assuming they do not purchase any units in this offering), will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pre-initial business combination behavior more easily than some other blank check companies, and this may increase our ability to complete an initial business combination with which you do not agree. Our stockholders may pursue remedies against us for any breach of our amended and restated certificate of incorporation.</w:t>
      </w:r>
    </w:p>
    <w:p>
      <w:pPr>
        <w:spacing w:after="0" w:line="13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12 months (or up to 18 months, as applicable) from the closing of this offering or (ii)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officers and directors. Our stockholders are not parties to, or third-party beneficiaries of, these agreements and, as a result, will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189" w:lineRule="exact"/>
        <w:rPr>
          <w:sz w:val="20"/>
          <w:szCs w:val="20"/>
          <w:color w:val="auto"/>
        </w:rPr>
      </w:pPr>
    </w:p>
    <w:p>
      <w:pPr>
        <w:ind w:left="1260" w:right="539"/>
        <w:spacing w:after="0" w:line="248"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14"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We have not selected any specific business combination target, but intend to target businesses larger than we could acquire with the net proceeds of this offering and the sale of the private warrants. As a result,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the amount of additional financing we may be required to obtain could increase as a result of future growth capital needs for any particular transaction, the depletion of the available net proceeds in search of a target business, the obligation to repurchase for cash a significant number of shares from stockholders who elect redemption in connection with our initial business</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2" w:lineRule="auto"/>
        <w:rPr>
          <w:sz w:val="20"/>
          <w:szCs w:val="20"/>
          <w:color w:val="auto"/>
        </w:rPr>
      </w:pPr>
      <w:r>
        <w:rPr>
          <w:rFonts w:ascii="Arial" w:cs="Arial" w:eastAsia="Arial" w:hAnsi="Arial"/>
          <w:sz w:val="17"/>
          <w:szCs w:val="17"/>
          <w:color w:val="auto"/>
        </w:rPr>
        <w:t>combination and/or the terms of negotiated transactions to purchase shares in connection with our initial business combination.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only receive approximately $10.15 per share, or less in certain circumstances, on the liquidation of our trust account, and our warrants will expire worthless. Furthermore, as described in the risk factor entitled “If third parties bring claims against us, the proceeds held in the trust account could be reduced and the per-share redemption amount received by stockholders may be less than $10.15 per share,” under certain circumstances our public stockholders may receive less than $10.15 per share upon the liquidation of the trust account.</w:t>
      </w:r>
    </w:p>
    <w:p>
      <w:pPr>
        <w:spacing w:after="0" w:line="183" w:lineRule="exact"/>
        <w:rPr>
          <w:sz w:val="20"/>
          <w:szCs w:val="20"/>
          <w:color w:val="auto"/>
        </w:rPr>
      </w:pPr>
    </w:p>
    <w:p>
      <w:pPr>
        <w:ind w:left="1260" w:right="579"/>
        <w:spacing w:after="0" w:line="324" w:lineRule="auto"/>
        <w:rPr>
          <w:sz w:val="20"/>
          <w:szCs w:val="20"/>
          <w:color w:val="auto"/>
        </w:rPr>
      </w:pPr>
      <w:r>
        <w:rPr>
          <w:rFonts w:ascii="Arial" w:cs="Arial" w:eastAsia="Arial" w:hAnsi="Arial"/>
          <w:sz w:val="16"/>
          <w:szCs w:val="16"/>
          <w:b w:val="1"/>
          <w:bCs w:val="1"/>
          <w:i w:val="1"/>
          <w:iCs w:val="1"/>
          <w:color w:val="auto"/>
        </w:rPr>
        <w:t>Our initial stockholders will hold a substantial interest in us. As a result, they may exert a substantial influence on actions requiring a stockholder vote, potentially in a manner that you do not support.</w:t>
      </w:r>
    </w:p>
    <w:p>
      <w:pPr>
        <w:spacing w:after="0" w:line="43" w:lineRule="exact"/>
        <w:rPr>
          <w:sz w:val="20"/>
          <w:szCs w:val="20"/>
          <w:color w:val="auto"/>
        </w:rPr>
      </w:pPr>
    </w:p>
    <w:p>
      <w:pPr>
        <w:ind w:left="1260" w:right="499" w:firstLine="360"/>
        <w:spacing w:after="0" w:line="250" w:lineRule="auto"/>
        <w:rPr>
          <w:sz w:val="20"/>
          <w:szCs w:val="20"/>
          <w:color w:val="auto"/>
        </w:rPr>
      </w:pPr>
      <w:r>
        <w:rPr>
          <w:rFonts w:ascii="Arial" w:cs="Arial" w:eastAsia="Arial" w:hAnsi="Arial"/>
          <w:sz w:val="17"/>
          <w:szCs w:val="17"/>
          <w:color w:val="auto"/>
        </w:rPr>
        <w:t>Upon the closing of this offering, our initial stockholders will own shares representing 20% of our issued and outstanding shares of common stock (including the shares of common stock underlying the private warrants and assuming they do not purchase any units in this offering) . 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common stock. In addition, as a result of their substantial ownership in our company, our initial stockholders may exert a substantial influence on other actions requiring a stockholder vote, potentially in a manner that you do not support, including amendments to our amended and restated certificate of incorporation and approval of major corporate transactions. If our initial stockholders purchase any units in this offering or any additional shares of common stock in the aftermarket or in privately negotiated transactions, this would increase their influence over these actions. In addition, our board of directors, whose members were elected by our initial stockholders, is and will be divided into two classes, each of which will generally serve for a term of</w:t>
      </w:r>
    </w:p>
    <w:p>
      <w:pPr>
        <w:spacing w:after="0" w:line="1" w:lineRule="exact"/>
        <w:rPr>
          <w:sz w:val="20"/>
          <w:szCs w:val="20"/>
          <w:color w:val="auto"/>
        </w:rPr>
      </w:pPr>
    </w:p>
    <w:p>
      <w:pPr>
        <w:ind w:left="1260" w:right="419"/>
        <w:spacing w:after="0" w:line="252" w:lineRule="auto"/>
        <w:rPr>
          <w:sz w:val="20"/>
          <w:szCs w:val="20"/>
          <w:color w:val="auto"/>
        </w:rPr>
      </w:pPr>
      <w:r>
        <w:rPr>
          <w:rFonts w:ascii="Arial" w:cs="Arial" w:eastAsia="Arial" w:hAnsi="Arial"/>
          <w:sz w:val="17"/>
          <w:szCs w:val="17"/>
          <w:color w:val="auto"/>
        </w:rPr>
        <w:t>two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initial business combination. If there is an annual meeting, as a consequence of our “staggered” board of directors, only a portion of the board of directors will be considered for election. Accordingly, our initial stockholders will exert significant influence over actions requiring a stockholder vote. Please see “Proposed Business — Stockholders May Not Have the Ability to Approve an Initial Business Combination.”</w:t>
      </w:r>
    </w:p>
    <w:p>
      <w:pPr>
        <w:spacing w:after="0" w:line="181" w:lineRule="exact"/>
        <w:rPr>
          <w:sz w:val="20"/>
          <w:szCs w:val="20"/>
          <w:color w:val="auto"/>
        </w:rPr>
      </w:pPr>
    </w:p>
    <w:p>
      <w:pPr>
        <w:ind w:left="1260" w:right="519"/>
        <w:spacing w:after="0" w:line="259" w:lineRule="auto"/>
        <w:rPr>
          <w:sz w:val="20"/>
          <w:szCs w:val="20"/>
          <w:color w:val="auto"/>
        </w:rPr>
      </w:pPr>
      <w:r>
        <w:rPr>
          <w:rFonts w:ascii="Arial" w:cs="Arial" w:eastAsia="Arial" w:hAnsi="Arial"/>
          <w:sz w:val="17"/>
          <w:szCs w:val="17"/>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$10.15 per share, or less than such amount in certain circumstances, on the liquidation of our trust account and our warrants will expire worthless.</w:t>
      </w:r>
    </w:p>
    <w:p>
      <w:pPr>
        <w:spacing w:after="0" w:line="106"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$ 10.15 per share, or less in certain circumstances, on the liquidation of our trust account and our warrants will expire worthless. In certain circumstances, our public stockholders may receive less than $10.15 per share on the redemption of their shares. See “— If third parties bring claims against us, the proceeds held in the trust account could be reduced and the per-share redemption amount received by stockholders may be less than $10.15 per share” and other risk factors below.</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479"/>
        <w:spacing w:after="0" w:line="266"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75" w:lineRule="exact"/>
        <w:rPr>
          <w:sz w:val="20"/>
          <w:szCs w:val="20"/>
          <w:color w:val="auto"/>
        </w:rPr>
      </w:pPr>
    </w:p>
    <w:p>
      <w:pPr>
        <w:ind w:left="1260" w:right="419" w:firstLine="360"/>
        <w:spacing w:after="0" w:line="235" w:lineRule="auto"/>
        <w:rPr>
          <w:sz w:val="20"/>
          <w:szCs w:val="20"/>
          <w:color w:val="auto"/>
        </w:rPr>
      </w:pPr>
      <w:r>
        <w:rPr>
          <w:rFonts w:ascii="Arial" w:cs="Arial" w:eastAsia="Arial" w:hAnsi="Arial"/>
          <w:sz w:val="17"/>
          <w:szCs w:val="17"/>
          <w:color w:val="auto"/>
        </w:rPr>
        <w:t>Our key personnel may be able to remain with the company after the completion of our initial business combination only if they are able to negotiate employment or consulting agreements in connection with the initial business combination. Such negotiations would take place simultaneously with the negotiation of the initial business combination and could provide for such individuals to receive compensation in the form of cash payments and/or our securities for services they would render to us after the completion of the initial business combination.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198" w:lineRule="exact"/>
        <w:rPr>
          <w:sz w:val="20"/>
          <w:szCs w:val="20"/>
          <w:color w:val="auto"/>
        </w:rPr>
      </w:pPr>
    </w:p>
    <w:p>
      <w:pPr>
        <w:ind w:left="1260" w:right="419"/>
        <w:spacing w:after="0" w:line="243" w:lineRule="auto"/>
        <w:rPr>
          <w:sz w:val="20"/>
          <w:szCs w:val="20"/>
          <w:color w:val="auto"/>
        </w:rPr>
      </w:pPr>
      <w:r>
        <w:rPr>
          <w:rFonts w:ascii="Arial" w:cs="Arial" w:eastAsia="Arial" w:hAnsi="Arial"/>
          <w:sz w:val="18"/>
          <w:szCs w:val="18"/>
          <w:b w:val="1"/>
          <w:bCs w:val="1"/>
          <w:i w:val="1"/>
          <w:i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 which could, in turn, negatively impact the value of our stockholders’ investment in us.</w:t>
      </w:r>
    </w:p>
    <w:p>
      <w:pPr>
        <w:spacing w:after="0" w:line="120"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 -combination business may be negatively impacted. Accordingly, any security holders who choose to remain security holders following the initial business combination could suffer a reduction in the value of their securities. Such securities are unlikely to have a remedy for such reduction in value.</w:t>
      </w:r>
    </w:p>
    <w:p>
      <w:pPr>
        <w:spacing w:after="0" w:line="191" w:lineRule="exact"/>
        <w:rPr>
          <w:sz w:val="20"/>
          <w:szCs w:val="20"/>
          <w:color w:val="auto"/>
        </w:rPr>
      </w:pPr>
    </w:p>
    <w:p>
      <w:pPr>
        <w:ind w:left="1260" w:right="1139"/>
        <w:spacing w:after="0" w:line="324" w:lineRule="auto"/>
        <w:rPr>
          <w:sz w:val="20"/>
          <w:szCs w:val="20"/>
          <w:color w:val="auto"/>
        </w:rPr>
      </w:pPr>
      <w:r>
        <w:rPr>
          <w:rFonts w:ascii="Arial" w:cs="Arial" w:eastAsia="Arial" w:hAnsi="Arial"/>
          <w:sz w:val="16"/>
          <w:szCs w:val="16"/>
          <w:b w:val="1"/>
          <w:bCs w:val="1"/>
          <w:i w:val="1"/>
          <w:iCs w:val="1"/>
          <w:color w:val="auto"/>
        </w:rPr>
        <w:t>Unlike other blank check companies, we may extend the time to complete a business combination by up to six months without a stockholder vote or your ability to redeem your shares.</w:t>
      </w:r>
    </w:p>
    <w:p>
      <w:pPr>
        <w:spacing w:after="0" w:line="57"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 xml:space="preserve">We will have until 12 months from the closing of this offering to consummate an initial business combination. However, unlike other similarly structured blank check companies, if we anticipate that we may not be able to consummate our initial business combination within 12 months, our insiders or their affiliates may, but are not obligated to, extend the period of time to consummate a business combination up to two times by an additional three months each time (for a total of up to 18 months to complete a business combination); </w:t>
      </w:r>
      <w:r>
        <w:rPr>
          <w:rFonts w:ascii="Arial" w:cs="Arial" w:eastAsia="Arial" w:hAnsi="Arial"/>
          <w:sz w:val="18"/>
          <w:szCs w:val="18"/>
          <w:i w:val="1"/>
          <w:iCs w:val="1"/>
          <w:color w:val="auto"/>
        </w:rPr>
        <w:t>provided that</w:t>
      </w:r>
      <w:r>
        <w:rPr>
          <w:rFonts w:ascii="Arial" w:cs="Arial" w:eastAsia="Arial" w:hAnsi="Arial"/>
          <w:sz w:val="18"/>
          <w:szCs w:val="18"/>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Public stockholders will not be offered the opportunity to vote on or redeem their shares in connection with any such extension.</w:t>
      </w:r>
    </w:p>
    <w:p>
      <w:pPr>
        <w:spacing w:after="0" w:line="189" w:lineRule="exact"/>
        <w:rPr>
          <w:sz w:val="20"/>
          <w:szCs w:val="20"/>
          <w:color w:val="auto"/>
        </w:rPr>
      </w:pPr>
    </w:p>
    <w:p>
      <w:pPr>
        <w:ind w:left="1260" w:right="679"/>
        <w:spacing w:after="0" w:line="243" w:lineRule="auto"/>
        <w:rPr>
          <w:sz w:val="20"/>
          <w:szCs w:val="20"/>
          <w:color w:val="auto"/>
        </w:rPr>
      </w:pPr>
      <w:r>
        <w:rPr>
          <w:rFonts w:ascii="Arial" w:cs="Arial" w:eastAsia="Arial" w:hAnsi="Arial"/>
          <w:sz w:val="18"/>
          <w:szCs w:val="18"/>
          <w:b w:val="1"/>
          <w:bCs w:val="1"/>
          <w:i w:val="1"/>
          <w:iCs w:val="1"/>
          <w:color w:val="auto"/>
        </w:rPr>
        <w:t>As the number of special purpose acquisition companies increases, there may be more competition to find an attractive target for an initial business combination. This could increase the costs associated with completing our initial business combination and may result in our inability to find a suitable target for our initial business combination.</w:t>
      </w:r>
    </w:p>
    <w:p>
      <w:pPr>
        <w:spacing w:after="0" w:line="107" w:lineRule="exact"/>
        <w:rPr>
          <w:sz w:val="20"/>
          <w:szCs w:val="20"/>
          <w:color w:val="auto"/>
        </w:rPr>
      </w:pPr>
    </w:p>
    <w:p>
      <w:pPr>
        <w:ind w:left="1260" w:right="839" w:firstLine="360"/>
        <w:spacing w:after="0" w:line="324" w:lineRule="auto"/>
        <w:rPr>
          <w:sz w:val="20"/>
          <w:szCs w:val="20"/>
          <w:color w:val="auto"/>
        </w:rPr>
      </w:pPr>
      <w:r>
        <w:rPr>
          <w:rFonts w:ascii="Arial" w:cs="Arial" w:eastAsia="Arial" w:hAnsi="Arial"/>
          <w:sz w:val="16"/>
          <w:szCs w:val="16"/>
          <w:color w:val="auto"/>
        </w:rPr>
        <w:t>In recent years, the number of special purpose acquisition companies that have been formed has increased substantially. Many companies have entered into business combinations with special purpose</w:t>
      </w: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62" w:lineRule="auto"/>
        <w:rPr>
          <w:sz w:val="20"/>
          <w:szCs w:val="20"/>
          <w:color w:val="auto"/>
        </w:rPr>
      </w:pPr>
      <w:r>
        <w:rPr>
          <w:rFonts w:ascii="Arial" w:cs="Arial" w:eastAsia="Arial" w:hAnsi="Arial"/>
          <w:sz w:val="17"/>
          <w:szCs w:val="17"/>
          <w:color w:val="auto"/>
        </w:rPr>
        <w:t>acquisition companies, and there are still many special purpose acquisition companies seeking targets for their initial business combination, as well as many additional special purpose acquisition companies currently in registration. As a result, at times, fewer attractive targets may be available, and it may require more time, effort and resources to identify a suitable target for an initial business combination.</w:t>
      </w:r>
    </w:p>
    <w:p>
      <w:pPr>
        <w:spacing w:after="0" w:line="91"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 business combination. This could increase the cost of, delay or otherwise complicate or frustrate our ability to find a suitable target for and/or complete our initial business combination.</w:t>
      </w:r>
    </w:p>
    <w:p>
      <w:pPr>
        <w:spacing w:after="0" w:line="194"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negotiate and complete an initial business combination.</w:t>
      </w:r>
    </w:p>
    <w:p>
      <w:pPr>
        <w:spacing w:after="0" w:line="103"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In recent months, the market for directors and officers liability insurance for special purpose acquisition companies has changed. Fewer insurance companies are offering quotes for directors and officers liability coverage, the premiums charged for such policies have generally increased and the terms of such policies have generally become less favorable. There can be no assurance that these trends will not continue.</w:t>
      </w:r>
    </w:p>
    <w:p>
      <w:pPr>
        <w:spacing w:after="0" w:line="122"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110"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191" w:lineRule="exact"/>
        <w:rPr>
          <w:sz w:val="20"/>
          <w:szCs w:val="20"/>
          <w:color w:val="auto"/>
        </w:rPr>
      </w:pPr>
    </w:p>
    <w:p>
      <w:pPr>
        <w:ind w:left="1260" w:right="539"/>
        <w:spacing w:after="0" w:line="362" w:lineRule="auto"/>
        <w:rPr>
          <w:sz w:val="20"/>
          <w:szCs w:val="20"/>
          <w:color w:val="auto"/>
        </w:rPr>
      </w:pPr>
      <w:r>
        <w:rPr>
          <w:rFonts w:ascii="Arial" w:cs="Arial" w:eastAsia="Arial" w:hAnsi="Arial"/>
          <w:sz w:val="15"/>
          <w:szCs w:val="15"/>
          <w:b w:val="1"/>
          <w:bCs w:val="1"/>
          <w:i w:val="1"/>
          <w:iCs w:val="1"/>
          <w:color w:val="auto"/>
        </w:rPr>
        <w:t>If we effect our initial business combination with a company with operations or opportunities outside of the United States, we would be subject to a variety of additional risks that may negatively impact our operations.</w:t>
      </w:r>
    </w:p>
    <w:p>
      <w:pPr>
        <w:spacing w:after="0" w:line="33"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If our management team pursues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22" w:lineRule="exact"/>
        <w:rPr>
          <w:sz w:val="20"/>
          <w:szCs w:val="20"/>
          <w:color w:val="auto"/>
        </w:rPr>
      </w:pPr>
    </w:p>
    <w:p>
      <w:pPr>
        <w:jc w:val="both"/>
        <w:ind w:left="1260" w:right="519" w:firstLine="360"/>
        <w:spacing w:after="0" w:line="248"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60" w:lineRule="exact"/>
        <w:rPr>
          <w:sz w:val="20"/>
          <w:szCs w:val="20"/>
          <w:color w:val="auto"/>
        </w:rPr>
      </w:pPr>
    </w:p>
    <w:p>
      <w:pPr>
        <w:ind w:left="1800" w:right="65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costs and difficulties inherent in managing cross-border business operations and complying with different commercial and legal requirements of overseas markets;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tariffs and trade barriers;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payment cycles and challenges in collecting accounts receivable;</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issues, including but not limited to tax law changes and variations in tax laws as compared to the United States;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and wars;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 appropriations of assets.</w:t>
      </w:r>
    </w:p>
    <w:p>
      <w:pPr>
        <w:spacing w:after="0" w:line="15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results of operations and financial condition.</w:t>
      </w:r>
    </w:p>
    <w:p>
      <w:pPr>
        <w:spacing w:after="0" w:line="187" w:lineRule="exact"/>
        <w:rPr>
          <w:sz w:val="20"/>
          <w:szCs w:val="20"/>
          <w:color w:val="auto"/>
        </w:rPr>
      </w:pPr>
    </w:p>
    <w:p>
      <w:pPr>
        <w:ind w:left="1260" w:right="459"/>
        <w:spacing w:after="0" w:line="465" w:lineRule="auto"/>
        <w:rPr>
          <w:sz w:val="20"/>
          <w:szCs w:val="20"/>
          <w:color w:val="auto"/>
        </w:rPr>
      </w:pPr>
      <w:r>
        <w:rPr>
          <w:rFonts w:ascii="Arial" w:cs="Arial" w:eastAsia="Arial" w:hAnsi="Arial"/>
          <w:sz w:val="13"/>
          <w:szCs w:val="13"/>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1"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92" w:lineRule="exact"/>
        <w:rPr>
          <w:sz w:val="20"/>
          <w:szCs w:val="20"/>
          <w:color w:val="auto"/>
        </w:rPr>
      </w:pPr>
    </w:p>
    <w:p>
      <w:pPr>
        <w:ind w:left="1260" w:right="499"/>
        <w:spacing w:after="0" w:line="263" w:lineRule="auto"/>
        <w:rPr>
          <w:sz w:val="20"/>
          <w:szCs w:val="20"/>
          <w:color w:val="auto"/>
        </w:rPr>
      </w:pPr>
      <w:r>
        <w:rPr>
          <w:rFonts w:ascii="Arial" w:cs="Arial" w:eastAsia="Arial" w:hAnsi="Arial"/>
          <w:sz w:val="18"/>
          <w:szCs w:val="18"/>
          <w:b w:val="1"/>
          <w:bCs w:val="1"/>
          <w:i w:val="1"/>
          <w:iCs w:val="1"/>
          <w:color w:val="auto"/>
        </w:rPr>
        <w:t>We may issue notes or other debt securities, or otherwise incur substantial debt, to complete an initial business combination, which may adversely affect our leverage and financial condition and thus negatively impact the value of our stockholders’ investment in us.</w:t>
      </w:r>
    </w:p>
    <w:p>
      <w:pPr>
        <w:spacing w:after="0" w:line="103"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00" w:lineRule="exact"/>
        <w:rPr>
          <w:sz w:val="20"/>
          <w:szCs w:val="20"/>
          <w:color w:val="auto"/>
        </w:rPr>
      </w:pPr>
    </w:p>
    <w:p>
      <w:pPr>
        <w:ind w:left="1800" w:right="57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62"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75"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62" w:lineRule="exact"/>
        <w:rPr>
          <w:rFonts w:ascii="Arial" w:cs="Arial" w:eastAsia="Arial" w:hAnsi="Arial"/>
          <w:sz w:val="18"/>
          <w:szCs w:val="18"/>
          <w:color w:val="auto"/>
        </w:rPr>
      </w:pPr>
    </w:p>
    <w:p>
      <w:pPr>
        <w:ind w:left="1800" w:right="1139" w:hanging="180"/>
        <w:spacing w:after="0" w:line="308" w:lineRule="auto"/>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inability to obtain necessary additional financing if the debt security contains covenants restricting our ability to obtain such financing while the debt security is outstanding;</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39" w:hanging="180"/>
        <w:spacing w:after="0" w:line="311" w:lineRule="auto"/>
        <w:tabs>
          <w:tab w:leader="none" w:pos="1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40" w:lineRule="exact"/>
        <w:rPr>
          <w:rFonts w:ascii="Arial" w:cs="Arial" w:eastAsia="Arial" w:hAnsi="Arial"/>
          <w:sz w:val="16"/>
          <w:szCs w:val="16"/>
          <w:color w:val="auto"/>
        </w:rPr>
      </w:pPr>
    </w:p>
    <w:p>
      <w:pPr>
        <w:ind w:left="1800" w:right="95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48"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62" w:lineRule="exact"/>
        <w:rPr>
          <w:rFonts w:ascii="Arial" w:cs="Arial" w:eastAsia="Arial" w:hAnsi="Arial"/>
          <w:sz w:val="18"/>
          <w:szCs w:val="18"/>
          <w:color w:val="auto"/>
        </w:rPr>
      </w:pPr>
    </w:p>
    <w:p>
      <w:pPr>
        <w:ind w:left="1800" w:right="1279" w:hanging="180"/>
        <w:spacing w:after="0" w:line="308" w:lineRule="auto"/>
        <w:tabs>
          <w:tab w:leader="none" w:pos="1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limitations on our ability to borrow additional amounts for expenses, capital expenditures, acquisitions, debt service requirements, and execution of our strategy; and</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disadvantages compared to our competitors who have less debt.</w:t>
      </w:r>
    </w:p>
    <w:p>
      <w:pPr>
        <w:spacing w:after="0" w:line="225" w:lineRule="exact"/>
        <w:rPr>
          <w:sz w:val="20"/>
          <w:szCs w:val="20"/>
          <w:color w:val="auto"/>
        </w:rPr>
      </w:pPr>
    </w:p>
    <w:p>
      <w:pPr>
        <w:ind w:left="1260" w:right="519"/>
        <w:spacing w:after="0" w:line="243"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and the sale of the private warrants, which will cause us to be solely dependent on a single business which may have a limited number of services and limited operating activities. This lack of diversification may negatively impact our operating results and profitability.</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Of the net proceeds from this offering and the sale of the private warrants, $101,500,000 (or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$116,725,000 if the underwriters’ over-allotment option is exercised in full) will be available to complete</w:t>
      </w:r>
    </w:p>
    <w:p>
      <w:pPr>
        <w:ind w:left="1260"/>
        <w:spacing w:after="0"/>
        <w:rPr>
          <w:sz w:val="20"/>
          <w:szCs w:val="20"/>
          <w:color w:val="auto"/>
        </w:rPr>
      </w:pPr>
      <w:r>
        <w:rPr>
          <w:rFonts w:ascii="Arial" w:cs="Arial" w:eastAsia="Arial" w:hAnsi="Arial"/>
          <w:sz w:val="18"/>
          <w:szCs w:val="18"/>
          <w:color w:val="auto"/>
        </w:rPr>
        <w:t>our initial business combination and pay related fees and expenses.</w:t>
      </w:r>
    </w:p>
    <w:p>
      <w:pPr>
        <w:spacing w:after="0" w:line="115"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In addition, we intend to focus our search for an initial business combination in a single industry. Accordingly, the prospects for our success may be:</w:t>
      </w:r>
    </w:p>
    <w:p>
      <w:pPr>
        <w:spacing w:after="0" w:line="85" w:lineRule="exact"/>
        <w:rPr>
          <w:sz w:val="20"/>
          <w:szCs w:val="20"/>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17"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03" w:lineRule="exact"/>
        <w:rPr>
          <w:sz w:val="20"/>
          <w:szCs w:val="20"/>
          <w:color w:val="auto"/>
        </w:rPr>
      </w:pPr>
    </w:p>
    <w:p>
      <w:pPr>
        <w:jc w:val="both"/>
        <w:ind w:left="1260" w:right="699" w:firstLine="360"/>
        <w:spacing w:after="0" w:line="263"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84" w:lineRule="exact"/>
        <w:rPr>
          <w:sz w:val="20"/>
          <w:szCs w:val="20"/>
          <w:color w:val="auto"/>
        </w:rPr>
      </w:pPr>
    </w:p>
    <w:p>
      <w:pPr>
        <w:ind w:left="1260" w:right="559"/>
        <w:spacing w:after="0" w:line="286" w:lineRule="auto"/>
        <w:rPr>
          <w:sz w:val="20"/>
          <w:szCs w:val="20"/>
          <w:color w:val="auto"/>
        </w:rPr>
      </w:pPr>
      <w:r>
        <w:rPr>
          <w:rFonts w:ascii="Arial" w:cs="Arial" w:eastAsia="Arial" w:hAnsi="Arial"/>
          <w:sz w:val="17"/>
          <w:szCs w:val="17"/>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8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We do not, however, intend to purchase multiple businesses in unrelated industries in conjunction with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8"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an initial business combination with a company that is not as profitable as we suspected, if at all.</w:t>
      </w:r>
    </w:p>
    <w:p>
      <w:pPr>
        <w:spacing w:after="0" w:line="87"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In pursuing our initial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an initial business combination with a company that is not as profitable as we suspected, if at all.</w:t>
      </w:r>
    </w:p>
    <w:p>
      <w:pPr>
        <w:spacing w:after="0" w:line="189"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b w:val="1"/>
          <w:bCs w:val="1"/>
          <w:i w:val="1"/>
          <w:iCs w:val="1"/>
          <w:color w:val="auto"/>
        </w:rPr>
        <w:t>We may issue our shares to investors in connection with our initial business combination at a price that is less than the prevailing market price of our shares at that time.</w:t>
      </w:r>
    </w:p>
    <w:p>
      <w:pPr>
        <w:spacing w:after="0" w:line="90"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In connection with our initial business combination, we may issue shares to investors in private placement transactions (so-called PIPE transactions) at a price of $10.15 per share or which approximates the per-share amounts in our trust account at such time, which is generally approximately $10.15. The purpose of such issuances will be to enable us to provide sufficient liquidity to the post-business combination entity. The price of the shares we issue may therefore be less, and potentially significantly less, than the market price for our shares at such time.</w:t>
      </w:r>
    </w:p>
    <w:p>
      <w:pPr>
        <w:spacing w:after="0" w:line="91" w:lineRule="exact"/>
        <w:rPr>
          <w:sz w:val="20"/>
          <w:szCs w:val="20"/>
          <w:color w:val="auto"/>
        </w:rPr>
      </w:pPr>
    </w:p>
    <w:p>
      <w:pPr>
        <w:ind w:left="1620" w:hanging="360"/>
        <w:spacing w:after="0"/>
        <w:tabs>
          <w:tab w:leader="none" w:pos="16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Chardan, our Sponsor and Management Team</w:t>
      </w:r>
    </w:p>
    <w:p>
      <w:pPr>
        <w:spacing w:after="0" w:line="229" w:lineRule="exact"/>
        <w:rPr>
          <w:sz w:val="20"/>
          <w:szCs w:val="20"/>
          <w:color w:val="auto"/>
        </w:rPr>
      </w:pPr>
    </w:p>
    <w:p>
      <w:pPr>
        <w:jc w:val="both"/>
        <w:ind w:left="1260" w:right="579"/>
        <w:spacing w:after="0" w:line="389" w:lineRule="auto"/>
        <w:rPr>
          <w:sz w:val="20"/>
          <w:szCs w:val="20"/>
          <w:color w:val="auto"/>
        </w:rPr>
      </w:pPr>
      <w:r>
        <w:rPr>
          <w:rFonts w:ascii="Arial" w:cs="Arial" w:eastAsia="Arial" w:hAnsi="Arial"/>
          <w:sz w:val="13"/>
          <w:szCs w:val="13"/>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employ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 In addition, the officers and directors of an initial business combination candidate may resign upon completion of our initial business combination. The departure of an initial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initial business combination candidate’s management team will remain associated with the initial business combination candidate following our initial business combination, it is possible that members of the management of an initial business combination candidate will not wish to remain in place. The loss of key personnel could negatively impact the operations and profitability of our post-combination business.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We are dependent upon our officers and directors and their departure could adversely affect our ability to operate.</w:t>
      </w:r>
    </w:p>
    <w:p>
      <w:pPr>
        <w:spacing w:after="0" w:line="15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Our operations are dependent upon a relatively small group of individuals and, in particular, our officers and directors. We believe that our success depends on the continued service of our officers and directors, at least until we have completed our initial business combination. We do not have an employment agreement with, or key-man insurance on the life of, any of our directors or officers. The unexpected loss of the services of one or more of our directors or officers could have a detrimental effect on us.</w:t>
      </w:r>
    </w:p>
    <w:p>
      <w:pPr>
        <w:spacing w:after="0" w:line="174" w:lineRule="exact"/>
        <w:rPr>
          <w:sz w:val="20"/>
          <w:szCs w:val="20"/>
          <w:color w:val="auto"/>
        </w:rPr>
      </w:pPr>
    </w:p>
    <w:p>
      <w:pPr>
        <w:ind w:left="1260" w:right="519"/>
        <w:spacing w:after="0" w:line="270" w:lineRule="auto"/>
        <w:rPr>
          <w:sz w:val="20"/>
          <w:szCs w:val="20"/>
          <w:color w:val="auto"/>
        </w:rPr>
      </w:pPr>
      <w:r>
        <w:rPr>
          <w:rFonts w:ascii="Arial" w:cs="Arial" w:eastAsia="Arial" w:hAnsi="Arial"/>
          <w:sz w:val="17"/>
          <w:szCs w:val="17"/>
          <w:b w:val="1"/>
          <w:bCs w:val="1"/>
          <w:i w:val="1"/>
          <w:iCs w:val="1"/>
          <w:color w:val="auto"/>
        </w:rPr>
        <w:t>Since our sponsor, officers and directors will lose their entire investment in us if our initial business combination is not completed, a conflict of interest may arise in determining whether a particular business combination target is appropriate for our initial business combination.</w:t>
      </w:r>
    </w:p>
    <w:p>
      <w:pPr>
        <w:spacing w:after="0" w:line="83" w:lineRule="exact"/>
        <w:rPr>
          <w:sz w:val="20"/>
          <w:szCs w:val="20"/>
          <w:color w:val="auto"/>
        </w:rPr>
      </w:pPr>
    </w:p>
    <w:p>
      <w:pPr>
        <w:ind w:left="1260" w:right="519" w:firstLine="360"/>
        <w:spacing w:after="0" w:line="324" w:lineRule="auto"/>
        <w:rPr>
          <w:sz w:val="20"/>
          <w:szCs w:val="20"/>
          <w:color w:val="auto"/>
        </w:rPr>
      </w:pPr>
      <w:r>
        <w:rPr>
          <w:rFonts w:ascii="Arial" w:cs="Arial" w:eastAsia="Arial" w:hAnsi="Arial"/>
          <w:sz w:val="16"/>
          <w:szCs w:val="16"/>
          <w:color w:val="auto"/>
        </w:rPr>
        <w:t>On July 23, 2020, our sponsor purchased 1,000,000 shares of common stock for an aggregate purchase price of $25,000. On March 4, 2021, we effected a 2.875-for-1 stock split, resulting in 2,875,000 shares of</w:t>
      </w: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0" w:lineRule="auto"/>
        <w:rPr>
          <w:sz w:val="20"/>
          <w:szCs w:val="20"/>
          <w:color w:val="auto"/>
        </w:rPr>
      </w:pPr>
      <w:r>
        <w:rPr>
          <w:rFonts w:ascii="Arial" w:cs="Arial" w:eastAsia="Arial" w:hAnsi="Arial"/>
          <w:sz w:val="17"/>
          <w:szCs w:val="17"/>
          <w:color w:val="auto"/>
        </w:rPr>
        <w:t>common stock being held by our sponsor. Such founder shares include an aggregate of up to 375,000 shares that are subject to forfeiture to the extent that the underwriters’ over-allotment option is not exercised in full or in part. The number of founder shares issued was determined based on the expectation that such founder shares would represent 20% of the outstanding shares after this offering. The founder shares will be worthless if we do not complete an initial business combination. In addition, Chardan NexTech 2 Warrant Holdings LLC, an affiliate of our sponsor, has committed to purchase 4,200,000 warrants (or up to 4,442,183 warrants depending on the extent to which the underwriters’ over-allotment option is exercised) at a price of approximately $0.93 per warrant ( $3,902,000 (or up to $4,127,000 depending on the extent to which the underwriters’ over-allotment option is exercised)) that will also be worthless if we do not consummate our initial business combination. Holders of founder shares and private warrants have agreed</w:t>
      </w:r>
    </w:p>
    <w:p>
      <w:pPr>
        <w:spacing w:after="0" w:line="5" w:lineRule="exact"/>
        <w:rPr>
          <w:sz w:val="20"/>
          <w:szCs w:val="20"/>
          <w:color w:val="auto"/>
        </w:rPr>
      </w:pPr>
    </w:p>
    <w:p>
      <w:pPr>
        <w:ind w:left="1260" w:right="519"/>
        <w:spacing w:after="0" w:line="252" w:lineRule="auto"/>
        <w:tabs>
          <w:tab w:leader="none" w:pos="1569"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vote any shares owned by them in favor of any proposed initial business combination and (B) not to redeem any founder shares in connection with a stockholder vote to approve a proposed initial business combination. In addition, any loans from our sponsor will not be repaid if our business combination is not consummated. In addition, we may obtain loans from our sponsor, affiliates of our sponsor or an officer or director.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w:t>
      </w:r>
    </w:p>
    <w:p>
      <w:pPr>
        <w:spacing w:after="0" w:line="154" w:lineRule="exact"/>
        <w:rPr>
          <w:sz w:val="20"/>
          <w:szCs w:val="20"/>
          <w:color w:val="auto"/>
        </w:rPr>
      </w:pPr>
    </w:p>
    <w:p>
      <w:pPr>
        <w:ind w:left="1260" w:right="519"/>
        <w:spacing w:after="0" w:line="284" w:lineRule="auto"/>
        <w:rPr>
          <w:sz w:val="20"/>
          <w:szCs w:val="20"/>
          <w:color w:val="auto"/>
        </w:rPr>
      </w:pPr>
      <w:r>
        <w:rPr>
          <w:rFonts w:ascii="Arial" w:cs="Arial" w:eastAsia="Arial" w:hAnsi="Arial"/>
          <w:sz w:val="16"/>
          <w:szCs w:val="16"/>
          <w:b w:val="1"/>
          <w:bCs w:val="1"/>
          <w:i w:val="1"/>
          <w:iCs w:val="1"/>
          <w:color w:val="auto"/>
        </w:rPr>
        <w:t>Since our officers and directors will not be eligible to be reimbursed for their out-of-pocket expenses, and our sponsor will not be eligible to be repaid for loans our sponsor has provided to us, if our business combination is not completed, a conflict of interest may arise in determining whether a particular business combination target is appropriate for our initial business combination.</w:t>
      </w:r>
    </w:p>
    <w:p>
      <w:pPr>
        <w:spacing w:after="0" w:line="61"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Our officers and directors, or any of their respective affiliates, will be reimbursed for any out-of-pocket expenses incurred in connection with activities on our behalf such as identifying potential target businesses and performing due diligence on suitable business combinations. Reimbursement for such expenses will be paid by us out of loans by our sponsor and interest earned on the trust account. There is no cap or ceiling on the reimbursement of out- of-pocket expenses incurred in connection with activities on our behalf. In addition, at the closing of our initial business combination, our sponsor will be repaid an aggregate of up to $250,000 in loans, which our sponsor has committed to cover working capital costs and to finance transaction costs in connection with an intended initial business combination following this offering, in addition to any additional loans our sponsor chooses to make. These financial interests of our sponsor, officers and directors may influence their motivation in identifying and selecting a target business combination and completing an initial business combination.</w:t>
      </w:r>
    </w:p>
    <w:p>
      <w:pPr>
        <w:spacing w:after="0" w:line="168" w:lineRule="exact"/>
        <w:rPr>
          <w:sz w:val="20"/>
          <w:szCs w:val="20"/>
          <w:color w:val="auto"/>
        </w:rPr>
      </w:pPr>
    </w:p>
    <w:p>
      <w:pPr>
        <w:ind w:left="1260" w:right="459"/>
        <w:spacing w:after="0" w:line="270" w:lineRule="auto"/>
        <w:rPr>
          <w:sz w:val="20"/>
          <w:szCs w:val="20"/>
          <w:color w:val="auto"/>
        </w:rPr>
      </w:pPr>
      <w:r>
        <w:rPr>
          <w:rFonts w:ascii="Arial" w:cs="Arial" w:eastAsia="Arial" w:hAnsi="Arial"/>
          <w:sz w:val="17"/>
          <w:szCs w:val="17"/>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69"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Our officers and directors are not required to, and will not, commit their full time to our affairs, which may result in a conflict of interest in allocating their time between our operations and our search for an initial 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In particular, our officers and non-independent directors are employed by Chardan and/or certain of its affiliates and our other directors are employees of other companies. Our directors and officers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“Management — Directors and Officers.”</w:t>
      </w:r>
    </w:p>
    <w:p>
      <w:pPr>
        <w:spacing w:after="0" w:line="164" w:lineRule="exact"/>
        <w:rPr>
          <w:sz w:val="20"/>
          <w:szCs w:val="20"/>
          <w:color w:val="auto"/>
        </w:rPr>
      </w:pPr>
    </w:p>
    <w:p>
      <w:pPr>
        <w:ind w:left="1260" w:right="479"/>
        <w:spacing w:after="0" w:line="243" w:lineRule="auto"/>
        <w:rPr>
          <w:sz w:val="20"/>
          <w:szCs w:val="20"/>
          <w:color w:val="auto"/>
        </w:rPr>
      </w:pPr>
      <w:r>
        <w:rPr>
          <w:rFonts w:ascii="Arial" w:cs="Arial" w:eastAsia="Arial" w:hAnsi="Arial"/>
          <w:sz w:val="18"/>
          <w:szCs w:val="18"/>
          <w:b w:val="1"/>
          <w:bCs w:val="1"/>
          <w:i w:val="1"/>
          <w:iCs w:val="1"/>
          <w:color w:val="auto"/>
        </w:rPr>
        <w:t>All of our officers and directors are now, and all of them may in the future become, affiliated with entities engaged in business activities similar to those intended to be conducted by us and, accordingly, may have conflicts of interest in allocating their time and determining to which entity a particular business opportunity or other transaction should be presented.</w:t>
      </w:r>
    </w:p>
    <w:p>
      <w:pPr>
        <w:spacing w:after="0" w:line="93" w:lineRule="exact"/>
        <w:rPr>
          <w:sz w:val="20"/>
          <w:szCs w:val="20"/>
          <w:color w:val="auto"/>
        </w:rPr>
      </w:pPr>
    </w:p>
    <w:p>
      <w:pPr>
        <w:ind w:left="1260" w:right="499" w:firstLine="360"/>
        <w:spacing w:after="0" w:line="291"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Our officers</w:t>
      </w:r>
    </w:p>
    <w:p>
      <w:pPr>
        <w:sectPr>
          <w:pgSz w:w="11900" w:h="16838" w:orient="portrait"/>
          <w:cols w:equalWidth="0" w:num="1">
            <w:col w:w="9879"/>
          </w:cols>
          <w:pgMar w:left="580" w:top="132"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4" w:lineRule="auto"/>
        <w:rPr>
          <w:sz w:val="20"/>
          <w:szCs w:val="20"/>
          <w:color w:val="auto"/>
        </w:rPr>
      </w:pPr>
      <w:r>
        <w:rPr>
          <w:rFonts w:ascii="Arial" w:cs="Arial" w:eastAsia="Arial" w:hAnsi="Arial"/>
          <w:sz w:val="17"/>
          <w:szCs w:val="17"/>
          <w:color w:val="auto"/>
        </w:rPr>
        <w:t>and directors are, and may in the future become, affiliated with entities (such as operating companies or investment vehicles) that are engaged in a similar business, including an Affiliated SPAC. In order to minimize potential conflicts of interest which may arise from multiple affiliations, our officers who are also officers of any Affiliated SPAC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w:t>
      </w:r>
    </w:p>
    <w:p>
      <w:pPr>
        <w:spacing w:after="0" w:line="100"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We do not have employment contracts with our officers and directors that will limit their ability to work at other businesses. In addition, our officers and directors may become an officer or director of any other special purpose acquisition company with a class of securities registered under the Exchange Act even if we have not yet entered into a definitive agreement regarding our initial business combination. As a result, our officers or directors could have conflicts of interest in determining whether to present business combination opportunities to us or to any other blank check company with which they may become involved.</w:t>
      </w:r>
    </w:p>
    <w:p>
      <w:pPr>
        <w:spacing w:after="0" w:line="123"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an Affiliated SPAC. Our officers and directors also may become aware of business opportunities which may be appropriate for presentation to us and the other entities to which they owe certain fiduciary, contractual or other duties.</w:t>
      </w:r>
    </w:p>
    <w:p>
      <w:pPr>
        <w:spacing w:after="0" w:line="122"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112"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For a complete discussion of our officers’ and directors’ business affiliations and the potential conflicts of interest that you should be aware of, please see the sections of this prospectus entitled “Management — Directors and Officers,” “Management — Conflicts of Interest” and “Certain Relationships and Related Party Transactions.”</w:t>
      </w:r>
    </w:p>
    <w:p>
      <w:pPr>
        <w:spacing w:after="0" w:line="188" w:lineRule="exact"/>
        <w:rPr>
          <w:sz w:val="20"/>
          <w:szCs w:val="20"/>
          <w:color w:val="auto"/>
        </w:rPr>
      </w:pPr>
    </w:p>
    <w:p>
      <w:pPr>
        <w:ind w:left="1260" w:right="539"/>
        <w:spacing w:after="0" w:line="261" w:lineRule="auto"/>
        <w:rPr>
          <w:sz w:val="20"/>
          <w:szCs w:val="20"/>
          <w:color w:val="auto"/>
        </w:rPr>
      </w:pPr>
      <w:r>
        <w:rPr>
          <w:rFonts w:ascii="Arial" w:cs="Arial" w:eastAsia="Arial" w:hAnsi="Arial"/>
          <w:sz w:val="18"/>
          <w:szCs w:val="18"/>
          <w:b w:val="1"/>
          <w:bCs w:val="1"/>
          <w:i w:val="1"/>
          <w:iCs w:val="1"/>
          <w:color w:val="auto"/>
        </w:rPr>
        <w:t>Our officers, directors, security holders and their respective affiliates may have competitive pecuniary interests that conflict with our interests.</w:t>
      </w:r>
    </w:p>
    <w:p>
      <w:pPr>
        <w:spacing w:after="0" w:line="103"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an initial business combination with a target business that is affiliated with our sponsor, our directors or officers, although we do not intend to do so, or we may acquire a target business through an Affiliated Joint Acquisition with one or more affiliates of Chardan.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13"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In particular, Chardan, its respective affiliates, our directors and our officers have invested, and may in the future invest, in a broad array of sectors, including those in which our company may invest, and are also focused on acquisitions and investments in industries in which we may search for a target business. As a result, there may be substantial overlap between companies that would be a suitable business combination for us and companies that would make an attractive target for such other affiliates.</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48" w:lineRule="auto"/>
        <w:rPr>
          <w:sz w:val="20"/>
          <w:szCs w:val="20"/>
          <w:color w:val="auto"/>
        </w:rPr>
      </w:pPr>
      <w:r>
        <w:rPr>
          <w:rFonts w:ascii="Arial" w:cs="Arial" w:eastAsia="Arial" w:hAnsi="Arial"/>
          <w:sz w:val="18"/>
          <w:szCs w:val="18"/>
          <w:b w:val="1"/>
          <w:bCs w:val="1"/>
          <w:i w:val="1"/>
          <w:iCs w:val="1"/>
          <w:color w:val="auto"/>
        </w:rPr>
        <w:t>We may engage in an initial business combination with one or more target businesses that have relationships with entities that may be affiliated with our sponsor, officers, directors or existing holders which may raise potential conflicts of interest.</w:t>
      </w:r>
    </w:p>
    <w:p>
      <w:pPr>
        <w:spacing w:after="0" w:line="101"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In light of the involvement of our sponsor, officers and directors with other businesses, we may decide to acquire one or more businesses affiliated or competitive with our sponsor, officers or directors or their respective affiliates. Our officers and directors also serve as officers and board members for other entities, including, without limitation, those described under the section of this prospectus entitled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an initial business combination with any such entity or entities. Although we will not be specifically focusing on, or targeting, any transaction with any affiliated entities, we would pursue such a transaction if we determined that such affiliated entity met our criteria for an initial business combination as set forth in the section of this prospectus entitled “Proposed Business — Effecting a Business Combination — Selection of a Target Business and Structuring of a Business Combination” and such transaction was approved by a majority of our independent and disinterested directors. Despite our agreement to obtain an opinion from an independent investment banking firm or another independent firm that commonly renders valuation opinions regarding the fairness to our stockholders from a financial point of view of an initial business combination with one or more domestic or international businesses affiliated with our officers, directors or existing holders, potential conflicts of interest still may exist and, as a result, the terms of the initial business combination may not be as advantageous to our public stockholders as they would be absent any conflicts of interest. In order to satisfy applicable regulatory or other legal requirements applicable to an Affiliated Joint Acquisition, our initial business combination may be effected on less favorable terms than otherwise would apply if the initial business combination were not an Affiliated Joint Acquisition.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We may acquire a target business through an Affiliated Joint Acquisition with one or more affiliates of Chardan.</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This may result in conflicts of interest as well as dilutive issuances of our securities.</w:t>
      </w:r>
    </w:p>
    <w:p>
      <w:pPr>
        <w:spacing w:after="0" w:line="12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We may, at our option, pursue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Accordingly, such persons or entities may have a conflict between their interests and ours.</w:t>
      </w:r>
    </w:p>
    <w:p>
      <w:pPr>
        <w:spacing w:after="0" w:line="195" w:lineRule="exact"/>
        <w:rPr>
          <w:sz w:val="20"/>
          <w:szCs w:val="20"/>
          <w:color w:val="auto"/>
        </w:rPr>
      </w:pPr>
    </w:p>
    <w:p>
      <w:pPr>
        <w:ind w:left="1260" w:right="939"/>
        <w:spacing w:after="0" w:line="291" w:lineRule="auto"/>
        <w:rPr>
          <w:sz w:val="20"/>
          <w:szCs w:val="20"/>
          <w:color w:val="auto"/>
        </w:rPr>
      </w:pPr>
      <w:r>
        <w:rPr>
          <w:rFonts w:ascii="Arial" w:cs="Arial" w:eastAsia="Arial" w:hAnsi="Arial"/>
          <w:sz w:val="17"/>
          <w:szCs w:val="17"/>
          <w:b w:val="1"/>
          <w:bCs w:val="1"/>
          <w:i w:val="1"/>
          <w:iCs w:val="1"/>
          <w:color w:val="auto"/>
        </w:rPr>
        <w:t>We may compete with other affiliates of Chardan for acquisition opportunities for our company, which could negatively impact our ability to locate a suitable business combination.</w:t>
      </w:r>
    </w:p>
    <w:p>
      <w:pPr>
        <w:spacing w:after="0" w:line="79"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Our business strategy may overlap with some of the strategies of Chardan and certain of its other affiliates. In order to minimize potential conflicts of interest which may arise from multiple affiliations, our officers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In addition, Chardan and its affiliates specialize in financial services and real estate services and finance for institutional customers operating in the global financial and commercial real estate markets. Acquisition opportunities that may be of interest to us may come to those other affiliates instead of us or may be pursued by those affiliates. Our affiliates are not restricted from competing with our business and none of our affiliates are required to refer any such opportunities to us. Our sponsor and its affiliates face conflicts of interest relating to performing services on our behalf and</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63" w:lineRule="auto"/>
        <w:rPr>
          <w:sz w:val="20"/>
          <w:szCs w:val="20"/>
          <w:color w:val="auto"/>
        </w:rPr>
      </w:pPr>
      <w:r>
        <w:rPr>
          <w:rFonts w:ascii="Arial" w:cs="Arial" w:eastAsia="Arial" w:hAnsi="Arial"/>
          <w:sz w:val="18"/>
          <w:szCs w:val="18"/>
          <w:color w:val="auto"/>
        </w:rPr>
        <w:t>allocating investment opportunities to us, and such conflicts may not be resolved in our favor, meaning we could find less suitable acquisition opportunities which could limit our ability to find a business combination that we find attractive.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Our management may not be able to maintain control of a target business after our initial business combination.</w:t>
      </w:r>
    </w:p>
    <w:p>
      <w:pPr>
        <w:spacing w:after="0" w:line="179"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We may structure an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initial business combination may collectively own a minority interest in the post business combination company, depending on valuations ascribed to the target and us in the initial business combination. For example, we could pursue a transaction in which we issue a substantial number of new shares of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 We cannot provide assurance that, upon loss of control of a target business, new management will possess the skills, qualifications or abilities necessary to profitably operate such business.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III. Risks Relating to our Securities</w:t>
      </w:r>
    </w:p>
    <w:p>
      <w:pPr>
        <w:spacing w:after="0" w:line="229" w:lineRule="exact"/>
        <w:rPr>
          <w:sz w:val="20"/>
          <w:szCs w:val="20"/>
          <w:color w:val="auto"/>
        </w:rPr>
      </w:pPr>
    </w:p>
    <w:p>
      <w:pPr>
        <w:ind w:left="1260" w:right="479"/>
        <w:spacing w:after="0" w:line="340" w:lineRule="auto"/>
        <w:rPr>
          <w:sz w:val="20"/>
          <w:szCs w:val="20"/>
          <w:color w:val="auto"/>
        </w:rPr>
      </w:pPr>
      <w:r>
        <w:rPr>
          <w:rFonts w:ascii="Arial" w:cs="Arial" w:eastAsia="Arial" w:hAnsi="Arial"/>
          <w:sz w:val="15"/>
          <w:szCs w:val="15"/>
          <w:b w:val="1"/>
          <w:bCs w:val="1"/>
          <w:i w:val="1"/>
          <w:iCs w:val="1"/>
          <w:color w:val="auto"/>
        </w:rPr>
        <w:t>The securities in which we invest the proceeds held in the trust account could bear a negative rate of interest, which could reduce the interest income available for payment of taxes or reduce the value of the assets held in trust such that the per-share redemption amount received by stockholders may be less than $10.15 per share.</w:t>
      </w:r>
    </w:p>
    <w:p>
      <w:pPr>
        <w:spacing w:after="0" w:line="63"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The net proceeds of this offering and certain proceeds from the sale of the private placement warrants, in the amount of $101,500,000 (or $116,725,000 if the over-allotment option is exercised in full), will be held in an interest-bearing trust account. The proceeds held in the trust account may only be invested only in U.S. government treasury bills with a maturity of 185 days or less or in money market funds meeting certain conditions under Rule 2a-7 under the Investment Company Act which invest only in direct U.S. government treasury obligations. While short-term U.S.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of very low or negative yields, the amount of interest income (which we may use to pay our taxes, if any) would be reduced. In the event that we are unable to complete our initial business combination, our public stockholders are entitled to receive their pro-rata share of the proceeds then held in the trust account, plus any interest income (less up to $100,000 of interest to pay dissolution expenses). If the balance of the trust account is reduced below $101,500,000 (or $116,725,000 if the over-allotment option is exercised in full) as a result of negative interest rates, the amount of funds in the trust account available for distribution to our public stockholders may be reduced below $10.15 per share.</w:t>
      </w:r>
    </w:p>
    <w:p>
      <w:pPr>
        <w:spacing w:after="0" w:line="180" w:lineRule="exact"/>
        <w:rPr>
          <w:sz w:val="20"/>
          <w:szCs w:val="20"/>
          <w:color w:val="auto"/>
        </w:rPr>
      </w:pPr>
    </w:p>
    <w:p>
      <w:pPr>
        <w:ind w:left="1260" w:right="519"/>
        <w:spacing w:after="0" w:line="263" w:lineRule="auto"/>
        <w:rPr>
          <w:sz w:val="20"/>
          <w:szCs w:val="20"/>
          <w:color w:val="auto"/>
        </w:rPr>
      </w:pPr>
      <w:r>
        <w:rPr>
          <w:rFonts w:ascii="Arial" w:cs="Arial" w:eastAsia="Arial" w:hAnsi="Arial"/>
          <w:sz w:val="18"/>
          <w:szCs w:val="18"/>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03"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restrictions on the nature of our investments; and</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5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addition, we may have imposed upon us burdensome requirements, including:</w:t>
      </w:r>
    </w:p>
    <w:p>
      <w:pPr>
        <w:spacing w:after="0" w:line="117" w:lineRule="exact"/>
        <w:rPr>
          <w:sz w:val="20"/>
          <w:szCs w:val="20"/>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17"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 that we are not currently subject to.</w:t>
      </w:r>
    </w:p>
    <w:p>
      <w:pPr>
        <w:spacing w:after="0" w:line="103"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an initial business combination and thereafter to operate the post- transaction business or assets for the long term. We do not plan to buy businesses or assets with a view to resale or profit from their resale. We do not plan to buy unrelated businesses or assets or to be a passive investor.</w:t>
      </w:r>
    </w:p>
    <w:p>
      <w:pPr>
        <w:spacing w:after="0" w:line="100"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w:t>
      </w:r>
    </w:p>
    <w:p>
      <w:pPr>
        <w:spacing w:after="0" w:line="118"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The trust account is intended as a holding place for funds pending the earliest to occur of: (i) the completion of our initial business combination;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12 months (or up to 18 months, as applicable) from the closing of this offering or (B) with respect to any other provision relating to stockholders’ rights or pre-initial business combination activity; or</w:t>
      </w:r>
    </w:p>
    <w:p>
      <w:pPr>
        <w:spacing w:after="0" w:line="2" w:lineRule="exact"/>
        <w:rPr>
          <w:sz w:val="20"/>
          <w:szCs w:val="20"/>
          <w:color w:val="auto"/>
        </w:rPr>
      </w:pPr>
    </w:p>
    <w:p>
      <w:pPr>
        <w:ind w:left="1260" w:right="419"/>
        <w:spacing w:after="0" w:line="251" w:lineRule="auto"/>
        <w:tabs>
          <w:tab w:leader="none" w:pos="1596" w:val="left"/>
        </w:tabs>
        <w:numPr>
          <w:ilvl w:val="0"/>
          <w:numId w:val="26"/>
        </w:numPr>
        <w:rPr>
          <w:rFonts w:ascii="Arial" w:cs="Arial" w:eastAsia="Arial" w:hAnsi="Arial"/>
          <w:sz w:val="17"/>
          <w:szCs w:val="17"/>
          <w:color w:val="auto"/>
        </w:rPr>
      </w:pPr>
      <w:r>
        <w:rPr>
          <w:rFonts w:ascii="Arial" w:cs="Arial" w:eastAsia="Arial" w:hAnsi="Arial"/>
          <w:sz w:val="17"/>
          <w:szCs w:val="17"/>
          <w:color w:val="auto"/>
        </w:rPr>
        <w:t>absent an initial business combination within 12 months (or up to 18 months, as applicable) from the closing of this offering,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an initial business combination or may result in our liquidation. If we are unable to complete our initial business combination, our public stockholders may receive only approximately $10.15 per share, or less in certain circumstances, on the liquidation of our trust account and our warrants will expire worthless.</w:t>
      </w:r>
    </w:p>
    <w:p>
      <w:pPr>
        <w:spacing w:after="0" w:line="183" w:lineRule="exact"/>
        <w:rPr>
          <w:sz w:val="20"/>
          <w:szCs w:val="20"/>
          <w:color w:val="auto"/>
        </w:rPr>
      </w:pPr>
    </w:p>
    <w:p>
      <w:pPr>
        <w:jc w:val="both"/>
        <w:ind w:left="1260" w:right="479"/>
        <w:spacing w:after="0" w:line="322" w:lineRule="auto"/>
        <w:rPr>
          <w:sz w:val="20"/>
          <w:szCs w:val="20"/>
          <w:color w:val="auto"/>
        </w:rPr>
      </w:pPr>
      <w:r>
        <w:rPr>
          <w:rFonts w:ascii="Arial" w:cs="Arial" w:eastAsia="Arial" w:hAnsi="Arial"/>
          <w:sz w:val="15"/>
          <w:szCs w:val="15"/>
          <w:b w:val="1"/>
          <w:bCs w:val="1"/>
          <w:i w:val="1"/>
          <w:iCs w:val="1"/>
          <w:color w:val="auto"/>
        </w:rPr>
        <w:t>If we seek stockholder approval of our initial business combination and we do not conduct redemptions pursuant to the tender offer rules, and if you or a “group” of stockholders are deemed to hold in excess of 15% of our common stock, you will lose the ability to redeem all such shares in excess of 15% of our common stock.</w:t>
      </w:r>
    </w:p>
    <w:p>
      <w:pPr>
        <w:spacing w:after="0" w:line="62"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8" w:lineRule="auto"/>
        <w:rPr>
          <w:sz w:val="20"/>
          <w:szCs w:val="20"/>
          <w:color w:val="auto"/>
        </w:rPr>
      </w:pPr>
      <w:r>
        <w:rPr>
          <w:rFonts w:ascii="Arial" w:cs="Arial" w:eastAsia="Arial" w:hAnsi="Arial"/>
          <w:sz w:val="18"/>
          <w:szCs w:val="18"/>
          <w:color w:val="auto"/>
        </w:rPr>
        <w:t>defined under Section 13 of the Exchange Act), will be restricted from seeking redemption rights with respect to more than an aggregate of 15% of the shares sold in this offering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stock in open market transactions, potentially at a loss.</w:t>
      </w:r>
    </w:p>
    <w:p>
      <w:pPr>
        <w:spacing w:after="0" w:line="188" w:lineRule="exact"/>
        <w:rPr>
          <w:sz w:val="20"/>
          <w:szCs w:val="20"/>
          <w:color w:val="auto"/>
        </w:rPr>
      </w:pPr>
    </w:p>
    <w:p>
      <w:pPr>
        <w:ind w:left="1260" w:right="1119"/>
        <w:spacing w:after="0" w:line="342" w:lineRule="auto"/>
        <w:rPr>
          <w:sz w:val="20"/>
          <w:szCs w:val="20"/>
          <w:color w:val="auto"/>
        </w:rPr>
      </w:pPr>
      <w:r>
        <w:rPr>
          <w:rFonts w:ascii="Arial" w:cs="Arial" w:eastAsia="Arial" w:hAnsi="Arial"/>
          <w:sz w:val="16"/>
          <w:szCs w:val="16"/>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43"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We have applied to have our units listed on Nasdaq. We expect that our units will be listed on Nasdaq on or promptly after the date of this prospectus. Following the date the shares of our common stock and warrants are eligible to trade separately, we anticipate that the shares of our common stock and warrants will be separately listed on Nasdaq. Although after giving effect to this offering we expect to meet, on a</w:t>
      </w:r>
    </w:p>
    <w:p>
      <w:pPr>
        <w:spacing w:after="0" w:line="2" w:lineRule="exact"/>
        <w:rPr>
          <w:sz w:val="20"/>
          <w:szCs w:val="20"/>
          <w:color w:val="auto"/>
        </w:rPr>
      </w:pPr>
    </w:p>
    <w:p>
      <w:pPr>
        <w:ind w:left="1260" w:right="439"/>
        <w:spacing w:after="0" w:line="267" w:lineRule="auto"/>
        <w:rPr>
          <w:sz w:val="20"/>
          <w:szCs w:val="20"/>
          <w:color w:val="auto"/>
        </w:rPr>
      </w:pPr>
      <w:r>
        <w:rPr>
          <w:rFonts w:ascii="Arial" w:cs="Arial" w:eastAsia="Arial" w:hAnsi="Arial"/>
          <w:sz w:val="17"/>
          <w:szCs w:val="17"/>
          <w:color w:val="auto"/>
        </w:rPr>
        <w:t>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our stockholders’ equity would generally be required to be at least $5.0 million and we would be required to have a minimum of 300 round lot holders (with at least 50% of such round lot holders holding securities with a market value of at least $2,500) of our securities. We cannot assure you that we will be able to meet those initial listing requirements at that time.</w:t>
      </w:r>
    </w:p>
    <w:p>
      <w:pPr>
        <w:spacing w:after="0" w:line="115" w:lineRule="exact"/>
        <w:rPr>
          <w:sz w:val="20"/>
          <w:szCs w:val="20"/>
          <w:color w:val="auto"/>
        </w:rPr>
      </w:pPr>
    </w:p>
    <w:p>
      <w:pPr>
        <w:ind w:left="1260" w:right="419" w:firstLine="360"/>
        <w:spacing w:after="0" w:line="286" w:lineRule="auto"/>
        <w:rPr>
          <w:sz w:val="20"/>
          <w:szCs w:val="20"/>
          <w:color w:val="auto"/>
        </w:rPr>
      </w:pPr>
      <w:r>
        <w:rPr>
          <w:rFonts w:ascii="Arial" w:cs="Arial" w:eastAsia="Arial" w:hAnsi="Arial"/>
          <w:sz w:val="17"/>
          <w:szCs w:val="17"/>
          <w:color w:val="auto"/>
        </w:rPr>
        <w:t>If Nasdaq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p>
      <w:pPr>
        <w:spacing w:after="0" w:line="57" w:lineRule="exact"/>
        <w:rPr>
          <w:sz w:val="20"/>
          <w:szCs w:val="20"/>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17" w:lineRule="exact"/>
        <w:rPr>
          <w:rFonts w:ascii="Arial" w:cs="Arial" w:eastAsia="Arial" w:hAnsi="Arial"/>
          <w:sz w:val="18"/>
          <w:szCs w:val="18"/>
          <w:color w:val="auto"/>
        </w:rPr>
      </w:pPr>
    </w:p>
    <w:p>
      <w:pPr>
        <w:ind w:left="1800" w:right="579"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common stock and warrants will be listed on Nasdaq, our units, common stock and warrants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w:t>
      </w:r>
    </w:p>
    <w:p>
      <w:pPr>
        <w:sectPr>
          <w:pgSz w:w="11900" w:h="16838" w:orient="portrait"/>
          <w:cols w:equalWidth="0" w:num="1">
            <w:col w:w="9879"/>
          </w:cols>
          <w:pgMar w:left="580" w:top="132"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77" w:lineRule="auto"/>
        <w:rPr>
          <w:sz w:val="20"/>
          <w:szCs w:val="20"/>
          <w:color w:val="auto"/>
        </w:rPr>
      </w:pPr>
      <w:r>
        <w:rPr>
          <w:rFonts w:ascii="Arial" w:cs="Arial" w:eastAsia="Arial" w:hAnsi="Arial"/>
          <w:sz w:val="18"/>
          <w:szCs w:val="18"/>
          <w:color w:val="auto"/>
        </w:rPr>
        <w:t>would be subject to regulation in each state in which we offer our securities, including in connection with our initial business combination.</w:t>
      </w:r>
    </w:p>
    <w:p>
      <w:pPr>
        <w:spacing w:after="0" w:line="170" w:lineRule="exact"/>
        <w:rPr>
          <w:sz w:val="20"/>
          <w:szCs w:val="20"/>
          <w:color w:val="auto"/>
        </w:rPr>
      </w:pPr>
    </w:p>
    <w:p>
      <w:pPr>
        <w:ind w:left="1260" w:right="719"/>
        <w:spacing w:after="0" w:line="342" w:lineRule="auto"/>
        <w:rPr>
          <w:sz w:val="20"/>
          <w:szCs w:val="20"/>
          <w:color w:val="auto"/>
        </w:rPr>
      </w:pPr>
      <w:r>
        <w:rPr>
          <w:rFonts w:ascii="Arial" w:cs="Arial" w:eastAsia="Arial" w:hAnsi="Arial"/>
          <w:sz w:val="16"/>
          <w:szCs w:val="16"/>
          <w:b w:val="1"/>
          <w:bCs w:val="1"/>
          <w:i w:val="1"/>
          <w:iCs w:val="1"/>
          <w:color w:val="auto"/>
        </w:rPr>
        <w:t>Our sponsor paid an aggregate of $25,000, or approximately $0.01 per founder share, and, accordingly, you will experience immediate and substantial dilution from the purchase of the founder shares.</w:t>
      </w:r>
    </w:p>
    <w:p>
      <w:pPr>
        <w:spacing w:after="0" w:line="43"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The difference between the public offering price per share (allocating all of the unit purchase price to the common stock and none to the warrant included in the unit) and the pro forma net tangible book value per share of our common stock after this offering constitutes the dilution to you and the other investors in this offering. Our initial stockholders acquired the founder shares at a nominal price, significantly contributing to this dilution. Upon the closing of this offering, and assuming no value is ascribed to the warrants included in the units, you and the other public stockholders will incur an immediate and substantial dilution of approximately 84.1% (or $8.41 per share, assuming no exercise of the underwriters’ over-allotment option), the difference between the pro forma net tangible book value per share of $1.59 and the initial offering price of $10.00 per unit. In addition, because of the anti-dilution rights of the founder shares, any equity or equity-linked securities issued or deemed issued in connection with our initial business combination would be disproportionately dilutive to our common stock.</w:t>
      </w:r>
    </w:p>
    <w:p>
      <w:pPr>
        <w:spacing w:after="0" w:line="182" w:lineRule="exact"/>
        <w:rPr>
          <w:sz w:val="20"/>
          <w:szCs w:val="20"/>
          <w:color w:val="auto"/>
        </w:rPr>
      </w:pPr>
    </w:p>
    <w:p>
      <w:pPr>
        <w:jc w:val="both"/>
        <w:ind w:left="1260" w:right="499"/>
        <w:spacing w:after="0" w:line="311" w:lineRule="auto"/>
        <w:rPr>
          <w:sz w:val="20"/>
          <w:szCs w:val="20"/>
          <w:color w:val="auto"/>
        </w:rPr>
      </w:pPr>
      <w:r>
        <w:rPr>
          <w:rFonts w:ascii="Arial" w:cs="Arial" w:eastAsia="Arial" w:hAnsi="Arial"/>
          <w:sz w:val="16"/>
          <w:szCs w:val="16"/>
          <w:b w:val="1"/>
          <w:bCs w:val="1"/>
          <w:i w:val="1"/>
          <w:iCs w:val="1"/>
          <w:color w:val="auto"/>
        </w:rPr>
        <w:t>We may issue additional common stock or preferred stock to complete our initial business combination or under an employee incentive plan after completion of our initial business combination. Any such issuances would dilute the interest of our stockholders and likely present other risks.</w:t>
      </w:r>
    </w:p>
    <w:p>
      <w:pPr>
        <w:spacing w:after="0" w:line="8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Our amended and restated certificate of incorporation will authorize the issuance of up to 50,000,000</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shares of common stock, par value $0.0001 per share, and 1,000,000 shares of preferred stock, par value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$0.0001 per share. Immediately after this offering, there will be 27,261,539 (assuming, in each case, that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underwriters have not exercised their over-allotment option) authorized but unissued shares of common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stock, which amount takes into account the shares of common stock reserved for issuance upon exercise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outstanding warrants. Immediately after the consummation of this offering, there will be no shares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preferred stock issued and outstanding.</w:t>
      </w:r>
    </w:p>
    <w:p>
      <w:pPr>
        <w:spacing w:after="0" w:line="14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We may issue a substantial number of additional shares of common or preferred stock to complete our initial business combination (including pursuant to a specified future issuance) or under an employee incentive plan after completion of our initial business combination (although our amended and restated certificate of incorporation will provide that we may not issue securities that can vote with common stockholders on matters related to our pre-initial business combination activity, on any amendment to certain provisions of our amended and restated certificate of incorporation or on our initial business combination). However, our amended and restated certificate of incorporation will provide, among other things, that prior to our initial business combination, we may not issue additional shares of capital stock that would entitle the holders thereof to (i) receive funds from the trust account or (ii) vote on any initial business combination.</w:t>
      </w:r>
    </w:p>
    <w:p>
      <w:pPr>
        <w:spacing w:after="0" w:line="113"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These provisions of our amended and restated certificate of incorporation, like all provisions of our amended and restated certificate of incorporation, may be amended with the approval of our stockholders. However, our officers, directors and director nominees have agreed, pursuant to a written agreement with us, that they will not propose any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12 months (or up to 18 months, as applicable) from the closing of this offering or (B)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(which interest shall be net of taxes payable), divided by the number of then outstanding public shares.</w:t>
      </w:r>
    </w:p>
    <w:p>
      <w:pPr>
        <w:spacing w:after="0" w:line="1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issuance of additional shares of common or preferred stock:</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may significantly dilute the equity interest of investors in this offering;</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0" w:name="page61"/>
    <w:bookmarkEnd w:id="6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9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preferred stock is issued with rights senior to those afforded our common stock;</w:t>
      </w:r>
    </w:p>
    <w:p>
      <w:pPr>
        <w:spacing w:after="0" w:line="62" w:lineRule="exact"/>
        <w:rPr>
          <w:rFonts w:ascii="Arial" w:cs="Arial" w:eastAsia="Arial" w:hAnsi="Arial"/>
          <w:sz w:val="18"/>
          <w:szCs w:val="18"/>
          <w:color w:val="auto"/>
        </w:rPr>
      </w:pPr>
    </w:p>
    <w:p>
      <w:pPr>
        <w:ind w:left="1800" w:right="439" w:hanging="180"/>
        <w:spacing w:after="0" w:line="286" w:lineRule="auto"/>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57" w:lineRule="exact"/>
        <w:rPr>
          <w:rFonts w:ascii="Arial" w:cs="Arial" w:eastAsia="Arial" w:hAnsi="Arial"/>
          <w:sz w:val="17"/>
          <w:szCs w:val="17"/>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common stock and/or warrants.</w:t>
      </w:r>
    </w:p>
    <w:p>
      <w:pPr>
        <w:spacing w:after="0" w:line="225" w:lineRule="exact"/>
        <w:rPr>
          <w:sz w:val="20"/>
          <w:szCs w:val="20"/>
          <w:color w:val="auto"/>
        </w:rPr>
      </w:pPr>
    </w:p>
    <w:p>
      <w:pPr>
        <w:ind w:left="1260" w:right="519"/>
        <w:spacing w:after="0" w:line="279" w:lineRule="auto"/>
        <w:rPr>
          <w:sz w:val="20"/>
          <w:szCs w:val="20"/>
          <w:color w:val="auto"/>
        </w:rPr>
      </w:pPr>
      <w:r>
        <w:rPr>
          <w:rFonts w:ascii="Arial" w:cs="Arial" w:eastAsia="Arial" w:hAnsi="Arial"/>
          <w:sz w:val="17"/>
          <w:szCs w:val="17"/>
          <w:b w:val="1"/>
          <w:bCs w:val="1"/>
          <w:i w:val="1"/>
          <w:iCs w:val="1"/>
          <w:color w:val="auto"/>
        </w:rPr>
        <w:t>We are registering the offer and sale of the shares of common stock underlying the public warrants under the Securities Act, however we cannot assure you that such registration will be in place when an investor desires to exercise warrants, thus precluding such investor from being able to exercise its warrants except on a cashless basis and potentially causing such warrants to expire worthless.</w:t>
      </w:r>
    </w:p>
    <w:p>
      <w:pPr>
        <w:spacing w:after="0" w:line="104"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Under the terms of the warrant agreement, we have agreed that as soon as practicable, but in no event later than 15 business days after the closing of our initial business combination, we will use our commercially reasonable best efforts to file with the SEC a registration statement for the registration under the Securities Act of the offer and sale of the shares of common stock issuable upon exercise of the warrants and thereafter will use our commercially reasonable best efforts to cause the same to become effective within 60 business days following our initial business combination and to maintain a current prospectus relating to the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 Notwithstanding the above, if our common stock is at the time of any exercise of a warrant not listed on a national securities exchange such that it satisfies the definition of a “covered security” under Section 18(b)</w:t>
      </w:r>
    </w:p>
    <w:p>
      <w:pPr>
        <w:spacing w:after="0" w:line="3" w:lineRule="exact"/>
        <w:rPr>
          <w:sz w:val="20"/>
          <w:szCs w:val="20"/>
          <w:color w:val="auto"/>
        </w:rPr>
      </w:pPr>
    </w:p>
    <w:p>
      <w:pPr>
        <w:ind w:left="1260" w:right="439"/>
        <w:spacing w:after="0" w:line="266" w:lineRule="auto"/>
        <w:tabs>
          <w:tab w:leader="none" w:pos="1529" w:val="left"/>
        </w:tabs>
        <w:numPr>
          <w:ilvl w:val="0"/>
          <w:numId w:val="29"/>
        </w:numPr>
        <w:rPr>
          <w:rFonts w:ascii="Arial" w:cs="Arial" w:eastAsia="Arial" w:hAnsi="Arial"/>
          <w:sz w:val="17"/>
          <w:szCs w:val="17"/>
          <w:color w:val="auto"/>
        </w:rPr>
      </w:pPr>
      <w:r>
        <w:rPr>
          <w:rFonts w:ascii="Arial" w:cs="Arial" w:eastAsia="Arial" w:hAnsi="Arial"/>
          <w:sz w:val="17"/>
          <w:szCs w:val="17"/>
          <w:color w:val="auto"/>
        </w:rPr>
        <w:t>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there is no exemption available.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shares of common stock included in the units.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 However, there may be instances in which holders of our public warrants may be unable to exercise such public warrants but holders of our private warrants may be able to exercise such private warrants.</w:t>
      </w:r>
    </w:p>
    <w:p>
      <w:pPr>
        <w:spacing w:after="0" w:line="189" w:lineRule="exact"/>
        <w:rPr>
          <w:sz w:val="20"/>
          <w:szCs w:val="20"/>
          <w:color w:val="auto"/>
        </w:rPr>
      </w:pPr>
    </w:p>
    <w:p>
      <w:pPr>
        <w:ind w:left="1260" w:right="779"/>
        <w:spacing w:after="0" w:line="277" w:lineRule="auto"/>
        <w:rPr>
          <w:sz w:val="20"/>
          <w:szCs w:val="20"/>
          <w:color w:val="auto"/>
        </w:rPr>
      </w:pPr>
      <w:r>
        <w:rPr>
          <w:rFonts w:ascii="Arial" w:cs="Arial" w:eastAsia="Arial" w:hAnsi="Arial"/>
          <w:sz w:val="18"/>
          <w:szCs w:val="18"/>
          <w:b w:val="1"/>
          <w:bCs w:val="1"/>
          <w:i w:val="1"/>
          <w:iCs w:val="1"/>
          <w:color w:val="auto"/>
        </w:rPr>
        <w:t>If you exercise your public warrants on a “cashless basis,” you will receive fewer shares of common stock from such exercise than if you were to exercise such warrants for cash.</w:t>
      </w:r>
    </w:p>
    <w:p>
      <w:pPr>
        <w:spacing w:after="0" w:line="89" w:lineRule="exact"/>
        <w:rPr>
          <w:sz w:val="20"/>
          <w:szCs w:val="20"/>
          <w:color w:val="auto"/>
        </w:rPr>
      </w:pPr>
    </w:p>
    <w:p>
      <w:pPr>
        <w:ind w:left="1260" w:right="539" w:firstLine="360"/>
        <w:spacing w:after="0" w:line="342" w:lineRule="auto"/>
        <w:rPr>
          <w:sz w:val="20"/>
          <w:szCs w:val="20"/>
          <w:color w:val="auto"/>
        </w:rPr>
      </w:pPr>
      <w:r>
        <w:rPr>
          <w:rFonts w:ascii="Arial" w:cs="Arial" w:eastAsia="Arial" w:hAnsi="Arial"/>
          <w:sz w:val="16"/>
          <w:szCs w:val="16"/>
          <w:color w:val="auto"/>
        </w:rPr>
        <w:t>There are circumstances in which the exercise of the public warrants may be required or permitted to be made on a cashless basis. First, if a registration statement covering the shares of common stock issuable</w:t>
      </w:r>
    </w:p>
    <w:p>
      <w:pPr>
        <w:sectPr>
          <w:pgSz w:w="11900" w:h="16838" w:orient="portrait"/>
          <w:cols w:equalWidth="0" w:num="1">
            <w:col w:w="9879"/>
          </w:cols>
          <w:pgMar w:left="580" w:top="132" w:right="1440" w:bottom="1440" w:gutter="0" w:footer="0" w:header="0"/>
        </w:sectPr>
      </w:pP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0" w:lineRule="auto"/>
        <w:rPr>
          <w:sz w:val="20"/>
          <w:szCs w:val="20"/>
          <w:color w:val="auto"/>
        </w:rPr>
      </w:pPr>
      <w:r>
        <w:rPr>
          <w:rFonts w:ascii="Arial" w:cs="Arial" w:eastAsia="Arial" w:hAnsi="Arial"/>
          <w:sz w:val="17"/>
          <w:szCs w:val="17"/>
          <w:color w:val="auto"/>
        </w:rPr>
        <w:t>upon exercise of the warrants is not effective by the 60th business day after the closing of our initial business combination, warrant holders may, until such time as there is an effective registration statement, exercise warrants on a cashless basis in accordance with Section 3(a)(9) of the Securities Act or another exemption. Second, if our common stock is at any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 Third, if we call the public warrants for redemption, our management will have the option to require all holders that wish to exercise warrants to do so on a cashless basis. In the event of an exercise on a cashless basis, a holder would pay the warrant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(as defined in the next sentence) by (y) the fair market value. The “fair market value” is the volume weighted average last reported sale price of the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common stock from such exercise than if you were to exercise such warrants for cash.</w:t>
      </w:r>
    </w:p>
    <w:p>
      <w:pPr>
        <w:spacing w:after="0" w:line="194" w:lineRule="exact"/>
        <w:rPr>
          <w:sz w:val="20"/>
          <w:szCs w:val="20"/>
          <w:color w:val="auto"/>
        </w:rPr>
      </w:pPr>
    </w:p>
    <w:p>
      <w:pPr>
        <w:ind w:left="1260" w:right="559"/>
        <w:spacing w:after="0" w:line="248" w:lineRule="auto"/>
        <w:rPr>
          <w:sz w:val="20"/>
          <w:szCs w:val="20"/>
          <w:color w:val="auto"/>
        </w:rPr>
      </w:pPr>
      <w:r>
        <w:rPr>
          <w:rFonts w:ascii="Arial" w:cs="Arial" w:eastAsia="Arial" w:hAnsi="Arial"/>
          <w:sz w:val="18"/>
          <w:szCs w:val="18"/>
          <w:b w:val="1"/>
          <w:bCs w:val="1"/>
          <w:i w:val="1"/>
          <w:iCs w:val="1"/>
          <w:color w:val="auto"/>
        </w:rPr>
        <w:t>Since our sponsor paid only approximately $0.01 per share for the founder shares, certain of our officers and directors could potentially make a substantial profit even if we acquire a target business that subsequently declines in value.</w:t>
      </w:r>
    </w:p>
    <w:p>
      <w:pPr>
        <w:spacing w:after="0" w:line="101"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7"/>
          <w:szCs w:val="17"/>
          <w:color w:val="auto"/>
        </w:rPr>
        <w:t>In July 2020, we issued 1,000,000 founder shares to our sponsor in exchange for a capital contribution of $25,000. In March 2021, we effected a 2.875-for-1 stock split, resulting in 2,875,000 shares of common stock being held by our sponsor, resulting in a purchase price of approximately $ 0.01 per share. Certain of our officers and directors have a significant economic interest in our sponsor. As a result, the low acquisition cost of the founder shares creates an economic incentive whereby our officers and directors could potentially make a substantial profit even if we complete a business combination with a target business that subsequently declines in value and is unprofitable for public investors.</w:t>
      </w:r>
    </w:p>
    <w:p>
      <w:pPr>
        <w:spacing w:after="0" w:line="180" w:lineRule="exact"/>
        <w:rPr>
          <w:sz w:val="20"/>
          <w:szCs w:val="20"/>
          <w:color w:val="auto"/>
        </w:rPr>
      </w:pPr>
    </w:p>
    <w:p>
      <w:pPr>
        <w:ind w:left="1260" w:right="779"/>
        <w:spacing w:after="0" w:line="381" w:lineRule="auto"/>
        <w:rPr>
          <w:sz w:val="20"/>
          <w:szCs w:val="20"/>
          <w:color w:val="auto"/>
        </w:rPr>
      </w:pPr>
      <w:r>
        <w:rPr>
          <w:rFonts w:ascii="Arial" w:cs="Arial" w:eastAsia="Arial" w:hAnsi="Arial"/>
          <w:sz w:val="15"/>
          <w:szCs w:val="15"/>
          <w:b w:val="1"/>
          <w:bCs w:val="1"/>
          <w:i w:val="1"/>
          <w:iCs w:val="1"/>
          <w:color w:val="auto"/>
        </w:rPr>
        <w:t>The nominal purchase price paid by our sponsor for the founder shares may result in significant dilution to the implied value of your public shares upon the consummation of our initial business combination.</w:t>
      </w:r>
    </w:p>
    <w:p>
      <w:pPr>
        <w:spacing w:after="0" w:line="3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are offering our units at an offering price of $10.00 per unit, implying an initial value of $10.00 per</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public share. However, prior to this offering, our sponsor paid a nominal aggregate purchase price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$25,000 for the founder shares, or approximately $0.003 per share. As a result, the value of your public</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shares may be significantly diluted upon the consummation of our initial business combination, when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founder shares are converted into public shares. For example, the following table shows the dilutive effect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the founder shares on the implied value of the public shares upon the consummation of our initial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business combination, assuming that our equity value at that time is $96,500,000, which is the amount we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would have for our initial business combination in the trust account after payment of $3,500,000 pursuant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business combination marketing agreement, assuming the underwriters’ over-allotment option is not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exercised, no interest is earned on the funds held in the trust account, and no public shares are redeemed in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connection with our initial business combination, and without taking into account any other potential</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impacts on our valuation at such time, such as the trading price of our public shares, the business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combination transaction costs, any equity issued or cash paid to the target’s sellers or other third parties, or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target’s business itself, including its assets, liabilities, management and prospects, as well as the value of</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public and private warrants. At such valuation, each of our shares of common stock would have an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implied value of $7.72 per share upon consummation of our initial business combination, which would be a</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22.8% decrease as compared to the initial implied value per public share of $10.00 (the price per unit in this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offering, assuming no value to the public warrants).</w:t>
      </w:r>
    </w:p>
    <w:p>
      <w:pPr>
        <w:spacing w:after="0" w:line="153"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Public shares</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r>
    </w:tbl>
    <w:p>
      <w:pPr>
        <w:spacing w:after="0" w:line="39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1620" w:type="dxa"/>
        <w:tblCellMar>
          <w:top w:w="0" w:type="dxa"/>
          <w:left w:w="0" w:type="dxa"/>
          <w:bottom w:w="0" w:type="dxa"/>
          <w:right w:w="0" w:type="dxa"/>
        </w:tblCellMar>
      </w:tblPr>
      <w:tr>
        <w:trPr>
          <w:trHeight w:val="299"/>
        </w:trPr>
        <w:tc>
          <w:tcPr>
            <w:tcW w:w="6360" w:type="dxa"/>
            <w:vAlign w:val="bottom"/>
          </w:tcPr>
          <w:p>
            <w:pPr>
              <w:spacing w:after="0"/>
              <w:rPr>
                <w:sz w:val="20"/>
                <w:szCs w:val="20"/>
                <w:color w:val="auto"/>
              </w:rPr>
            </w:pPr>
            <w:r>
              <w:rPr>
                <w:rFonts w:ascii="Arial" w:cs="Arial" w:eastAsia="Arial" w:hAnsi="Arial"/>
                <w:sz w:val="18"/>
                <w:szCs w:val="18"/>
                <w:color w:val="auto"/>
              </w:rPr>
              <w:t>Founder shares</w:t>
            </w:r>
            <w:r>
              <w:rPr>
                <w:rFonts w:ascii="Arial" w:cs="Arial" w:eastAsia="Arial" w:hAnsi="Arial"/>
                <w:sz w:val="26"/>
                <w:szCs w:val="26"/>
                <w:color w:val="auto"/>
                <w:vertAlign w:val="superscript"/>
              </w:rPr>
              <w:t>(1)</w:t>
            </w: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2,500,000</w:t>
            </w:r>
          </w:p>
        </w:tc>
      </w:tr>
      <w:tr>
        <w:trPr>
          <w:trHeight w:val="250"/>
        </w:trPr>
        <w:tc>
          <w:tcPr>
            <w:tcW w:w="6580" w:type="dxa"/>
            <w:vAlign w:val="bottom"/>
            <w:gridSpan w:val="2"/>
          </w:tcPr>
          <w:p>
            <w:pPr>
              <w:spacing w:after="0"/>
              <w:rPr>
                <w:sz w:val="20"/>
                <w:szCs w:val="20"/>
                <w:color w:val="auto"/>
              </w:rPr>
            </w:pPr>
            <w:r>
              <w:rPr>
                <w:rFonts w:ascii="Arial" w:cs="Arial" w:eastAsia="Arial" w:hAnsi="Arial"/>
                <w:sz w:val="18"/>
                <w:szCs w:val="18"/>
                <w:color w:val="auto"/>
              </w:rPr>
              <w:t>Total shares</w:t>
            </w: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12,500,000</w:t>
            </w:r>
          </w:p>
        </w:tc>
      </w:tr>
      <w:tr>
        <w:trPr>
          <w:trHeight w:val="229"/>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funds in trust available for initial business combination (less business</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44"/>
        </w:trPr>
        <w:tc>
          <w:tcPr>
            <w:tcW w:w="6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combination marketing agreement)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96,500,000</w:t>
            </w:r>
          </w:p>
        </w:tc>
      </w:tr>
      <w:tr>
        <w:trPr>
          <w:trHeight w:val="257"/>
        </w:trPr>
        <w:tc>
          <w:tcPr>
            <w:tcW w:w="6580" w:type="dxa"/>
            <w:vAlign w:val="bottom"/>
            <w:gridSpan w:val="2"/>
          </w:tcPr>
          <w:p>
            <w:pPr>
              <w:spacing w:after="0"/>
              <w:rPr>
                <w:sz w:val="20"/>
                <w:szCs w:val="20"/>
                <w:color w:val="auto"/>
              </w:rPr>
            </w:pPr>
            <w:r>
              <w:rPr>
                <w:rFonts w:ascii="Arial" w:cs="Arial" w:eastAsia="Arial" w:hAnsi="Arial"/>
                <w:sz w:val="18"/>
                <w:szCs w:val="18"/>
                <w:color w:val="auto"/>
              </w:rPr>
              <w:t>Initial implied value per public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5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Implied value per share upon consummation of initial business combination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-942340</wp:posOffset>
            </wp:positionV>
            <wp:extent cx="4749165"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49165"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right="899" w:hanging="360"/>
        <w:spacing w:after="0" w:line="308" w:lineRule="auto"/>
        <w:tabs>
          <w:tab w:leader="none" w:pos="1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Assumes the full forfeiture of 375,000 founder shares that are subject to forfeiture by our sponsor depending on the extent to which the underwriters’ over-allotment option is exercised.</w:t>
      </w:r>
    </w:p>
    <w:p>
      <w:pPr>
        <w:spacing w:after="0" w:line="146" w:lineRule="exact"/>
        <w:rPr>
          <w:sz w:val="20"/>
          <w:szCs w:val="20"/>
          <w:color w:val="auto"/>
        </w:rPr>
      </w:pPr>
    </w:p>
    <w:p>
      <w:pPr>
        <w:ind w:left="1260" w:right="439"/>
        <w:spacing w:after="0" w:line="248" w:lineRule="auto"/>
        <w:rPr>
          <w:sz w:val="20"/>
          <w:szCs w:val="20"/>
          <w:color w:val="auto"/>
        </w:rPr>
      </w:pPr>
      <w:r>
        <w:rPr>
          <w:rFonts w:ascii="Arial" w:cs="Arial" w:eastAsia="Arial" w:hAnsi="Arial"/>
          <w:sz w:val="18"/>
          <w:szCs w:val="18"/>
          <w:b w:val="1"/>
          <w:bCs w:val="1"/>
          <w:i w:val="1"/>
          <w:iCs w:val="1"/>
          <w:color w:val="auto"/>
        </w:rPr>
        <w:t>The value of the founder shares following completion of our initial business combination is likely to be substantially higher than the nominal price paid for them, even if the trading price of our common stock at such time is substantially less than $10.00 per share.</w:t>
      </w:r>
    </w:p>
    <w:p>
      <w:pPr>
        <w:spacing w:after="0" w:line="114"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Upon the closing of this offering, assuming no exercise of the underwriters’ over-allotment option, our sponsor and its affiliates will have invested in us an aggregate of $ 3,927,000, comprised of the $25,000 purchase price for the founder shares and the $3,902,000 purchase price for the private placement warrants. Assuming a trading price of $10.00 per share upon consummation of our initial business combination, the 2,500,000 founder shares (assuming the underwriters’ option to purchase additional units is not exercised) would have an aggregate implied value of $25,000,000. Even if the trading price of our common stock was as low as $1.38 per share, and the private placement warrants were worthless, the value of the founder shares would be equal to the sponsor’s initial investment in us. As a result, our sponsor is likely to be able to recoup its investment in us and make a substantial profit on that investment, even if our public shares have lost significant value. Accordingly, our management team, which owns interests in our sponsor, may have an economic incentive that differs from that of the public stockholders to pursue and consummate an initial business combination rather than to liquidate and to return all of the cash in the trust to the public stockholders, even if that business combination were with a riskier or less-established target business. For the foregoing reasons, you should consider our management team’s financial incentive to complete an initial business combination when evaluating whether to redeem your shares prior to or in connection with the initial business combination.</w:t>
      </w:r>
    </w:p>
    <w:p>
      <w:pPr>
        <w:spacing w:after="0" w:line="185" w:lineRule="exact"/>
        <w:rPr>
          <w:sz w:val="20"/>
          <w:szCs w:val="20"/>
          <w:color w:val="auto"/>
        </w:rPr>
      </w:pPr>
    </w:p>
    <w:p>
      <w:pPr>
        <w:jc w:val="both"/>
        <w:ind w:left="1260" w:right="599"/>
        <w:spacing w:after="0" w:line="259" w:lineRule="auto"/>
        <w:rPr>
          <w:sz w:val="20"/>
          <w:szCs w:val="20"/>
          <w:color w:val="auto"/>
        </w:rPr>
      </w:pPr>
      <w:r>
        <w:rPr>
          <w:rFonts w:ascii="Arial" w:cs="Arial" w:eastAsia="Arial" w:hAnsi="Arial"/>
          <w:sz w:val="18"/>
          <w:szCs w:val="18"/>
          <w:b w:val="1"/>
          <w:bCs w:val="1"/>
          <w:i w:val="1"/>
          <w:iCs w:val="1"/>
          <w:color w:val="auto"/>
        </w:rPr>
        <w:t>Our private placement warrants are expected to be accounted for as a warrant liability and will be recorded at fair value upon issuance with any changes in fair value each period reported in earnings, which may have an adverse effect on the market price of our securities or may make it more difficult for us to consummate an initial business combination.</w:t>
      </w:r>
    </w:p>
    <w:p>
      <w:pPr>
        <w:spacing w:after="0" w:line="106"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Following the consummation of this offering and the concurrent private placement of warrants, we will have 4,200,000 private placement warrants outstanding, assuming the underwriters’ option to purchase additional units is not exercised. We currently expect to account for these private placement warrants as a warrant liability, which means that we will record them at fair value upon issuance with any changes in fair value each period reported in earnings. The impact of changes in fair value on earnings may have an adverse effect on the market price of our securities. In addition, potential targets may seek a business combination partner that does not have warrants that are accounted for as a warrant liability, which may make it more difficult for us to consummate an initial business combination with a target business.</w:t>
      </w:r>
    </w:p>
    <w:p>
      <w:pPr>
        <w:spacing w:after="0" w:line="178" w:lineRule="exact"/>
        <w:rPr>
          <w:sz w:val="20"/>
          <w:szCs w:val="20"/>
          <w:color w:val="auto"/>
        </w:rPr>
      </w:pPr>
    </w:p>
    <w:p>
      <w:pPr>
        <w:ind w:left="1260" w:right="459"/>
        <w:spacing w:after="0" w:line="296" w:lineRule="auto"/>
        <w:rPr>
          <w:sz w:val="20"/>
          <w:szCs w:val="20"/>
          <w:color w:val="auto"/>
        </w:rPr>
      </w:pPr>
      <w:r>
        <w:rPr>
          <w:rFonts w:ascii="Arial" w:cs="Arial" w:eastAsia="Arial" w:hAnsi="Arial"/>
          <w:sz w:val="16"/>
          <w:szCs w:val="16"/>
          <w:b w:val="1"/>
          <w:bCs w:val="1"/>
          <w:i w:val="1"/>
          <w:iCs w:val="1"/>
          <w:color w:val="auto"/>
        </w:rPr>
        <w:t>We may amend the terms of the warrants in a manner that may be adverse to holders of public warrants with the approval by the holders of a majority of the then outstanding public warrants. As a result, the exercise price of your warrants could be increased, the warrants could be redeemed for cash or stock (at a ratio different than initially provided), the exercise period could be shortened and the number of shares of our common stock purchasable upon exercise of a warrant could be decreased, all without your approval.</w:t>
      </w:r>
    </w:p>
    <w:p>
      <w:pPr>
        <w:spacing w:after="0" w:line="94" w:lineRule="exact"/>
        <w:rPr>
          <w:sz w:val="20"/>
          <w:szCs w:val="20"/>
          <w:color w:val="auto"/>
        </w:rPr>
      </w:pPr>
    </w:p>
    <w:p>
      <w:pPr>
        <w:jc w:val="both"/>
        <w:ind w:left="1260" w:right="539" w:firstLine="360"/>
        <w:spacing w:after="0" w:line="279" w:lineRule="auto"/>
        <w:rPr>
          <w:sz w:val="20"/>
          <w:szCs w:val="20"/>
          <w:color w:val="auto"/>
        </w:rPr>
      </w:pPr>
      <w:r>
        <w:rPr>
          <w:rFonts w:ascii="Arial" w:cs="Arial" w:eastAsia="Arial" w:hAnsi="Arial"/>
          <w:sz w:val="17"/>
          <w:szCs w:val="17"/>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 majority of the then outstanding public warrants to</w:t>
      </w: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38" w:lineRule="auto"/>
        <w:rPr>
          <w:sz w:val="20"/>
          <w:szCs w:val="20"/>
          <w:color w:val="auto"/>
        </w:rPr>
      </w:pPr>
      <w:r>
        <w:rPr>
          <w:rFonts w:ascii="Arial" w:cs="Arial" w:eastAsia="Arial" w:hAnsi="Arial"/>
          <w:sz w:val="18"/>
          <w:szCs w:val="18"/>
          <w:color w:val="auto"/>
        </w:rPr>
        <w:t>make any change that adversely affects the interests of the registered holders of public warrants. Accordingly, we may amend the terms of the public warrants in a manner adverse to a holder if holders of a majority of the then outstanding public warrants approve of such amendment. Although our ability to amend the terms of the public warrants with the consent of a majority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common stock purchasable upon exercise of a warrant.</w:t>
      </w:r>
    </w:p>
    <w:p>
      <w:pPr>
        <w:spacing w:after="0" w:line="113"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Our initial stockholders may purchase public warrants with the intention of reducing the number of public warrants outstanding or to vote such warrants on any matters submitted to warrant holders for approval, including amending the terms of the public warrants in a manner adverse to the interests of the registered holders of public warrants. While our initial stockholders have no current commitments, plans or intentions to engage in such transactions and have not formulated any terms or conditions for such transactions, there is no limit on the number of our public warrants that our initial stockholders may purchase and it is not currently known how many public warrants, if any, our initial stockholders may hold at the time of our initial business combination or at any other time during which the terms of the public warrants may be proposed to be amended. Please see “Proposed Business — Permitted purchases of our securities.”</w:t>
      </w:r>
    </w:p>
    <w:p>
      <w:pPr>
        <w:spacing w:after="0" w:line="188" w:lineRule="exact"/>
        <w:rPr>
          <w:sz w:val="20"/>
          <w:szCs w:val="20"/>
          <w:color w:val="auto"/>
        </w:rPr>
      </w:pPr>
    </w:p>
    <w:p>
      <w:pPr>
        <w:ind w:left="1260" w:right="739"/>
        <w:spacing w:after="0" w:line="308" w:lineRule="auto"/>
        <w:rPr>
          <w:sz w:val="20"/>
          <w:szCs w:val="20"/>
          <w:color w:val="auto"/>
        </w:rPr>
      </w:pPr>
      <w:r>
        <w:rPr>
          <w:rFonts w:ascii="Arial" w:cs="Arial" w:eastAsia="Arial" w:hAnsi="Arial"/>
          <w:sz w:val="15"/>
          <w:szCs w:val="15"/>
          <w:b w:val="1"/>
          <w:bCs w:val="1"/>
          <w:i w:val="1"/>
          <w:iCs w:val="1"/>
          <w:color w:val="auto"/>
        </w:rPr>
        <w:t>Our warrant agreement will designate the courts of the State of New York located in the in the Borough of Manhattan or the United States District Court for the Southern District of New York as the exclusive forums for certain types of actions and proceedings that may be initiated by holders of our warrants, which could limit the ability of warrant holders to obtain a favorable judicial forum for disputes with our company.</w:t>
      </w:r>
    </w:p>
    <w:p>
      <w:pPr>
        <w:spacing w:after="0" w:line="73"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located in the Borough of Manhattan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23"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in the name of any holder of our warrants, such holder shall be deemed to have consented to: (x) the personal jurisdiction of the state and federal courts located in the State of New York in connection with any action brought in any such court to enforce the forum provisions, or an enforcement action, and (y) having service of process made upon such warrant holder in any such enforcement action by service upon such warrantholder’s counsel in such action as agent for such warrantholder.</w:t>
      </w:r>
    </w:p>
    <w:p>
      <w:pPr>
        <w:spacing w:after="0" w:line="10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The choice-of -forum provision in our warrant agreement may (1) result in increased costs for investors to bring a claim or (2) limit a warrantholder’s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 We note that there is uncertainty as to whether a court would enforce this provision and that investors cannot waive compliance with the federal securities laws and the rules and regulations thereunder.</w:t>
      </w:r>
    </w:p>
    <w:p>
      <w:pPr>
        <w:spacing w:after="0" w:line="116" w:lineRule="exact"/>
        <w:rPr>
          <w:sz w:val="20"/>
          <w:szCs w:val="20"/>
          <w:color w:val="auto"/>
        </w:rPr>
      </w:pPr>
    </w:p>
    <w:p>
      <w:pPr>
        <w:jc w:val="both"/>
        <w:ind w:left="1260" w:right="439" w:firstLine="360"/>
        <w:spacing w:after="0" w:line="291" w:lineRule="auto"/>
        <w:rPr>
          <w:sz w:val="20"/>
          <w:szCs w:val="20"/>
          <w:color w:val="auto"/>
        </w:rPr>
      </w:pPr>
      <w:r>
        <w:rPr>
          <w:rFonts w:ascii="Arial" w:cs="Arial" w:eastAsia="Arial" w:hAnsi="Arial"/>
          <w:sz w:val="17"/>
          <w:szCs w:val="17"/>
          <w:color w:val="auto"/>
        </w:rPr>
        <w:t>Section 22 of the Securities Act creates concurrent jurisdiction for state and federal courts over all suits brought to enforce any duty or liability created by the Securities Act or the rules and regulations thereunder.</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77" w:lineRule="auto"/>
        <w:rPr>
          <w:sz w:val="20"/>
          <w:szCs w:val="20"/>
          <w:color w:val="auto"/>
        </w:rPr>
      </w:pPr>
      <w:r>
        <w:rPr>
          <w:rFonts w:ascii="Arial" w:cs="Arial" w:eastAsia="Arial" w:hAnsi="Arial"/>
          <w:sz w:val="18"/>
          <w:szCs w:val="18"/>
          <w:color w:val="auto"/>
        </w:rPr>
        <w:t>Section 27 of the Exchange Act creates exclusive federal jurisdiction over all suits brought to enforce any duty or liability created by the Exchange Act or the rules and regulations thereunder.</w:t>
      </w:r>
    </w:p>
    <w:p>
      <w:pPr>
        <w:spacing w:after="0" w:line="170" w:lineRule="exact"/>
        <w:rPr>
          <w:sz w:val="20"/>
          <w:szCs w:val="20"/>
          <w:color w:val="auto"/>
        </w:rPr>
      </w:pPr>
    </w:p>
    <w:p>
      <w:pPr>
        <w:ind w:left="1260" w:right="719"/>
        <w:spacing w:after="0" w:line="277"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89"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last reported sales price of our common stock equals or exceeds $16.00 per share (as adjusted for stock splits, stock dividends, reorganizations, recapitalizations and the like) for any 10 trading days within a 30 trading-day period commencing once the warrants become exercisable and ending on the third trading day prior to the date on which we give proper notice of such redemption and provided certain other conditions are met.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None of the private warrants will be redeemable by us so long as they are held by our sponsor or its permitted transferees.</w:t>
      </w:r>
    </w:p>
    <w:p>
      <w:pPr>
        <w:spacing w:after="0" w:line="191"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b w:val="1"/>
          <w:bCs w:val="1"/>
          <w:i w:val="1"/>
          <w:iCs w:val="1"/>
          <w:color w:val="auto"/>
        </w:rPr>
        <w:t>Our warrants and founder shares may have an adverse effect on the market price of our common stock and make it more difficult to effectuate our initial business combination.</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will be issuing warrants to purchase 5,000,000 shares of our common stock (or up to 5,750,000</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shares of common stock if the underwriters’ over-allotment option is exercised in full) as part of the units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offered by this prospectus and, simultaneously with the closing of this offering, we will be issuing, in 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private placement, an aggregate of 4,200,000 (or up to 4,442,183 warrants depending on the extent to which</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underwriters’ over-allotmentoption is exercised) at a price of approximately $0.93 per warrant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($3,902,000 (or up to $4,127,000 depending on theextent to which the underwriters’ over-allotment option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is exercised)), with each warrant exercisable for one share of common stock at an exercise price of $11.50.</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initial stockholders currently own an aggregate of 2,875,000 founder shares. Such founder shares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include an aggregate of up to 375,000 shares that are subject to forfeiture to the extent that the underwriters’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over-allotment option is not exercised in full or in part.</w:t>
      </w:r>
    </w:p>
    <w:p>
      <w:pPr>
        <w:spacing w:after="0" w:line="143" w:lineRule="exact"/>
        <w:rPr>
          <w:sz w:val="20"/>
          <w:szCs w:val="20"/>
          <w:color w:val="auto"/>
        </w:rPr>
      </w:pPr>
    </w:p>
    <w:p>
      <w:pPr>
        <w:ind w:left="1260" w:right="559" w:firstLine="360"/>
        <w:spacing w:after="0" w:line="272" w:lineRule="auto"/>
        <w:rPr>
          <w:sz w:val="20"/>
          <w:szCs w:val="20"/>
          <w:color w:val="auto"/>
        </w:rPr>
      </w:pPr>
      <w:r>
        <w:rPr>
          <w:rFonts w:ascii="Arial" w:cs="Arial" w:eastAsia="Arial" w:hAnsi="Arial"/>
          <w:sz w:val="17"/>
          <w:szCs w:val="17"/>
          <w:color w:val="auto"/>
        </w:rPr>
        <w:t>To the extent we issue shares of common stock to effectuate an initial business combination, the potential for the issuance of a substantial number of additional shares of common stock upon exercise of these warrants and redemption rights could make us a less attractive business combination vehicle to a target business. Any such issuance will increase the number of issued and outstanding shares of our common stock and reduce the value of the shares of common stock issued to complete the initial business combination. Therefore, our warrants and founder shares may make it more difficult to effectuate an initial business combination or increase the cost of acquiring the target business.</w:t>
      </w:r>
    </w:p>
    <w:p>
      <w:pPr>
        <w:spacing w:after="0" w:line="96"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The private warrants and warrants underlying the units issuable pursuant to the forward purchase contract are identical to the warrants sold as part of the units in this offering except that, so long as they are held by our sponsor or its permitted transferees, (i) they will not be redeemable by us, (ii) they (including the common stock issuable upon exercise of these warrants) may not, subject to certain limited exceptions, be transferred, assigned or sold by our sponsor until 30 days after the completion of our initial business combination, (iii) they may be exercised by the holders on a cashless basis, (iv) will be entitled to registration rights and (v) for so long as they are held by our sponsor, will not be exercisable more than five years from the effective date of the registration statement of which this prospectus forms a part in accordance with FINRA Rule 5110(g).</w:t>
      </w: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39"/>
        <w:spacing w:after="0" w:line="291" w:lineRule="auto"/>
        <w:rPr>
          <w:sz w:val="20"/>
          <w:szCs w:val="20"/>
          <w:color w:val="auto"/>
        </w:rPr>
      </w:pPr>
      <w:r>
        <w:rPr>
          <w:rFonts w:ascii="Arial" w:cs="Arial" w:eastAsia="Arial" w:hAnsi="Arial"/>
          <w:sz w:val="17"/>
          <w:szCs w:val="17"/>
          <w:b w:val="1"/>
          <w:bCs w:val="1"/>
          <w:i w:val="1"/>
          <w:iCs w:val="1"/>
          <w:color w:val="auto"/>
        </w:rPr>
        <w:t>Because each unit contains one-half of one redeemable warrant and only a whole warrant may be exercised, the units may be worth less than units of other blank check companies.</w:t>
      </w:r>
    </w:p>
    <w:p>
      <w:pPr>
        <w:spacing w:after="0" w:line="66"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Each unit contains one-half of one redeemable warrant. No fractional warrants will be issued upon separation of the units and only whole warrants will trade. Accordingly, unless you purchase a multiple of two units, the number of warrants issuable to you upon separation of the units will be rounded down to the nearest whole number of warrants. This is different from other offerings similar to ours whose units include one share of common stock and one warrant to purchase one whole share. We have established the components of the units in this way in order to reduce the dilutive effect of the warrants upon completion of an initial business combination since the warrants will be exercisable in the aggregate for one-half of the number of shares compared to units that each contain a warrant to purchase one whole share, thus making us, we believe, a more attractive merger partner for target businesses. Nevertheless, this unit structure may cause our units to be worth less than if they included a warrant to purchase one whole share.</w:t>
      </w:r>
    </w:p>
    <w:p>
      <w:pPr>
        <w:spacing w:after="0" w:line="180" w:lineRule="exact"/>
        <w:rPr>
          <w:sz w:val="20"/>
          <w:szCs w:val="20"/>
          <w:color w:val="auto"/>
        </w:rPr>
      </w:pPr>
    </w:p>
    <w:p>
      <w:pPr>
        <w:ind w:left="1260" w:right="1139"/>
        <w:spacing w:after="0" w:line="261" w:lineRule="auto"/>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w:t>
      </w:r>
    </w:p>
    <w:p>
      <w:pPr>
        <w:spacing w:after="0" w:line="104" w:lineRule="exact"/>
        <w:rPr>
          <w:sz w:val="20"/>
          <w:szCs w:val="20"/>
          <w:color w:val="auto"/>
        </w:rPr>
      </w:pPr>
    </w:p>
    <w:p>
      <w:pPr>
        <w:ind w:left="1800" w:right="539" w:hanging="180"/>
        <w:spacing w:after="0" w:line="254"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 Newly Issued Price of less than $9.20 per share (as adjusted for stock splits, stock dividends, reorganizations, recapitalizations and the like), 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83" w:lineRule="exact"/>
        <w:rPr>
          <w:rFonts w:ascii="Arial" w:cs="Arial" w:eastAsia="Arial" w:hAnsi="Arial"/>
          <w:sz w:val="18"/>
          <w:szCs w:val="18"/>
          <w:color w:val="auto"/>
        </w:rPr>
      </w:pPr>
    </w:p>
    <w:p>
      <w:pPr>
        <w:ind w:left="1800" w:right="145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Market Value is below $9.20 per share (as adjusted for stock splits, stock dividends, reorganizations, recapitalizations and the like),</w:t>
      </w:r>
    </w:p>
    <w:p>
      <w:pPr>
        <w:spacing w:after="0" w:line="89" w:lineRule="exact"/>
        <w:rPr>
          <w:sz w:val="20"/>
          <w:szCs w:val="20"/>
          <w:color w:val="auto"/>
        </w:rPr>
      </w:pPr>
    </w:p>
    <w:p>
      <w:pPr>
        <w:ind w:left="1260" w:right="499"/>
        <w:spacing w:after="0" w:line="241" w:lineRule="auto"/>
        <w:rPr>
          <w:sz w:val="20"/>
          <w:szCs w:val="20"/>
          <w:color w:val="auto"/>
        </w:rPr>
      </w:pPr>
      <w:r>
        <w:rPr>
          <w:rFonts w:ascii="Arial" w:cs="Arial" w:eastAsia="Arial" w:hAnsi="Arial"/>
          <w:sz w:val="18"/>
          <w:szCs w:val="18"/>
          <w:color w:val="auto"/>
        </w:rPr>
        <w:t>then the exercise price of each warrant will be adjusted such that the effective exercise price per full share will be equal to 115% of the higher of the Market Value and the Newly Issued Price, and the $16.00 per share redemption trigger price will be adjusted (to the nearest cent) to be equal to 160% of the higher of the Market Value and the Newly Issued Price. This may make it more difficult for us to consummate an initial business combination with a target business.</w:t>
      </w:r>
    </w:p>
    <w:p>
      <w:pPr>
        <w:spacing w:after="0" w:line="189" w:lineRule="exact"/>
        <w:rPr>
          <w:sz w:val="20"/>
          <w:szCs w:val="20"/>
          <w:color w:val="auto"/>
        </w:rPr>
      </w:pPr>
    </w:p>
    <w:p>
      <w:pPr>
        <w:jc w:val="both"/>
        <w:ind w:left="1260" w:right="459"/>
        <w:spacing w:after="0" w:line="248" w:lineRule="auto"/>
        <w:rPr>
          <w:sz w:val="20"/>
          <w:szCs w:val="20"/>
          <w:color w:val="auto"/>
        </w:rPr>
      </w:pPr>
      <w:r>
        <w:rPr>
          <w:rFonts w:ascii="Arial" w:cs="Arial" w:eastAsia="Arial" w:hAnsi="Arial"/>
          <w:sz w:val="18"/>
          <w:szCs w:val="18"/>
          <w:b w:val="1"/>
          <w:bCs w:val="1"/>
          <w:i w:val="1"/>
          <w:iCs w:val="1"/>
          <w:color w:val="auto"/>
        </w:rPr>
        <w:t>The grant of registration rights to our initial stockholders and their permitted transferees may make it more difficult to complete our initial business combination, and the future exercise of such rights may adversely affect the market price of our common stock.</w:t>
      </w:r>
    </w:p>
    <w:p>
      <w:pPr>
        <w:spacing w:after="0" w:line="114"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Pursuant to an agreement to be entered into concurrently with the issuance and sale of the securities in this offering, our initial stockholders and their permitted transferees can demand that we register the private warrants and the founder shares held, or to be held, by them, and may demand that we register such warrants or the common stock issuable upon exercise of such warrants. We will bear the cost of registering these securities. The registration and availability of such a significant number of securities for trading in the public market may have an adverse effect on the market price of our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common stock that is expected when the securities owned by our initial stockholders or their respective permitted transferees are registered.</w:t>
      </w:r>
    </w:p>
    <w:p>
      <w:pPr>
        <w:spacing w:after="0" w:line="186" w:lineRule="exact"/>
        <w:rPr>
          <w:sz w:val="20"/>
          <w:szCs w:val="20"/>
          <w:color w:val="auto"/>
        </w:rPr>
      </w:pPr>
    </w:p>
    <w:p>
      <w:pPr>
        <w:ind w:left="1260" w:right="439"/>
        <w:spacing w:after="0" w:line="262" w:lineRule="auto"/>
        <w:rPr>
          <w:sz w:val="20"/>
          <w:szCs w:val="20"/>
          <w:color w:val="auto"/>
        </w:rPr>
      </w:pPr>
      <w:r>
        <w:rPr>
          <w:rFonts w:ascii="Arial" w:cs="Arial" w:eastAsia="Arial" w:hAnsi="Arial"/>
          <w:sz w:val="17"/>
          <w:szCs w:val="17"/>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05"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41" w:lineRule="auto"/>
        <w:rPr>
          <w:sz w:val="20"/>
          <w:szCs w:val="20"/>
          <w:color w:val="auto"/>
        </w:rPr>
      </w:pPr>
      <w:r>
        <w:rPr>
          <w:rFonts w:ascii="Arial" w:cs="Arial" w:eastAsia="Arial" w:hAnsi="Arial"/>
          <w:sz w:val="18"/>
          <w:szCs w:val="18"/>
          <w:color w:val="auto"/>
        </w:rPr>
        <w:t>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common stock and warrants underlying the units, include:</w:t>
      </w:r>
    </w:p>
    <w:p>
      <w:pPr>
        <w:spacing w:after="0" w:line="68" w:lineRule="exact"/>
        <w:rPr>
          <w:sz w:val="20"/>
          <w:szCs w:val="20"/>
          <w:color w:val="auto"/>
        </w:rPr>
      </w:pPr>
    </w:p>
    <w:p>
      <w:pPr>
        <w:ind w:left="1800" w:right="123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prospects for acquiring an operating business;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58"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82" w:lineRule="exact"/>
        <w:rPr>
          <w:sz w:val="20"/>
          <w:szCs w:val="20"/>
          <w:color w:val="auto"/>
        </w:rPr>
      </w:pPr>
    </w:p>
    <w:p>
      <w:pPr>
        <w:ind w:left="1260" w:right="939"/>
        <w:spacing w:after="0" w:line="261"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103"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89" w:lineRule="exact"/>
        <w:rPr>
          <w:sz w:val="20"/>
          <w:szCs w:val="20"/>
          <w:color w:val="auto"/>
        </w:rPr>
      </w:pPr>
    </w:p>
    <w:p>
      <w:pPr>
        <w:jc w:val="both"/>
        <w:ind w:left="1260" w:right="479"/>
        <w:spacing w:after="0" w:line="248"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inhibit a takeover of us, which could limit the price investors might be willing to pay in the future for our common stock and could entrench management.</w:t>
      </w:r>
    </w:p>
    <w:p>
      <w:pPr>
        <w:spacing w:after="0" w:line="101"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Our amended and restated certificate of incorporation will contain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12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Section 203 of the DGCL affects the ability of an “interested stockholder” to engage in certain business combinations, for a period of three years following the time that the stockholder becomes an “interested stockholder.” We will elect in our certificate of incorporation not to be subject to Section 203 of the DGCL. Nevertheless, our certificate of incorporation will contain provisions that have the same effect as</w:t>
      </w:r>
    </w:p>
    <w:p>
      <w:pPr>
        <w:spacing w:after="0" w:line="2" w:lineRule="exact"/>
        <w:rPr>
          <w:sz w:val="20"/>
          <w:szCs w:val="20"/>
          <w:color w:val="auto"/>
        </w:rPr>
      </w:pPr>
    </w:p>
    <w:p>
      <w:pPr>
        <w:ind w:left="1260" w:right="479"/>
        <w:spacing w:after="0" w:line="238" w:lineRule="auto"/>
        <w:rPr>
          <w:sz w:val="20"/>
          <w:szCs w:val="20"/>
          <w:color w:val="auto"/>
        </w:rPr>
      </w:pPr>
      <w:r>
        <w:rPr>
          <w:rFonts w:ascii="Arial" w:cs="Arial" w:eastAsia="Arial" w:hAnsi="Arial"/>
          <w:sz w:val="18"/>
          <w:szCs w:val="18"/>
          <w:color w:val="auto"/>
        </w:rPr>
        <w:t>Section 203 of the DGCL, except that it will provide that affiliates of our sponsor and their transferees will not be deemed to be “interested stockholders,” regardless of the percentage of our voting stock owned by them, and will therefore not be subject to such restrictions. These charter provisions may limit the ability of third parties to acquire control of our company.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An investment in this offering may result in uncertain or adverse U.S. federal income tax consequences.</w:t>
      </w:r>
    </w:p>
    <w:p>
      <w:pPr>
        <w:spacing w:after="0" w:line="158"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An investment in this offering may result in uncertain U.S. federal income tax consequences. For instance, because there are no authorities that directly address instruments similar to the units we are issuing in this offering, the allocation an investor makes with respect to the purchase price of a unit between the share of common stock and the one-half of one warrant to purchase common stock included in each unit could</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38" w:lineRule="auto"/>
        <w:rPr>
          <w:sz w:val="20"/>
          <w:szCs w:val="20"/>
          <w:color w:val="auto"/>
        </w:rPr>
      </w:pPr>
      <w:r>
        <w:rPr>
          <w:rFonts w:ascii="Arial" w:cs="Arial" w:eastAsia="Arial" w:hAnsi="Arial"/>
          <w:sz w:val="18"/>
          <w:szCs w:val="18"/>
          <w:color w:val="auto"/>
        </w:rPr>
        <w:t>be challenged by the IRS or the courts. Furthermore, the U.S. federal income tax consequences of a cashless exercise of warrants included in the units we are issuing in this offering is unclear under current law. It is also unclear whether the redemption rights with respect to our shares of common stock suspend the running of a U.S. holder’s holding period for purposes of determining whether any gain or loss realized by such holder on the sale or exchange of common stock is long-term capital gain or loss and for determining whether any dividend we pay would be considered “qualified dividends” for federal income tax purposes. See the section titled “U.S. Federal Income Tax Considerations” for a summary of certain material U.S. federal income tax consequences of an investment in our securities. Prospective investors are urged to consult their tax advisors with respect to these and other tax consequences when purchasing, holding or disposing of our securities.</w:t>
      </w:r>
    </w:p>
    <w:p>
      <w:pPr>
        <w:spacing w:after="0" w:line="188" w:lineRule="exact"/>
        <w:rPr>
          <w:sz w:val="20"/>
          <w:szCs w:val="20"/>
          <w:color w:val="auto"/>
        </w:rPr>
      </w:pPr>
    </w:p>
    <w:p>
      <w:pPr>
        <w:ind w:left="1260" w:right="959"/>
        <w:spacing w:after="0" w:line="261"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have the effect of discouraging lawsuits against our directors and officers.</w:t>
      </w:r>
    </w:p>
    <w:p>
      <w:pPr>
        <w:spacing w:after="0" w:line="90"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Our amended and restated and restated certificate of incorporation will require, subject to certain exceptions, unless we consent in writing to the selection of an alternative forum, the sole and exclusive forum for (a) any derivative action or proceeding brought on our behalf, (b) any action asserting a claim of breach of a fiduciary duty owed by any current or former director, officer, employee, agent to us or our stockholders, (c) any action asserting a claim arising pursuant to any provision of the DGCL, the amended and restated certificate of incorporation or bylaws, or (d) any action asserting a claim governed by the internal affairs doctrine shall be the Court of Chancery of the State of Delaware (or, if the Court of Chancery of the State of Delaware lacks jurisdiction over such action or proceeding, then another court of the State of Delaware or, if no court of the State of Delaware has jurisdiction, then the United States District Court for the District of Delaware).</w:t>
      </w:r>
    </w:p>
    <w:p>
      <w:pPr>
        <w:spacing w:after="0" w:line="121"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Although we believe this forum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 Further, if any action, the subject matter of which is within the scope the forum provisions of our amended and restated certificate of incorporation, is filed in a court other than a court of the State of Delaware, such action we refer to as a foreign action, in the name of any stockholder, such stockholder shall be deemed to have consented to (i) the personal jurisdiction of the state and federal courts located within the State of Delaware in connection with any action brought in such court to enforce the forum provisions, such action we refer to as an enforcement action, and (ii) having service of process made upon such stockholder in any such enforcement action by service upon such stockholder’s counsel in the foreign action as agent for such stockholder. In addition, our amended and restated certificate of incorporation, will state that unless we consent in writing to the selection of an alternative forum, the federal district courts of the United States of America shall be the exclusive forum for the resolution of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w:t>
      </w:r>
    </w:p>
    <w:p>
      <w:pPr>
        <w:spacing w:after="0" w:line="130"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However, our amended and restated certificate of incorporation does not purport to require suits brought to enforce a duty or liability created by the Exchange Act to be brought in the Court of Chancery of the State of Delaware or another court of the State of Delaware. Section 27 of the Exchange Act creates exclusive federal jurisdiction over all claims brought to enforce any duty or liability created by the Exchange Act or the rules and regulations thereunder.</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IV.  General Risk Factors</w:t>
      </w:r>
    </w:p>
    <w:p>
      <w:pPr>
        <w:spacing w:after="0" w:line="229" w:lineRule="exact"/>
        <w:rPr>
          <w:sz w:val="20"/>
          <w:szCs w:val="20"/>
          <w:color w:val="auto"/>
        </w:rPr>
      </w:pPr>
    </w:p>
    <w:p>
      <w:pPr>
        <w:ind w:left="1260" w:right="839"/>
        <w:spacing w:after="0" w:line="261" w:lineRule="auto"/>
        <w:rPr>
          <w:sz w:val="20"/>
          <w:szCs w:val="20"/>
          <w:color w:val="auto"/>
        </w:rPr>
      </w:pPr>
      <w:r>
        <w:rPr>
          <w:rFonts w:ascii="Arial" w:cs="Arial" w:eastAsia="Arial" w:hAnsi="Arial"/>
          <w:sz w:val="18"/>
          <w:szCs w:val="18"/>
          <w:b w:val="1"/>
          <w:bCs w:val="1"/>
          <w:i w:val="1"/>
          <w:iCs w:val="1"/>
          <w:color w:val="auto"/>
        </w:rPr>
        <w:t>We are a company with no operating history and no revenues, and you have no basis on which to evaluate our ability to achieve our business objective.</w:t>
      </w:r>
    </w:p>
    <w:p>
      <w:pPr>
        <w:spacing w:after="0" w:line="103" w:lineRule="exact"/>
        <w:rPr>
          <w:sz w:val="20"/>
          <w:szCs w:val="20"/>
          <w:color w:val="auto"/>
        </w:rPr>
      </w:pPr>
    </w:p>
    <w:p>
      <w:pPr>
        <w:ind w:left="1260" w:right="659" w:firstLine="360"/>
        <w:spacing w:after="0" w:line="270" w:lineRule="auto"/>
        <w:rPr>
          <w:sz w:val="20"/>
          <w:szCs w:val="20"/>
          <w:color w:val="auto"/>
        </w:rPr>
      </w:pPr>
      <w:r>
        <w:rPr>
          <w:rFonts w:ascii="Arial" w:cs="Arial" w:eastAsia="Arial" w:hAnsi="Arial"/>
          <w:sz w:val="17"/>
          <w:szCs w:val="17"/>
          <w:color w:val="auto"/>
        </w:rPr>
        <w:t>We are a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9" w:lineRule="auto"/>
        <w:rPr>
          <w:sz w:val="20"/>
          <w:szCs w:val="20"/>
          <w:color w:val="auto"/>
        </w:rPr>
      </w:pPr>
      <w:r>
        <w:rPr>
          <w:rFonts w:ascii="Arial" w:cs="Arial" w:eastAsia="Arial" w:hAnsi="Arial"/>
          <w:sz w:val="18"/>
          <w:szCs w:val="18"/>
          <w:color w:val="auto"/>
        </w:rPr>
        <w:t>one or more target businesses. We have no plans, arrangements or understandings with any prospective target business concerning an initial business combination and may be unable to complete our initial business combination. If we fail to complete our initial business combination, we will never generate any operating revenues.</w:t>
      </w:r>
    </w:p>
    <w:p>
      <w:pPr>
        <w:spacing w:after="0" w:line="187" w:lineRule="exact"/>
        <w:rPr>
          <w:sz w:val="20"/>
          <w:szCs w:val="20"/>
          <w:color w:val="auto"/>
        </w:rPr>
      </w:pPr>
    </w:p>
    <w:p>
      <w:pPr>
        <w:ind w:left="1260" w:right="559"/>
        <w:spacing w:after="0" w:line="277" w:lineRule="auto"/>
        <w:rPr>
          <w:sz w:val="20"/>
          <w:szCs w:val="20"/>
          <w:color w:val="auto"/>
        </w:rPr>
      </w:pPr>
      <w:r>
        <w:rPr>
          <w:rFonts w:ascii="Arial" w:cs="Arial" w:eastAsia="Arial" w:hAnsi="Arial"/>
          <w:sz w:val="18"/>
          <w:szCs w:val="18"/>
          <w:b w:val="1"/>
          <w:bCs w:val="1"/>
          <w:i w:val="1"/>
          <w:iCs w:val="1"/>
          <w:color w:val="auto"/>
        </w:rPr>
        <w:t>Past performance by Chardan, its affiliates and members of our management team may not be indicative of future performance of an investment in the Company.</w:t>
      </w:r>
    </w:p>
    <w:p>
      <w:pPr>
        <w:spacing w:after="0" w:line="89"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8"/>
          <w:szCs w:val="18"/>
          <w:color w:val="auto"/>
        </w:rPr>
        <w:t>Information regarding performance by, or businesses associated with, Chardan, its affiliates and members of our management team is presented for informational purposes only. Any past experience and performance, including related to acquisitions, of Chardan, its affiliates and members of our management team is not a guarantee either (i) that we will be able to locate a suitable candidate for our initial business combination or (ii) of success with respect to any business combination we may consummate. You should not rely on the historical record or performance of Chardan, its affiliates and members of our management team as indicative of the future performance of us or an investment in the Company or the returns the Company will, or is likely to, generate going forward. An investment in us is not an investment in Chardan or any of its affiliates.</w:t>
      </w:r>
    </w:p>
    <w:p>
      <w:pPr>
        <w:spacing w:after="0" w:line="196" w:lineRule="exact"/>
        <w:rPr>
          <w:sz w:val="20"/>
          <w:szCs w:val="20"/>
          <w:color w:val="auto"/>
        </w:rPr>
      </w:pPr>
    </w:p>
    <w:p>
      <w:pPr>
        <w:ind w:left="1260" w:right="659"/>
        <w:spacing w:after="0" w:line="277" w:lineRule="auto"/>
        <w:rPr>
          <w:sz w:val="20"/>
          <w:szCs w:val="20"/>
          <w:color w:val="auto"/>
        </w:rPr>
      </w:pPr>
      <w:r>
        <w:rPr>
          <w:rFonts w:ascii="Arial" w:cs="Arial" w:eastAsia="Arial" w:hAnsi="Arial"/>
          <w:sz w:val="18"/>
          <w:szCs w:val="18"/>
          <w:b w:val="1"/>
          <w:bCs w:val="1"/>
          <w:i w:val="1"/>
          <w:iCs w:val="1"/>
          <w:color w:val="auto"/>
        </w:rPr>
        <w:t>Cyber incidents or attacks directed at us could result in information theft, data corruption, operational disruption and/or financial loss.</w:t>
      </w:r>
    </w:p>
    <w:p>
      <w:pPr>
        <w:spacing w:after="0" w:line="10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96" w:lineRule="exact"/>
        <w:rPr>
          <w:sz w:val="20"/>
          <w:szCs w:val="20"/>
          <w:color w:val="auto"/>
        </w:rPr>
      </w:pPr>
    </w:p>
    <w:p>
      <w:pPr>
        <w:ind w:left="1260" w:right="499"/>
        <w:spacing w:after="0" w:line="465" w:lineRule="auto"/>
        <w:rPr>
          <w:sz w:val="20"/>
          <w:szCs w:val="20"/>
          <w:color w:val="auto"/>
        </w:rPr>
      </w:pPr>
      <w:r>
        <w:rPr>
          <w:rFonts w:ascii="Arial" w:cs="Arial" w:eastAsia="Arial" w:hAnsi="Arial"/>
          <w:sz w:val="13"/>
          <w:szCs w:val="13"/>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w:t>
      </w:r>
    </w:p>
    <w:p>
      <w:pPr>
        <w:spacing w:after="0" w:line="103"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There are risks related to the software and technology industries to which we may be subject.</w:t>
      </w:r>
    </w:p>
    <w:p>
      <w:pPr>
        <w:spacing w:after="0" w:line="15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Business combinations with companies with operations in the software and technology industries entail special considerations and risks. If we are successful in completing a business combination with a target business with operations in the software and technology industries, we will be subject to, and possibly adversely affected by, the following risks, including but not limited to:</w:t>
      </w:r>
    </w:p>
    <w:p>
      <w:pPr>
        <w:spacing w:after="0" w:line="92" w:lineRule="exact"/>
        <w:rPr>
          <w:sz w:val="20"/>
          <w:szCs w:val="20"/>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we do not develop successful new products or improve existing ones, our business will suffer;</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may invest in new lines of business that could fail to attract or retain users or generate revenue;</w:t>
      </w:r>
    </w:p>
    <w:p>
      <w:pPr>
        <w:spacing w:after="0" w:line="142" w:lineRule="exact"/>
        <w:rPr>
          <w:rFonts w:ascii="Arial" w:cs="Arial" w:eastAsia="Arial" w:hAnsi="Arial"/>
          <w:sz w:val="17"/>
          <w:szCs w:val="17"/>
          <w:color w:val="auto"/>
        </w:rPr>
      </w:pPr>
    </w:p>
    <w:p>
      <w:pPr>
        <w:ind w:left="1800" w:right="53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face significant competition and if we are not able to maintain or improve our market share, our business could suffer;</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39" w:hanging="180"/>
        <w:spacing w:after="0" w:line="259"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 or failure of our networks, systems, platform or technology that frustrate or thwart our users’ ability to access our products and services, may cause our users, advertisers, and partners to cut back on or stop using our products and services altogether, which could seriously harm our business;</w:t>
      </w:r>
    </w:p>
    <w:p>
      <w:pPr>
        <w:spacing w:after="0" w:line="78"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mobile malware, viruses, hacking and phishing attacks, spamming, and improper or illegal use of our products could seriously harm our business and reputation;</w:t>
      </w:r>
    </w:p>
    <w:p>
      <w:pPr>
        <w:spacing w:after="0" w:line="48"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we are unable to successfully grow our user base and further monetize our products, our business will suffer;</w:t>
      </w:r>
    </w:p>
    <w:p>
      <w:pPr>
        <w:spacing w:after="0" w:line="62"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we are unable to protect our intellectual property, the value of our brand and other intangible assets may be diminished, and our business may be seriously harmed;</w:t>
      </w:r>
    </w:p>
    <w:p>
      <w:pPr>
        <w:spacing w:after="0" w:line="62"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proceedings in the future, which could cause us to incur substantial costs or require us to change our business practices in a way that could seriously harm our business; and</w:t>
      </w:r>
    </w:p>
    <w:p>
      <w:pPr>
        <w:spacing w:after="0" w:line="75"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components used in our products may fail as a result of a manufacturing, design, or other defect over which we have no control, and render our devices inoperable.</w:t>
      </w:r>
    </w:p>
    <w:p>
      <w:pPr>
        <w:spacing w:after="0" w:line="103" w:lineRule="exact"/>
        <w:rPr>
          <w:sz w:val="20"/>
          <w:szCs w:val="20"/>
          <w:color w:val="auto"/>
        </w:rPr>
      </w:pPr>
    </w:p>
    <w:p>
      <w:pPr>
        <w:ind w:left="1260" w:right="639" w:firstLine="360"/>
        <w:spacing w:after="0" w:line="275" w:lineRule="auto"/>
        <w:rPr>
          <w:sz w:val="20"/>
          <w:szCs w:val="20"/>
          <w:color w:val="auto"/>
        </w:rPr>
      </w:pPr>
      <w:r>
        <w:rPr>
          <w:rFonts w:ascii="Arial" w:cs="Arial" w:eastAsia="Arial" w:hAnsi="Arial"/>
          <w:sz w:val="17"/>
          <w:szCs w:val="17"/>
          <w:color w:val="auto"/>
        </w:rPr>
        <w:t>Any of the foregoing could have an adverse impact on our operations following a business combination. However, our efforts in identifying prospective target businesses will not be limited to the software and technology industries. Accordingly, if we acquire a target business in another industry, these risks will likely not affect us and we will be subject to other risks attendant with the specific industry in which we operate or target business which we acquire, none of which can be presently ascertained.</w:t>
      </w:r>
    </w:p>
    <w:p>
      <w:pPr>
        <w:spacing w:after="0" w:line="176" w:lineRule="exact"/>
        <w:rPr>
          <w:sz w:val="20"/>
          <w:szCs w:val="20"/>
          <w:color w:val="auto"/>
        </w:rPr>
      </w:pPr>
    </w:p>
    <w:p>
      <w:pPr>
        <w:ind w:left="1260" w:right="659"/>
        <w:spacing w:after="0" w:line="327"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59"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common stock held by non-affiliates exceeds $700 million as of the prior year’s second quarter, in which case we would no longer be an emerging growth company as of the following fiscal year end.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12"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color w:val="auto"/>
        </w:rPr>
        <w:t>opted out of using the extended transition period difficult or impossible because of the potential differences in accounting standards used.</w:t>
      </w:r>
    </w:p>
    <w:p>
      <w:pPr>
        <w:spacing w:after="0" w:line="90" w:lineRule="exact"/>
        <w:rPr>
          <w:sz w:val="20"/>
          <w:szCs w:val="20"/>
          <w:color w:val="auto"/>
        </w:rPr>
      </w:pPr>
    </w:p>
    <w:p>
      <w:pPr>
        <w:ind w:left="1260" w:right="639" w:firstLine="360"/>
        <w:spacing w:after="0" w:line="252" w:lineRule="auto"/>
        <w:rPr>
          <w:sz w:val="20"/>
          <w:szCs w:val="20"/>
          <w:color w:val="auto"/>
        </w:rPr>
      </w:pPr>
      <w:r>
        <w:rPr>
          <w:rFonts w:ascii="Arial" w:cs="Arial" w:eastAsia="Arial" w:hAnsi="Arial"/>
          <w:sz w:val="17"/>
          <w:szCs w:val="17"/>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the end of that year’s second fiscal quarter, or</w:t>
      </w:r>
    </w:p>
    <w:p>
      <w:pPr>
        <w:spacing w:after="0" w:line="2" w:lineRule="exact"/>
        <w:rPr>
          <w:sz w:val="20"/>
          <w:szCs w:val="20"/>
          <w:color w:val="auto"/>
        </w:rPr>
      </w:pPr>
    </w:p>
    <w:p>
      <w:pPr>
        <w:ind w:left="1260" w:right="479"/>
        <w:spacing w:after="0" w:line="238" w:lineRule="auto"/>
        <w:tabs>
          <w:tab w:leader="none" w:pos="1529"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annual revenues exceeded $100 million during such completed fiscal year and the market value of our common stock held by non-affiliates exceeds $700 million as of the that year’s second fiscal quarter. To the extent we take advantage of such reduced disclosure obligations, it may also make comparison of our financial statements with other public companies difficult or impossible.</w:t>
      </w:r>
    </w:p>
    <w:p>
      <w:pPr>
        <w:spacing w:after="0" w:line="117" w:lineRule="exact"/>
        <w:rPr>
          <w:sz w:val="20"/>
          <w:szCs w:val="20"/>
          <w:color w:val="auto"/>
        </w:rPr>
      </w:pPr>
    </w:p>
    <w:p>
      <w:pPr>
        <w:ind w:left="1620" w:hanging="360"/>
        <w:spacing w:after="0"/>
        <w:tabs>
          <w:tab w:leader="none" w:pos="16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Risks Associated with Acquiring and Operating a Business outside of the United States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may effect our initial business combination with a company located outside of the United States.</w:t>
      </w:r>
    </w:p>
    <w:p>
      <w:pPr>
        <w:spacing w:after="0" w:line="156" w:lineRule="exact"/>
        <w:rPr>
          <w:sz w:val="20"/>
          <w:szCs w:val="20"/>
          <w:color w:val="auto"/>
        </w:rPr>
      </w:pPr>
    </w:p>
    <w:p>
      <w:pPr>
        <w:ind w:left="1260" w:right="639" w:firstLine="360"/>
        <w:spacing w:after="0" w:line="248" w:lineRule="auto"/>
        <w:rPr>
          <w:sz w:val="20"/>
          <w:szCs w:val="20"/>
          <w:color w:val="auto"/>
        </w:rPr>
      </w:pPr>
      <w:r>
        <w:rPr>
          <w:rFonts w:ascii="Arial" w:cs="Arial" w:eastAsia="Arial" w:hAnsi="Arial"/>
          <w:sz w:val="18"/>
          <w:szCs w:val="18"/>
          <w:color w:val="auto"/>
        </w:rPr>
        <w:t>If we effect our initial business combination with a company located outside of the United States, we would be subject to any special considerations or risks associated with companies operating in the target business’ home jurisdiction, including any of the following:</w:t>
      </w:r>
    </w:p>
    <w:p>
      <w:pPr>
        <w:spacing w:after="0" w:line="74" w:lineRule="exact"/>
        <w:rPr>
          <w:sz w:val="20"/>
          <w:szCs w:val="20"/>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rules and regulations or currency redemption or corporate withholding taxes on individuals;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tax issues, such as tax law changes and variations in tax laws as compared to the United States;</w:t>
      </w:r>
    </w:p>
    <w:p>
      <w:pPr>
        <w:spacing w:after="0" w:line="115" w:lineRule="exact"/>
        <w:rPr>
          <w:rFonts w:ascii="Arial" w:cs="Arial" w:eastAsia="Arial" w:hAnsi="Arial"/>
          <w:sz w:val="17"/>
          <w:szCs w:val="17"/>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103"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We may not be able to adequately address these additional risks. If we were unable to do so, our operations might suffer.</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There are costs and difficulties inherent in managing cross-border business operations.</w:t>
      </w:r>
    </w:p>
    <w:p>
      <w:pPr>
        <w:spacing w:after="0" w:line="144" w:lineRule="exact"/>
        <w:rPr>
          <w:sz w:val="20"/>
          <w:szCs w:val="20"/>
          <w:color w:val="auto"/>
        </w:rPr>
      </w:pPr>
    </w:p>
    <w:p>
      <w:pPr>
        <w:ind w:left="1260" w:right="419" w:firstLine="360"/>
        <w:spacing w:after="0" w:line="276" w:lineRule="auto"/>
        <w:rPr>
          <w:sz w:val="20"/>
          <w:szCs w:val="20"/>
          <w:color w:val="auto"/>
        </w:rPr>
      </w:pPr>
      <w:r>
        <w:rPr>
          <w:rFonts w:ascii="Arial" w:cs="Arial" w:eastAsia="Arial" w:hAnsi="Arial"/>
          <w:sz w:val="16"/>
          <w:szCs w:val="16"/>
          <w:color w:val="auto"/>
        </w:rPr>
        <w:t>Managing a business, operations, personnel or assets in another country is challenging and costly. Any management that we may have (whether based abroad or in the United States) may be inexperienced in cross-border business practices and unaware of significant differences in accounting rules, legal regimes and labor practices. Even with a seasoned and experienced management team, the costs and difficulties inherent in managing cross-border business operations, personnel and assets can be significant (and much higher than in a purely domestic business) and may negatively impact our financial and operational performance.</w:t>
      </w:r>
    </w:p>
    <w:p>
      <w:pPr>
        <w:spacing w:after="0" w:line="161" w:lineRule="exact"/>
        <w:rPr>
          <w:sz w:val="20"/>
          <w:szCs w:val="20"/>
          <w:color w:val="auto"/>
        </w:rPr>
      </w:pPr>
    </w:p>
    <w:p>
      <w:pPr>
        <w:ind w:left="1260" w:right="859"/>
        <w:spacing w:after="0" w:line="248" w:lineRule="auto"/>
        <w:rPr>
          <w:sz w:val="20"/>
          <w:szCs w:val="20"/>
          <w:color w:val="auto"/>
        </w:rPr>
      </w:pPr>
      <w:r>
        <w:rPr>
          <w:rFonts w:ascii="Arial" w:cs="Arial" w:eastAsia="Arial" w:hAnsi="Arial"/>
          <w:sz w:val="18"/>
          <w:szCs w:val="18"/>
          <w:b w:val="1"/>
          <w:bCs w:val="1"/>
          <w:i w:val="1"/>
          <w:iCs w:val="1"/>
          <w:color w:val="auto"/>
        </w:rPr>
        <w:t>Social unrest, acts of terrorism, regime changes, changes in laws and regulations, political upheaval, or policy changes or enactments may occur in a country in which we may operate after we effect our initial business combination.</w:t>
      </w:r>
    </w:p>
    <w:p>
      <w:pPr>
        <w:spacing w:after="0" w:line="114" w:lineRule="exact"/>
        <w:rPr>
          <w:sz w:val="20"/>
          <w:szCs w:val="20"/>
          <w:color w:val="auto"/>
        </w:rPr>
      </w:pPr>
    </w:p>
    <w:p>
      <w:pPr>
        <w:jc w:val="both"/>
        <w:ind w:left="1260" w:right="699" w:firstLine="360"/>
        <w:spacing w:after="0" w:line="270" w:lineRule="auto"/>
        <w:rPr>
          <w:sz w:val="20"/>
          <w:szCs w:val="20"/>
          <w:color w:val="auto"/>
        </w:rPr>
      </w:pPr>
      <w:r>
        <w:rPr>
          <w:rFonts w:ascii="Arial" w:cs="Arial" w:eastAsia="Arial" w:hAnsi="Arial"/>
          <w:sz w:val="17"/>
          <w:szCs w:val="17"/>
          <w:color w:val="auto"/>
        </w:rPr>
        <w:t>Political events in another country may significantly affect our business, assets or operations. Social unrest, acts of terrorism, regime changes, changes in laws and regulations, political upheaval, and policy changes or enactments could negatively impact our business in a particular country.</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b w:val="1"/>
          <w:bCs w:val="1"/>
          <w:i w:val="1"/>
          <w:iCs w:val="1"/>
          <w:color w:val="auto"/>
        </w:rPr>
        <w:t>Many countries have difficult and unpredictable legal systems and underdeveloped laws and regulations that are unclear and subject to corruption and inexperience.</w:t>
      </w:r>
    </w:p>
    <w:p>
      <w:pPr>
        <w:spacing w:after="0" w:line="36"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Our ability to seek and enforce legal protections, including with respect to intellectual property and other property rights, or to defend ourselves with regard to legal actions taken against us in a given country, may be difficult or impossible, which could adversely impact our operations, assets or financial condition.</w:t>
      </w:r>
    </w:p>
    <w:p>
      <w:pPr>
        <w:spacing w:after="0" w:line="42" w:lineRule="exact"/>
        <w:rPr>
          <w:sz w:val="20"/>
          <w:szCs w:val="20"/>
          <w:color w:val="auto"/>
        </w:rPr>
      </w:pPr>
    </w:p>
    <w:p>
      <w:pPr>
        <w:ind w:left="1260" w:right="659" w:firstLine="360"/>
        <w:spacing w:after="0" w:line="248" w:lineRule="auto"/>
        <w:rPr>
          <w:sz w:val="20"/>
          <w:szCs w:val="20"/>
          <w:color w:val="auto"/>
        </w:rPr>
      </w:pPr>
      <w:r>
        <w:rPr>
          <w:rFonts w:ascii="Arial" w:cs="Arial" w:eastAsia="Arial" w:hAnsi="Arial"/>
          <w:sz w:val="18"/>
          <w:szCs w:val="18"/>
          <w:color w:val="auto"/>
        </w:rPr>
        <w:t>Rules and regulations in many countries are often ambiguous or open to differing interpretation by responsible individuals and agencies at the municipal, state, regional and federal levels. The attitudes and actions of such individuals and agencies are often difficult to predict and inconsistent.</w:t>
      </w:r>
    </w:p>
    <w:p>
      <w:pPr>
        <w:spacing w:after="0" w:line="60" w:lineRule="exact"/>
        <w:rPr>
          <w:sz w:val="20"/>
          <w:szCs w:val="20"/>
          <w:color w:val="auto"/>
        </w:rPr>
      </w:pPr>
    </w:p>
    <w:p>
      <w:pPr>
        <w:jc w:val="both"/>
        <w:ind w:left="1260" w:right="619" w:firstLine="360"/>
        <w:spacing w:after="0" w:line="248" w:lineRule="auto"/>
        <w:rPr>
          <w:sz w:val="20"/>
          <w:szCs w:val="20"/>
          <w:color w:val="auto"/>
        </w:rPr>
      </w:pPr>
      <w:r>
        <w:rPr>
          <w:rFonts w:ascii="Arial" w:cs="Arial" w:eastAsia="Arial" w:hAnsi="Arial"/>
          <w:sz w:val="18"/>
          <w:szCs w:val="18"/>
          <w:color w:val="auto"/>
        </w:rPr>
        <w:t>Delay with respect to the enforcement of particular rules and regulations, including those relating to customs, tax, environmental and labor, could cause serious disruption to operations abroad and negatively impact our results.</w:t>
      </w:r>
    </w:p>
    <w:p>
      <w:pPr>
        <w:spacing w:after="0" w:line="47" w:lineRule="exact"/>
        <w:rPr>
          <w:sz w:val="20"/>
          <w:szCs w:val="20"/>
          <w:color w:val="auto"/>
        </w:rPr>
      </w:pPr>
    </w:p>
    <w:p>
      <w:pPr>
        <w:ind w:left="1260" w:right="419"/>
        <w:spacing w:after="0" w:line="261" w:lineRule="auto"/>
        <w:rPr>
          <w:sz w:val="20"/>
          <w:szCs w:val="20"/>
          <w:color w:val="auto"/>
        </w:rPr>
      </w:pPr>
      <w:r>
        <w:rPr>
          <w:rFonts w:ascii="Arial" w:cs="Arial" w:eastAsia="Arial" w:hAnsi="Arial"/>
          <w:sz w:val="18"/>
          <w:szCs w:val="18"/>
          <w:b w:val="1"/>
          <w:bCs w:val="1"/>
          <w:i w:val="1"/>
          <w:iCs w:val="1"/>
          <w:color w:val="auto"/>
        </w:rPr>
        <w:t>If relations between the United States and foreign governments deteriorate, it could cause potential target businesses or their goods and services to become less attractive.</w:t>
      </w:r>
    </w:p>
    <w:p>
      <w:pPr>
        <w:spacing w:after="0" w:line="49"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7"/>
          <w:szCs w:val="17"/>
          <w:color w:val="auto"/>
        </w:rPr>
        <w:t>The relationship between the United States and foreign governments could be subject to sudden fluctuation and periodic tension. For instance, the United States may announce its intention to impose quotas on certain imports. Such import quotas may adversely affect political relations between the two countries and result in retaliatory countermeasures by the foreign government in industries that may affect our ultimate target business. Changes in political conditions in foreign countries and changes in the state of U.S. relations with such countries are difficult to predict and could adversely affect our operations or cause potential target businesses or their goods and services to become less attractive. Because we are not limited to any specific industry, there is no basis for investors in this offering to evaluate the possible extent of any impact on our ultimate operations if relations are strained between the United States and a foreign country in which we acquire a target business or move our principal manufacturing or service operations.</w:t>
      </w:r>
    </w:p>
    <w:p>
      <w:pPr>
        <w:spacing w:after="0" w:line="59" w:lineRule="exact"/>
        <w:rPr>
          <w:sz w:val="20"/>
          <w:szCs w:val="20"/>
          <w:color w:val="auto"/>
        </w:rPr>
      </w:pPr>
    </w:p>
    <w:p>
      <w:pPr>
        <w:ind w:left="1260" w:right="479"/>
        <w:spacing w:after="0" w:line="308" w:lineRule="auto"/>
        <w:rPr>
          <w:sz w:val="20"/>
          <w:szCs w:val="20"/>
          <w:color w:val="auto"/>
        </w:rPr>
      </w:pPr>
      <w:r>
        <w:rPr>
          <w:rFonts w:ascii="Arial" w:cs="Arial" w:eastAsia="Arial" w:hAnsi="Arial"/>
          <w:sz w:val="17"/>
          <w:szCs w:val="17"/>
          <w:b w:val="1"/>
          <w:bCs w:val="1"/>
          <w:i w:val="1"/>
          <w:iCs w:val="1"/>
          <w:color w:val="auto"/>
        </w:rPr>
        <w:t>If our management following our initial business combination is unfamiliar with United States securities laws, they may have to expend time and resources becoming familiar with such laws.</w:t>
      </w:r>
    </w:p>
    <w:p>
      <w:pPr>
        <w:spacing w:after="0" w:line="11"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ecurities laws. If new management is unfamiliar with our laws, they may have to expend time and resources becoming familiar with such laws. This could be expensive and time-consuming and could lead to various regulatory issues, which may adversely affect our operations.</w:t>
      </w:r>
    </w:p>
    <w:p>
      <w:pPr>
        <w:spacing w:after="0" w:line="71"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Currency policies may cause a target business’ ability to succeed in the international markets to be diminished.</w:t>
      </w:r>
    </w:p>
    <w:p>
      <w:pPr>
        <w:spacing w:after="0" w:line="138"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In the event we acquire a non-U.S. target, all revenues and income would likely be received in a foreign currency,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46" w:lineRule="exact"/>
        <w:rPr>
          <w:sz w:val="20"/>
          <w:szCs w:val="20"/>
          <w:color w:val="auto"/>
        </w:rPr>
      </w:pPr>
    </w:p>
    <w:p>
      <w:pPr>
        <w:ind w:left="1260" w:right="659"/>
        <w:spacing w:after="0" w:line="277" w:lineRule="auto"/>
        <w:rPr>
          <w:sz w:val="20"/>
          <w:szCs w:val="20"/>
          <w:color w:val="auto"/>
        </w:rPr>
      </w:pPr>
      <w:r>
        <w:rPr>
          <w:rFonts w:ascii="Arial" w:cs="Arial" w:eastAsia="Arial" w:hAnsi="Arial"/>
          <w:sz w:val="18"/>
          <w:szCs w:val="18"/>
          <w:b w:val="1"/>
          <w:bCs w:val="1"/>
          <w:i w:val="1"/>
          <w:iCs w:val="1"/>
          <w:color w:val="auto"/>
        </w:rPr>
        <w:t>Because foreign law could govern our material agreements, we may not be able to enforce our rights within such jurisdiction or elsewhere.</w:t>
      </w:r>
    </w:p>
    <w:p>
      <w:pPr>
        <w:spacing w:after="0" w:line="49"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Foreign law could govern our material agreements. The target business may not be able to enforce any of its material agreements or that remedies will be available outside of such foreign jurisdiction’s legal system. The system of laws and the enforcement of existing laws and contracts in such jurisdiction may not be as certain in implementation and interpretation as in the United States. The judiciaries in certain foreign countries may be relatively inexperienced in enforcing corporate and commercial law, leading to a higher than usual degree of uncertainty as to the outcome of any litigation, any such jurisdictions may not favor outsiders or could be corrupt. As a result, the inability to enforce or obtain a remedy under any of our future agreements could result in a significant loss of business and business opportunities.</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We are offering 10,000,000 units at a price of $10.00 per unit. We estimate that the net proceeds of this offering, together with the funds we receive from the sale of the private warrants (all of which will be deposited into the trust account), will be used as set forth in the following table:</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Without</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Over-Allotment</w:t>
            </w:r>
          </w:p>
        </w:tc>
      </w:tr>
      <w:tr>
        <w:trPr>
          <w:trHeight w:val="162"/>
        </w:trPr>
        <w:tc>
          <w:tcPr>
            <w:tcW w:w="19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Over-Allotment</w:t>
            </w: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w:t>
            </w:r>
          </w:p>
        </w:tc>
      </w:tr>
      <w:tr>
        <w:trPr>
          <w:trHeight w:val="186"/>
        </w:trPr>
        <w:tc>
          <w:tcPr>
            <w:tcW w:w="19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Exercised</w:t>
            </w:r>
          </w:p>
        </w:tc>
      </w:tr>
      <w:tr>
        <w:trPr>
          <w:trHeight w:val="26"/>
        </w:trPr>
        <w:tc>
          <w:tcPr>
            <w:tcW w:w="19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Gross proceeds</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r>
      <w:tr>
        <w:trPr>
          <w:trHeight w:val="257"/>
        </w:trPr>
        <w:tc>
          <w:tcPr>
            <w:tcW w:w="5980" w:type="dxa"/>
            <w:vAlign w:val="bottom"/>
            <w:gridSpan w:val="3"/>
          </w:tcPr>
          <w:p>
            <w:pPr>
              <w:spacing w:after="0"/>
              <w:rPr>
                <w:sz w:val="20"/>
                <w:szCs w:val="20"/>
                <w:color w:val="auto"/>
              </w:rPr>
            </w:pPr>
            <w:r>
              <w:rPr>
                <w:rFonts w:ascii="Arial" w:cs="Arial" w:eastAsia="Arial" w:hAnsi="Arial"/>
                <w:sz w:val="18"/>
                <w:szCs w:val="18"/>
                <w:color w:val="auto"/>
              </w:rPr>
              <w:t>From offering</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100,000,000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115,000,000</w:t>
            </w:r>
          </w:p>
        </w:tc>
      </w:tr>
      <w:tr>
        <w:trPr>
          <w:trHeight w:val="263"/>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From sale of private warrants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3,902,000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4,127,000</w:t>
            </w:r>
          </w:p>
        </w:tc>
        <w:tc>
          <w:tcPr>
            <w:tcW w:w="160" w:type="dxa"/>
            <w:vAlign w:val="bottom"/>
          </w:tcPr>
          <w:p>
            <w:pPr>
              <w:spacing w:after="0"/>
              <w:rPr>
                <w:sz w:val="22"/>
                <w:szCs w:val="22"/>
                <w:color w:val="auto"/>
              </w:rPr>
            </w:pPr>
          </w:p>
        </w:tc>
      </w:tr>
      <w:tr>
        <w:trPr>
          <w:trHeight w:val="270"/>
        </w:trPr>
        <w:tc>
          <w:tcPr>
            <w:tcW w:w="5980" w:type="dxa"/>
            <w:vAlign w:val="bottom"/>
            <w:gridSpan w:val="3"/>
          </w:tcPr>
          <w:p>
            <w:pPr>
              <w:spacing w:after="0"/>
              <w:rPr>
                <w:sz w:val="20"/>
                <w:szCs w:val="20"/>
                <w:color w:val="auto"/>
              </w:rPr>
            </w:pPr>
            <w:r>
              <w:rPr>
                <w:rFonts w:ascii="Arial" w:cs="Arial" w:eastAsia="Arial" w:hAnsi="Arial"/>
                <w:sz w:val="18"/>
                <w:szCs w:val="18"/>
                <w:color w:val="auto"/>
              </w:rPr>
              <w:t>Total gross proceeds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103,902,000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119,127,000</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5980" w:type="dxa"/>
            <w:vAlign w:val="bottom"/>
            <w:gridSpan w:val="3"/>
            <w:shd w:val="clear" w:color="auto" w:fill="CCEEFF"/>
          </w:tcPr>
          <w:p>
            <w:pPr>
              <w:spacing w:after="0" w:line="223" w:lineRule="exact"/>
              <w:rPr>
                <w:sz w:val="20"/>
                <w:szCs w:val="20"/>
                <w:color w:val="auto"/>
              </w:rPr>
            </w:pPr>
            <w:r>
              <w:rPr>
                <w:rFonts w:ascii="Arial" w:cs="Arial" w:eastAsia="Arial" w:hAnsi="Arial"/>
                <w:sz w:val="17"/>
                <w:szCs w:val="17"/>
                <w:i w:val="1"/>
                <w:iCs w:val="1"/>
                <w:color w:val="auto"/>
              </w:rPr>
              <w:t>Offering expenses</w:t>
            </w:r>
            <w:r>
              <w:rPr>
                <w:rFonts w:ascii="Arial" w:cs="Arial" w:eastAsia="Arial" w:hAnsi="Arial"/>
                <w:sz w:val="25"/>
                <w:szCs w:val="25"/>
                <w:i w:val="1"/>
                <w:iCs w:val="1"/>
                <w:color w:val="auto"/>
                <w:vertAlign w:val="superscript"/>
              </w:rPr>
              <w:t>(1)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263"/>
        </w:trPr>
        <w:tc>
          <w:tcPr>
            <w:tcW w:w="5980" w:type="dxa"/>
            <w:vAlign w:val="bottom"/>
            <w:gridSpan w:val="3"/>
          </w:tcPr>
          <w:p>
            <w:pPr>
              <w:spacing w:after="0"/>
              <w:rPr>
                <w:sz w:val="20"/>
                <w:szCs w:val="20"/>
                <w:color w:val="auto"/>
              </w:rPr>
            </w:pPr>
            <w:r>
              <w:rPr>
                <w:rFonts w:ascii="Arial" w:cs="Arial" w:eastAsia="Arial" w:hAnsi="Arial"/>
                <w:sz w:val="18"/>
                <w:szCs w:val="18"/>
                <w:color w:val="auto"/>
              </w:rPr>
              <w:t>Underwriting and qualified independent underwriter fees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r>
      <w:tr>
        <w:trPr>
          <w:trHeight w:val="257"/>
        </w:trPr>
        <w:tc>
          <w:tcPr>
            <w:tcW w:w="59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Initial Trustees’ fee</w:t>
            </w: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tcPr>
          <w:p>
            <w:pPr>
              <w:spacing w:after="0"/>
              <w:rPr>
                <w:sz w:val="22"/>
                <w:szCs w:val="22"/>
                <w:color w:val="auto"/>
              </w:rPr>
            </w:pPr>
          </w:p>
        </w:tc>
      </w:tr>
      <w:tr>
        <w:trPr>
          <w:trHeight w:val="257"/>
        </w:trPr>
        <w:tc>
          <w:tcPr>
            <w:tcW w:w="5980" w:type="dxa"/>
            <w:vAlign w:val="bottom"/>
            <w:gridSpan w:val="3"/>
          </w:tcPr>
          <w:p>
            <w:pPr>
              <w:spacing w:after="0"/>
              <w:rPr>
                <w:sz w:val="20"/>
                <w:szCs w:val="20"/>
                <w:color w:val="auto"/>
              </w:rPr>
            </w:pPr>
            <w:r>
              <w:rPr>
                <w:rFonts w:ascii="Arial" w:cs="Arial" w:eastAsia="Arial" w:hAnsi="Arial"/>
                <w:sz w:val="18"/>
                <w:szCs w:val="18"/>
                <w:color w:val="auto"/>
              </w:rPr>
              <w:t>Company legal fees and expenses</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r>
      <w:tr>
        <w:trPr>
          <w:trHeight w:val="25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Transfer agent fees</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tcPr>
          <w:p>
            <w:pPr>
              <w:spacing w:after="0"/>
              <w:rPr>
                <w:sz w:val="22"/>
                <w:szCs w:val="22"/>
                <w:color w:val="auto"/>
              </w:rPr>
            </w:pPr>
          </w:p>
        </w:tc>
      </w:tr>
      <w:tr>
        <w:trPr>
          <w:trHeight w:val="257"/>
        </w:trPr>
        <w:tc>
          <w:tcPr>
            <w:tcW w:w="5980" w:type="dxa"/>
            <w:vAlign w:val="bottom"/>
            <w:gridSpan w:val="3"/>
          </w:tcPr>
          <w:p>
            <w:pPr>
              <w:spacing w:after="0"/>
              <w:rPr>
                <w:sz w:val="20"/>
                <w:szCs w:val="20"/>
                <w:color w:val="auto"/>
              </w:rPr>
            </w:pPr>
            <w:r>
              <w:rPr>
                <w:rFonts w:ascii="Arial" w:cs="Arial" w:eastAsia="Arial" w:hAnsi="Arial"/>
                <w:sz w:val="18"/>
                <w:szCs w:val="18"/>
                <w:color w:val="auto"/>
              </w:rPr>
              <w:t>Nasdaq listing and filing fees</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r>
      <w:tr>
        <w:trPr>
          <w:trHeight w:val="257"/>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22"/>
                <w:szCs w:val="22"/>
                <w:color w:val="auto"/>
              </w:rPr>
            </w:pPr>
          </w:p>
        </w:tc>
      </w:tr>
      <w:tr>
        <w:trPr>
          <w:trHeight w:val="257"/>
        </w:trPr>
        <w:tc>
          <w:tcPr>
            <w:tcW w:w="5980" w:type="dxa"/>
            <w:vAlign w:val="bottom"/>
            <w:gridSpan w:val="3"/>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40,000</w:t>
            </w:r>
          </w:p>
        </w:tc>
      </w:tr>
      <w:tr>
        <w:trPr>
          <w:trHeight w:val="25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27,669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27,669</w:t>
            </w:r>
          </w:p>
        </w:tc>
        <w:tc>
          <w:tcPr>
            <w:tcW w:w="160" w:type="dxa"/>
            <w:vAlign w:val="bottom"/>
          </w:tcPr>
          <w:p>
            <w:pPr>
              <w:spacing w:after="0"/>
              <w:rPr>
                <w:sz w:val="22"/>
                <w:szCs w:val="22"/>
                <w:color w:val="auto"/>
              </w:rPr>
            </w:pPr>
          </w:p>
        </w:tc>
      </w:tr>
      <w:tr>
        <w:trPr>
          <w:trHeight w:val="257"/>
        </w:trPr>
        <w:tc>
          <w:tcPr>
            <w:tcW w:w="5980" w:type="dxa"/>
            <w:vAlign w:val="bottom"/>
            <w:gridSpan w:val="3"/>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19,761</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19,761</w:t>
            </w:r>
          </w:p>
        </w:tc>
      </w:tr>
      <w:tr>
        <w:trPr>
          <w:trHeight w:val="264"/>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96,570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96,570</w:t>
            </w:r>
          </w:p>
        </w:tc>
        <w:tc>
          <w:tcPr>
            <w:tcW w:w="160" w:type="dxa"/>
            <w:vAlign w:val="bottom"/>
          </w:tcPr>
          <w:p>
            <w:pPr>
              <w:spacing w:after="0"/>
              <w:rPr>
                <w:sz w:val="22"/>
                <w:szCs w:val="22"/>
                <w:color w:val="auto"/>
              </w:rPr>
            </w:pPr>
          </w:p>
        </w:tc>
      </w:tr>
      <w:tr>
        <w:trPr>
          <w:trHeight w:val="256"/>
        </w:trPr>
        <w:tc>
          <w:tcPr>
            <w:tcW w:w="5980" w:type="dxa"/>
            <w:vAlign w:val="bottom"/>
            <w:gridSpan w:val="3"/>
          </w:tcPr>
          <w:p>
            <w:pPr>
              <w:spacing w:after="0"/>
              <w:rPr>
                <w:sz w:val="20"/>
                <w:szCs w:val="20"/>
                <w:color w:val="auto"/>
              </w:rPr>
            </w:pPr>
            <w:r>
              <w:rPr>
                <w:rFonts w:ascii="Arial" w:cs="Arial" w:eastAsia="Arial" w:hAnsi="Arial"/>
                <w:sz w:val="18"/>
                <w:szCs w:val="18"/>
                <w:color w:val="auto"/>
              </w:rPr>
              <w:t>Total offering expenses (excluding underwriter commissions)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575,000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575,000</w:t>
            </w:r>
          </w:p>
        </w:tc>
      </w:tr>
      <w:tr>
        <w:trPr>
          <w:trHeight w:val="257"/>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Net proceeds</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tcPr>
          <w:p>
            <w:pPr>
              <w:spacing w:after="0"/>
              <w:rPr>
                <w:sz w:val="22"/>
                <w:szCs w:val="22"/>
                <w:color w:val="auto"/>
              </w:rPr>
            </w:pPr>
          </w:p>
        </w:tc>
      </w:tr>
      <w:tr>
        <w:trPr>
          <w:trHeight w:val="283"/>
        </w:trPr>
        <w:tc>
          <w:tcPr>
            <w:tcW w:w="5980" w:type="dxa"/>
            <w:vAlign w:val="bottom"/>
            <w:gridSpan w:val="3"/>
          </w:tcPr>
          <w:p>
            <w:pPr>
              <w:spacing w:after="0" w:line="283" w:lineRule="exact"/>
              <w:rPr>
                <w:sz w:val="20"/>
                <w:szCs w:val="20"/>
                <w:color w:val="auto"/>
              </w:rPr>
            </w:pPr>
            <w:r>
              <w:rPr>
                <w:rFonts w:ascii="Arial" w:cs="Arial" w:eastAsia="Arial" w:hAnsi="Arial"/>
                <w:sz w:val="18"/>
                <w:szCs w:val="18"/>
                <w:color w:val="auto"/>
              </w:rPr>
              <w:t>Held in trust</w:t>
            </w:r>
            <w:r>
              <w:rPr>
                <w:rFonts w:ascii="Arial" w:cs="Arial" w:eastAsia="Arial" w:hAnsi="Arial"/>
                <w:sz w:val="26"/>
                <w:szCs w:val="26"/>
                <w:color w:val="auto"/>
                <w:vertAlign w:val="superscript"/>
              </w:rPr>
              <w:t>(2)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101,500,000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116,725,000</w:t>
            </w:r>
          </w:p>
        </w:tc>
      </w:tr>
      <w:tr>
        <w:trPr>
          <w:trHeight w:val="277"/>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 held in trust</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1,327,000</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1,327,000</w:t>
            </w:r>
          </w:p>
        </w:tc>
        <w:tc>
          <w:tcPr>
            <w:tcW w:w="160" w:type="dxa"/>
            <w:vAlign w:val="bottom"/>
          </w:tcPr>
          <w:p>
            <w:pPr>
              <w:spacing w:after="0"/>
              <w:rPr>
                <w:sz w:val="24"/>
                <w:szCs w:val="24"/>
                <w:color w:val="auto"/>
              </w:rPr>
            </w:pPr>
          </w:p>
        </w:tc>
      </w:tr>
      <w:tr>
        <w:trPr>
          <w:trHeight w:val="283"/>
        </w:trPr>
        <w:tc>
          <w:tcPr>
            <w:tcW w:w="5980" w:type="dxa"/>
            <w:vAlign w:val="bottom"/>
            <w:gridSpan w:val="3"/>
          </w:tcPr>
          <w:p>
            <w:pPr>
              <w:spacing w:after="0"/>
              <w:rPr>
                <w:sz w:val="20"/>
                <w:szCs w:val="20"/>
                <w:color w:val="auto"/>
              </w:rPr>
            </w:pPr>
            <w:r>
              <w:rPr>
                <w:rFonts w:ascii="Arial" w:cs="Arial" w:eastAsia="Arial" w:hAnsi="Arial"/>
                <w:sz w:val="18"/>
                <w:szCs w:val="18"/>
                <w:color w:val="auto"/>
              </w:rPr>
              <w:t>Total net proceeds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102,827,000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118,052,000</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980" w:type="dxa"/>
            <w:vAlign w:val="bottom"/>
            <w:gridSpan w:val="3"/>
            <w:shd w:val="clear" w:color="auto" w:fill="CCEEFF"/>
          </w:tcPr>
          <w:p>
            <w:pPr>
              <w:spacing w:after="0" w:line="237" w:lineRule="exact"/>
              <w:rPr>
                <w:sz w:val="20"/>
                <w:szCs w:val="20"/>
                <w:color w:val="auto"/>
              </w:rPr>
            </w:pPr>
            <w:r>
              <w:rPr>
                <w:rFonts w:ascii="Arial" w:cs="Arial" w:eastAsia="Arial" w:hAnsi="Arial"/>
                <w:sz w:val="18"/>
                <w:szCs w:val="18"/>
                <w:color w:val="auto"/>
              </w:rPr>
              <w:t>Use of net proceeds not held in the trust account</w:t>
            </w:r>
            <w:r>
              <w:rPr>
                <w:rFonts w:ascii="Arial" w:cs="Arial" w:eastAsia="Arial" w:hAnsi="Arial"/>
                <w:sz w:val="26"/>
                <w:szCs w:val="26"/>
                <w:color w:val="auto"/>
                <w:vertAlign w:val="superscript"/>
              </w:rPr>
              <w:t>(3) (4)</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tcPr>
          <w:p>
            <w:pPr>
              <w:spacing w:after="0"/>
              <w:rPr>
                <w:sz w:val="20"/>
                <w:szCs w:val="20"/>
                <w:color w:val="auto"/>
              </w:rPr>
            </w:pPr>
          </w:p>
        </w:tc>
      </w:tr>
      <w:tr>
        <w:trPr>
          <w:trHeight w:val="242"/>
        </w:trPr>
        <w:tc>
          <w:tcPr>
            <w:tcW w:w="5980" w:type="dxa"/>
            <w:vAlign w:val="bottom"/>
            <w:gridSpan w:val="3"/>
          </w:tcPr>
          <w:p>
            <w:pPr>
              <w:spacing w:after="0"/>
              <w:rPr>
                <w:sz w:val="20"/>
                <w:szCs w:val="20"/>
                <w:color w:val="auto"/>
              </w:rPr>
            </w:pPr>
            <w:r>
              <w:rPr>
                <w:rFonts w:ascii="Arial" w:cs="Arial" w:eastAsia="Arial" w:hAnsi="Arial"/>
                <w:sz w:val="18"/>
                <w:szCs w:val="18"/>
                <w:color w:val="auto"/>
                <w:w w:val="98"/>
              </w:rPr>
              <w:t>Legal, accounting and other third party expenses attendant to the search for</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target businesses and to the due diligence investigation, structuring and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negotiation of a business combination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18.8%</w:t>
            </w:r>
          </w:p>
        </w:tc>
      </w:tr>
      <w:tr>
        <w:trPr>
          <w:trHeight w:val="256"/>
        </w:trPr>
        <w:tc>
          <w:tcPr>
            <w:tcW w:w="5980" w:type="dxa"/>
            <w:vAlign w:val="bottom"/>
            <w:gridSpan w:val="3"/>
          </w:tcPr>
          <w:p>
            <w:pPr>
              <w:spacing w:after="0"/>
              <w:rPr>
                <w:sz w:val="20"/>
                <w:szCs w:val="20"/>
                <w:color w:val="auto"/>
              </w:rPr>
            </w:pPr>
            <w:r>
              <w:rPr>
                <w:rFonts w:ascii="Arial" w:cs="Arial" w:eastAsia="Arial" w:hAnsi="Arial"/>
                <w:sz w:val="18"/>
                <w:szCs w:val="18"/>
                <w:color w:val="auto"/>
              </w:rPr>
              <w:t>Due diligence of prospective target businesses by officers, directors and</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30"/>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initial stockholders</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18.8%</w:t>
            </w:r>
          </w:p>
        </w:tc>
      </w:tr>
      <w:tr>
        <w:trPr>
          <w:trHeight w:val="283"/>
        </w:trPr>
        <w:tc>
          <w:tcPr>
            <w:tcW w:w="5980" w:type="dxa"/>
            <w:vAlign w:val="bottom"/>
            <w:gridSpan w:val="3"/>
          </w:tcPr>
          <w:p>
            <w:pPr>
              <w:spacing w:after="0"/>
              <w:rPr>
                <w:sz w:val="20"/>
                <w:szCs w:val="20"/>
                <w:color w:val="auto"/>
              </w:rPr>
            </w:pPr>
            <w:r>
              <w:rPr>
                <w:rFonts w:ascii="Arial" w:cs="Arial" w:eastAsia="Arial" w:hAnsi="Arial"/>
                <w:sz w:val="18"/>
                <w:szCs w:val="18"/>
                <w:color w:val="auto"/>
              </w:rPr>
              <w:t>Legal and accounting fees relating to SEC reporting obligations</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5980" w:type="dxa"/>
            <w:vAlign w:val="bottom"/>
            <w:gridSpan w:val="3"/>
          </w:tcPr>
          <w:p>
            <w:pPr>
              <w:spacing w:after="0"/>
              <w:rPr>
                <w:sz w:val="20"/>
                <w:szCs w:val="20"/>
                <w:color w:val="auto"/>
              </w:rPr>
            </w:pPr>
            <w:r>
              <w:rPr>
                <w:rFonts w:ascii="Arial" w:cs="Arial" w:eastAsia="Arial" w:hAnsi="Arial"/>
                <w:sz w:val="18"/>
                <w:szCs w:val="18"/>
                <w:color w:val="auto"/>
              </w:rPr>
              <w:t>Nasdaq continued listing fees</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5980" w:type="dxa"/>
            <w:vAlign w:val="bottom"/>
            <w:gridSpan w:val="3"/>
          </w:tcPr>
          <w:p>
            <w:pPr>
              <w:spacing w:after="0"/>
              <w:rPr>
                <w:sz w:val="20"/>
                <w:szCs w:val="20"/>
                <w:color w:val="auto"/>
              </w:rPr>
            </w:pPr>
            <w:r>
              <w:rPr>
                <w:rFonts w:ascii="Arial" w:cs="Arial" w:eastAsia="Arial" w:hAnsi="Arial"/>
                <w:sz w:val="18"/>
                <w:szCs w:val="18"/>
                <w:color w:val="auto"/>
              </w:rPr>
              <w:t>Payment of administrative fee to an affiliate of our sponsor</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70"/>
        </w:trPr>
        <w:tc>
          <w:tcPr>
            <w:tcW w:w="5980" w:type="dxa"/>
            <w:vAlign w:val="bottom"/>
            <w:gridSpan w:val="3"/>
          </w:tcPr>
          <w:p>
            <w:pPr>
              <w:spacing w:after="0"/>
              <w:rPr>
                <w:sz w:val="20"/>
                <w:szCs w:val="20"/>
                <w:color w:val="auto"/>
              </w:rPr>
            </w:pPr>
            <w:r>
              <w:rPr>
                <w:rFonts w:ascii="Arial" w:cs="Arial" w:eastAsia="Arial" w:hAnsi="Arial"/>
                <w:sz w:val="18"/>
                <w:szCs w:val="18"/>
                <w:color w:val="auto"/>
              </w:rPr>
              <w:t>Director and officer liability insurance premiums</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28.3%</w:t>
            </w:r>
          </w:p>
        </w:tc>
      </w:tr>
      <w:tr>
        <w:trPr>
          <w:trHeight w:val="242"/>
        </w:trPr>
        <w:tc>
          <w:tcPr>
            <w:tcW w:w="5980" w:type="dxa"/>
            <w:vAlign w:val="bottom"/>
            <w:gridSpan w:val="3"/>
          </w:tcPr>
          <w:p>
            <w:pPr>
              <w:spacing w:after="0"/>
              <w:rPr>
                <w:sz w:val="20"/>
                <w:szCs w:val="20"/>
                <w:color w:val="auto"/>
              </w:rPr>
            </w:pPr>
            <w:r>
              <w:rPr>
                <w:rFonts w:ascii="Arial" w:cs="Arial" w:eastAsia="Arial" w:hAnsi="Arial"/>
                <w:sz w:val="18"/>
                <w:szCs w:val="18"/>
                <w:color w:val="auto"/>
              </w:rPr>
              <w:t>Working capital to cover miscellaneous expenses, general corporate</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0"/>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purposes, liquidation obligations and reserves</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207,000</w:t>
            </w: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19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77"/>
        </w:trPr>
        <w:tc>
          <w:tcPr>
            <w:tcW w:w="59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1,327,000</w:t>
            </w:r>
          </w:p>
        </w:tc>
        <w:tc>
          <w:tcPr>
            <w:tcW w:w="1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
        </w:trPr>
        <w:tc>
          <w:tcPr>
            <w:tcW w:w="19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4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-1602105</wp:posOffset>
            </wp:positionV>
            <wp:extent cx="5212080" cy="3086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-1122045</wp:posOffset>
            </wp:positionV>
            <wp:extent cx="52120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-779145</wp:posOffset>
            </wp:positionV>
            <wp:extent cx="521208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-290830</wp:posOffset>
            </wp:positionV>
            <wp:extent cx="5212080" cy="2057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12080" cy="2057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-4602480</wp:posOffset>
            </wp:positionV>
            <wp:extent cx="45777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-5640070</wp:posOffset>
            </wp:positionV>
            <wp:extent cx="45688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14" w:lineRule="exact"/>
        <w:rPr>
          <w:sz w:val="20"/>
          <w:szCs w:val="20"/>
          <w:color w:val="auto"/>
        </w:rPr>
      </w:pPr>
    </w:p>
    <w:p>
      <w:pPr>
        <w:ind w:left="1620" w:right="599" w:hanging="360"/>
        <w:spacing w:after="0" w:line="259"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portion of the offering expenses, including the SEC registration fee, the FINRA filing fee, the non-refundable portion of the Nasdaq listing fee and a portion of the legal and audit fees, have been paid from the funds we borrowed from our sponsor. These funds will be repaid out of the proceeds of this offering available to us.</w:t>
      </w: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439" w:hanging="360"/>
        <w:spacing w:after="0" w:line="255"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funds held in the trust account will be used to acquire a target business, to pay holders who wish to redeem or sell their shares for a portion of the funds held in the trust account, to pay the Marketing Fee of $3,500,000 (or $4,025,000 if the underwriters’ over-allotment option is exercised in full), or for general corporate purposes, including payment of principal or interest on indebtedness incurred in connection with our initial business combination, to fund the purchases of other companies or for working capital.</w:t>
      </w:r>
    </w:p>
    <w:p>
      <w:pPr>
        <w:spacing w:after="0" w:line="43" w:lineRule="exact"/>
        <w:rPr>
          <w:rFonts w:ascii="Arial" w:cs="Arial" w:eastAsia="Arial" w:hAnsi="Arial"/>
          <w:sz w:val="18"/>
          <w:szCs w:val="18"/>
          <w:color w:val="auto"/>
        </w:rPr>
      </w:pPr>
    </w:p>
    <w:p>
      <w:pPr>
        <w:ind w:left="1620" w:right="459" w:hanging="360"/>
        <w:spacing w:after="0" w:line="277"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estimated amount of proceeds not held in trust will remain constant at $1,327,000 even if the over-allotment is exercised.</w:t>
      </w:r>
    </w:p>
    <w:p>
      <w:pPr>
        <w:spacing w:after="0" w:line="21" w:lineRule="exact"/>
        <w:rPr>
          <w:rFonts w:ascii="Arial" w:cs="Arial" w:eastAsia="Arial" w:hAnsi="Arial"/>
          <w:sz w:val="18"/>
          <w:szCs w:val="18"/>
          <w:color w:val="auto"/>
        </w:rPr>
      </w:pPr>
    </w:p>
    <w:p>
      <w:pPr>
        <w:ind w:left="1620" w:right="499" w:hanging="360"/>
        <w:spacing w:after="0" w:line="254"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pacing w:after="0" w:line="127"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The payment to an affiliate of our sponsor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an affiliate of our sponsor for our benefit. We believe that the fee charged by the affiliate of our sponsor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9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 xml:space="preserve">A total of $10.15 per share (whether or not the underwriters’ over-allotment option is exercised in full) of the net proceeds from this offering and the sale of the private warrants described in this prospectus will be placed in a trust account in the United States at Morgan Stanley, maintained by Continental Stock Transfer &amp; Trust Company acting as trustee and will be invested only in U.S. government treasury bills, notes and bonds with a maturity of 185 days or less or in money market funds meeting certain conditions under Rule 2a-7 under the Investment Company Act and which invest solely in U.S. Treasuries. We estimate that the interest earned on the trust account will be approximately $100,000 per year, assuming an interest rate of 0.1% per year; </w:t>
      </w:r>
      <w:r>
        <w:rPr>
          <w:rFonts w:ascii="Arial" w:cs="Arial" w:eastAsia="Arial" w:hAnsi="Arial"/>
          <w:sz w:val="17"/>
          <w:szCs w:val="17"/>
          <w:i w:val="1"/>
          <w:iCs w:val="1"/>
          <w:color w:val="auto"/>
        </w:rPr>
        <w:t>however</w:t>
      </w:r>
      <w:r>
        <w:rPr>
          <w:rFonts w:ascii="Arial" w:cs="Arial" w:eastAsia="Arial" w:hAnsi="Arial"/>
          <w:sz w:val="17"/>
          <w:szCs w:val="17"/>
          <w:color w:val="auto"/>
        </w:rPr>
        <w:t>, we can provide no assurance regarding this amount. Except for all interest income that may be released to us to pay our tax obligations, as discussed below, none of the funds held in the trust account will be released from the trust account until the earlier of: (i) the consummation of our initial business combination within 12 months (or up to 18 months, as applicable) from the closing of this offering and (ii) a redemption to public stockholders prior to any voluntary winding-up in the event we do not consummate our initial business combination within the applicable period.</w:t>
      </w:r>
    </w:p>
    <w:p>
      <w:pPr>
        <w:spacing w:after="0" w:line="119"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w:t>
      </w: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color w:val="auto"/>
        </w:rPr>
        <w:t>principal or interest due on indebtedness incurred in consummating the initial business combination, to fund the purchase of other companies or for working capital.</w:t>
      </w:r>
    </w:p>
    <w:p>
      <w:pPr>
        <w:spacing w:after="0" w:line="89"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or the amount of interest available to use from the trust account is minimal as a result of the current interest rate environment, we may be required to raise additional capital, the amount, availability and cost of which is currently unascertainable. In this event, we could seek such additional capital through loans or additional investments from members of our management team, but such members of our management team are not under any obligation to advance funds to, or invest in, us.</w:t>
      </w:r>
    </w:p>
    <w:p>
      <w:pPr>
        <w:spacing w:after="0" w:line="111"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As of the date of this prospectus, our sponsor has not loaned us any amounts to be used for a portion of the expenses of this offering. Any loans will be non-interest bearing and payable on the date on which we consummate the offering.</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initial stockholders, officers and directors or any of their respective affiliates may, but are not obligated to, loan us funds as may be required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11" w:lineRule="exact"/>
        <w:rPr>
          <w:sz w:val="20"/>
          <w:szCs w:val="20"/>
          <w:color w:val="auto"/>
        </w:rPr>
      </w:pPr>
    </w:p>
    <w:p>
      <w:pPr>
        <w:ind w:left="1260" w:right="559" w:firstLine="360"/>
        <w:spacing w:after="0" w:line="271" w:lineRule="auto"/>
        <w:rPr>
          <w:sz w:val="20"/>
          <w:szCs w:val="20"/>
          <w:color w:val="auto"/>
        </w:rPr>
      </w:pPr>
      <w:r>
        <w:rPr>
          <w:rFonts w:ascii="Arial" w:cs="Arial" w:eastAsia="Arial" w:hAnsi="Arial"/>
          <w:sz w:val="17"/>
          <w:szCs w:val="17"/>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11"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8"/>
          <w:szCs w:val="18"/>
          <w:color w:val="auto"/>
        </w:rPr>
        <w:t>A public stockholder will be entitled to receive funds from the trust account only upon the earlier to occur of: (i) our consummation of our initial business combination, and then only in connection with those shares of common stock that such stockholder properly elected to redeem, subject to the limitations described herein, (ii) the redemption of our public shares if we are unable to consummate our initial business combination within 12 months (or up to 18 months, as applicable) following the closing of this offering, subject to applicable law, or (iii) if we seek to amend our certificate of incorporation to affect the substance or timing of our obligation to redeem all public shares if we cannot complete an initial business combination within 12 months (or up to 18 months, as applicable) of the closing of this offering and such amendment is duly approved. In no other circumstances will a public stockholder have any right or interest of any kind to or in the trust account.</w:t>
      </w:r>
    </w:p>
    <w:p>
      <w:pPr>
        <w:spacing w:after="0" w:line="127"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Our initial stockholders have agreed to waive their redemption rights with respect to any shares they own in connection with the consummation of our initial business combination, including their founder shares and public shares that they purchase during or after the offering, if any. In addition, our initial stockholders have agreed to waive their rights to liquidating distributions with respect to their founder shares if we fail to consummate our initial business combination within 12 months (or up to 18 months, as applicable) from the closing of this offering. However, if our initial stockholders acquire public shares in or after this offering, they will be entitled to receive liquidating distributions with respect to such public shares if we fail to consummate our initial business combination within the required time period.</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5" w:name="page76"/>
    <w:bookmarkEnd w:id="7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We have not paid any cash dividends on our shares of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subject to the Delaware law. In addition, our board of directors is not currently contemplating and does not anticipate declaring any share dividends in the foreseeable future, except if we increase the size of the offering pursuant to Rule 462(b) under the Securities Act, in which case we will effect a share dividend immediately prior to the consummation of the offering in such amount as to maintain our initial stockholders’ ownership at 20% of the issued and outstanding shares of common stock upon the consummation of this offering (assuming no purchase in this offering and not taking into account ownership of the private warrants). Further, if we incur any indebtedness in connection with our initial business combination, our ability to declare dividends may be limited by restrictive covenants we may agree to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The difference between the public offering price per share, assuming no value is attributed to the warrants included in the units we are offering by this prospectus, and the pro forma net tangible book value per share after this offering constitutes the dilution to investors in this offering. Such calculation does not reflect any dilution associated with sale and exercise of warrants, including the private warrants. Net tangible book value per share is determined by dividing our net tangible book value, which is our total tangible assets less total liabilities (including the value of shares of common stock which may be redeemed for cash), by the number of outstanding shares of common stock.</w:t>
      </w:r>
    </w:p>
    <w:p>
      <w:pPr>
        <w:spacing w:after="0" w:line="1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 March 31, 2021, our net tangible book deficit was $(53,118) or approximately $(0.02) per share.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After giving effect to the sale of 10,000,000 shares of common stock included in the units we are offering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this prospectus and the proceeds received from the sale of the private warrants, the deduction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underwriting discounts and estimated expenses of this offering, our pro forma net tangible book value at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31, 2021 would have been $5,000,010 or $1.59 per share (or $1.41 per share if the underwriters’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over-allotment if the underwriters’ over-allotment option is exercised in full), representing an immediate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increase in net tangible book value of $1.61 per share (or $1.43 per share if the underwriters’ over-allotment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if the underwriters’ over-allotment option is exercised in full) to the initial stockholders and an immediate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dilution of $8.41 per share or 84.1% (or $8.59 per share or 85.9% if the underwriters’ over-allotment if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underwriters’ over-allotment option is exercised in full) to new investors not exercising their redemption/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tender rights. For purposes of presentation, our pro forma net tangible book value after this offering is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$94,910,990 (or $109,966,461 if the underwriters’ over-allotment if the underwriters’ over-allotment option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is exercised in full) less than it otherwise would have been because, if we effect a business combination,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ability of public stockholders to exercise redemption rights or sell their shares to us in any tender offer may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result in the redemption or tender of up to 9,350,836 shares (or 10,834,134 if the underwriters’ over-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allotment if the underwriters’ over-allotment option is exercised in full) sold in this offering.</w:t>
      </w:r>
    </w:p>
    <w:p>
      <w:pPr>
        <w:spacing w:after="0" w:line="143"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The following table illustrates the dilution to the new investors on a per-share basis, assuming no value is attributed to the redeemable warrants, including the private warrants: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14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Without</w:t>
            </w:r>
          </w:p>
        </w:tc>
        <w:tc>
          <w:tcPr>
            <w:tcW w:w="780" w:type="dxa"/>
            <w:vAlign w:val="bottom"/>
            <w:gridSpan w:val="3"/>
          </w:tcPr>
          <w:p>
            <w:pPr>
              <w:jc w:val="center"/>
              <w:ind w:left="276"/>
              <w:spacing w:after="0"/>
              <w:rPr>
                <w:sz w:val="20"/>
                <w:szCs w:val="20"/>
                <w:color w:val="auto"/>
              </w:rPr>
            </w:pPr>
            <w:r>
              <w:rPr>
                <w:rFonts w:ascii="Arial" w:cs="Arial" w:eastAsia="Arial" w:hAnsi="Arial"/>
                <w:sz w:val="14"/>
                <w:szCs w:val="14"/>
                <w:b w:val="1"/>
                <w:bCs w:val="1"/>
                <w:color w:val="auto"/>
                <w:w w:val="98"/>
              </w:rPr>
              <w:t>With</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6"/>
        </w:trPr>
        <w:tc>
          <w:tcPr>
            <w:tcW w:w="5600" w:type="dxa"/>
            <w:vAlign w:val="bottom"/>
          </w:tcPr>
          <w:p>
            <w:pPr>
              <w:spacing w:after="0"/>
              <w:rPr>
                <w:sz w:val="16"/>
                <w:szCs w:val="16"/>
                <w:color w:val="auto"/>
              </w:rPr>
            </w:pPr>
          </w:p>
        </w:tc>
        <w:tc>
          <w:tcPr>
            <w:tcW w:w="14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Over-Allotment</w:t>
            </w:r>
          </w:p>
        </w:tc>
        <w:tc>
          <w:tcPr>
            <w:tcW w:w="13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Over-Allotment</w:t>
            </w:r>
          </w:p>
        </w:tc>
      </w:tr>
      <w:tr>
        <w:trPr>
          <w:trHeight w:val="25"/>
        </w:trPr>
        <w:tc>
          <w:tcPr>
            <w:tcW w:w="56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5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160" w:type="dxa"/>
            <w:vAlign w:val="bottom"/>
          </w:tcPr>
          <w:p>
            <w:pPr>
              <w:spacing w:after="0"/>
              <w:rPr>
                <w:sz w:val="21"/>
                <w:szCs w:val="2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$(0.02)</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$(0.02)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29"/>
        </w:trPr>
        <w:tc>
          <w:tcPr>
            <w:tcW w:w="5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attributable to new investors, private sales and capital</w:t>
            </w: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r>
      <w:tr>
        <w:trPr>
          <w:trHeight w:val="237"/>
        </w:trPr>
        <w:tc>
          <w:tcPr>
            <w:tcW w:w="56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contribution</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60" w:type="dxa"/>
            <w:vAlign w:val="bottom"/>
          </w:tcPr>
          <w:p>
            <w:pPr>
              <w:spacing w:after="0"/>
              <w:rPr>
                <w:sz w:val="20"/>
                <w:szCs w:val="20"/>
                <w:color w:val="auto"/>
              </w:rPr>
            </w:pPr>
          </w:p>
        </w:tc>
      </w:tr>
      <w:tr>
        <w:trPr>
          <w:trHeight w:val="20"/>
        </w:trPr>
        <w:tc>
          <w:tcPr>
            <w:tcW w:w="56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gridSpan w:val="2"/>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7"/>
        </w:trPr>
        <w:tc>
          <w:tcPr>
            <w:tcW w:w="5600" w:type="dxa"/>
            <w:vAlign w:val="bottom"/>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1.41</w:t>
            </w:r>
          </w:p>
        </w:tc>
      </w:tr>
      <w:tr>
        <w:trPr>
          <w:trHeight w:val="20"/>
        </w:trPr>
        <w:tc>
          <w:tcPr>
            <w:tcW w:w="56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90"/>
        </w:trPr>
        <w:tc>
          <w:tcPr>
            <w:tcW w:w="5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new investors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8.59</w:t>
            </w:r>
          </w:p>
        </w:tc>
        <w:tc>
          <w:tcPr>
            <w:tcW w:w="160" w:type="dxa"/>
            <w:vAlign w:val="bottom"/>
          </w:tcPr>
          <w:p>
            <w:pPr>
              <w:spacing w:after="0"/>
              <w:rPr>
                <w:sz w:val="24"/>
                <w:szCs w:val="24"/>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7"/>
        </w:trPr>
        <w:tc>
          <w:tcPr>
            <w:tcW w:w="5600" w:type="dxa"/>
            <w:vAlign w:val="bottom"/>
          </w:tcPr>
          <w:p>
            <w:pPr>
              <w:spacing w:after="0"/>
              <w:rPr>
                <w:sz w:val="20"/>
                <w:szCs w:val="20"/>
                <w:color w:val="auto"/>
              </w:rPr>
            </w:pPr>
            <w:r>
              <w:rPr>
                <w:rFonts w:ascii="Arial" w:cs="Arial" w:eastAsia="Arial" w:hAnsi="Arial"/>
                <w:sz w:val="18"/>
                <w:szCs w:val="18"/>
                <w:color w:val="auto"/>
              </w:rPr>
              <w:t>Percentage of dilution to new investors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84.1%</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w w:val="86"/>
              </w:rPr>
              <w:t>85.9%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-367665</wp:posOffset>
            </wp:positionV>
            <wp:extent cx="4894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894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-1191260</wp:posOffset>
            </wp:positionV>
            <wp:extent cx="444881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448810" cy="8890"/>
                    </a:xfrm>
                    <a:prstGeom prst="rect">
                      <a:avLst/>
                    </a:prstGeom>
                    <a:noFill/>
                  </pic:spPr>
                </pic:pic>
              </a:graphicData>
            </a:graphic>
          </wp:anchor>
        </w:drawing>
      </w:r>
    </w:p>
    <w:p>
      <w:pPr>
        <w:spacing w:after="0" w:line="128" w:lineRule="exact"/>
        <w:rPr>
          <w:sz w:val="20"/>
          <w:szCs w:val="20"/>
          <w:color w:val="auto"/>
        </w:rPr>
      </w:pPr>
    </w:p>
    <w:p>
      <w:pPr>
        <w:ind w:left="1260" w:right="1179" w:firstLine="360"/>
        <w:spacing w:after="0" w:line="277" w:lineRule="auto"/>
        <w:rPr>
          <w:sz w:val="20"/>
          <w:szCs w:val="20"/>
          <w:color w:val="auto"/>
        </w:rPr>
      </w:pPr>
      <w:r>
        <w:rPr>
          <w:rFonts w:ascii="Arial" w:cs="Arial" w:eastAsia="Arial" w:hAnsi="Arial"/>
          <w:sz w:val="18"/>
          <w:szCs w:val="18"/>
          <w:color w:val="auto"/>
        </w:rPr>
        <w:t>The following table sets forth information with respect to our initial stockholders and the new investors:</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9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Shares Purchased</w:t>
            </w:r>
          </w:p>
        </w:tc>
        <w:tc>
          <w:tcPr>
            <w:tcW w:w="80" w:type="dxa"/>
            <w:vAlign w:val="bottom"/>
          </w:tcPr>
          <w:p>
            <w:pPr>
              <w:spacing w:after="0"/>
              <w:rPr>
                <w:sz w:val="16"/>
                <w:szCs w:val="16"/>
                <w:color w:val="auto"/>
              </w:rPr>
            </w:pPr>
          </w:p>
        </w:tc>
        <w:tc>
          <w:tcPr>
            <w:tcW w:w="20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Total Consideration</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7"/>
              </w:rPr>
              <w:t>Average Price</w:t>
            </w: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9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4"/>
              </w:rPr>
              <w:t>Percentage</w:t>
            </w:r>
          </w:p>
        </w:tc>
        <w:tc>
          <w:tcPr>
            <w:tcW w:w="80" w:type="dxa"/>
            <w:vAlign w:val="bottom"/>
          </w:tcPr>
          <w:p>
            <w:pPr>
              <w:spacing w:after="0"/>
              <w:rPr>
                <w:sz w:val="17"/>
                <w:szCs w:val="17"/>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4"/>
              </w:rPr>
              <w:t>Percentage</w:t>
            </w:r>
          </w:p>
        </w:tc>
        <w:tc>
          <w:tcPr>
            <w:tcW w:w="8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5"/>
        </w:trPr>
        <w:tc>
          <w:tcPr>
            <w:tcW w:w="19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40" w:type="dxa"/>
            <w:vAlign w:val="bottom"/>
            <w:tcBorders>
              <w:right w:val="single" w:sz="8" w:color="CCEEFF"/>
            </w:tcBorders>
            <w:gridSpan w:val="2"/>
            <w:shd w:val="clear" w:color="auto" w:fill="CCEEFF"/>
          </w:tcPr>
          <w:p>
            <w:pPr>
              <w:spacing w:after="0" w:line="263" w:lineRule="exact"/>
              <w:rPr>
                <w:sz w:val="20"/>
                <w:szCs w:val="20"/>
                <w:color w:val="auto"/>
              </w:rPr>
            </w:pPr>
            <w:r>
              <w:rPr>
                <w:rFonts w:ascii="Arial" w:cs="Arial" w:eastAsia="Arial" w:hAnsi="Arial"/>
                <w:sz w:val="18"/>
                <w:szCs w:val="18"/>
                <w:color w:val="auto"/>
              </w:rPr>
              <w:t>Initial stockholders</w:t>
            </w:r>
            <w:r>
              <w:rPr>
                <w:rFonts w:ascii="Arial" w:cs="Arial" w:eastAsia="Arial" w:hAnsi="Arial"/>
                <w:sz w:val="26"/>
                <w:szCs w:val="26"/>
                <w:color w:val="auto"/>
                <w:vertAlign w:val="superscript"/>
              </w:rPr>
              <w:t>(1)(2)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2,500,000</w:t>
            </w:r>
          </w:p>
        </w:tc>
        <w:tc>
          <w:tcPr>
            <w:tcW w:w="9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63"/>
        </w:trPr>
        <w:tc>
          <w:tcPr>
            <w:tcW w:w="334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10,000,000</w:t>
            </w: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100,000,000</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99.98%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10.00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940" w:type="dxa"/>
            <w:vAlign w:val="bottom"/>
            <w:shd w:val="clear" w:color="auto" w:fill="CCEEFF"/>
          </w:tcPr>
          <w:p>
            <w:pPr>
              <w:spacing w:after="0"/>
              <w:rPr>
                <w:sz w:val="24"/>
                <w:szCs w:val="24"/>
                <w:color w:val="auto"/>
              </w:rPr>
            </w:pPr>
          </w:p>
        </w:tc>
        <w:tc>
          <w:tcPr>
            <w:tcW w:w="1400" w:type="dxa"/>
            <w:vAlign w:val="bottom"/>
            <w:tcBorders>
              <w:right w:val="single" w:sz="8" w:color="CCEEFF"/>
            </w:tcBorders>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12,500,000</w:t>
            </w:r>
          </w:p>
        </w:tc>
        <w:tc>
          <w:tcPr>
            <w:tcW w:w="9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100,025,000</w:t>
            </w: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4768850</wp:posOffset>
            </wp:positionH>
            <wp:positionV relativeFrom="paragraph">
              <wp:posOffset>-290830</wp:posOffset>
            </wp:positionV>
            <wp:extent cx="12426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42695" cy="8255"/>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-290830</wp:posOffset>
            </wp:positionV>
            <wp:extent cx="1968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-290830</wp:posOffset>
            </wp:positionV>
            <wp:extent cx="28200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2003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-641985</wp:posOffset>
            </wp:positionV>
            <wp:extent cx="137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-641985</wp:posOffset>
            </wp:positionV>
            <wp:extent cx="137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-641985</wp:posOffset>
            </wp:positionV>
            <wp:extent cx="27686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-641985</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620" w:right="959" w:hanging="360"/>
        <w:spacing w:after="0" w:line="308" w:lineRule="auto"/>
        <w:tabs>
          <w:tab w:leader="none" w:pos="1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Assumes the over-allotment option has not been exercised and an aggregate of 375,000 shares of common stock held by our initial stockholders have been forfeited as a result thereof.</w:t>
      </w:r>
    </w:p>
    <w:p>
      <w:pPr>
        <w:spacing w:after="0" w:line="11" w:lineRule="exact"/>
        <w:rPr>
          <w:rFonts w:ascii="Arial" w:cs="Arial" w:eastAsia="Arial" w:hAnsi="Arial"/>
          <w:sz w:val="17"/>
          <w:szCs w:val="17"/>
          <w:color w:val="auto"/>
        </w:rPr>
      </w:pPr>
    </w:p>
    <w:p>
      <w:pPr>
        <w:ind w:left="1620" w:right="559" w:hanging="360"/>
        <w:spacing w:after="0" w:line="277"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May and June 2021, our sponsor transferred 20,000 founder shares to each of Messrs. Biele, Boyle, Hardamon, Thakrar and Thomson and Ms. Jardins.</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pro forma net tangible book value after the offering is calculated as follows:</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Without</w:t>
            </w:r>
          </w:p>
        </w:tc>
        <w:tc>
          <w:tcPr>
            <w:tcW w:w="10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With</w:t>
            </w:r>
          </w:p>
        </w:tc>
      </w:tr>
      <w:tr>
        <w:trPr>
          <w:trHeight w:val="229"/>
        </w:trPr>
        <w:tc>
          <w:tcPr>
            <w:tcW w:w="5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Numerator:</w:t>
            </w:r>
          </w:p>
        </w:tc>
        <w:tc>
          <w:tcPr>
            <w:tcW w:w="2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2"/>
          </w:tcPr>
          <w:p>
            <w:pPr>
              <w:jc w:val="right"/>
              <w:spacing w:after="0" w:line="230" w:lineRule="exact"/>
              <w:rPr>
                <w:sz w:val="20"/>
                <w:szCs w:val="20"/>
                <w:color w:val="auto"/>
              </w:rPr>
            </w:pPr>
            <w:r>
              <w:rPr>
                <w:rFonts w:ascii="Arial" w:cs="Arial" w:eastAsia="Arial" w:hAnsi="Arial"/>
                <w:sz w:val="14"/>
                <w:szCs w:val="14"/>
                <w:b w:val="1"/>
                <w:bCs w:val="1"/>
                <w:color w:val="auto"/>
                <w:w w:val="86"/>
              </w:rPr>
              <w:t>Over-Allotment</w:t>
            </w:r>
            <w:r>
              <w:rPr>
                <w:rFonts w:ascii="Arial" w:cs="Arial" w:eastAsia="Arial" w:hAnsi="Arial"/>
                <w:sz w:val="21"/>
                <w:szCs w:val="21"/>
                <w:b w:val="1"/>
                <w:bCs w:val="1"/>
                <w:color w:val="auto"/>
                <w:w w:val="86"/>
                <w:vertAlign w:val="superscript"/>
              </w:rPr>
              <w:t>(1)</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Over-Allotment</w:t>
            </w:r>
          </w:p>
        </w:tc>
        <w:tc>
          <w:tcPr>
            <w:tcW w:w="60" w:type="dxa"/>
            <w:vAlign w:val="bottom"/>
          </w:tcPr>
          <w:p>
            <w:pPr>
              <w:spacing w:after="0"/>
              <w:rPr>
                <w:sz w:val="19"/>
                <w:szCs w:val="19"/>
                <w:color w:val="auto"/>
              </w:rPr>
            </w:pPr>
          </w:p>
        </w:tc>
      </w:tr>
      <w:tr>
        <w:trPr>
          <w:trHeight w:val="250"/>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tangible book deficit before this offering</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(53,118)</w:t>
            </w:r>
          </w:p>
        </w:tc>
        <w:tc>
          <w:tcPr>
            <w:tcW w:w="60" w:type="dxa"/>
            <w:vAlign w:val="bottom"/>
          </w:tcPr>
          <w:p>
            <w:pPr>
              <w:spacing w:after="0"/>
              <w:rPr>
                <w:sz w:val="21"/>
                <w:szCs w:val="21"/>
                <w:color w:val="auto"/>
              </w:rPr>
            </w:pPr>
          </w:p>
        </w:tc>
      </w:tr>
      <w:tr>
        <w:trPr>
          <w:trHeight w:val="229"/>
        </w:trPr>
        <w:tc>
          <w:tcPr>
            <w:tcW w:w="5660" w:type="dxa"/>
            <w:vAlign w:val="bottom"/>
            <w:gridSpan w:val="2"/>
          </w:tcPr>
          <w:p>
            <w:pPr>
              <w:spacing w:after="0"/>
              <w:rPr>
                <w:sz w:val="20"/>
                <w:szCs w:val="20"/>
                <w:color w:val="auto"/>
              </w:rPr>
            </w:pPr>
            <w:r>
              <w:rPr>
                <w:rFonts w:ascii="Arial" w:cs="Arial" w:eastAsia="Arial" w:hAnsi="Arial"/>
                <w:sz w:val="18"/>
                <w:szCs w:val="18"/>
                <w:color w:val="auto"/>
              </w:rPr>
              <w:t>Net proceeds from this offering and private placement of private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5660" w:type="dxa"/>
            <w:vAlign w:val="bottom"/>
            <w:gridSpan w:val="2"/>
          </w:tcPr>
          <w:p>
            <w:pPr>
              <w:ind w:left="18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102,827,000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118,052,000</w:t>
            </w:r>
          </w:p>
        </w:tc>
      </w:tr>
      <w:tr>
        <w:trPr>
          <w:trHeight w:val="235"/>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Offering costs accrued for or paid in advance; excluding from</w:t>
            </w: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4"/>
        </w:trPr>
        <w:tc>
          <w:tcPr>
            <w:tcW w:w="5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tangible book value before this offering</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77,118</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77,118</w:t>
            </w:r>
          </w:p>
        </w:tc>
        <w:tc>
          <w:tcPr>
            <w:tcW w:w="60" w:type="dxa"/>
            <w:vAlign w:val="bottom"/>
          </w:tcPr>
          <w:p>
            <w:pPr>
              <w:spacing w:after="0"/>
              <w:rPr>
                <w:sz w:val="21"/>
                <w:szCs w:val="21"/>
                <w:color w:val="auto"/>
              </w:rPr>
            </w:pPr>
          </w:p>
        </w:tc>
      </w:tr>
      <w:tr>
        <w:trPr>
          <w:trHeight w:val="283"/>
        </w:trPr>
        <w:tc>
          <w:tcPr>
            <w:tcW w:w="5660" w:type="dxa"/>
            <w:vAlign w:val="bottom"/>
            <w:gridSpan w:val="2"/>
          </w:tcPr>
          <w:p>
            <w:pPr>
              <w:spacing w:after="0" w:line="283" w:lineRule="exact"/>
              <w:rPr>
                <w:sz w:val="20"/>
                <w:szCs w:val="20"/>
                <w:color w:val="auto"/>
              </w:rPr>
            </w:pPr>
            <w:r>
              <w:rPr>
                <w:rFonts w:ascii="Arial" w:cs="Arial" w:eastAsia="Arial" w:hAnsi="Arial"/>
                <w:sz w:val="18"/>
                <w:szCs w:val="18"/>
                <w:color w:val="auto"/>
              </w:rPr>
              <w:t>Less: Warrant liabilities</w:t>
            </w:r>
            <w:r>
              <w:rPr>
                <w:rFonts w:ascii="Arial" w:cs="Arial" w:eastAsia="Arial" w:hAnsi="Arial"/>
                <w:sz w:val="26"/>
                <w:szCs w:val="26"/>
                <w:color w:val="auto"/>
                <w:vertAlign w:val="superscript"/>
              </w:rPr>
              <w:t>(2)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(2,940,000)</w:t>
            </w:r>
          </w:p>
        </w:tc>
        <w:tc>
          <w:tcPr>
            <w:tcW w:w="1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(3,109,528)</w:t>
            </w:r>
          </w:p>
        </w:tc>
      </w:tr>
      <w:tr>
        <w:trPr>
          <w:trHeight w:val="185"/>
        </w:trPr>
        <w:tc>
          <w:tcPr>
            <w:tcW w:w="5660" w:type="dxa"/>
            <w:vAlign w:val="bottom"/>
            <w:tcBorders>
              <w:top w:val="single" w:sz="8" w:color="CCEEFF"/>
            </w:tcBorders>
            <w:gridSpan w:val="2"/>
            <w:shd w:val="clear" w:color="auto" w:fill="CCEEFF"/>
          </w:tcPr>
          <w:p>
            <w:pPr>
              <w:spacing w:after="0" w:line="185" w:lineRule="exact"/>
              <w:rPr>
                <w:sz w:val="20"/>
                <w:szCs w:val="20"/>
                <w:color w:val="auto"/>
              </w:rPr>
            </w:pPr>
            <w:r>
              <w:rPr>
                <w:rFonts w:ascii="Arial" w:cs="Arial" w:eastAsia="Arial" w:hAnsi="Arial"/>
                <w:sz w:val="18"/>
                <w:szCs w:val="18"/>
                <w:color w:val="auto"/>
                <w:w w:val="95"/>
              </w:rPr>
              <w:t>Less: Proceeds held in trust subject to redemption to maintain net tangible</w:t>
            </w: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right w:val="single" w:sz="8" w:color="CCEEFF"/>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308"/>
        </w:trPr>
        <w:tc>
          <w:tcPr>
            <w:tcW w:w="5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 of $5,000,001</w:t>
            </w:r>
            <w:r>
              <w:rPr>
                <w:rFonts w:ascii="Arial" w:cs="Arial" w:eastAsia="Arial" w:hAnsi="Arial"/>
                <w:sz w:val="26"/>
                <w:szCs w:val="26"/>
                <w:color w:val="auto"/>
                <w:vertAlign w:val="superscript"/>
              </w:rPr>
              <w:t>(3)(4)</w:t>
            </w: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(94,910,990)</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(109,966,461)</w:t>
            </w:r>
          </w:p>
        </w:tc>
        <w:tc>
          <w:tcPr>
            <w:tcW w:w="60" w:type="dxa"/>
            <w:vAlign w:val="bottom"/>
          </w:tcPr>
          <w:p>
            <w:pPr>
              <w:spacing w:after="0"/>
              <w:rPr>
                <w:sz w:val="24"/>
                <w:szCs w:val="24"/>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194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5,000,010</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5,000,010</w:t>
            </w:r>
          </w:p>
        </w:tc>
      </w:tr>
      <w:tr>
        <w:trPr>
          <w:trHeight w:val="21"/>
        </w:trPr>
        <w:tc>
          <w:tcPr>
            <w:tcW w:w="194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57"/>
        </w:trPr>
        <w:tc>
          <w:tcPr>
            <w:tcW w:w="5660" w:type="dxa"/>
            <w:vAlign w:val="bottom"/>
            <w:gridSpan w:val="2"/>
          </w:tcPr>
          <w:p>
            <w:pPr>
              <w:spacing w:after="0"/>
              <w:rPr>
                <w:sz w:val="20"/>
                <w:szCs w:val="20"/>
                <w:color w:val="auto"/>
              </w:rPr>
            </w:pPr>
            <w:r>
              <w:rPr>
                <w:rFonts w:ascii="Arial" w:cs="Arial" w:eastAsia="Arial" w:hAnsi="Arial"/>
                <w:sz w:val="18"/>
                <w:szCs w:val="18"/>
                <w:color w:val="auto"/>
              </w:rPr>
              <w:t>Shares of common stock issued and outstanding prior to this offering</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2,875,000</w:t>
            </w:r>
          </w:p>
        </w:tc>
      </w:tr>
      <w:tr>
        <w:trPr>
          <w:trHeight w:val="25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of common stock to be sold in this offering</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10,000,000</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11,500,000</w:t>
            </w:r>
          </w:p>
        </w:tc>
        <w:tc>
          <w:tcPr>
            <w:tcW w:w="60" w:type="dxa"/>
            <w:vAlign w:val="bottom"/>
          </w:tcPr>
          <w:p>
            <w:pPr>
              <w:spacing w:after="0"/>
              <w:rPr>
                <w:sz w:val="22"/>
                <w:szCs w:val="22"/>
                <w:color w:val="auto"/>
              </w:rPr>
            </w:pPr>
          </w:p>
        </w:tc>
      </w:tr>
      <w:tr>
        <w:trPr>
          <w:trHeight w:val="263"/>
        </w:trPr>
        <w:tc>
          <w:tcPr>
            <w:tcW w:w="5660" w:type="dxa"/>
            <w:vAlign w:val="bottom"/>
            <w:gridSpan w:val="2"/>
          </w:tcPr>
          <w:p>
            <w:pPr>
              <w:spacing w:after="0"/>
              <w:rPr>
                <w:sz w:val="20"/>
                <w:szCs w:val="20"/>
                <w:color w:val="auto"/>
              </w:rPr>
            </w:pPr>
            <w:r>
              <w:rPr>
                <w:rFonts w:ascii="Arial" w:cs="Arial" w:eastAsia="Arial" w:hAnsi="Arial"/>
                <w:sz w:val="18"/>
                <w:szCs w:val="18"/>
                <w:color w:val="auto"/>
              </w:rPr>
              <w:t>Less: Shares subject to redemption/tender</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(9,350,836)</w:t>
            </w:r>
          </w:p>
        </w:tc>
        <w:tc>
          <w:tcPr>
            <w:tcW w:w="1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(10,834,134)</w:t>
            </w:r>
          </w:p>
        </w:tc>
      </w:tr>
      <w:tr>
        <w:trPr>
          <w:trHeight w:val="20"/>
        </w:trPr>
        <w:tc>
          <w:tcPr>
            <w:tcW w:w="1940" w:type="dxa"/>
            <w:vAlign w:val="bottom"/>
            <w:shd w:val="clear" w:color="auto" w:fill="CCEEFF"/>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1940" w:type="dxa"/>
            <w:vAlign w:val="bottom"/>
            <w:shd w:val="clear" w:color="auto" w:fill="CCEEFF"/>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3,149,164</w:t>
            </w: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3,540,866</w:t>
            </w:r>
          </w:p>
        </w:tc>
        <w:tc>
          <w:tcPr>
            <w:tcW w:w="60" w:type="dxa"/>
            <w:vAlign w:val="bottom"/>
          </w:tcPr>
          <w:p>
            <w:pPr>
              <w:spacing w:after="0"/>
              <w:rPr>
                <w:sz w:val="24"/>
                <w:szCs w:val="24"/>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3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-290830</wp:posOffset>
            </wp:positionV>
            <wp:extent cx="45345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5345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-1464945</wp:posOffset>
            </wp:positionV>
            <wp:extent cx="45345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53453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-2416810</wp:posOffset>
            </wp:positionV>
            <wp:extent cx="1289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-2416810</wp:posOffset>
            </wp:positionV>
            <wp:extent cx="1200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01" w:lineRule="exact"/>
        <w:rPr>
          <w:sz w:val="20"/>
          <w:szCs w:val="20"/>
          <w:color w:val="auto"/>
        </w:rPr>
      </w:pPr>
    </w:p>
    <w:p>
      <w:pPr>
        <w:ind w:left="1620" w:right="959" w:hanging="360"/>
        <w:spacing w:after="0" w:line="308" w:lineRule="auto"/>
        <w:tabs>
          <w:tab w:leader="none" w:pos="1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Assumes the over-allotment option has not been exercised and an aggregate of 375,000 shares of common stock held by our initial stockholders have been forfeited by us as a result thereof.</w:t>
      </w:r>
    </w:p>
    <w:p>
      <w:pPr>
        <w:spacing w:after="0" w:line="11" w:lineRule="exact"/>
        <w:rPr>
          <w:rFonts w:ascii="Arial" w:cs="Arial" w:eastAsia="Arial" w:hAnsi="Arial"/>
          <w:sz w:val="17"/>
          <w:szCs w:val="17"/>
          <w:color w:val="auto"/>
        </w:rPr>
      </w:pPr>
    </w:p>
    <w:p>
      <w:pPr>
        <w:ind w:left="1620" w:right="639" w:hanging="360"/>
        <w:spacing w:after="0" w:line="259"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private placement warrants are expected to be accounted for as warrant liabilities and will be recorded at fair value upon issuance with changes in fair value each reporting period included in earnings as determined by the Company based upon a valuation report obtained from its independent third-party valuation firm.</w:t>
      </w:r>
    </w:p>
    <w:p>
      <w:pPr>
        <w:spacing w:after="0" w:line="38" w:lineRule="exact"/>
        <w:rPr>
          <w:rFonts w:ascii="Arial" w:cs="Arial" w:eastAsia="Arial" w:hAnsi="Arial"/>
          <w:sz w:val="18"/>
          <w:szCs w:val="18"/>
          <w:color w:val="auto"/>
        </w:rPr>
      </w:pPr>
    </w:p>
    <w:p>
      <w:pPr>
        <w:ind w:left="1620" w:right="439" w:hanging="360"/>
        <w:spacing w:after="0" w:line="254"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initial stockholders, directors, officers, advisors or their affiliates may purchase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shares of common stock subject to redemption will be reduced by the amount of any such purchases, increasing the pro forma net tangible book value per share.</w:t>
      </w:r>
    </w:p>
    <w:p>
      <w:pPr>
        <w:spacing w:after="0" w:line="124" w:lineRule="exact"/>
        <w:rPr>
          <w:rFonts w:ascii="Arial" w:cs="Arial" w:eastAsia="Arial" w:hAnsi="Arial"/>
          <w:sz w:val="18"/>
          <w:szCs w:val="18"/>
          <w:color w:val="auto"/>
        </w:rPr>
      </w:pPr>
    </w:p>
    <w:p>
      <w:pPr>
        <w:ind w:left="1620" w:right="519" w:hanging="360"/>
        <w:spacing w:after="0" w:line="308" w:lineRule="auto"/>
        <w:tabs>
          <w:tab w:leader="none" w:pos="1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actual number of shares subject to redemption may exceed this amount so long as we have at least $5,000,001 immediately prior to or upon consummation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jc w:val="both"/>
        <w:ind w:left="1260" w:right="459" w:firstLine="360"/>
        <w:spacing w:after="0" w:line="263" w:lineRule="auto"/>
        <w:rPr>
          <w:sz w:val="20"/>
          <w:szCs w:val="20"/>
          <w:color w:val="auto"/>
        </w:rPr>
      </w:pPr>
      <w:r>
        <w:rPr>
          <w:rFonts w:ascii="Arial" w:cs="Arial" w:eastAsia="Arial" w:hAnsi="Arial"/>
          <w:sz w:val="18"/>
          <w:szCs w:val="18"/>
          <w:color w:val="auto"/>
        </w:rPr>
        <w:t>The following table sets forth our capitalization at March 31, 2021, and as adjusted to give effect to the sale of our units and the private warrants and the application of the estimated net proceeds derived from the sale of such securities.</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March 31, 2021</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6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40" w:type="dxa"/>
            <w:vAlign w:val="bottom"/>
            <w:tcBorders>
              <w:bottom w:val="single" w:sz="8" w:color="CCEEFF"/>
            </w:tcBorders>
          </w:tcPr>
          <w:p>
            <w:pPr>
              <w:spacing w:after="0"/>
              <w:rPr>
                <w:sz w:val="20"/>
                <w:szCs w:val="20"/>
                <w:color w:val="auto"/>
              </w:rPr>
            </w:pPr>
          </w:p>
        </w:tc>
        <w:tc>
          <w:tcPr>
            <w:tcW w:w="4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Actual</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right"/>
              <w:spacing w:after="0" w:line="237" w:lineRule="exact"/>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21"/>
                <w:szCs w:val="21"/>
                <w:b w:val="1"/>
                <w:bCs w:val="1"/>
                <w:color w:val="auto"/>
                <w:w w:val="91"/>
                <w:vertAlign w:val="superscript"/>
              </w:rPr>
              <w:t>(1)</w:t>
            </w: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060" w:type="dxa"/>
            <w:vAlign w:val="bottom"/>
            <w:tcBorders>
              <w:bottom w:val="single" w:sz="8" w:color="CCEEFF"/>
            </w:tcBorders>
            <w:gridSpan w:val="2"/>
            <w:shd w:val="clear" w:color="auto" w:fill="CCEEFF"/>
          </w:tcPr>
          <w:p>
            <w:pPr>
              <w:spacing w:after="0" w:line="277" w:lineRule="exact"/>
              <w:rPr>
                <w:sz w:val="20"/>
                <w:szCs w:val="20"/>
                <w:color w:val="auto"/>
              </w:rPr>
            </w:pPr>
            <w:r>
              <w:rPr>
                <w:rFonts w:ascii="Arial" w:cs="Arial" w:eastAsia="Arial" w:hAnsi="Arial"/>
                <w:sz w:val="18"/>
                <w:szCs w:val="18"/>
                <w:color w:val="auto"/>
              </w:rPr>
              <w:t>Promissory note – related party</w:t>
            </w:r>
            <w:r>
              <w:rPr>
                <w:rFonts w:ascii="Arial" w:cs="Arial" w:eastAsia="Arial" w:hAnsi="Arial"/>
                <w:sz w:val="26"/>
                <w:szCs w:val="26"/>
                <w:color w:val="auto"/>
                <w:vertAlign w:val="superscript"/>
              </w:rPr>
              <w:t>(2)</w:t>
            </w: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$125,000</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060" w:type="dxa"/>
            <w:vAlign w:val="bottom"/>
            <w:gridSpan w:val="2"/>
          </w:tcPr>
          <w:p>
            <w:pPr>
              <w:spacing w:after="0" w:line="277" w:lineRule="exact"/>
              <w:rPr>
                <w:sz w:val="20"/>
                <w:szCs w:val="20"/>
                <w:color w:val="auto"/>
              </w:rPr>
            </w:pPr>
            <w:r>
              <w:rPr>
                <w:rFonts w:ascii="Arial" w:cs="Arial" w:eastAsia="Arial" w:hAnsi="Arial"/>
                <w:sz w:val="18"/>
                <w:szCs w:val="18"/>
                <w:color w:val="auto"/>
              </w:rPr>
              <w:t>Warrant liabilities</w:t>
            </w:r>
            <w:r>
              <w:rPr>
                <w:rFonts w:ascii="Arial" w:cs="Arial" w:eastAsia="Arial" w:hAnsi="Arial"/>
                <w:sz w:val="26"/>
                <w:szCs w:val="26"/>
                <w:color w:val="auto"/>
                <w:vertAlign w:val="superscript"/>
              </w:rPr>
              <w:t>(3)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2,940,000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8"/>
              </w:rPr>
              <w:t>Shares of common stock, $0.0001 par value, none and 9,350,836 shares are</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subject to possible redemption/tender, respectively</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94,910,990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630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Shares of common stock, $0.0001 par value, 50,000,000 shares authorized,</w:t>
            </w: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6300" w:type="dxa"/>
            <w:vAlign w:val="bottom"/>
            <w:gridSpan w:val="4"/>
          </w:tcPr>
          <w:p>
            <w:pPr>
              <w:ind w:left="180"/>
              <w:spacing w:after="0" w:line="179" w:lineRule="exact"/>
              <w:rPr>
                <w:sz w:val="20"/>
                <w:szCs w:val="20"/>
                <w:color w:val="auto"/>
              </w:rPr>
            </w:pPr>
            <w:r>
              <w:rPr>
                <w:rFonts w:ascii="Arial" w:cs="Arial" w:eastAsia="Arial" w:hAnsi="Arial"/>
                <w:sz w:val="18"/>
                <w:szCs w:val="18"/>
                <w:color w:val="auto"/>
              </w:rPr>
              <w:t>2,875,000 shares issued and outstanding, actual; 50,000,000 shares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6300" w:type="dxa"/>
            <w:vAlign w:val="bottom"/>
            <w:gridSpan w:val="4"/>
          </w:tcPr>
          <w:p>
            <w:pPr>
              <w:ind w:left="180"/>
              <w:spacing w:after="0" w:line="266" w:lineRule="exact"/>
              <w:rPr>
                <w:sz w:val="20"/>
                <w:szCs w:val="20"/>
                <w:color w:val="auto"/>
              </w:rPr>
            </w:pPr>
            <w:r>
              <w:rPr>
                <w:rFonts w:ascii="Arial" w:cs="Arial" w:eastAsia="Arial" w:hAnsi="Arial"/>
                <w:sz w:val="18"/>
                <w:szCs w:val="18"/>
                <w:color w:val="auto"/>
              </w:rPr>
              <w:t>authorized</w:t>
            </w:r>
            <w:r>
              <w:rPr>
                <w:rFonts w:ascii="Arial" w:cs="Arial" w:eastAsia="Arial" w:hAnsi="Arial"/>
                <w:sz w:val="26"/>
                <w:szCs w:val="26"/>
                <w:color w:val="auto"/>
                <w:vertAlign w:val="superscript"/>
              </w:rPr>
              <w:t>(6)</w:t>
            </w:r>
            <w:r>
              <w:rPr>
                <w:rFonts w:ascii="Arial" w:cs="Arial" w:eastAsia="Arial" w:hAnsi="Arial"/>
                <w:sz w:val="18"/>
                <w:szCs w:val="18"/>
                <w:color w:val="auto"/>
              </w:rPr>
              <w:t>, 3,149,164 shares issued and outstanding</w:t>
            </w:r>
            <w:r>
              <w:rPr>
                <w:rFonts w:ascii="Arial" w:cs="Arial" w:eastAsia="Arial" w:hAnsi="Arial"/>
                <w:sz w:val="26"/>
                <w:szCs w:val="26"/>
                <w:color w:val="auto"/>
                <w:vertAlign w:val="superscript"/>
              </w:rPr>
              <w:t>(4) (5)</w:t>
            </w:r>
            <w:r>
              <w:rPr>
                <w:rFonts w:ascii="Arial" w:cs="Arial" w:eastAsia="Arial" w:hAnsi="Arial"/>
                <w:sz w:val="18"/>
                <w:szCs w:val="18"/>
                <w:color w:val="auto"/>
              </w:rPr>
              <w:t xml:space="preserve"> (excluding</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300" w:type="dxa"/>
            <w:vAlign w:val="bottom"/>
            <w:gridSpan w:val="4"/>
          </w:tcPr>
          <w:p>
            <w:pPr>
              <w:ind w:left="180"/>
              <w:spacing w:after="0"/>
              <w:rPr>
                <w:sz w:val="20"/>
                <w:szCs w:val="20"/>
                <w:color w:val="auto"/>
              </w:rPr>
            </w:pPr>
            <w:r>
              <w:rPr>
                <w:rFonts w:ascii="Arial" w:cs="Arial" w:eastAsia="Arial" w:hAnsi="Arial"/>
                <w:sz w:val="18"/>
                <w:szCs w:val="18"/>
                <w:color w:val="auto"/>
              </w:rPr>
              <w:t>9,350,836 shares subject to possible redemption/tender), as adjusted</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194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5,014,359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300" w:type="dxa"/>
            <w:vAlign w:val="bottom"/>
            <w:gridSpan w:val="4"/>
          </w:tcPr>
          <w:p>
            <w:pPr>
              <w:spacing w:after="0"/>
              <w:rPr>
                <w:sz w:val="20"/>
                <w:szCs w:val="20"/>
                <w:color w:val="auto"/>
              </w:rPr>
            </w:pPr>
            <w:r>
              <w:rPr>
                <w:rFonts w:ascii="Arial" w:cs="Arial" w:eastAsia="Arial" w:hAnsi="Arial"/>
                <w:sz w:val="18"/>
                <w:szCs w:val="18"/>
                <w:color w:val="auto"/>
              </w:rPr>
              <w:t>Accumulated deficit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(14,664)</w:t>
            </w:r>
          </w:p>
        </w:tc>
        <w:tc>
          <w:tcPr>
            <w:tcW w:w="0" w:type="dxa"/>
            <w:vAlign w:val="bottom"/>
          </w:tcPr>
          <w:p>
            <w:pPr>
              <w:spacing w:after="0"/>
              <w:rPr>
                <w:sz w:val="1"/>
                <w:szCs w:val="1"/>
                <w:color w:val="auto"/>
              </w:rPr>
            </w:pPr>
          </w:p>
        </w:tc>
      </w:tr>
      <w:tr>
        <w:trPr>
          <w:trHeight w:val="264"/>
        </w:trPr>
        <w:tc>
          <w:tcPr>
            <w:tcW w:w="6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300" w:type="dxa"/>
            <w:vAlign w:val="bottom"/>
            <w:gridSpan w:val="4"/>
          </w:tcPr>
          <w:p>
            <w:pPr>
              <w:spacing w:after="0"/>
              <w:rPr>
                <w:sz w:val="20"/>
                <w:szCs w:val="20"/>
                <w:color w:val="auto"/>
              </w:rPr>
            </w:pPr>
            <w:r>
              <w:rPr>
                <w:rFonts w:ascii="Arial" w:cs="Arial" w:eastAsia="Arial" w:hAnsi="Arial"/>
                <w:sz w:val="18"/>
                <w:szCs w:val="18"/>
                <w:color w:val="auto"/>
              </w:rPr>
              <w:t>Total capitalization</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$149,000</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102,851,000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4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-462280</wp:posOffset>
            </wp:positionV>
            <wp:extent cx="45777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-822325</wp:posOffset>
            </wp:positionV>
            <wp:extent cx="45777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-1739265</wp:posOffset>
            </wp:positionV>
            <wp:extent cx="45777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-2116455</wp:posOffset>
            </wp:positionV>
            <wp:extent cx="45688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14" w:lineRule="exact"/>
        <w:rPr>
          <w:sz w:val="20"/>
          <w:szCs w:val="20"/>
          <w:color w:val="auto"/>
        </w:rPr>
      </w:pPr>
    </w:p>
    <w:p>
      <w:pPr>
        <w:ind w:left="1620" w:right="539" w:hanging="360"/>
        <w:spacing w:after="0" w:line="277"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the $3,902,000 we will receive from the sale of the private warrants (assuming no exercise of the over-allotment option).</w:t>
      </w:r>
    </w:p>
    <w:p>
      <w:pPr>
        <w:spacing w:after="0" w:line="21" w:lineRule="exact"/>
        <w:rPr>
          <w:rFonts w:ascii="Arial" w:cs="Arial" w:eastAsia="Arial" w:hAnsi="Arial"/>
          <w:sz w:val="18"/>
          <w:szCs w:val="18"/>
          <w:color w:val="auto"/>
        </w:rPr>
      </w:pPr>
    </w:p>
    <w:p>
      <w:pPr>
        <w:jc w:val="both"/>
        <w:ind w:left="1620" w:right="579" w:hanging="360"/>
        <w:spacing w:after="0" w:line="263"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sponsor has agreed to loan us an aggregate of $250,000 to be used to pay formation and a portion of the expenses of this offering. The loan is non-interest bearing and payable on the date on which we consummate the offering.</w:t>
      </w:r>
    </w:p>
    <w:p>
      <w:pPr>
        <w:spacing w:after="0" w:line="48" w:lineRule="exact"/>
        <w:rPr>
          <w:rFonts w:ascii="Arial" w:cs="Arial" w:eastAsia="Arial" w:hAnsi="Arial"/>
          <w:sz w:val="18"/>
          <w:szCs w:val="18"/>
          <w:color w:val="auto"/>
        </w:rPr>
      </w:pPr>
    </w:p>
    <w:p>
      <w:pPr>
        <w:ind w:left="1620" w:right="639" w:hanging="360"/>
        <w:spacing w:after="0" w:line="259"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private placement warrants are expected to be accounted for as warrant liabilities and will be recorded at fair value upon issuance with changes in fair value each reporting period included in earnings as determined by the Company based upon a valuation report obtained from its independent third-party valuation firm.</w:t>
      </w:r>
    </w:p>
    <w:p>
      <w:pPr>
        <w:spacing w:after="0" w:line="38" w:lineRule="exact"/>
        <w:rPr>
          <w:rFonts w:ascii="Arial" w:cs="Arial" w:eastAsia="Arial" w:hAnsi="Arial"/>
          <w:sz w:val="18"/>
          <w:szCs w:val="18"/>
          <w:color w:val="auto"/>
        </w:rPr>
      </w:pPr>
    </w:p>
    <w:p>
      <w:pPr>
        <w:ind w:left="1620" w:right="959" w:hanging="360"/>
        <w:spacing w:after="0" w:line="306" w:lineRule="auto"/>
        <w:tabs>
          <w:tab w:leader="none" w:pos="1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Assumes the over-allotment option has not been exercised and an aggregate of 375,000 shares of common stock held by our initial stockholders have been forfeited as a result thereof.</w:t>
      </w:r>
    </w:p>
    <w:p>
      <w:pPr>
        <w:spacing w:after="0" w:line="1" w:lineRule="exact"/>
        <w:rPr>
          <w:rFonts w:ascii="Arial" w:cs="Arial" w:eastAsia="Arial" w:hAnsi="Arial"/>
          <w:sz w:val="17"/>
          <w:szCs w:val="17"/>
          <w:color w:val="auto"/>
        </w:rPr>
      </w:pPr>
    </w:p>
    <w:p>
      <w:pPr>
        <w:ind w:left="1620" w:right="419" w:hanging="360"/>
        <w:spacing w:after="0" w:line="270" w:lineRule="auto"/>
        <w:tabs>
          <w:tab w:leader="none" w:pos="1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Upon the completion of our initial business combination, we will provide our stockholders with the opportunity to redeem their public shares for cash equal to their pro rata share of the aggregate amount then on deposit in the trust account as of two business days prior to the consummation of the initial business combination including interest earned on the funds held in the trust account and not previously released to us to pay our taxes, subject to the limitations described herein whereby our net tangible assets will be maintained at a minimum of $5,000,001 and any limitations (including, but not limited to, cash requirements) created by the terms of the proposed initial business combination. The actual number of shares subject to redemption may exceed this amount so long as we have at least $5,000,001 immediately prior to or upon consummation of our initial business combination.</w:t>
      </w:r>
    </w:p>
    <w:p>
      <w:pPr>
        <w:spacing w:after="0" w:line="45" w:lineRule="exact"/>
        <w:rPr>
          <w:rFonts w:ascii="Arial" w:cs="Arial" w:eastAsia="Arial" w:hAnsi="Arial"/>
          <w:sz w:val="17"/>
          <w:szCs w:val="17"/>
          <w:color w:val="auto"/>
        </w:rPr>
      </w:pPr>
    </w:p>
    <w:p>
      <w:pPr>
        <w:ind w:left="1620" w:right="479" w:hanging="360"/>
        <w:spacing w:after="0" w:line="263"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intends to file an Amended and Restated Certificate of Incorporation prior to the closing date of the Proposed Public Offering such that the Company will be authorized to issue 50,000,000 shares of common stock with a par value of $0.0001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30"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We were incorporated on June 23, 2020, as a Delaware corporation, and we were formed to serve as a vehicle to effect a merger, share exchange, asset acquisition, share purchase, recapitalization, reorganization or similar business combination with one or more target businesses. We have not selected any specific business combination target and we have not, nor has anyone on our behalf, initiated any substantive discussions, directly or indirectly, with any business combination target regarding an initial business combination with our company. We intend to effectuate our initial business combination using cash from the proceeds of this offering and the private placement of the private warrants, the proceeds of the sale of our securities in connection with our initial business combination, shares issued to the owners of the target, debt issued to bank or other lenders or the owners of the target, or a combination of the foregoing.</w:t>
      </w:r>
    </w:p>
    <w:p>
      <w:pPr>
        <w:spacing w:after="0" w:line="113"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The issuance of additional shares in connection with our business combination to the owners of the target or other investors:</w:t>
      </w:r>
    </w:p>
    <w:p>
      <w:pPr>
        <w:spacing w:after="0" w:line="62" w:lineRule="exact"/>
        <w:rPr>
          <w:sz w:val="20"/>
          <w:szCs w:val="20"/>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130"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we issue preferred shares with rights senior to those afforded to our shares of common stock;</w:t>
      </w:r>
    </w:p>
    <w:p>
      <w:pPr>
        <w:spacing w:after="0" w:line="62" w:lineRule="exact"/>
        <w:rPr>
          <w:rFonts w:ascii="Arial" w:cs="Arial" w:eastAsia="Arial" w:hAnsi="Arial"/>
          <w:sz w:val="18"/>
          <w:szCs w:val="18"/>
          <w:color w:val="auto"/>
        </w:rPr>
      </w:pPr>
    </w:p>
    <w:p>
      <w:pPr>
        <w:ind w:left="1800" w:right="439" w:hanging="180"/>
        <w:spacing w:after="0" w:line="286" w:lineRule="auto"/>
        <w:tabs>
          <w:tab w:leader="none" w:pos="1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spacing w:after="0" w:line="70" w:lineRule="exact"/>
        <w:rPr>
          <w:rFonts w:ascii="Arial" w:cs="Arial" w:eastAsia="Arial" w:hAnsi="Arial"/>
          <w:sz w:val="17"/>
          <w:szCs w:val="17"/>
          <w:color w:val="auto"/>
        </w:rPr>
      </w:pPr>
    </w:p>
    <w:p>
      <w:pPr>
        <w:ind w:left="1800" w:right="111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securities.</w:t>
      </w:r>
    </w:p>
    <w:p>
      <w:pPr>
        <w:spacing w:after="0" w:line="158"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Similarly, if we issue debt securities, or otherwise incur significant debt to bank or other lenders or the owners of a target, it could result in:</w:t>
      </w:r>
    </w:p>
    <w:p>
      <w:pPr>
        <w:spacing w:after="0" w:line="62" w:lineRule="exact"/>
        <w:rPr>
          <w:sz w:val="20"/>
          <w:szCs w:val="20"/>
          <w:color w:val="auto"/>
        </w:rPr>
      </w:pPr>
    </w:p>
    <w:p>
      <w:pPr>
        <w:ind w:left="1800" w:right="89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 business combination are insufficient to pay our debt obligations;</w:t>
      </w:r>
    </w:p>
    <w:p>
      <w:pPr>
        <w:spacing w:after="0" w:line="62"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78"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75" w:lineRule="exact"/>
        <w:rPr>
          <w:rFonts w:ascii="Arial" w:cs="Arial" w:eastAsia="Arial" w:hAnsi="Arial"/>
          <w:sz w:val="18"/>
          <w:szCs w:val="18"/>
          <w:color w:val="auto"/>
        </w:rPr>
      </w:pPr>
    </w:p>
    <w:p>
      <w:pPr>
        <w:ind w:left="1800" w:right="1139" w:hanging="180"/>
        <w:spacing w:after="0" w:line="308" w:lineRule="auto"/>
        <w:tabs>
          <w:tab w:leader="none" w:pos="1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inability to obtain necessary additional financing if the debt security contains covenants restricting our ability to obtain additional financing while such security is outstanding;</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117" w:lineRule="exact"/>
        <w:rPr>
          <w:rFonts w:ascii="Arial" w:cs="Arial" w:eastAsia="Arial" w:hAnsi="Arial"/>
          <w:sz w:val="18"/>
          <w:szCs w:val="18"/>
          <w:color w:val="auto"/>
        </w:rPr>
      </w:pPr>
    </w:p>
    <w:p>
      <w:pPr>
        <w:ind w:left="1800" w:right="739" w:hanging="180"/>
        <w:spacing w:after="0" w:line="311" w:lineRule="auto"/>
        <w:tabs>
          <w:tab w:leader="none" w:pos="1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40" w:lineRule="exact"/>
        <w:rPr>
          <w:rFonts w:ascii="Arial" w:cs="Arial" w:eastAsia="Arial" w:hAnsi="Arial"/>
          <w:sz w:val="16"/>
          <w:szCs w:val="16"/>
          <w:color w:val="auto"/>
        </w:rPr>
      </w:pPr>
    </w:p>
    <w:p>
      <w:pPr>
        <w:ind w:left="1800" w:right="95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75"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62" w:lineRule="exact"/>
        <w:rPr>
          <w:rFonts w:ascii="Arial" w:cs="Arial" w:eastAsia="Arial" w:hAnsi="Arial"/>
          <w:sz w:val="18"/>
          <w:szCs w:val="18"/>
          <w:color w:val="auto"/>
        </w:rPr>
      </w:pPr>
    </w:p>
    <w:p>
      <w:pPr>
        <w:ind w:left="1800" w:right="1319" w:hanging="180"/>
        <w:spacing w:after="0" w:line="308" w:lineRule="auto"/>
        <w:tabs>
          <w:tab w:leader="none" w:pos="1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imitations on our ability to borrow additional amounts for expenses, capital expenditures, acquisitions, debt service requirements, and execution of our strategy; and</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purposes and other disadvantages compared to our competitors who have less debt.</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0" w:name="page81"/>
    <w:bookmarkEnd w:id="8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459" w:firstLine="360"/>
        <w:spacing w:after="0" w:line="231" w:lineRule="auto"/>
        <w:rPr>
          <w:sz w:val="20"/>
          <w:szCs w:val="20"/>
          <w:color w:val="auto"/>
        </w:rPr>
      </w:pPr>
      <w:r>
        <w:rPr>
          <w:rFonts w:ascii="Arial" w:cs="Arial" w:eastAsia="Arial" w:hAnsi="Arial"/>
          <w:sz w:val="18"/>
          <w:szCs w:val="18"/>
          <w:color w:val="auto"/>
        </w:rPr>
        <w:t>As indicated in the accompanying financial statements, at March 31, 2021, we had $72,882 in cash and $77,118 in deferred offering costs. Further, we expect to continue to incur significant costs in the pursuit of our acquisition plans. We cannot assure you that our plans to raise capital or to complete our initial business combination will be successful.</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35" w:lineRule="exact"/>
        <w:rPr>
          <w:sz w:val="20"/>
          <w:szCs w:val="20"/>
          <w:color w:val="auto"/>
        </w:rPr>
      </w:pPr>
    </w:p>
    <w:p>
      <w:pPr>
        <w:ind w:left="1260" w:right="459" w:firstLine="360"/>
        <w:spacing w:after="0" w:line="223"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expenses as we conduct due diligence on prospective business combination candidates. We expect our expenses to increase substantially after the closing of this offering.</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left="1260" w:right="479" w:firstLine="360"/>
        <w:spacing w:after="0" w:line="231" w:lineRule="auto"/>
        <w:rPr>
          <w:sz w:val="20"/>
          <w:szCs w:val="20"/>
          <w:color w:val="auto"/>
        </w:rPr>
      </w:pPr>
      <w:r>
        <w:rPr>
          <w:rFonts w:ascii="Arial" w:cs="Arial" w:eastAsia="Arial" w:hAnsi="Arial"/>
          <w:sz w:val="18"/>
          <w:szCs w:val="18"/>
          <w:color w:val="auto"/>
        </w:rPr>
        <w:t>As indicated in the accompanying financial statements, at March 31, 2021, we had $72,882 in cash and a working capital deficit of $(53,118). Further, we have incurred and expect to continue to incur significant costs in pursuit of our financing and acquisition plans. Management’s plans to address this uncertainty through this offering are discussed above.</w:t>
      </w:r>
    </w:p>
    <w:p>
      <w:pPr>
        <w:spacing w:after="0" w:line="108"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7"/>
          <w:szCs w:val="17"/>
          <w:color w:val="auto"/>
        </w:rPr>
        <w:t>Our liquidity needs have been satisfied to date through receipt of $ 25,000 from the sale of the founder shares and loans from our sponsor in an aggregate amount of $250,000. We estimate that the net proceeds from (1) the sale of the units in this offering, after deducting offering expenses of approximately $575,000 and underwriting discounts and commissions of $500,000 and (2) the sale of the private warrants for a purchase price of $ 3,902,000 (or up to $4,127,000 depending on the extent to which the underwriters’ over-allotment option is exercised) will be $102,827,000 (or $118,052,000 if the over-allotment option is exercised in full). Of this amount, $101,500,000 (or $116,725,000 if the over-allotment option is exercised in full) will be held in the trust account. The proceeds held in the trust account will be invested only in U.S. government treasury obligations with a maturity of 185 days or less or in money market funds meeting certain conditions under Rule 2a- 7 under the Investment Company Act which invest only in direct U.S. government treasury obligations. The remaining $1,327,000 (whether or not the over-allotment option is exercised in full) will not be held in the trust account.</w:t>
      </w:r>
    </w:p>
    <w:p>
      <w:pPr>
        <w:spacing w:after="0" w:line="110"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We intend to use substantially all of the net proceeds of this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13"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7"/>
          <w:szCs w:val="17"/>
          <w:color w:val="auto"/>
        </w:rPr>
        <w:t>Over the next 12 months (or up to 18 months, as applicable), assuming a business combination is not consummated prior thereto, we will be using the funds held outside of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Out of the funds available outside the trust account, we anticipate that we will incur approximately:</w:t>
      </w:r>
    </w:p>
    <w:p>
      <w:pPr>
        <w:spacing w:after="0" w:line="58" w:lineRule="exact"/>
        <w:rPr>
          <w:sz w:val="20"/>
          <w:szCs w:val="20"/>
          <w:color w:val="auto"/>
        </w:rPr>
      </w:pPr>
    </w:p>
    <w:p>
      <w:pPr>
        <w:ind w:left="1800" w:right="699" w:hanging="180"/>
        <w:spacing w:after="0" w:line="263"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$250,000 of expenses for the search for target businesses and for the legal, accounting and other third-party expenses attendant to the due diligence investigations, structuring and negotiating of a business combination;</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7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$250,000 of expenses for the due diligence and investigation of a target business by our officers, directors and initial stockholders;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$50,000 of expenses in legal and accounting fees relating to our SEC reporting obligations;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$75,000 of expenses in Nasdaq continued listing fees;</w:t>
      </w:r>
    </w:p>
    <w:p>
      <w:pPr>
        <w:spacing w:after="0" w:line="117" w:lineRule="exact"/>
        <w:rPr>
          <w:rFonts w:ascii="Arial" w:cs="Arial" w:eastAsia="Arial" w:hAnsi="Arial"/>
          <w:sz w:val="18"/>
          <w:szCs w:val="18"/>
          <w:color w:val="auto"/>
        </w:rPr>
      </w:pPr>
    </w:p>
    <w:p>
      <w:pPr>
        <w:ind w:left="1800" w:right="83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$120,000 for the payment of the administrative fee to an affiliate of our sponsor (of $10,000 per month for up to 12 months);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$375,000 for director and officer liability insurance premiums;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$207,000 for general working capital that will be used for miscellaneous expenses</w:t>
      </w:r>
    </w:p>
    <w:p>
      <w:pPr>
        <w:spacing w:after="0" w:line="158"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Transactions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number of shares includes an aggregate of up to 375,000 shares that are subject to forfeiture to the extent that the underwriters’ over-allotment option is not exercised in full or in part, so that our initial stockholders will collectively own 20% of our issued and outstanding shares after this offering. None of our initial stockholders has indicated any intention to purchase public units in this offering.</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Commencing on the date that our securities are first listed on the NASDAQ through the earlier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consummation of our initial business combination and our liquidation, we will pay our sponsor a total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$10,000 per month for office space, administrative and shared personnel support services. Upon completion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our initial business combination or our liquidation, we will cease paying these monthly fees.</w:t>
      </w:r>
    </w:p>
    <w:p>
      <w:pPr>
        <w:spacing w:after="0" w:line="1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sponsor intends to allocate up to 20,000 founder shares to each of our independent directors.</w:t>
      </w:r>
    </w:p>
    <w:p>
      <w:pPr>
        <w:spacing w:after="0" w:line="158"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14"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Our sponsor has agreed to loan us an aggregate of $250,000 on a non-interest bearing basis, for payment of offering expenses on our behalf.</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addition, Chardan NexTech 2 Warrant Holdings LLC, an affiliate of our sponsor, has committed to</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purchase from us an aggregate of 4,200,000 (or up to 4,442,183 warrants depending on the extent to which</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underwriters’ over-allotment option is exercised) at a price of approximately $0.93 per warrant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($3,902,000 (or up to $4,127,000 depending on the extent to which the underwriters’ over-allotment option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is exercised)), with each warrant exercisable for one share of common stock at an exercise price of $11.50</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per share. These purchases will take place on a private placement basis simultaneously with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consummation of this offering.</w:t>
      </w:r>
    </w:p>
    <w:p>
      <w:pPr>
        <w:spacing w:after="0" w:line="38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Pursuant to a registration rights agreement we will enter into with our initial stockholders on or prior to the closing of this offering, we may be required to register certain for sale under the Securities Act. These holders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 holders have certain “piggy-back” registration rights on registration statements filed after the consummation of our initial business combination. We will bear the costs and expenses of filing any such registration statements. See the section of this prospectus entitled “Certain Relationships and Related Party Transactions.” Notwithstanding the foregoing, our sponsor may not exercise its demand and “piggyback” registration rights after five and seven years, respectively, after the effective date of the registration statement of which this prospectus forms a part and may not exercise its demand rights on more than one occasion.</w:t>
      </w:r>
    </w:p>
    <w:p>
      <w:pPr>
        <w:spacing w:after="0" w:line="105"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We have engaged Chardan as an advisor in connection with our business combination, pursuant to the Business Combination Marketing Agreement described under “Underwriting (Conflicts of Interest) — Business Combination Marketing Agreement.”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w:t>
      </w:r>
    </w:p>
    <w:p>
      <w:pPr>
        <w:spacing w:after="0" w:line="122"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If needed to finance transaction costs in connection an intended initial business combination, our initial stockholders, officers and directors or any of their respective affiliates may, but are not obligated to, loan us funds as may be required from time to time or at any time, in whatever amount they deem reasonable in their sole discretion.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be repaid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Controls and Procedures</w:t>
      </w:r>
    </w:p>
    <w:p>
      <w:pPr>
        <w:spacing w:after="0" w:line="162" w:lineRule="exact"/>
        <w:rPr>
          <w:sz w:val="20"/>
          <w:szCs w:val="20"/>
          <w:color w:val="auto"/>
        </w:rPr>
      </w:pPr>
    </w:p>
    <w:p>
      <w:pPr>
        <w:ind w:left="1260" w:right="639" w:firstLine="360"/>
        <w:spacing w:after="0" w:line="253"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2022. Only in the event that we are deemed to be a large accelerated filer or an accelerated filer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03"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86" w:lineRule="exact"/>
        <w:rPr>
          <w:sz w:val="20"/>
          <w:szCs w:val="20"/>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documentation of accounting policies and procedures.</w:t>
      </w:r>
    </w:p>
    <w:p>
      <w:pPr>
        <w:spacing w:after="0" w:line="14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25"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62"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The net proceeds of this offering, including amounts in the trust account, will be invested in United States government treasury bills, bonds or notes having a maturity of 185 days or less, or in money market funds meeting the applicable conditions under Rule 2a-7 promulgated under the Investment Company Act and that invest solely in U.S. treasuries. Due to the short-term nature of these investments, we believe there will be no associated material exposure to interest rate risk.</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160"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As of the date of this prospectus, we did not have any off-balance sheet arrangements as defined in Item 303(a)(4)(ii) of Regulation S-K promulgated by the SEC and did not have any commitments or contractual obligations. No unaudited quarterly operating data is included in this prospectus as we have conducted no operations to date.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JOBS Act</w:t>
      </w:r>
    </w:p>
    <w:p>
      <w:pPr>
        <w:spacing w:after="0" w:line="162"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29" w:lineRule="exact"/>
        <w:rPr>
          <w:sz w:val="20"/>
          <w:szCs w:val="20"/>
          <w:color w:val="auto"/>
        </w:rPr>
      </w:pPr>
    </w:p>
    <w:p>
      <w:pPr>
        <w:ind w:left="1260" w:right="479" w:firstLine="360"/>
        <w:spacing w:after="0" w:line="286"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report of independent registered public accounting firm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Introduction</w:t>
      </w:r>
    </w:p>
    <w:p>
      <w:pPr>
        <w:spacing w:after="0" w:line="148" w:lineRule="exact"/>
        <w:rPr>
          <w:sz w:val="20"/>
          <w:szCs w:val="20"/>
          <w:color w:val="auto"/>
        </w:rPr>
      </w:pPr>
    </w:p>
    <w:p>
      <w:pPr>
        <w:ind w:left="1260" w:right="439" w:firstLine="360"/>
        <w:spacing w:after="0" w:line="276" w:lineRule="auto"/>
        <w:rPr>
          <w:sz w:val="20"/>
          <w:szCs w:val="20"/>
          <w:color w:val="auto"/>
        </w:rPr>
      </w:pPr>
      <w:r>
        <w:rPr>
          <w:rFonts w:ascii="Arial" w:cs="Arial" w:eastAsia="Arial" w:hAnsi="Arial"/>
          <w:sz w:val="16"/>
          <w:szCs w:val="16"/>
          <w:color w:val="auto"/>
        </w:rPr>
        <w:t>We are a blank check company formed under the laws of the State of Delaware on June 23, 2020. We were formed for the purpose of effecting a merger, capital stock exchange, asset acquisition, stock purchase, reorganization or similar business combination with one or more businesses, which we refer to throughout this prospectus as our initial business combination. Our intent is to focus on opportunities in disruptive technologies and leverage the tremendous proprietary deal flow that our Board, executive team and sponsor, Chardan have developed over the past 17 years in the SPAC and investment banking marketplaces.</w:t>
      </w:r>
    </w:p>
    <w:p>
      <w:pPr>
        <w:spacing w:after="0" w:line="94"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Our focus on disruptive technologies is aligned to the investment expertise, relationships, proprietary deal flow, and connectivity of our management team, Board of Directors, and Chardan. Through our multiple decades of special purpose acquisition company, sector, direct investment, and investment banking advisory experiences, our sponsor and management team receive proprietary access to a tremendous pipeline of disruptive technology investment opportunities. As Chardan’s special purpose acquisition company advisory and principal special purpose acquisition company practices have expanded, our inbound deal flow in technology, among other sectors, has significantly increased as private companies seek out our proprietary expertise.</w:t>
      </w:r>
    </w:p>
    <w:p>
      <w:pPr>
        <w:spacing w:after="0" w:line="126" w:lineRule="exact"/>
        <w:rPr>
          <w:sz w:val="20"/>
          <w:szCs w:val="20"/>
          <w:color w:val="auto"/>
        </w:rPr>
      </w:pPr>
    </w:p>
    <w:p>
      <w:pPr>
        <w:jc w:val="both"/>
        <w:ind w:left="1260" w:right="459" w:firstLine="360"/>
        <w:spacing w:after="0" w:line="270" w:lineRule="auto"/>
        <w:rPr>
          <w:sz w:val="20"/>
          <w:szCs w:val="20"/>
          <w:color w:val="auto"/>
        </w:rPr>
      </w:pPr>
      <w:r>
        <w:rPr>
          <w:rFonts w:ascii="Arial" w:cs="Arial" w:eastAsia="Arial" w:hAnsi="Arial"/>
          <w:sz w:val="17"/>
          <w:szCs w:val="17"/>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Opportunity</w:t>
      </w:r>
    </w:p>
    <w:p>
      <w:pPr>
        <w:spacing w:after="0" w:line="148"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7"/>
          <w:szCs w:val="17"/>
          <w:color w:val="auto"/>
        </w:rPr>
        <w:t>Having founded the third -ever publicly listed special purpose acquisition company in 2004, Chardan had the foresight to recognize that the traditional initial public offering process was broken. The initial public offering process has not changed in decades and it is a time and resource intensive process that not only lacks deal and price certainty, but also prevents high-growth technology companies from sharing their financial projections. We believe that Chardan has an unmatched track record as a special purpose acquisition company underwriter, sponsor (or co- sponsor) and special purpose acquisition mergers and acquisitions advisor, which we intend to leverage as special purpose acquisition companies have become more mainstream. We believe that the market is now only beginning to recognize the benefits of SPACs as has been demonstrated within the last several months. In the second half of 2020, SPACs accounted for ~56% of all capital raised in the IPO market, and have had record issuances in the first month of 2021, raising nearly $24 billion, almost two times U.S. initial public offerings during the same period.</w:t>
      </w:r>
    </w:p>
    <w:p>
      <w:pPr>
        <w:spacing w:after="0" w:line="11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The opportunity for disruptive technology companies to take advantage of the public markets is evident as there are over 2,000 private technology companies that have raised at least $50MM in private funding or over $1 trillion in aggregate. We believe that such private funding has been a result of many entrepreneurs adopting the philosophy to stay private longer, not only from a cost perspective, but also because of the volume of private capital. Over the past year, however, we believe private company executives’ and stakeholders’ mindset has fundamentally shifted as special purpose acquisition companies have provided a more effective and efficient path to access public markets and its greater access to capital providers. We believe private companies are realizing that they are rewarded for providing greater transparency into their growth plans and can potentially capture further upside via the SPAC structure. Since 2019, disruptive technology companies that have gone public via a special purpose acquisition company have experienced substantial share price growth with a number of recent transactions surging over 100% growth since their public market debuts. We aim to capitalize on the number of disruptive technology companies that are still private and capable of achieving attractive risk-adjusted returns through our decades of special purpose acquisition company experience.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Management Team</w:t>
      </w:r>
    </w:p>
    <w:p>
      <w:pPr>
        <w:spacing w:after="0" w:line="162"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As we search for a prospective target company or business, we intend to leverage the multiple decades of combined investment experience, successful special purpose acquisition company and mergers and acquisitions execution experience, and the expansive network of relationships of the principals and affiliates</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spacing w:after="0" w:line="241" w:lineRule="auto"/>
        <w:rPr>
          <w:sz w:val="20"/>
          <w:szCs w:val="20"/>
          <w:color w:val="auto"/>
        </w:rPr>
      </w:pPr>
      <w:r>
        <w:rPr>
          <w:rFonts w:ascii="Arial" w:cs="Arial" w:eastAsia="Arial" w:hAnsi="Arial"/>
          <w:sz w:val="18"/>
          <w:szCs w:val="18"/>
          <w:color w:val="auto"/>
        </w:rPr>
        <w:t>of our sponsor. Our board and management team, led by co-founders Kerry Propper and Jonas Grossman, have a combined 80 years of investment and execution experience. Together with our management team, sponsor, and our board of directors, we are confident that the combined experience makes us uniquely situated to identify, source, negotiate and execute an initial business combination with a disruptive technology company.</w:t>
      </w:r>
    </w:p>
    <w:p>
      <w:pPr>
        <w:spacing w:after="0" w:line="10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b w:val="1"/>
          <w:bCs w:val="1"/>
          <w:i w:val="1"/>
          <w:iCs w:val="1"/>
          <w:color w:val="auto"/>
        </w:rPr>
        <w:t xml:space="preserve">Kerry Propper </w:t>
      </w:r>
      <w:r>
        <w:rPr>
          <w:rFonts w:ascii="Arial" w:cs="Arial" w:eastAsia="Arial" w:hAnsi="Arial"/>
          <w:sz w:val="17"/>
          <w:szCs w:val="17"/>
          <w:color w:val="auto"/>
        </w:rPr>
        <w:t>is our co-founder and will serve as our Chairman of the board of directors upon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effectiveness of the registration statement of which this prospectus is a part. Mr. Propper was co-founder of Chardan and served as its chief executive officer and head of its investment bank from 2003 to 2015. He is a pioneer in the special purpose acquisition marketplace and has been an executive or senior advisor for six special purpose acquisition companies. Since 2015, Mr. Propper has served as the chairman of Chardan’s board of directors and the co- founder and managing partner of ATW Partners, a growth-focused investment firm. Mr. Propper also sits on the board of 340 Basics, Credit Sesame, and PierianDx among other boards.</w:t>
      </w:r>
    </w:p>
    <w:p>
      <w:pPr>
        <w:spacing w:after="0" w:line="11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b w:val="1"/>
          <w:bCs w:val="1"/>
          <w:i w:val="1"/>
          <w:iCs w:val="1"/>
          <w:color w:val="auto"/>
        </w:rPr>
        <w:t xml:space="preserve">Jonas Grossman </w:t>
      </w:r>
      <w:r>
        <w:rPr>
          <w:rFonts w:ascii="Arial" w:cs="Arial" w:eastAsia="Arial" w:hAnsi="Arial"/>
          <w:sz w:val="17"/>
          <w:szCs w:val="17"/>
          <w:color w:val="auto"/>
        </w:rPr>
        <w:t>is our co-founder and has been our Chief Executive Officer and a member of our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since June 2020 and our President, Secretary, and Treasurer since July 2020. Mr. Grossman has nearly two decades of special purpose acquisition company expertise. He has provided underwriting and business combination advisory services to more than 80 special purpose acquisition companies in a variety of industries. Mr. Grossman has been a founder and member of the board of four special purpose acquisition companies, of which on two he also has served as chief executive officer and president. Since April 2020, Mr. Grossman has served as the president and chief executive officer of Chardan Healthcare Acquisition 2 Corp. He served as president and chief executive officer of Chardan Healthcare Acquisition Corp. from March 2018 until its merger in October 2019 with BiomX Ltd. (NYSE: PHGE). Mr. Grossman is currently a director of BiomX. Mr. Grossman was a founder and director of LifeSci Acquisition Corp. from March, 2020 until the close of its business combination with Vincera Pharma, Inc. in December of 2020. Since July 2020 he has served as chief executive officer and director of Chardan NexTech Acquisition Corp. He has served as a director to Ventoux CCM Acquisition Corp. since December 2020 and CleanTech Acquisition Corp since May 2021.</w:t>
      </w:r>
    </w:p>
    <w:p>
      <w:pPr>
        <w:spacing w:after="0" w:line="121"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b w:val="1"/>
          <w:bCs w:val="1"/>
          <w:i w:val="1"/>
          <w:iCs w:val="1"/>
          <w:color w:val="auto"/>
        </w:rPr>
        <w:t xml:space="preserve">Alex Weil </w:t>
      </w:r>
      <w:r>
        <w:rPr>
          <w:rFonts w:ascii="Arial" w:cs="Arial" w:eastAsia="Arial" w:hAnsi="Arial"/>
          <w:sz w:val="17"/>
          <w:szCs w:val="17"/>
          <w:color w:val="auto"/>
        </w:rPr>
        <w:t>has served as our Chief Financial Officer since April 2021 and will serve as a member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upon the effective date of the registration statement of which this prospectus is a part. Mr. Weil has spent over two decades on Wall Street providing strategic advisory services to global companies, senior executives, boards of directors, and investors. Since March 2021, he has served as chief financial officer and director of Chardan NexTech Acquisition Corp., and he has agreed to serve on the board of director’s. Since December 2020 he has served as a director of Ventoux CCM Acquisition Corp., a special purpose acquisition company. Mr. Weil’s background in strategic advisory work was built during his career at both global companies, such Citibank’s corporate strategy and mergers and acquisition group, UBS Financial Institutions Group’s investment bank, and General Electric’s corporate development group, and at boutique investment banking advisors, such as Lazard Middle Market and William Blair. He has advised on billions of dollars of transactions ranging from corporate divestitures and spin offs, innovative technology company acquisitions to larger, more complex mergers and acquisitions. Mr. Weil has participated or led a variety of transactions, such as: Genworth’s spin-off initial public offering from General Electric; Citi-related transactions including a variety of technology and capital markets businesses (</w:t>
      </w:r>
      <w:r>
        <w:rPr>
          <w:rFonts w:ascii="Arial" w:cs="Arial" w:eastAsia="Arial" w:hAnsi="Arial"/>
          <w:sz w:val="17"/>
          <w:szCs w:val="17"/>
          <w:i w:val="1"/>
          <w:iCs w:val="1"/>
          <w:color w:val="auto"/>
        </w:rPr>
        <w:t>e.g.</w:t>
      </w:r>
      <w:r>
        <w:rPr>
          <w:rFonts w:ascii="Arial" w:cs="Arial" w:eastAsia="Arial" w:hAnsi="Arial"/>
          <w:sz w:val="17"/>
          <w:szCs w:val="17"/>
          <w:color w:val="auto"/>
        </w:rPr>
        <w:t xml:space="preserve"> Lava Trading, Knight Options Market Making, and Automated Trading Desk) along with the creation of Citi Holdings and subsequent sales of Nikko Asset Management and its subprime auto finance business; Schwab’s acquisition of OptionsXpress; and CVC Capital Partner’s majority investment in Alix Partners. Mr. Weil’s extensive FinTech and mergers and acquisitions expertise will help put us in a strong position to originate and structure profitable investments.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Chardan</w:t>
      </w:r>
    </w:p>
    <w:p>
      <w:pPr>
        <w:spacing w:after="0" w:line="144"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Our management team is supported by Chardan’s team of investment banking professionals, which possesses extensive collective experience in corporate finance, mergers and acquisitions, equity and debt capital markets, strategic consulting and operations.</w:t>
      </w:r>
    </w:p>
    <w:p>
      <w:pPr>
        <w:spacing w:after="0" w:line="114" w:lineRule="exact"/>
        <w:rPr>
          <w:sz w:val="20"/>
          <w:szCs w:val="20"/>
          <w:color w:val="auto"/>
        </w:rPr>
      </w:pPr>
    </w:p>
    <w:p>
      <w:pPr>
        <w:ind w:left="1260" w:right="639" w:firstLine="360"/>
        <w:spacing w:after="0" w:line="243" w:lineRule="auto"/>
        <w:rPr>
          <w:sz w:val="20"/>
          <w:szCs w:val="20"/>
          <w:color w:val="auto"/>
        </w:rPr>
      </w:pPr>
      <w:r>
        <w:rPr>
          <w:rFonts w:ascii="Arial" w:cs="Arial" w:eastAsia="Arial" w:hAnsi="Arial"/>
          <w:sz w:val="18"/>
          <w:szCs w:val="18"/>
          <w:color w:val="auto"/>
        </w:rPr>
        <w:t>Chardan has an extensive track record in the special purpose acquisition company market as underwriter, sponsor and advisor. Since 2004, Chardan has been lead or co -lead underwriter on 82 special purpose acquisition company initial public offerings. Since 2018, Chardan has been a mergers and acquisition advisor</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37" w:lineRule="auto"/>
        <w:rPr>
          <w:sz w:val="20"/>
          <w:szCs w:val="20"/>
          <w:color w:val="auto"/>
        </w:rPr>
      </w:pPr>
      <w:r>
        <w:rPr>
          <w:rFonts w:ascii="Arial" w:cs="Arial" w:eastAsia="Arial" w:hAnsi="Arial"/>
          <w:sz w:val="18"/>
          <w:szCs w:val="18"/>
          <w:color w:val="auto"/>
        </w:rPr>
        <w:t>to 12 special purpose acquisition companies, helping them close transactions valued at approximately $5.7 billion. Chardan-advised special purpose acquisition companies have targeted a wide range of industries, including life sciences, healthcare services, technology hardware and software, FinTech, insurance, financial services, education, media and entertainment, industrials, materials, consumer staple, energy, hospitality, leisure, travel and dining sectors. Chardan has advised special purpose acquisition companies targeting both global and regional markets as well as those with more defined areas of focus in emerging and other geographic markets, including in North America. No special purpose acquisition company that has either been advised by Chardan or for which Chardan served as the lead underwriter has liquidated to-date. In addition to its active advisory and underwriting business, Chardan’s principals have founded or co-founded eight special purpose acquisition companies, five of which have closed successful business combinations, one of which has announced a business combination and two of which are currently seeking acquisitions.</w:t>
      </w:r>
    </w:p>
    <w:p>
      <w:pPr>
        <w:spacing w:after="0" w:line="112"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In addition to Messrs. Propper, Grossman, and Weil, the other members of our board will include the following independent directors:</w:t>
      </w:r>
    </w:p>
    <w:p>
      <w:pPr>
        <w:spacing w:after="0" w:line="103"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6"/>
          <w:szCs w:val="16"/>
          <w:b w:val="1"/>
          <w:bCs w:val="1"/>
          <w:i w:val="1"/>
          <w:iCs w:val="1"/>
          <w:color w:val="auto"/>
        </w:rPr>
        <w:t xml:space="preserve">Jonathan C. “Jon” Biele </w:t>
      </w:r>
      <w:r>
        <w:rPr>
          <w:rFonts w:ascii="Arial" w:cs="Arial" w:eastAsia="Arial" w:hAnsi="Arial"/>
          <w:sz w:val="16"/>
          <w:szCs w:val="16"/>
          <w:color w:val="auto"/>
        </w:rPr>
        <w:t>will serve as a member of our board of directors upon the effective date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registration statement of which this prospectus is a part. Mr. Biele has over 28 years of investment banking experience serving in a variety of roles. He recently joined PREEM Inc., a vertical technology platform, as head of business and corporate development. Most recently, Mr. Biele served as head of technology and services investment banking after helping rejuvenate the equity capital markets practice at SunTrust Robinson Humphrey. During his career, Mr. Biele has focused on providing capital markets, strategic and tactical advice to companies, boards of directors, private equity and venture capitalists. In addition to his tenure at SunTrust Robinson Humphrey, he has served as head of equity capital markets for Citadel Securities, Cowen and Co. and Lazard Freres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one of the premier ski academies in the United States, and remains the lead investor and advisor to the chief executive officer of inGamba Tours, a luxury cyclo-tourism business. Mr. Biele holds a B.A. in History from St. Lawrence University.</w:t>
      </w:r>
    </w:p>
    <w:p>
      <w:pPr>
        <w:spacing w:after="0" w:line="101"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b w:val="1"/>
          <w:bCs w:val="1"/>
          <w:i w:val="1"/>
          <w:iCs w:val="1"/>
          <w:color w:val="auto"/>
        </w:rPr>
        <w:t xml:space="preserve">Perry Boyle </w:t>
      </w:r>
      <w:r>
        <w:rPr>
          <w:rFonts w:ascii="Arial" w:cs="Arial" w:eastAsia="Arial" w:hAnsi="Arial"/>
          <w:sz w:val="17"/>
          <w:szCs w:val="17"/>
          <w:color w:val="auto"/>
        </w:rPr>
        <w:t>will serve as a member of our board of directors upon the effective date of the registration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of which this prospectus is a part. Mr. Boyle helped lead the launch of Point72 Asset Management, L.P., or Point72, as a registered investment advisor, raising over $6 billion in external capital. He originally joined S.A.C. Capital Advisors, or S.A.C.,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firm, overseeing offices in London, Hong Kong, Tokyo and Singapore. Prior to joining S.A.C., Mr. Boyle was a founding partner of Thomas Weisel Partners, an investment banking company, and a managing director at Alex. Brown &amp; Sons, an investment firm. He began his career as an investment banker with Salomon Brothers Inc. Additionally, Mr. Boyle is a member of the advisory board of the Center for a New American Security (CNAS), and a director of The US Friends of the International Institute for Strategic Studies (IISS). He has agreed to serve on the board of directors of Chardan NexTech Acquisition Corp. upon the effectiveness of its registration statement. He was a 2018 and 2019 delegate from the IISS to the Shangri-La Dialogue in Singapore. He is a council member of the Hoover Institution and a Lionel Curtis member of Chatham House. Mr. Boyle helps lead the annual Ride For Our Vets, the major source of funding for the Connecticut Veterans Legal Center.</w:t>
      </w:r>
    </w:p>
    <w:p>
      <w:pPr>
        <w:spacing w:after="0" w:line="107"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b w:val="1"/>
          <w:bCs w:val="1"/>
          <w:i w:val="1"/>
          <w:iCs w:val="1"/>
          <w:color w:val="auto"/>
        </w:rPr>
        <w:t xml:space="preserve">Roderick Hardamon </w:t>
      </w:r>
      <w:r>
        <w:rPr>
          <w:rFonts w:ascii="Arial" w:cs="Arial" w:eastAsia="Arial" w:hAnsi="Arial"/>
          <w:sz w:val="17"/>
          <w:szCs w:val="17"/>
          <w:color w:val="auto"/>
        </w:rPr>
        <w:t>will serve as a member of our board of directors upon the effective date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of which this prospectus is a part. Mr. Hardamon has over two decades of mergers and acquisitions business innovation and senior executive leadership experience. He has served as chief executive officer of URGE Imprint LLC, a boutique management consulting firm headquartered in Detroit, Michigan, and URGE Development Group LLC, a real estate development firm headquartered in Detroit,</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7" w:name="page88"/>
    <w:bookmarkEnd w:id="8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67" w:lineRule="auto"/>
        <w:rPr>
          <w:sz w:val="20"/>
          <w:szCs w:val="20"/>
          <w:color w:val="auto"/>
        </w:rPr>
      </w:pPr>
      <w:r>
        <w:rPr>
          <w:rFonts w:ascii="Arial" w:cs="Arial" w:eastAsia="Arial" w:hAnsi="Arial"/>
          <w:sz w:val="16"/>
          <w:szCs w:val="16"/>
          <w:color w:val="auto"/>
        </w:rPr>
        <w:t>Michigan, since May 2016. Previously, Mr. Hardamon held various positions at Citigroup, a leading global bank, including managing director and North American head of Citigroup’s alternative investor services business. In this role, he led an organization with over $300 billion in assets under administration and over 2,000 professionals spanning eight locations across the United States, Cayman Islands, Bermuda, Bahamas, and India. Mr. Hardamon led multiple phases of Citigroup’s ownership of the business including: (1) initial acquisition (BISYS Inc.); (2) integration into Citigroup; (3) operational transformation and growth; and</w:t>
      </w:r>
    </w:p>
    <w:p>
      <w:pPr>
        <w:spacing w:after="0" w:line="3" w:lineRule="exact"/>
        <w:rPr>
          <w:sz w:val="20"/>
          <w:szCs w:val="20"/>
          <w:color w:val="auto"/>
        </w:rPr>
      </w:pPr>
    </w:p>
    <w:p>
      <w:pPr>
        <w:ind w:left="1260" w:right="519"/>
        <w:spacing w:after="0" w:line="237" w:lineRule="auto"/>
        <w:tabs>
          <w:tab w:leader="none" w:pos="1529"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divestiture to SS&amp;C Technologies in March 2016. His prior roles at Citigroup included managing director and head of infrastructure &amp; integration and co-head/head of internal mergers and acquisitions for Citi Markets &amp; Banking and Global Transaction Services, respectively. After Citigroup, Mr. Hardamon briefly served as a managing director at SS&amp;C Technologies, a global provider of services and software for the financial services and healthcare industries. He is a graduate of Morehouse College with B.A.s in Accounting and Philosophy.</w:t>
      </w:r>
    </w:p>
    <w:p>
      <w:pPr>
        <w:spacing w:after="0" w:line="108"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b w:val="1"/>
          <w:bCs w:val="1"/>
          <w:i w:val="1"/>
          <w:iCs w:val="1"/>
          <w:color w:val="auto"/>
        </w:rPr>
        <w:t xml:space="preserve">Jory Des Jardins </w:t>
      </w:r>
      <w:r>
        <w:rPr>
          <w:rFonts w:ascii="Arial" w:cs="Arial" w:eastAsia="Arial" w:hAnsi="Arial"/>
          <w:sz w:val="18"/>
          <w:szCs w:val="18"/>
          <w:color w:val="auto"/>
        </w:rPr>
        <w:t>will serve as a member of our board of directors upon the effective date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statement of which this prospectus is a part. Ms. Jardins has decades of startup and marketing experience. Ms. Jardins is the chief marketing officer of The @ Company, a builder of an internet protocol designed to put control over online data and user experiences back into the hands of people. Additionally, Ms. Jardins is VC-in-Residence at the W Fund, a venture capital and private equity firm passionate about evangelizing emerging and disruptive tech and leveling the playing field for underrepresented founders. She pioneered social marketing as co -founder and president of BlogHer, a media marketplace representing thousands of digital influencers, which reached 100 million monthly unique viewers at the time of its acquisition in 2015. She recently served as the head of global startup marketing at Amazon Web Services, providing startups with the technology to launch, build, and scale. Ms. Jardins previously held the position of global head of community at ConsenSys, a block chain studio building decentralized applications on Ethereum. Before ConsenSys, she was an advisor at Tribal Advisors, a consulting and mergers and acquisitions advisory firm providing services to startups and corporates in the consumer digital, software and systems technology sectors. She has advised dozens of scaling startups, focusing on companies that are evolving digital influence, social content, media models, consumer marketplaces, ecommerce, block chain/token-based economies, and AR/VR/MR. Ms. Jardins graduated from the University of Illinois at Urbana-Champaign.</w:t>
      </w:r>
    </w:p>
    <w:p>
      <w:pPr>
        <w:spacing w:after="0" w:line="131" w:lineRule="exact"/>
        <w:rPr>
          <w:sz w:val="20"/>
          <w:szCs w:val="20"/>
          <w:color w:val="auto"/>
        </w:rPr>
      </w:pPr>
    </w:p>
    <w:p>
      <w:pPr>
        <w:ind w:left="1260" w:right="639" w:firstLine="360"/>
        <w:spacing w:after="0" w:line="253" w:lineRule="auto"/>
        <w:rPr>
          <w:sz w:val="20"/>
          <w:szCs w:val="20"/>
          <w:color w:val="auto"/>
        </w:rPr>
      </w:pPr>
      <w:r>
        <w:rPr>
          <w:rFonts w:ascii="Arial" w:cs="Arial" w:eastAsia="Arial" w:hAnsi="Arial"/>
          <w:sz w:val="17"/>
          <w:szCs w:val="17"/>
          <w:b w:val="1"/>
          <w:bCs w:val="1"/>
          <w:i w:val="1"/>
          <w:iCs w:val="1"/>
          <w:color w:val="auto"/>
        </w:rPr>
        <w:t xml:space="preserve">Hitesh Thakrar </w:t>
      </w:r>
      <w:r>
        <w:rPr>
          <w:rFonts w:ascii="Arial" w:cs="Arial" w:eastAsia="Arial" w:hAnsi="Arial"/>
          <w:sz w:val="17"/>
          <w:szCs w:val="17"/>
          <w:color w:val="auto"/>
        </w:rPr>
        <w:t>will serve as a member of our board of directors upon the effective date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of which this prospectus is a part. Mr. Thakrar is an experienced investor in the technology sector, having spent over 20 years investing in public equities in the life sciences, information technology and innovation sectors. Since 2015, he has been active in early stage venture investing.</w:t>
      </w:r>
    </w:p>
    <w:p>
      <w:pPr>
        <w:spacing w:after="0" w:line="2" w:lineRule="exact"/>
        <w:rPr>
          <w:sz w:val="20"/>
          <w:szCs w:val="20"/>
          <w:color w:val="auto"/>
        </w:rPr>
      </w:pPr>
    </w:p>
    <w:p>
      <w:pPr>
        <w:ind w:left="1260" w:right="459"/>
        <w:spacing w:after="0" w:line="250" w:lineRule="auto"/>
        <w:rPr>
          <w:sz w:val="20"/>
          <w:szCs w:val="20"/>
          <w:color w:val="auto"/>
        </w:rPr>
      </w:pPr>
      <w:r>
        <w:rPr>
          <w:rFonts w:ascii="Arial" w:cs="Arial" w:eastAsia="Arial" w:hAnsi="Arial"/>
          <w:sz w:val="17"/>
          <w:szCs w:val="17"/>
          <w:color w:val="auto"/>
        </w:rPr>
        <w:t>Mr. Thakrar is currently a Venture Partner at Syncona Limited, a Wellcome Trust backed early stage venture fund. He is also a Governance Board Member of KQ Labs at the Francis Crick Institute, an accelerator supporting next generation businesses in data science and life sciences. He is the main Board Trustee of the Alan Turing Institute which is the UK National Institute for Artificial Intelligence and Data Science research. Additionally, Mr. Thakrar is the Chair of the Investment Committee for Newable Ventures, a pre-Series A fund focused on deep technology. He is also an advisor to UKRI’s Science and Technology Funding Council (SFTC) which helps early stage companies spin out from UK universities. He has previously served as a non-executive director for Desktop Genetics and Tropic Biosciences, both of which specialize in the use of CRISPR technology in gene editing. Prior to 2015, Mr. Thakrar worked at various public market institutions in global equity research and fund management including at ADIA (Abu Dhabi’s sovereign wealth fund), JP Morgan, Aviva Group, Dresdner Bank and New Star Asset Management. He has previously held the position of Innovation Fellow at the University of Cambridge, recently joined as a Trustee of the Royal National Orthopaedic Hospital Charity and is a member of the commercial Board of the Institute and Audit committee. Mr. Thakrar has a degree in chemistry from Kings College, London, an MBA from Cranfield University and a CFA from the American Association of Investment Analysts.</w:t>
      </w:r>
    </w:p>
    <w:p>
      <w:pPr>
        <w:spacing w:after="0" w:line="116"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b w:val="1"/>
          <w:bCs w:val="1"/>
          <w:i w:val="1"/>
          <w:iCs w:val="1"/>
          <w:color w:val="auto"/>
        </w:rPr>
        <w:t xml:space="preserve">Todd Thomson </w:t>
      </w:r>
      <w:r>
        <w:rPr>
          <w:rFonts w:ascii="Arial" w:cs="Arial" w:eastAsia="Arial" w:hAnsi="Arial"/>
          <w:sz w:val="18"/>
          <w:szCs w:val="18"/>
          <w:color w:val="auto"/>
        </w:rPr>
        <w:t>will serve as a member of our board of directors upon the effective date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statement of which this prospectus is a part. Mr. Thomson is currently the chief operating officer and chief financial officer of Kairos Ventures, an early- stage investment firm. He is an accomplished operating executive and entrepreneur, having served as Citigroup chief financial officer for five years and as chief executive officer of Citigroup’s nearly $10 billion global wealth management division for more than two years. Mr. Thomson is a leading practitioner on mergers and acquisitions and business strategy, having led the</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1" w:lineRule="auto"/>
        <w:rPr>
          <w:sz w:val="20"/>
          <w:szCs w:val="20"/>
          <w:color w:val="auto"/>
        </w:rPr>
      </w:pPr>
      <w:r>
        <w:rPr>
          <w:rFonts w:ascii="Arial" w:cs="Arial" w:eastAsia="Arial" w:hAnsi="Arial"/>
          <w:sz w:val="17"/>
          <w:szCs w:val="17"/>
          <w:color w:val="auto"/>
        </w:rPr>
        <w:t>acquisition and strategy efforts for Citigroup and GE Capital, as well as serving as advisor to Fortune 500 firms while at Bain &amp; Co., Booz Allen Hamilton, and Barents Group. He has extensive investing experience as chief executive officer of Citigroup alternative investments, chairman of the Citigroup pension investment committee, chairman of the dynasty investment committee, and a member of the investment committees for the Davidson College and World Resources Institute endowments. Prior to joining Kairos Ventures, Mr. Thomson served as co-founder and chairman of Dynasty Financial Partners, or Dynasty, a leading investment and technology platform for sophisticated independent advisors. Founded by</w:t>
      </w:r>
    </w:p>
    <w:p>
      <w:pPr>
        <w:spacing w:after="0" w:line="2" w:lineRule="exact"/>
        <w:rPr>
          <w:sz w:val="20"/>
          <w:szCs w:val="20"/>
          <w:color w:val="auto"/>
        </w:rPr>
      </w:pPr>
    </w:p>
    <w:p>
      <w:pPr>
        <w:ind w:left="1260" w:right="579"/>
        <w:spacing w:after="0" w:line="237" w:lineRule="auto"/>
        <w:rPr>
          <w:sz w:val="20"/>
          <w:szCs w:val="20"/>
          <w:color w:val="auto"/>
        </w:rPr>
      </w:pPr>
      <w:r>
        <w:rPr>
          <w:rFonts w:ascii="Arial" w:cs="Arial" w:eastAsia="Arial" w:hAnsi="Arial"/>
          <w:sz w:val="18"/>
          <w:szCs w:val="18"/>
          <w:color w:val="auto"/>
        </w:rPr>
        <w:t>Mr. Thomson and his colleagues in 2010, Dynasty serves nearly 50 registered investment advisor firms nationally, with $50 billion under management. In addition to serving as chairman, Todd served in several operating roles since Dynasty’s founding, including chairing the investment committee, serving as chief investment officer, and designing and leading Dynasty Capital Strategies. Mr. Thomson has also agreed to serve on the board of Chardan NexTech Acquisition Corp., a blank check company, upon the effectiveness of its registration statement.</w:t>
      </w:r>
    </w:p>
    <w:p>
      <w:pPr>
        <w:spacing w:after="0" w:line="10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We believe our management team’s operating, SPAC, and mergers and acquisitions transaction experience and relationships with companies will quickly provide us with a substantial number of attractive potential business combination targets. Over the course of their careers, the members of our management team have developed a broad network of contacts and corporate relationships in and around the disruptive technology industry. This network has grown through the activities of our management team sourcing, acquiring and financing businesses, our management team’s relationships with sellers, financing sources and target management teams and the experience of our management team in executing transactions under varying economic and financial market conditions.</w:t>
      </w:r>
    </w:p>
    <w:p>
      <w:pPr>
        <w:spacing w:after="0" w:line="126"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Certain of our executive officers and directors also served as executive officers and directors of Chardan Healthcare Acquisition Corp., or Chardan Health SPAC 1, a blank check company that consummated its initial public offering in December 2018 and consummated its initial business combination with BiomX Ltd. (NYSE: PHGE) in October 2019.</w:t>
      </w:r>
    </w:p>
    <w:p>
      <w:pPr>
        <w:spacing w:after="0" w:line="120"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Healthcare Acquisition 2 Corp., or Chardan Health SPAC 2, a blank check company that consummated its initial public offering in April 2020.</w:t>
      </w:r>
    </w:p>
    <w:p>
      <w:pPr>
        <w:spacing w:after="0" w:line="101"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Certain of our executive officers and directors also serve as executive officers and directors of Ventoux CCM Acquisition Corp., or Ventoux CCM, a blank check company that consummated its initial public offering in December 2020.</w:t>
      </w:r>
    </w:p>
    <w:p>
      <w:pPr>
        <w:spacing w:after="0" w:line="114" w:lineRule="exact"/>
        <w:rPr>
          <w:sz w:val="20"/>
          <w:szCs w:val="20"/>
          <w:color w:val="auto"/>
        </w:rPr>
      </w:pPr>
    </w:p>
    <w:p>
      <w:pPr>
        <w:ind w:left="1260" w:right="599" w:firstLine="360"/>
        <w:spacing w:after="0" w:line="291" w:lineRule="auto"/>
        <w:rPr>
          <w:sz w:val="20"/>
          <w:szCs w:val="20"/>
          <w:color w:val="auto"/>
        </w:rPr>
      </w:pPr>
      <w:r>
        <w:rPr>
          <w:rFonts w:ascii="Arial" w:cs="Arial" w:eastAsia="Arial" w:hAnsi="Arial"/>
          <w:sz w:val="17"/>
          <w:szCs w:val="17"/>
          <w:color w:val="auto"/>
        </w:rPr>
        <w:t>Our executive officer and director Jonas Grossman also serves as a director of CleanTech Acquisition Corp., or CleanTech, a blank check company that consummated its initial public offering in July 2021.</w:t>
      </w:r>
    </w:p>
    <w:p>
      <w:pPr>
        <w:spacing w:after="0" w:line="79"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NexTech Acquisition Corp., or Chardan NexTech 1, a blank check company that has publicly filed its registration statement on Form S-1, but is not expected to consummate its initial public offering before the consummation of this offering.</w:t>
      </w:r>
    </w:p>
    <w:p>
      <w:pPr>
        <w:spacing w:after="0" w:line="107"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From time to time, Chardan acts as an underwriter for the initial public offering of special purpose acquisition companies and in addition to cash fees, Chardan receive equity in the form of private placement securities. Some of those special purpose acquisition companies may be competitive with our company as they look for targets in the same industries and geographies.</w:t>
      </w:r>
    </w:p>
    <w:p>
      <w:pPr>
        <w:spacing w:after="0" w:line="120"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With respect to the foregoing descriptions, the past performance of Chardan and its affiliates and our management team is not a guarantee either (i) that we will be able to identify a suitable candidate for our initial business combination or (ii) of success with respect to any business combination we may consummate. As described in this prospectus, Messrs. Propper, Grossman and Weil have had management and/or board experience with blank check companies. None of our other officers or directors, our sponsor, nor any of its respective officers, directors, employees, or affiliates, have had management experience with blank check companies or special purpose acquisition corporations in the past. You should not rely on their respective historical records or performance of Chardan, its affiliates, or our management team as indicative of our future performance. Our officers and directors may have conflicts of interest with other entities to which they owe fiduciary or contractual obligations with respect to initial business combination opportunities,</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9" w:lineRule="auto"/>
        <w:rPr>
          <w:sz w:val="20"/>
          <w:szCs w:val="20"/>
          <w:color w:val="auto"/>
        </w:rPr>
      </w:pPr>
      <w:r>
        <w:rPr>
          <w:rFonts w:ascii="Arial" w:cs="Arial" w:eastAsia="Arial" w:hAnsi="Arial"/>
          <w:sz w:val="17"/>
          <w:szCs w:val="17"/>
          <w:color w:val="auto"/>
        </w:rPr>
        <w:t>including for our officers with respect to Chardan Health SPAC 2, Ventoux CCM, CleanTech and Chardan NexTech 1, collectively which we refer to as the Affiliated SPACs. In order to minimize potential conflicts of interest which may arise from multiple affiliations, our officers who are also officers of any of the Affiliated SPACs will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Strategy</w:t>
      </w:r>
    </w:p>
    <w:p>
      <w:pPr>
        <w:spacing w:after="0" w:line="148"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Our management team’s objective is to generate attractive returns and create long-term value for our stockholders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25" w:lineRule="exact"/>
        <w:rPr>
          <w:sz w:val="20"/>
          <w:szCs w:val="20"/>
          <w:color w:val="auto"/>
        </w:rPr>
      </w:pPr>
    </w:p>
    <w:p>
      <w:pPr>
        <w:ind w:left="1260" w:right="599" w:firstLine="360"/>
        <w:spacing w:after="0" w:line="272" w:lineRule="auto"/>
        <w:rPr>
          <w:sz w:val="20"/>
          <w:szCs w:val="20"/>
          <w:color w:val="auto"/>
        </w:rPr>
      </w:pPr>
      <w:r>
        <w:rPr>
          <w:rFonts w:ascii="Arial" w:cs="Arial" w:eastAsia="Arial" w:hAnsi="Arial"/>
          <w:sz w:val="17"/>
          <w:szCs w:val="17"/>
          <w:color w:val="auto"/>
        </w:rPr>
        <w:t>Our evaluation process will leverage our co-founders’ and board’s network of industry, private equity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Certain members of our management team, board and advisors have experience in:</w:t>
      </w:r>
    </w:p>
    <w:p>
      <w:pPr>
        <w:spacing w:after="0" w:line="117" w:lineRule="exact"/>
        <w:rPr>
          <w:sz w:val="20"/>
          <w:szCs w:val="20"/>
          <w:color w:val="auto"/>
        </w:rPr>
      </w:pPr>
    </w:p>
    <w:p>
      <w:pPr>
        <w:ind w:left="1800" w:right="71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key activities of special purpose acquisition companies, sponsoring, underwriting and mergers and acquisitions advisory;</w:t>
      </w:r>
    </w:p>
    <w:p>
      <w:pPr>
        <w:spacing w:after="0" w:line="75"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89" w:lineRule="exact"/>
        <w:rPr>
          <w:rFonts w:ascii="Arial" w:cs="Arial" w:eastAsia="Arial" w:hAnsi="Arial"/>
          <w:sz w:val="18"/>
          <w:szCs w:val="18"/>
          <w:color w:val="auto"/>
        </w:rPr>
      </w:pPr>
    </w:p>
    <w:p>
      <w:pPr>
        <w:jc w:val="both"/>
        <w:ind w:left="1800" w:right="1099" w:hanging="180"/>
        <w:spacing w:after="0" w:line="263"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89" w:lineRule="exact"/>
        <w:rPr>
          <w:rFonts w:ascii="Arial" w:cs="Arial" w:eastAsia="Arial" w:hAnsi="Arial"/>
          <w:sz w:val="18"/>
          <w:szCs w:val="18"/>
          <w:color w:val="auto"/>
        </w:rPr>
      </w:pPr>
    </w:p>
    <w:p>
      <w:pPr>
        <w:ind w:left="1800" w:hanging="180"/>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30"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89" w:lineRule="exact"/>
        <w:rPr>
          <w:rFonts w:ascii="Arial" w:cs="Arial" w:eastAsia="Arial" w:hAnsi="Arial"/>
          <w:sz w:val="18"/>
          <w:szCs w:val="18"/>
          <w:color w:val="auto"/>
        </w:rPr>
      </w:pPr>
    </w:p>
    <w:p>
      <w:pPr>
        <w:ind w:left="1800" w:hanging="180"/>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130"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89"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ectPr>
          <w:pgSz w:w="11900" w:h="16838" w:orient="portrait"/>
          <w:cols w:equalWidth="0" w:num="1">
            <w:col w:w="9879"/>
          </w:cols>
          <w:pgMar w:left="580" w:top="131"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0" w:name="page91"/>
    <w:bookmarkEnd w:id="9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Investment Criteria</w:t>
      </w:r>
    </w:p>
    <w:p>
      <w:pPr>
        <w:spacing w:after="0" w:line="148"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80" w:lineRule="exact"/>
        <w:rPr>
          <w:sz w:val="20"/>
          <w:szCs w:val="20"/>
          <w:color w:val="auto"/>
        </w:rPr>
      </w:pPr>
    </w:p>
    <w:p>
      <w:pPr>
        <w:ind w:left="1800" w:right="759" w:hanging="180"/>
        <w:spacing w:after="0" w:line="27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75"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62" w:lineRule="exact"/>
        <w:rPr>
          <w:rFonts w:ascii="Arial" w:cs="Arial" w:eastAsia="Arial" w:hAnsi="Arial"/>
          <w:sz w:val="18"/>
          <w:szCs w:val="18"/>
          <w:color w:val="auto"/>
        </w:rPr>
      </w:pPr>
    </w:p>
    <w:p>
      <w:pPr>
        <w:jc w:val="both"/>
        <w:ind w:left="1800" w:right="439" w:hanging="180"/>
        <w:spacing w:after="0" w:line="263"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has an operating model that has adapted or has an executable strategy to be able to meet the changing consumer or business behaviors in a COVID-19 or post-COVID 19 environment;</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117"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can benefit from being a publicly traded company, are prepared to be a publicly traded company and can utilize access to broader capital markets.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Acquisition Strategy</w:t>
      </w:r>
    </w:p>
    <w:p>
      <w:pPr>
        <w:spacing w:after="0" w:line="148"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Rigorous and comprehensive due diligence on prospective business targets is particularly important for disruptive technology companies,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110"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We have not identified any business combination target and we have not, nor has anyone on our behalf, initiated any substantive discussions, directly or indirectly, with any business combination target. Our sponsor, all of the members of our management team and our board, and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10"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In addition, our officers and directors are not prohibited from becoming either a director or officer of any other special purpose acquisition company with a class of securities registered under the Securities Exchange Act of 1934, as amended, which we refer to as the Exchange Act.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Initial Business Combination</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 We have also agreed not to enter into a definitive agreement regarding an initial business combination without the</w:t>
      </w:r>
    </w:p>
    <w:p>
      <w:pPr>
        <w:sectPr>
          <w:pgSz w:w="11900" w:h="16838" w:orient="portrait"/>
          <w:cols w:equalWidth="0" w:num="1">
            <w:col w:w="9879"/>
          </w:cols>
          <w:pgMar w:left="580" w:top="131" w:right="1440" w:bottom="1440" w:gutter="0" w:footer="0" w:header="0"/>
        </w:sect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77" w:lineRule="auto"/>
        <w:rPr>
          <w:sz w:val="20"/>
          <w:szCs w:val="20"/>
          <w:color w:val="auto"/>
        </w:rPr>
      </w:pPr>
      <w:r>
        <w:rPr>
          <w:rFonts w:ascii="Arial" w:cs="Arial" w:eastAsia="Arial" w:hAnsi="Arial"/>
          <w:sz w:val="18"/>
          <w:szCs w:val="18"/>
          <w:color w:val="auto"/>
        </w:rPr>
        <w:t>prior consent of our sponsor. In addition, pursuant to Nasdaq rules, any initial business combination must be approved by a majority of our independent directors.</w:t>
      </w:r>
    </w:p>
    <w:p>
      <w:pPr>
        <w:spacing w:after="0" w:line="89"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We may, at our option, pursue a business combination opportunity jointly with Chardan or one or more entities affiliated with Chardan, which we refer to as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We refer to this potential future issuance, or a similar issuance to other specified purchasers, as a “specified future issuance” throughout this prospectus. Any such Affiliated Joint Acquisition or specified future issuance would be in addition to, and would not include, the forward purchase securities issued pursuant to the forward purchase contract. The amount and other terms and conditions of any such specified future issuance would be determined at the time thereof. We are not obligated to make any specified future issuance and may determine not to do so. This is not an offer for any specified future issuance.</w:t>
      </w:r>
    </w:p>
    <w:p>
      <w:pPr>
        <w:spacing w:after="0" w:line="124"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We have not selected any specific business combination target and we have not, nor has anyone on our behalf, initiated any substantive discussions, directly or indirectly, with any business combination target. From the period commencing with our formation through the date of this prospectus, there have been no communications or discussions between any of our officers, directors or our sponsor and any of their potential contacts or relationships regarding a potential initial business combination. Additionally, we have not engaged or retained any agent or other representative to identify or locate any suitable acquisition candidate, to conduct any research or take any measures, directly or indirectly, to locate or contact a target business. Additionally, we have not contacted any of the prospective target businesses that any of the Affiliated SPACs had considered and rejected while such entity was a blank check company searching for target businesses to acquire. We do not currently intend to contact any of such targets; however, we may do so in the future if we become aware that the valuations, operations, profits or prospects of such target business, or the benefits of any potential transaction with such target business, would be attractive.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22"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7"/>
          <w:szCs w:val="17"/>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including an Affiliated Joint Acquisition as described above.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pacing w:after="0" w:line="105" w:lineRule="exact"/>
        <w:rPr>
          <w:sz w:val="20"/>
          <w:szCs w:val="20"/>
          <w:color w:val="auto"/>
        </w:rPr>
      </w:pPr>
    </w:p>
    <w:p>
      <w:pPr>
        <w:ind w:left="1260" w:right="959" w:firstLine="360"/>
        <w:spacing w:after="0" w:line="342" w:lineRule="auto"/>
        <w:rPr>
          <w:sz w:val="20"/>
          <w:szCs w:val="20"/>
          <w:color w:val="auto"/>
        </w:rPr>
      </w:pPr>
      <w:r>
        <w:rPr>
          <w:rFonts w:ascii="Arial" w:cs="Arial" w:eastAsia="Arial" w:hAnsi="Arial"/>
          <w:sz w:val="16"/>
          <w:szCs w:val="16"/>
          <w:color w:val="auto"/>
        </w:rPr>
        <w:t>If less than 100% of the equity interests or assets of a target business or businesses are owned or acquired by the post-transaction company, the portion of such business or businesses that is owned or</w:t>
      </w:r>
    </w:p>
    <w:p>
      <w:pPr>
        <w:sectPr>
          <w:pgSz w:w="11900" w:h="16838" w:orient="portrait"/>
          <w:cols w:equalWidth="0" w:num="1">
            <w:col w:w="9879"/>
          </w:cols>
          <w:pgMar w:left="580" w:top="131" w:right="1440" w:bottom="1440" w:gutter="0" w:footer="0" w:header="0"/>
        </w:sectPr>
      </w:pP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2" w:name="page93"/>
    <w:bookmarkEnd w:id="9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3" w:lineRule="auto"/>
        <w:rPr>
          <w:sz w:val="20"/>
          <w:szCs w:val="20"/>
          <w:color w:val="auto"/>
        </w:rPr>
      </w:pPr>
      <w:r>
        <w:rPr>
          <w:rFonts w:ascii="Arial" w:cs="Arial" w:eastAsia="Arial" w:hAnsi="Arial"/>
          <w:sz w:val="18"/>
          <w:szCs w:val="18"/>
          <w:color w:val="auto"/>
        </w:rPr>
        <w:t>acquired is what will be valued for purposes of the 80% test, provided that in the event that the business combination involves more than one target business, the 80% test will be based on the aggregate value of all of the target businesses.</w:t>
      </w:r>
    </w:p>
    <w:p>
      <w:pPr>
        <w:spacing w:after="0" w:line="10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Chardan will be the beneficial owner of founder shares or private warrants following this offering by virtue of its ownership of our sponsor and members of our management team may indirectly own such securities. Our sponsor intends to allocate up to 20,000 founder shares to each of our independent directors. Because of such ownership and interests, Chardan and our officers and directors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pacing w:after="0" w:line="129" w:lineRule="exact"/>
        <w:rPr>
          <w:sz w:val="20"/>
          <w:szCs w:val="20"/>
          <w:color w:val="auto"/>
        </w:rPr>
      </w:pPr>
    </w:p>
    <w:p>
      <w:pPr>
        <w:ind w:left="1260" w:right="499" w:firstLine="360"/>
        <w:spacing w:after="0" w:line="272"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We have not, however, selected any specific business combination target and we have not, nor has anyone on our behalf, initiated any substantive discussions, directly or indirectly, with any business combination target regarding an initial business combination with our company.</w:t>
      </w:r>
    </w:p>
    <w:p>
      <w:pPr>
        <w:spacing w:after="0" w:line="110"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Our sponsor, officers, directors, Chardan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Chardan NexTech 1,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11"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Chardan Health SPAC 2.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Chardan Health SPAC 2,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Effecting a Business Combination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warrants, our shares,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139"/>
        <w:spacing w:after="0" w:line="291" w:lineRule="auto"/>
        <w:rPr>
          <w:sz w:val="20"/>
          <w:szCs w:val="20"/>
          <w:color w:val="auto"/>
        </w:rPr>
      </w:pPr>
      <w:r>
        <w:rPr>
          <w:rFonts w:ascii="Arial" w:cs="Arial" w:eastAsia="Arial" w:hAnsi="Arial"/>
          <w:sz w:val="17"/>
          <w:szCs w:val="17"/>
          <w:color w:val="auto"/>
        </w:rPr>
        <w:t>such companies and businesses, although we will not be permitted to effectuate our initial business combination with another blank check company or a similar company with nominal operations.</w:t>
      </w:r>
    </w:p>
    <w:p>
      <w:pPr>
        <w:spacing w:after="0" w:line="66" w:lineRule="exact"/>
        <w:rPr>
          <w:sz w:val="20"/>
          <w:szCs w:val="20"/>
          <w:color w:val="auto"/>
        </w:rPr>
      </w:pPr>
    </w:p>
    <w:p>
      <w:pPr>
        <w:ind w:left="1260" w:right="519" w:firstLine="360"/>
        <w:spacing w:after="0" w:line="239" w:lineRule="auto"/>
        <w:rPr>
          <w:sz w:val="20"/>
          <w:szCs w:val="20"/>
          <w:color w:val="auto"/>
        </w:rPr>
      </w:pPr>
      <w:r>
        <w:rPr>
          <w:rFonts w:ascii="Arial" w:cs="Arial" w:eastAsia="Arial" w:hAnsi="Arial"/>
          <w:sz w:val="18"/>
          <w:szCs w:val="18"/>
          <w:color w:val="auto"/>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123"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 xml:space="preserve">We will have 12 months from the closing of this offering to consummate an initial business combination. However, if we anticipate that we may not be able to consummate our initial business combination within 12 months, our insiders or their affiliates may, but are not obligated to, extend the period of time to consummate a business combination up to two times by an additional three months each time (for a total of up to 18 months to complete a business combination); </w:t>
      </w:r>
      <w:r>
        <w:rPr>
          <w:rFonts w:ascii="Arial" w:cs="Arial" w:eastAsia="Arial" w:hAnsi="Arial"/>
          <w:sz w:val="17"/>
          <w:szCs w:val="17"/>
          <w:i w:val="1"/>
          <w:iCs w:val="1"/>
          <w:color w:val="auto"/>
        </w:rPr>
        <w:t>provided that</w:t>
      </w:r>
      <w:r>
        <w:rPr>
          <w:rFonts w:ascii="Arial" w:cs="Arial" w:eastAsia="Arial" w:hAnsi="Arial"/>
          <w:sz w:val="17"/>
          <w:szCs w:val="17"/>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In the event of our dissolution and liquidation, the private units will expire and will be worthless.</w:t>
      </w:r>
    </w:p>
    <w:p>
      <w:pPr>
        <w:spacing w:after="0" w:line="129"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Subject to the requirement that our initial business combination must be with one or more target businesses or assets having an aggregate fair market value of at least 80% of the value of the trust account (excluding any taxes payable) at the time of the agreement to enter into such initial business combination, we have virtually unrestricted flexibility in identifying and selecting one or more prospective target businesses.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this assessment may not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04" w:lineRule="exact"/>
        <w:rPr>
          <w:sz w:val="20"/>
          <w:szCs w:val="20"/>
          <w:color w:val="auto"/>
        </w:rPr>
      </w:pPr>
    </w:p>
    <w:p>
      <w:pPr>
        <w:ind w:left="1260" w:right="539" w:firstLine="360"/>
        <w:spacing w:after="0" w:line="279" w:lineRule="auto"/>
        <w:rPr>
          <w:sz w:val="20"/>
          <w:szCs w:val="20"/>
          <w:color w:val="auto"/>
        </w:rPr>
      </w:pPr>
      <w:r>
        <w:rPr>
          <w:rFonts w:ascii="Arial" w:cs="Arial" w:eastAsia="Arial" w:hAnsi="Arial"/>
          <w:sz w:val="17"/>
          <w:szCs w:val="17"/>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w:t>
      </w:r>
    </w:p>
    <w:p>
      <w:pPr>
        <w:sectPr>
          <w:pgSz w:w="11900" w:h="16838" w:orient="portrait"/>
          <w:cols w:equalWidth="0" w:num="1">
            <w:col w:w="9879"/>
          </w:cols>
          <w:pgMar w:left="580" w:top="131"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4" w:name="page95"/>
    <w:bookmarkEnd w:id="9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39" w:lineRule="auto"/>
        <w:rPr>
          <w:sz w:val="20"/>
          <w:szCs w:val="20"/>
          <w:color w:val="auto"/>
        </w:rPr>
      </w:pPr>
      <w:r>
        <w:rPr>
          <w:rFonts w:ascii="Arial" w:cs="Arial" w:eastAsia="Arial" w:hAnsi="Arial"/>
          <w:sz w:val="18"/>
          <w:szCs w:val="18"/>
          <w:color w:val="auto"/>
        </w:rPr>
        <w:t>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the Nasdaq,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144"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this prospectus and know what types of businesses we are targeting.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12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We are not prohibited from pursuing an initial business combination with a business that is affiliated with Chardan or its affiliates or our sponsor, officers or directors, including an Affiliated Joint Acquisition. In the event we seek to complete our initial business combination with an initial business combination target that is affiliated with our sponsor, officers or directors, we, or a committee of independent directors, would obtain an opinion from an independent investment banking firm or another independent firm that commonly renders valuation opinions that such an initial business combination is fair to our stockholders from a financial point of view. We are not required to obtain such an opinion in any other context.</w:t>
      </w:r>
    </w:p>
    <w:p>
      <w:pPr>
        <w:spacing w:after="0" w:line="112"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As more fully discussed in the section of this prospectus entitled “Management — Conflicts of Interest”,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Chardan Healthcare Acquisition 2 Corp., Ventoux CCM Acquisition Corp., CleanTech Acquisition Corp. and Chardan NexTech Acquisition Corp. Our officers and directors also may become aware of business opportunities which may be appropriate for presentation to us and the other entities to which they owe certain fiduciary, contractual or other duties. Accordingly, if any of our officers or directors becomes aware of a business combination opportunity which is suitable for one or more entities to which he or she has fiduciary, contractual or other obligations or duties, including Chardan Healthcare Acquisition 2 Corp., Ventoux CCM Acquisition Corp., CleanTech Acquisition Corp. and Chardan NexTech Acquisition Corp., he or she will honor these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w:t>
      </w: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5" w:name="page96"/>
    <w:bookmarkEnd w:id="9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3" w:lineRule="auto"/>
        <w:rPr>
          <w:sz w:val="20"/>
          <w:szCs w:val="20"/>
          <w:color w:val="auto"/>
        </w:rPr>
      </w:pPr>
      <w:r>
        <w:rPr>
          <w:rFonts w:ascii="Arial" w:cs="Arial" w:eastAsia="Arial" w:hAnsi="Arial"/>
          <w:sz w:val="18"/>
          <w:szCs w:val="18"/>
          <w:color w:val="auto"/>
        </w:rPr>
        <w:t>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107"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We may, at our option, pursue an Affiliated Joint Acquisition. We do not expect that we would pursue any such opportunity with an Affiliated SPAC. Any such parties would co-invest only if (i) permitted by applicable regulatory and other legal limitations; (ii) we and our sponsor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Any such Affiliated Joint Acquisition or specified future issuance would be in addition to, and would not include, the forward purchase securities issued pursuant to the forward purchase contract.</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158" w:lineRule="exact"/>
        <w:rPr>
          <w:sz w:val="20"/>
          <w:szCs w:val="20"/>
          <w:color w:val="auto"/>
        </w:rPr>
      </w:pPr>
    </w:p>
    <w:p>
      <w:pPr>
        <w:ind w:left="1260" w:right="499" w:firstLine="360"/>
        <w:spacing w:after="0" w:line="250" w:lineRule="auto"/>
        <w:rPr>
          <w:sz w:val="20"/>
          <w:szCs w:val="20"/>
          <w:color w:val="auto"/>
        </w:rPr>
      </w:pPr>
      <w:r>
        <w:rPr>
          <w:rFonts w:ascii="Arial" w:cs="Arial" w:eastAsia="Arial" w:hAnsi="Arial"/>
          <w:sz w:val="17"/>
          <w:szCs w:val="17"/>
          <w:color w:val="auto"/>
        </w:rPr>
        <w:t>So long as we obtain and maintain a listing for our securities on Nasdaq,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The fair market value of our initial business combination will be determined by our board of directors based upon one or more standards generally accepted by the financial community, such as discounted cash flow valuation, a valuation based on trading multiples of comparable public businesses or a valuation based on the financial metrics of mergers and acquisitions transactions of comparable businesses. If our board of directors is not able to independently determine the fair market value of our initial business combination, we will obtain an opinion from an independent investment banking firm or another independent firm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We do not intend to purchase multiple businesses in unrelated industries in conjunction with our initial business combination. We have also agreed not to enter into a definitive agreement regarding an initial business combination without the prior consent of our sponsor. Subject to this requirement, our management will have virtually unrestricted flexibility in identifying and selecting one or more prospective target businesses, although we will not be permitted to effectuate our initial business combination with another blank check company or a similar company with nominal operations.</w:t>
      </w:r>
    </w:p>
    <w:p>
      <w:pPr>
        <w:spacing w:after="0" w:line="126"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In any case, we will only complete an initial business combination in which we own or acquire 50% or more of the outstanding voting securities of the target or otherwise acquire a controlling interest in the target sufficient for it not to be required to register as an investment company under the Investment Company Act. If we own or acquire less than 100% of the equity interests or assets of a target business or businesses, the portion of such business or businesses that are owned or acquired by the post-transaction company is what will be taken into account for purposes of Nasdaq’s 80% fair market value test. There is no basis for investors in this offering to evaluate the possible merits or risks of any target business with which we may ultimately complete our initial business combination.</w:t>
      </w:r>
    </w:p>
    <w:p>
      <w:pPr>
        <w:spacing w:after="0" w:line="113" w:lineRule="exact"/>
        <w:rPr>
          <w:sz w:val="20"/>
          <w:szCs w:val="20"/>
          <w:color w:val="auto"/>
        </w:rPr>
      </w:pPr>
    </w:p>
    <w:p>
      <w:pPr>
        <w:ind w:left="1260" w:right="619" w:firstLine="360"/>
        <w:spacing w:after="0" w:line="241" w:lineRule="auto"/>
        <w:rPr>
          <w:sz w:val="20"/>
          <w:szCs w:val="20"/>
          <w:color w:val="auto"/>
        </w:rPr>
      </w:pPr>
      <w:r>
        <w:rPr>
          <w:rFonts w:ascii="Arial" w:cs="Arial" w:eastAsia="Arial" w:hAnsi="Arial"/>
          <w:sz w:val="18"/>
          <w:szCs w:val="18"/>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22" w:lineRule="exact"/>
        <w:rPr>
          <w:sz w:val="20"/>
          <w:szCs w:val="20"/>
          <w:color w:val="auto"/>
        </w:rPr>
      </w:pPr>
    </w:p>
    <w:p>
      <w:pPr>
        <w:ind w:left="1260" w:right="559" w:firstLine="360"/>
        <w:spacing w:after="0" w:line="291" w:lineRule="auto"/>
        <w:rPr>
          <w:sz w:val="20"/>
          <w:szCs w:val="20"/>
          <w:color w:val="auto"/>
        </w:rPr>
      </w:pPr>
      <w:r>
        <w:rPr>
          <w:rFonts w:ascii="Arial" w:cs="Arial" w:eastAsia="Arial" w:hAnsi="Arial"/>
          <w:sz w:val="17"/>
          <w:szCs w:val="17"/>
          <w:color w:val="auto"/>
        </w:rPr>
        <w:t>In evaluating a prospective target business, we expect to conduct a thorough due diligence review that will encompass, among other things, meetings with incumbent management and employees, document</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61" w:lineRule="auto"/>
        <w:rPr>
          <w:sz w:val="20"/>
          <w:szCs w:val="20"/>
          <w:color w:val="auto"/>
        </w:rPr>
      </w:pPr>
      <w:r>
        <w:rPr>
          <w:rFonts w:ascii="Arial" w:cs="Arial" w:eastAsia="Arial" w:hAnsi="Arial"/>
          <w:sz w:val="18"/>
          <w:szCs w:val="18"/>
          <w:color w:val="auto"/>
        </w:rPr>
        <w:t>reviews, interviews of customers and suppliers, inspection of facilities, as well as a review of financial and other information which will be made available to us.</w:t>
      </w:r>
    </w:p>
    <w:p>
      <w:pPr>
        <w:spacing w:after="0" w:line="90"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58"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81" w:lineRule="exact"/>
        <w:rPr>
          <w:sz w:val="20"/>
          <w:szCs w:val="20"/>
          <w:color w:val="auto"/>
        </w:rPr>
      </w:pPr>
    </w:p>
    <w:p>
      <w:pPr>
        <w:ind w:left="1800" w:right="559" w:hanging="180"/>
        <w:spacing w:after="0" w:line="263"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15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16"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that additional managers will have the requisite skills, knowledge or experience necessary to enhance the incumbent management.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14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In connection with any proposed business combination, we will either (1) seek stockholder approval of our initial business combination at a meeting called for such purpose at which public stockholders may seek to redeem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redeem any public shares held by them into their pro rata share of the aggregate amount then on deposit in the trust account. If we determine to engage</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38" w:lineRule="auto"/>
        <w:rPr>
          <w:sz w:val="20"/>
          <w:szCs w:val="20"/>
          <w:color w:val="auto"/>
        </w:rPr>
      </w:pPr>
      <w:r>
        <w:rPr>
          <w:rFonts w:ascii="Arial" w:cs="Arial" w:eastAsia="Arial" w:hAnsi="Arial"/>
          <w:sz w:val="18"/>
          <w:szCs w:val="18"/>
          <w:color w:val="auto"/>
        </w:rPr>
        <w:t>in a tender offer, such tender offer will be structured so that each stockholder may tender any or all of his, her or its public shares rather than some pro rata portion of his, her or its shares. The decision as to whether we will seek stockholder approval of a proposed business combination or will allow stockholders to sell their shares to us in a tender offer will be made by us based on a variety of factors such as the timing of the transaction and whether the terms of the transaction would otherwise require us to seek stockholder approval. If we so choose and we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w:t>
      </w:r>
    </w:p>
    <w:p>
      <w:pPr>
        <w:spacing w:after="0" w:line="107"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7"/>
          <w:szCs w:val="17"/>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13"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or sold to us)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12 months (or up to 18 months, as applicable) from the closing of this offering in order to be able to receive a pro rata share of the trust account.</w:t>
      </w:r>
    </w:p>
    <w:p>
      <w:pPr>
        <w:spacing w:after="0" w:line="11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Our initial stockholders and our officers and directors have agreed (1) to vote any shares of common stock owned by them in favor of any proposed business combination, (2) not to redeem any shares of common stock in connection with a stockholder vote to approve a proposed initial business combination and</w:t>
      </w:r>
    </w:p>
    <w:p>
      <w:pPr>
        <w:ind w:left="1260" w:right="539"/>
        <w:spacing w:after="0" w:line="237" w:lineRule="auto"/>
        <w:tabs>
          <w:tab w:leader="none" w:pos="1529"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sell any shares of common stock in any tender in connection with a proposed initial business combination. As a result, if we sought stockholder approval of a proposed transaction, we would need only 3,750,001, or 37.5%, of the 10,000,000 public shares sold in this offering to be voted in favor of an initial business combination (assuming all outstanding shares are voted) in order to have our initial business combination approved (assuming the over-allotment option is not exercised).</w:t>
      </w:r>
    </w:p>
    <w:p>
      <w:pPr>
        <w:spacing w:after="0" w:line="110"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None of our officers, directors, initial stockholders or their affiliates has indicated any intention to purchase units or shares of common stock in this offering or from persons in the open market or in private transactions. However, 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Permitted Purchases of our Securities</w:t>
      </w:r>
    </w:p>
    <w:p>
      <w:pPr>
        <w:spacing w:after="0" w:line="15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initial stockholders, directors, officers, advisors or any their respective affiliates may purchase shares or public warrants in privately negotiated transactions or in the open market either prior to or following the completion of our initial business combination. There is no limit on the number of shares our initial stockholders, directors,</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43" w:lineRule="auto"/>
        <w:rPr>
          <w:sz w:val="20"/>
          <w:szCs w:val="20"/>
          <w:color w:val="auto"/>
        </w:rPr>
      </w:pPr>
      <w:r>
        <w:rPr>
          <w:rFonts w:ascii="Arial" w:cs="Arial" w:eastAsia="Arial" w:hAnsi="Arial"/>
          <w:sz w:val="18"/>
          <w:szCs w:val="18"/>
          <w:color w:val="auto"/>
        </w:rPr>
        <w:t>officers, advisors or any of their respective affiliates may purchase in such transactions, subject to compliance with applicable law and Nasdaq rules. However, they have no current commitments, plans or intentions to engage in such transactions and have not formulated any terms or conditions for any such transactions.</w:t>
      </w:r>
    </w:p>
    <w:p>
      <w:pPr>
        <w:spacing w:after="0" w:line="107"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In the event our initial stockholders, directors, officers, advisors or any of their respective affiliates determine to make any such purchases at the time of a stockholder vote relating to our initial business combination, such purchases could have the effect of influencing the vote necessary to approve such transaction. If they engage in such transactions, they will be restricted from making any such purchases when they are in possession of any material non- public information not disclosed to the seller or if such purchases are prohibited by Regulation M under the Exchange Act. Such a purchase may include a contractual acknowledgement that such stockholder, although still the record holder of our shares, is no longer the beneficial owner thereof and therefore agrees not to exercise its redemption rights.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w:t>
      </w:r>
    </w:p>
    <w:p>
      <w:pPr>
        <w:spacing w:after="0" w:line="120"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126"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Our sponsor, officers, directors, advisors and/or any of their respective affiliates anticipate that they may identify the stockholders with whom our sponsor, officers, directors, advisors or any of their respective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sponsor, officers, directors, advisors or any of their respective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Such persons would select the stockholders from whom to acquire shares based on the number of shares available, the negotiated price per share and such other factors as any such person may deem relevant at the time of purchase. The price per share paid in any such transaction may be different than the amount per share a public stockholder would receive if it elected to redeem its shares in connection with our initial business combination. Our sponsor, officers, directors, advisors or any of their respective affiliates will purchase shares only if such purchases comply with Regulation M under the Exchange Act and the other federal securities laws</w:t>
      </w:r>
    </w:p>
    <w:p>
      <w:pPr>
        <w:spacing w:after="0" w:line="106"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Any purchases by our sponsor, officers, directors and/or any of their respective affiliates who are affiliated purchasers under Rule 10b-18 under the Exchange Act will only be made to the extent such purchases are able to be made in compliance with Rule 10b-18, which is a safe harbor from liability for manipulation under Section 9(a)(2) and Rule 10b- 5 of the Exchange Act. Rule 10b-18 has certain technical requirements that must be complied with in order for the safe harbor to be available to the purchaser. Our sponsor, officers, directors, advisors and/or any of their respective affiliates will not make purchases of common stock if the purchases would violate Section 9(a)(2) or Rule 10b-5 of the Exchange Act. Any such purchases will be reported pursuant to Section 13 and Section 16 of the Exchange Act to the extent such purchases are subject to such reporting requirements.</w:t>
      </w:r>
    </w:p>
    <w:p>
      <w:pPr>
        <w:spacing w:after="0" w:line="3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Redemption/Tender Rights</w:t>
      </w:r>
    </w:p>
    <w:p>
      <w:pPr>
        <w:spacing w:after="0" w:line="144"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7"/>
          <w:szCs w:val="17"/>
          <w:color w:val="auto"/>
        </w:rPr>
        <w:t>At any meeting called to approve an initial business combination, public stockholders may seek to redeem their public shares, regardless of whether they vote for or against the proposed business combination, into their pro rata share of the aggregate amount then on deposit in the trust account, less any taxes then due but not yet paid. Notwithstanding the foregoing, our initial stockholders have agreed, pursuant to written letter agreements with us, not to redeem any public shares held by them into their</w:t>
      </w:r>
    </w:p>
    <w:p>
      <w:pPr>
        <w:spacing w:after="0" w:line="2" w:lineRule="exact"/>
        <w:rPr>
          <w:sz w:val="20"/>
          <w:szCs w:val="20"/>
          <w:color w:val="auto"/>
        </w:rPr>
      </w:pPr>
    </w:p>
    <w:p>
      <w:pPr>
        <w:ind w:left="1260" w:right="519"/>
        <w:spacing w:after="0" w:line="239" w:lineRule="auto"/>
        <w:rPr>
          <w:sz w:val="20"/>
          <w:szCs w:val="20"/>
          <w:color w:val="auto"/>
        </w:rPr>
      </w:pPr>
      <w:r>
        <w:rPr>
          <w:rFonts w:ascii="Arial" w:cs="Arial" w:eastAsia="Arial" w:hAnsi="Arial"/>
          <w:sz w:val="18"/>
          <w:szCs w:val="18"/>
          <w:color w:val="auto"/>
        </w:rPr>
        <w:t>pro rata share of the aggregate amount then on deposit in the trust account. If we hold a meeting to approve an initial business combination, a holder will always have the ability to vote against a proposed business combination and not seek redemption of his shares.</w:t>
      </w:r>
    </w:p>
    <w:p>
      <w:pPr>
        <w:spacing w:after="0" w:line="122"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Alternatively, if we engage in a tender offer, each public stockholder will be provided the opportunity to sell his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spacing w:after="0" w:line="122" w:lineRule="exact"/>
        <w:rPr>
          <w:sz w:val="20"/>
          <w:szCs w:val="20"/>
          <w:color w:val="auto"/>
        </w:rPr>
      </w:pPr>
    </w:p>
    <w:p>
      <w:pPr>
        <w:ind w:left="1260" w:right="759" w:firstLine="360"/>
        <w:spacing w:after="0" w:line="248" w:lineRule="auto"/>
        <w:rPr>
          <w:sz w:val="20"/>
          <w:szCs w:val="20"/>
          <w:color w:val="auto"/>
        </w:rPr>
      </w:pPr>
      <w:r>
        <w:rPr>
          <w:rFonts w:ascii="Arial" w:cs="Arial" w:eastAsia="Arial" w:hAnsi="Arial"/>
          <w:sz w:val="18"/>
          <w:szCs w:val="18"/>
          <w:color w:val="auto"/>
        </w:rPr>
        <w:t>Our initial stockholders, officers and directors will not have redemption rights with respect to any shares of common stock owned by them, directly or indirectly, whether acquired prior to this offering or purchased by them in this offering or in the aftermarket.</w:t>
      </w:r>
    </w:p>
    <w:p>
      <w:pPr>
        <w:spacing w:after="0" w:line="101"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shares if he wishes to seek to exercise his redemption rights. Under Delaware law and our bylaws, we are required to provide at least 10 days’ advance notice of any stockholder meeting, which would be the minimum amount of time a stockholder would have to determine whether to exercise redemption rights. As a result, if we require public stockholders who wish to redeem their shares of common stock into the right to receive a pro rata portion of the funds in the trust account to comply with the foregoing delivery requirements, holders may not have sufficient time to receive the notice and deliver their shares for redemption. Accordingly, investors may not be able to exercise their redemption rights and may be forced to retain our securities when they otherwise would not want to. The redemption rights will include the requirement that a beneficial holder must identify itself in order to validly redeem its shares.</w:t>
      </w:r>
    </w:p>
    <w:p>
      <w:pPr>
        <w:spacing w:after="0" w:line="131" w:lineRule="exact"/>
        <w:rPr>
          <w:sz w:val="20"/>
          <w:szCs w:val="20"/>
          <w:color w:val="auto"/>
        </w:rPr>
      </w:pPr>
    </w:p>
    <w:p>
      <w:pPr>
        <w:ind w:left="1260" w:right="559" w:firstLine="360"/>
        <w:spacing w:after="0" w:line="253" w:lineRule="auto"/>
        <w:rPr>
          <w:sz w:val="20"/>
          <w:szCs w:val="20"/>
          <w:color w:val="auto"/>
        </w:rPr>
      </w:pPr>
      <w:r>
        <w:rPr>
          <w:rFonts w:ascii="Arial" w:cs="Arial" w:eastAsia="Arial" w:hAnsi="Arial"/>
          <w:sz w:val="18"/>
          <w:szCs w:val="18"/>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redeeming holder. However, this fee would be incurred regardless of whether or not we require holders seeking to exercise redemption rights. The need to deliver shares is a requirement of exercising redemption rights regardless of the timing of when such delivery must be effectuated. However, in the event we require stockholders seeking to exercise redemption rights to deliver their shares prior to the consummation of the proposed business combination and the proposed business combination is not consummated, this may result in an increased cost to stockholders.</w:t>
      </w:r>
    </w:p>
    <w:p>
      <w:pPr>
        <w:spacing w:after="0" w:line="129"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Any request to redeem or tender such shares once made, may be withdrawn at any time up to the vote on the proposed business combination or expiration of the tender offer. Furthermore, if a holder of a public share delivered his certificate in connection with an election of their redemption or tender and subsequently decides prior to the vote on the business combination or the expiration of the tender offer not to elect to exercise such rights, he may simply request that the transfer agent return the certificate (physically or electronically).</w:t>
      </w:r>
    </w:p>
    <w:p>
      <w:pPr>
        <w:spacing w:after="0" w:line="111" w:lineRule="exact"/>
        <w:rPr>
          <w:sz w:val="20"/>
          <w:szCs w:val="20"/>
          <w:color w:val="auto"/>
        </w:rPr>
      </w:pPr>
    </w:p>
    <w:p>
      <w:pPr>
        <w:ind w:left="1260" w:right="479" w:firstLine="360"/>
        <w:spacing w:after="0" w:line="308" w:lineRule="auto"/>
        <w:rPr>
          <w:sz w:val="20"/>
          <w:szCs w:val="20"/>
          <w:color w:val="auto"/>
        </w:rPr>
      </w:pPr>
      <w:r>
        <w:rPr>
          <w:rFonts w:ascii="Arial" w:cs="Arial" w:eastAsia="Arial" w:hAnsi="Arial"/>
          <w:sz w:val="17"/>
          <w:szCs w:val="17"/>
          <w:color w:val="auto"/>
        </w:rPr>
        <w:t>Our amended and restated certificate of incorporation will provide that we may only redeem our public shares so long as our net tangible assets are at least $5,000,001 either immediately prior to or upon</w:t>
      </w: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2" w:lineRule="auto"/>
        <w:rPr>
          <w:sz w:val="20"/>
          <w:szCs w:val="20"/>
          <w:color w:val="auto"/>
        </w:rPr>
      </w:pPr>
      <w:r>
        <w:rPr>
          <w:rFonts w:ascii="Arial" w:cs="Arial" w:eastAsia="Arial" w:hAnsi="Arial"/>
          <w:sz w:val="17"/>
          <w:szCs w:val="17"/>
          <w:color w:val="auto"/>
        </w:rPr>
        <w:t>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For example, the proposed initial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initial business combination. In the event the aggregate cash consideration we would be required to pay for all shares of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shares of common stock submitted for redemption will be returned to the holders thereof.</w:t>
      </w:r>
    </w:p>
    <w:p>
      <w:pPr>
        <w:spacing w:after="0" w:line="105"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7"/>
          <w:szCs w:val="17"/>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which we refer to as the “Excess Shares.” Such restriction shall also be applicable to our affiliates. We believe this restriction will discourage stockholders from accumulating large blocks of shares, and subsequent attempts by such holders to use their ability to exercise their redemption rights against a proposed initial business combination as a means to force us or our management to purchase their shares at a significant premium to the then -current market price or on other undesirable terms. Absent this provision, a public stockholder holding more than an aggregate of 15% of the shares sold in this offering could threaten to exercise its redemption rights if such holder’s shares are not purchased by us or our management at a premium to the then- current market price or on other undesirable terms. By limiting our stockholders’ ability to redeem no more than 15% of the shares sold in this offering without our prior consent, we believe we will limit the ability of a small group of stockholders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26"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If the initial business combination is not approved or completed for any reason, then our public stockholders who elected to exercise their redemption or tender rights would not be entitled to redeem their shares for the applicable pro rata share of the trust account. In such case, we will promptly return any shares delivered by public holders.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Liquidation of Trust Account if No Business Combination</w:t>
      </w:r>
    </w:p>
    <w:p>
      <w:pPr>
        <w:spacing w:after="0" w:line="158"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 xml:space="preserve">If we do not complete a business combination within 12 months from the closing of this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However, if we anticipate that we may not be able to consummate our initial business combination within 12 months, our insiders or their affiliates may, but are not obligated to, extend the period of time to consummate a business combination up to two times by an additional three months each time (for a total of up to 18 months to complete a business combination); </w:t>
      </w:r>
      <w:r>
        <w:rPr>
          <w:rFonts w:ascii="Arial" w:cs="Arial" w:eastAsia="Arial" w:hAnsi="Arial"/>
          <w:sz w:val="18"/>
          <w:szCs w:val="18"/>
          <w:i w:val="1"/>
          <w:iCs w:val="1"/>
          <w:color w:val="auto"/>
        </w:rPr>
        <w:t>provided that</w:t>
      </w:r>
      <w:r>
        <w:rPr>
          <w:rFonts w:ascii="Arial" w:cs="Arial" w:eastAsia="Arial" w:hAnsi="Arial"/>
          <w:sz w:val="18"/>
          <w:szCs w:val="18"/>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Public stockholders will not be offered the opportunity to vote on or</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7" w:lineRule="auto"/>
        <w:rPr>
          <w:sz w:val="20"/>
          <w:szCs w:val="20"/>
          <w:color w:val="auto"/>
        </w:rPr>
      </w:pPr>
      <w:r>
        <w:rPr>
          <w:rFonts w:ascii="Arial" w:cs="Arial" w:eastAsia="Arial" w:hAnsi="Arial"/>
          <w:sz w:val="17"/>
          <w:szCs w:val="17"/>
          <w:color w:val="auto"/>
        </w:rPr>
        <w:t>redeem their shares in connection with any such extension.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There will be no redemption rights or liquidating distributions with respect to our warrants, which will expire worthless if we fail to complete our initial business combination within the allotted time period.</w:t>
      </w:r>
    </w:p>
    <w:p>
      <w:pPr>
        <w:spacing w:after="0" w:line="106"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Our sponsor,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12 months (or up to</w:t>
      </w:r>
    </w:p>
    <w:p>
      <w:pPr>
        <w:ind w:left="1260" w:right="499"/>
        <w:spacing w:after="0" w:line="253" w:lineRule="auto"/>
        <w:rPr>
          <w:sz w:val="20"/>
          <w:szCs w:val="20"/>
          <w:color w:val="auto"/>
        </w:rPr>
      </w:pPr>
      <w:r>
        <w:rPr>
          <w:rFonts w:ascii="Arial" w:cs="Arial" w:eastAsia="Arial" w:hAnsi="Arial"/>
          <w:sz w:val="18"/>
          <w:szCs w:val="18"/>
          <w:color w:val="auto"/>
        </w:rPr>
        <w:t>18 months, as applicable) from the closing of this offering. However, if our sponsor, officers or directors acquire public shares in or after this offering, they will be entitled to liquidating distributions from the trust account with respect to such public shares if we fail to complete our initial business combination within the allotted time period.</w:t>
      </w:r>
    </w:p>
    <w:p>
      <w:pPr>
        <w:spacing w:after="0" w:line="125"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12 months (or up to 18 months, as applicable) from the closing of this offering or (ii)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If this optional redemption right is exercised with respect to an excessive number of public shares such that we cannot satisfy the net tangible asset requirement (described above), we would not proceed with the amendment or the related redemption of our public shares at such time.</w:t>
      </w:r>
    </w:p>
    <w:p>
      <w:pPr>
        <w:spacing w:after="0" w:line="112" w:lineRule="exact"/>
        <w:rPr>
          <w:sz w:val="20"/>
          <w:szCs w:val="20"/>
          <w:color w:val="auto"/>
        </w:rPr>
      </w:pPr>
    </w:p>
    <w:p>
      <w:pPr>
        <w:ind w:left="1260" w:right="579" w:firstLine="360"/>
        <w:spacing w:after="0" w:line="253" w:lineRule="auto"/>
        <w:rPr>
          <w:sz w:val="20"/>
          <w:szCs w:val="20"/>
          <w:color w:val="auto"/>
        </w:rPr>
      </w:pPr>
      <w:r>
        <w:rPr>
          <w:rFonts w:ascii="Arial" w:cs="Arial" w:eastAsia="Arial" w:hAnsi="Arial"/>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2" w:name="page103"/>
    <w:bookmarkEnd w:id="10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1" w:lineRule="auto"/>
        <w:rPr>
          <w:sz w:val="20"/>
          <w:szCs w:val="20"/>
          <w:color w:val="auto"/>
        </w:rPr>
      </w:pPr>
      <w:r>
        <w:rPr>
          <w:rFonts w:ascii="Arial" w:cs="Arial" w:eastAsia="Arial" w:hAnsi="Arial"/>
          <w:sz w:val="18"/>
          <w:szCs w:val="18"/>
          <w:color w:val="auto"/>
        </w:rPr>
        <w:t>stockholder’s pro rata share of the claim or the amount distributed to the stockholder, and any liability of the stockholder would be barred after the third anniversary of the dissolution.</w:t>
      </w:r>
    </w:p>
    <w:p>
      <w:pPr>
        <w:spacing w:after="0" w:line="90"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12th month (or up to the 18th month, as applicable) from the closing of this offering, but not more than five business days thereafter,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18"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23"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w:t>
      </w:r>
    </w:p>
    <w:p>
      <w:pPr>
        <w:spacing w:after="0" w:line="107"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 party consultant who cannot sign such an agreement due to regulatory restrictions, such as our independent public registered accounting firm,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$10.15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$10.15 due to claims or potential claims of creditors. We will distribute to all of our public</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3" w:name="page104"/>
    <w:bookmarkEnd w:id="10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99"/>
        <w:spacing w:after="0" w:line="248" w:lineRule="auto"/>
        <w:rPr>
          <w:sz w:val="20"/>
          <w:szCs w:val="20"/>
          <w:color w:val="auto"/>
        </w:rPr>
      </w:pPr>
      <w:r>
        <w:rPr>
          <w:rFonts w:ascii="Arial" w:cs="Arial" w:eastAsia="Arial" w:hAnsi="Arial"/>
          <w:sz w:val="18"/>
          <w:szCs w:val="18"/>
          <w:color w:val="auto"/>
        </w:rPr>
        <w:t>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101"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5 business days to effectuate the redemption of our public shares. Our insiders have waived their rights to participate in any redemption with respect to their founder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16"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Our public stockholders shall be entitled to receive funds from the trust account only in the event of our failure to complete our initial business combination in the required time period or if the stockholders seek to have us redeem their respective shares of common stock upon a business combination which is actually completed by us. In no other circumstances shall a stockholder have any right or interest of any kind to or in the trust account.</w:t>
      </w:r>
    </w:p>
    <w:p>
      <w:pPr>
        <w:spacing w:after="0" w:line="12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redemption amount received by public stockholders may be less than $10.15.</w:t>
      </w:r>
    </w:p>
    <w:p>
      <w:pPr>
        <w:spacing w:after="0" w:line="93"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Our amended and restated certificate of incorporation will contain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Our insiders have agreed to waive any redemption rights with respect to any founder shares and any public shares they may hold in connection with any vote to amend our certificate of incorporation. Specifically, our certificate of incorporation provides, among other things, that:</w:t>
      </w:r>
    </w:p>
    <w:p>
      <w:pPr>
        <w:spacing w:after="0" w:line="75" w:lineRule="exact"/>
        <w:rPr>
          <w:sz w:val="20"/>
          <w:szCs w:val="20"/>
          <w:color w:val="auto"/>
        </w:rPr>
      </w:pPr>
    </w:p>
    <w:p>
      <w:pPr>
        <w:ind w:left="1800" w:right="459" w:hanging="180"/>
        <w:spacing w:after="0" w:line="275" w:lineRule="auto"/>
        <w:tabs>
          <w:tab w:leader="none" w:pos="1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prior to the consummation of our initial business combination, we shall either (1) seek stockholder approval of our initial business combination at a meeting called for such purpose at which public stockholders may seek to redeem their shares of common stock, regardless of whether they vote for or against the proposed business combination, into a portion of the aggregate amount then on deposit in the trust account, or (2) provide our stockholders with the opportunity to sell their shares</w:t>
      </w: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spacing w:after="0" w:line="263" w:lineRule="auto"/>
        <w:rPr>
          <w:sz w:val="20"/>
          <w:szCs w:val="20"/>
          <w:color w:val="auto"/>
        </w:rPr>
      </w:pPr>
      <w:r>
        <w:rPr>
          <w:rFonts w:ascii="Arial" w:cs="Arial" w:eastAsia="Arial" w:hAnsi="Arial"/>
          <w:sz w:val="18"/>
          <w:szCs w:val="18"/>
          <w:color w:val="auto"/>
        </w:rPr>
        <w:t>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76" w:lineRule="exact"/>
        <w:rPr>
          <w:sz w:val="20"/>
          <w:szCs w:val="20"/>
          <w:color w:val="auto"/>
        </w:rPr>
      </w:pPr>
    </w:p>
    <w:p>
      <w:pPr>
        <w:ind w:left="1800" w:right="659" w:hanging="180"/>
        <w:spacing w:after="0" w:line="259"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redemption rights in an amount that would cause our net tangible assets to be less than $5,000,001 and a majority of the outstanding shares of common stock voted are voted in favor of the business combination;</w:t>
      </w:r>
    </w:p>
    <w:p>
      <w:pPr>
        <w:spacing w:after="0" w:line="78" w:lineRule="exact"/>
        <w:rPr>
          <w:rFonts w:ascii="Arial" w:cs="Arial" w:eastAsia="Arial" w:hAnsi="Arial"/>
          <w:sz w:val="18"/>
          <w:szCs w:val="18"/>
          <w:color w:val="auto"/>
        </w:rPr>
      </w:pPr>
    </w:p>
    <w:p>
      <w:pPr>
        <w:ind w:left="1800" w:right="479" w:hanging="180"/>
        <w:spacing w:after="0" w:line="286" w:lineRule="auto"/>
        <w:tabs>
          <w:tab w:leader="none" w:pos="18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our initial business combination is not consummated within 12 months (or up to 18 months, as applicable) of the closing of this offering, then our existence will terminate and we will distribute all amounts in the trust account to all of our public holders of shares of common stock;</w:t>
      </w:r>
    </w:p>
    <w:p>
      <w:pPr>
        <w:spacing w:after="0" w:line="57" w:lineRule="exact"/>
        <w:rPr>
          <w:rFonts w:ascii="Arial" w:cs="Arial" w:eastAsia="Arial" w:hAnsi="Arial"/>
          <w:sz w:val="17"/>
          <w:szCs w:val="17"/>
          <w:color w:val="auto"/>
        </w:rPr>
      </w:pPr>
    </w:p>
    <w:p>
      <w:pPr>
        <w:ind w:left="1800" w:right="499" w:hanging="180"/>
        <w:spacing w:after="0" w:line="277"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the consummation of this offering, $101,500,000, or $116,725,000 if the over-allotment option is exercised in full, shall be placed into the trust account;</w:t>
      </w:r>
    </w:p>
    <w:p>
      <w:pPr>
        <w:spacing w:after="0" w:line="75" w:lineRule="exact"/>
        <w:rPr>
          <w:rFonts w:ascii="Arial" w:cs="Arial" w:eastAsia="Arial" w:hAnsi="Arial"/>
          <w:sz w:val="18"/>
          <w:szCs w:val="18"/>
          <w:color w:val="auto"/>
        </w:rPr>
      </w:pPr>
    </w:p>
    <w:p>
      <w:pPr>
        <w:ind w:left="1800" w:right="899" w:hanging="180"/>
        <w:spacing w:after="0" w:line="263"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75"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Revisions to Agreements with Insiders</w:t>
      </w:r>
    </w:p>
    <w:p>
      <w:pPr>
        <w:spacing w:after="0" w:line="162"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Each of our insiders has entered into letter agreements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79" w:lineRule="exact"/>
        <w:rPr>
          <w:sz w:val="20"/>
          <w:szCs w:val="20"/>
          <w:color w:val="auto"/>
        </w:rPr>
      </w:pPr>
    </w:p>
    <w:p>
      <w:pPr>
        <w:ind w:left="1800" w:right="1039" w:hanging="180"/>
        <w:spacing w:after="0" w:line="263"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75" w:lineRule="exact"/>
        <w:rPr>
          <w:rFonts w:ascii="Arial" w:cs="Arial" w:eastAsia="Arial" w:hAnsi="Arial"/>
          <w:sz w:val="18"/>
          <w:szCs w:val="18"/>
          <w:color w:val="auto"/>
        </w:rPr>
      </w:pPr>
    </w:p>
    <w:p>
      <w:pPr>
        <w:ind w:left="1800" w:right="539" w:hanging="180"/>
        <w:spacing w:after="0" w:line="263"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75" w:lineRule="exact"/>
        <w:rPr>
          <w:rFonts w:ascii="Arial" w:cs="Arial" w:eastAsia="Arial" w:hAnsi="Arial"/>
          <w:sz w:val="18"/>
          <w:szCs w:val="18"/>
          <w:color w:val="auto"/>
        </w:rPr>
      </w:pPr>
    </w:p>
    <w:p>
      <w:pPr>
        <w:ind w:left="1800" w:right="439" w:hanging="180"/>
        <w:spacing w:after="0" w:line="259"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pacing w:after="0" w:line="78"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62"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obligation of our management team to not propose amendments to our organizational documents could be amended to allow them to propose such changes to our stockholders;</w:t>
      </w:r>
    </w:p>
    <w:p>
      <w:pPr>
        <w:spacing w:after="0" w:line="75" w:lineRule="exact"/>
        <w:rPr>
          <w:rFonts w:ascii="Arial" w:cs="Arial" w:eastAsia="Arial" w:hAnsi="Arial"/>
          <w:sz w:val="18"/>
          <w:szCs w:val="18"/>
          <w:color w:val="auto"/>
        </w:rPr>
      </w:pPr>
    </w:p>
    <w:p>
      <w:pPr>
        <w:ind w:left="1800" w:right="1379" w:hanging="180"/>
        <w:spacing w:after="0" w:line="308" w:lineRule="auto"/>
        <w:tabs>
          <w:tab w:leader="none" w:pos="1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obligation of insiders to not receive any compensation in connection with a business combination could be modified in order to allow them to receive such compensation;</w:t>
      </w:r>
    </w:p>
    <w:p>
      <w:pPr>
        <w:spacing w:after="0" w:line="38" w:lineRule="exact"/>
        <w:rPr>
          <w:rFonts w:ascii="Arial" w:cs="Arial" w:eastAsia="Arial" w:hAnsi="Arial"/>
          <w:sz w:val="17"/>
          <w:szCs w:val="17"/>
          <w:color w:val="auto"/>
        </w:rPr>
      </w:pPr>
    </w:p>
    <w:p>
      <w:pPr>
        <w:ind w:left="1800" w:right="459" w:hanging="180"/>
        <w:spacing w:after="0" w:line="277"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requirement to obtain a valuation for any target business affiliated with our insiders, in the event it was too expensive to do so.</w:t>
      </w:r>
    </w:p>
    <w:p>
      <w:pPr>
        <w:spacing w:after="0" w:line="89"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Except as specified above, stockholders would not be required to be given the opportunity to redeem their shares in connection with such changes. Such changes could result in:</w:t>
      </w:r>
    </w:p>
    <w:p>
      <w:pPr>
        <w:spacing w:after="0" w:line="62" w:lineRule="exact"/>
        <w:rPr>
          <w:sz w:val="20"/>
          <w:szCs w:val="20"/>
          <w:color w:val="auto"/>
        </w:rPr>
      </w:pPr>
    </w:p>
    <w:p>
      <w:pPr>
        <w:jc w:val="both"/>
        <w:ind w:left="1800" w:right="479" w:hanging="180"/>
        <w:spacing w:after="0" w:line="263"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5" w:name="page106"/>
    <w:bookmarkEnd w:id="10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159" w:hanging="180"/>
        <w:spacing w:after="0" w:line="277"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62"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117"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pacing w:after="0" w:line="103"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ind w:left="1260" w:right="539" w:firstLine="360"/>
        <w:spacing w:after="0" w:line="268" w:lineRule="auto"/>
        <w:rPr>
          <w:sz w:val="20"/>
          <w:szCs w:val="20"/>
          <w:color w:val="auto"/>
        </w:rPr>
      </w:pPr>
      <w:r>
        <w:rPr>
          <w:rFonts w:ascii="Arial" w:cs="Arial" w:eastAsia="Arial" w:hAnsi="Arial"/>
          <w:sz w:val="17"/>
          <w:szCs w:val="17"/>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at the time of the agreement to enter into the business combination, our obligation to pay cash in connection with our public stockholders who exercise their redemption rights and the number of our outstanding warrants and the future dilution they potentially represent, may not be viewed favorably by certain target businesses. Any of these factors may place us at a competitive disadvantage in successfully negotiating our initial business combination.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125" w:lineRule="exact"/>
        <w:rPr>
          <w:sz w:val="20"/>
          <w:szCs w:val="20"/>
          <w:color w:val="auto"/>
        </w:rPr>
      </w:pPr>
    </w:p>
    <w:p>
      <w:pPr>
        <w:jc w:val="both"/>
        <w:ind w:left="1260" w:right="559" w:firstLine="360"/>
        <w:spacing w:after="0" w:line="235" w:lineRule="auto"/>
        <w:rPr>
          <w:sz w:val="20"/>
          <w:szCs w:val="20"/>
          <w:color w:val="auto"/>
        </w:rPr>
      </w:pPr>
      <w:r>
        <w:rPr>
          <w:rFonts w:ascii="Arial" w:cs="Arial" w:eastAsia="Arial" w:hAnsi="Arial"/>
          <w:sz w:val="18"/>
          <w:szCs w:val="18"/>
          <w:color w:val="auto"/>
        </w:rPr>
        <w:t>We currently maintain our executive offices at 17 State Street, 21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Floor, New York, NY 10004. Our sponsor is making this space available to us for a fee of $10,000 per month. We consider our current office space adequate for our current operations.</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We currently have two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Financial Position</w:t>
      </w:r>
    </w:p>
    <w:p>
      <w:pPr>
        <w:spacing w:after="0" w:line="162" w:lineRule="exact"/>
        <w:rPr>
          <w:sz w:val="20"/>
          <w:szCs w:val="20"/>
          <w:color w:val="auto"/>
        </w:rPr>
      </w:pPr>
    </w:p>
    <w:p>
      <w:pPr>
        <w:ind w:left="1260" w:right="539" w:firstLine="360"/>
        <w:spacing w:after="0" w:line="271" w:lineRule="auto"/>
        <w:rPr>
          <w:sz w:val="20"/>
          <w:szCs w:val="20"/>
          <w:color w:val="auto"/>
        </w:rPr>
      </w:pPr>
      <w:r>
        <w:rPr>
          <w:rFonts w:ascii="Arial" w:cs="Arial" w:eastAsia="Arial" w:hAnsi="Arial"/>
          <w:sz w:val="17"/>
          <w:szCs w:val="17"/>
          <w:color w:val="auto"/>
        </w:rPr>
        <w:t>With funds available for an initial business combination initially in the amount of $97,997,000, after payment of the Marketing Fee of $3,500,000 (or $112,697,000 after payment of the Marketing Fee of up to $4,025,000 if the underwriters’ over-allotment option is exercised in full), before fees and expenses associated with our initial business combination, we offer a target business a variety of options such as creating a liquidity event for its owners, providing capital for the potential growth and expansion of its operations or strengthening its balance sheet by reducing its debt or leverage ratio. Because we are able to complete our initial business combination using our cash, debt or equity securities, or a combination of the foregoing, we have the flexibility to use the most efficient combination that will allow us to tailor the</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6" w:name="page107"/>
    <w:bookmarkEnd w:id="10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91" w:lineRule="auto"/>
        <w:rPr>
          <w:sz w:val="20"/>
          <w:szCs w:val="20"/>
          <w:color w:val="auto"/>
        </w:rPr>
      </w:pPr>
      <w:r>
        <w:rPr>
          <w:rFonts w:ascii="Arial" w:cs="Arial" w:eastAsia="Arial" w:hAnsi="Arial"/>
          <w:sz w:val="17"/>
          <w:szCs w:val="17"/>
          <w:color w:val="auto"/>
        </w:rPr>
        <w:t>consideration to be paid to the target business to fit its needs and desires. However, we have not taken any steps to secure third party financing and there can be no assurance it will be available to us.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148" w:lineRule="exact"/>
        <w:rPr>
          <w:sz w:val="20"/>
          <w:szCs w:val="20"/>
          <w:color w:val="auto"/>
        </w:rPr>
      </w:pPr>
    </w:p>
    <w:p>
      <w:pPr>
        <w:ind w:left="1260" w:right="539" w:firstLine="360"/>
        <w:spacing w:after="0" w:line="262" w:lineRule="auto"/>
        <w:rPr>
          <w:sz w:val="20"/>
          <w:szCs w:val="20"/>
          <w:color w:val="auto"/>
        </w:rPr>
      </w:pPr>
      <w:r>
        <w:rPr>
          <w:rFonts w:ascii="Arial" w:cs="Arial" w:eastAsia="Arial" w:hAnsi="Arial"/>
          <w:sz w:val="17"/>
          <w:szCs w:val="17"/>
          <w:color w:val="auto"/>
        </w:rPr>
        <w:t>We have registered the offer and sale of our units, shares of common stock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05"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any proxy solicitation sent to stockholders to assist them in assessing the target business. In all likelihood, the financial information included in the proxy solicitation materials will need to be prepared in accordance with U.S. GAAP or IFRS, depending on the circumstances, and the historical financial statements may be required to be audited in accordance with the standards of the PCAOB. The financial statements may also be required to be prepared in accordance with U.S. GAAP for the Form 8-K announcing the closing of an initial business combination, which would need to be filed within four business days thereafter. We cannot assure you that any particular target business identified by us as a potential acquisition candidate will have the necessary financial information. To the extent that this requirement cannot be met, we may not be able to acquire the proposed target business.</w:t>
      </w:r>
    </w:p>
    <w:p>
      <w:pPr>
        <w:spacing w:after="0" w:line="113"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We will be required to comply with the internal control requirements of the Sarbanes -Oxley Act beginning for the fiscal year ending December 31, 2022.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08"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We are an “emerging growth company,” as defined in Section 2(a) of the Securities Act,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28" w:lineRule="exact"/>
        <w:rPr>
          <w:sz w:val="20"/>
          <w:szCs w:val="20"/>
          <w:color w:val="auto"/>
        </w:rPr>
      </w:pPr>
    </w:p>
    <w:p>
      <w:pPr>
        <w:ind w:left="1260" w:right="639" w:firstLine="360"/>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09"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year’s second quarter, and (2) the date on which we have issued more than $1.0 billion in non-convertible debt securities during the prior three-year period. References herein to “emerging growth company” shall have the meaning associated with it in the JOBS Act.</w:t>
      </w:r>
    </w:p>
    <w:p>
      <w:pPr>
        <w:spacing w:after="0" w:line="114"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Additionally, we are a “smaller reporting company” as defined in Item 10(f)(1) of Regulation S-K promulgated by the Securities and Exchange Commission, or the SEC.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7" w:name="page108"/>
    <w:bookmarkEnd w:id="10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63" w:lineRule="auto"/>
        <w:rPr>
          <w:sz w:val="20"/>
          <w:szCs w:val="20"/>
          <w:color w:val="auto"/>
        </w:rPr>
      </w:pPr>
      <w:r>
        <w:rPr>
          <w:rFonts w:ascii="Arial" w:cs="Arial" w:eastAsia="Arial" w:hAnsi="Arial"/>
          <w:sz w:val="18"/>
          <w:szCs w:val="18"/>
          <w:color w:val="auto"/>
        </w:rPr>
        <w:t>as of the end of that year’s second fiscal quarter, or (2) our annual revenues exceeded $100 million during such completed fiscal year and the market value of our common stock held by non-affiliates exceeds $700 million as of the end of that year’s second fiscal quarter.</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of our officers or directors in their capacity as such, and we and our officers and directors have not been subject to any such proceeding in the 12 months preceding the date of this prospectus.</w:t>
      </w:r>
    </w:p>
    <w:p>
      <w:pPr>
        <w:spacing w:after="0" w:line="180" w:lineRule="exact"/>
        <w:rPr>
          <w:sz w:val="20"/>
          <w:szCs w:val="20"/>
          <w:color w:val="auto"/>
        </w:rPr>
      </w:pPr>
    </w:p>
    <w:p>
      <w:pPr>
        <w:ind w:left="1260" w:right="459"/>
        <w:spacing w:after="0" w:line="282"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9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The following table compares the redemptions and other permitted purchases of public shares that may take place in connection with the completion of our initial business combination and if we are unable to complete our initial business combination within 12 months (or up to 18 months, as applicable) from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Redemptions</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9"/>
              </w:rPr>
              <w:t>in Connection with our</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Initial Business</w:t>
            </w:r>
          </w:p>
        </w:tc>
        <w:tc>
          <w:tcPr>
            <w:tcW w:w="0" w:type="dxa"/>
            <w:vAlign w:val="bottom"/>
          </w:tcPr>
          <w:p>
            <w:pPr>
              <w:spacing w:after="0"/>
              <w:rPr>
                <w:sz w:val="1"/>
                <w:szCs w:val="1"/>
                <w:color w:val="auto"/>
              </w:rPr>
            </w:pPr>
          </w:p>
        </w:tc>
      </w:tr>
      <w:tr>
        <w:trPr>
          <w:trHeight w:val="186"/>
        </w:trPr>
        <w:tc>
          <w:tcPr>
            <w:tcW w:w="2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Combination</w:t>
            </w:r>
          </w:p>
        </w:tc>
        <w:tc>
          <w:tcPr>
            <w:tcW w:w="0" w:type="dxa"/>
            <w:vAlign w:val="bottom"/>
          </w:tcPr>
          <w:p>
            <w:pPr>
              <w:spacing w:after="0"/>
              <w:rPr>
                <w:sz w:val="1"/>
                <w:szCs w:val="1"/>
                <w:color w:val="auto"/>
              </w:rPr>
            </w:pPr>
          </w:p>
        </w:tc>
      </w:tr>
      <w:tr>
        <w:trPr>
          <w:trHeight w:val="26"/>
        </w:trPr>
        <w:tc>
          <w:tcPr>
            <w:tcW w:w="2100" w:type="dxa"/>
            <w:vAlign w:val="bottom"/>
            <w:vMerge w:val="restart"/>
          </w:tcPr>
          <w:p>
            <w:pPr>
              <w:spacing w:after="0"/>
              <w:rPr>
                <w:sz w:val="20"/>
                <w:szCs w:val="20"/>
                <w:color w:val="auto"/>
              </w:rPr>
            </w:pPr>
            <w:r>
              <w:rPr>
                <w:rFonts w:ascii="Arial" w:cs="Arial" w:eastAsia="Arial" w:hAnsi="Arial"/>
                <w:sz w:val="18"/>
                <w:szCs w:val="18"/>
                <w:b w:val="1"/>
                <w:bCs w:val="1"/>
                <w:color w:val="auto"/>
              </w:rPr>
              <w:t>Calculation of</w:t>
            </w: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100" w:type="dxa"/>
            <w:vAlign w:val="bottom"/>
            <w:vMerge w:val="continue"/>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6"/>
              </w:rPr>
              <w:t>Redemptions at the time</w:t>
            </w:r>
          </w:p>
        </w:tc>
        <w:tc>
          <w:tcPr>
            <w:tcW w:w="0" w:type="dxa"/>
            <w:vAlign w:val="bottom"/>
          </w:tcPr>
          <w:p>
            <w:pPr>
              <w:spacing w:after="0"/>
              <w:rPr>
                <w:sz w:val="1"/>
                <w:szCs w:val="1"/>
                <w:color w:val="auto"/>
              </w:rPr>
            </w:pPr>
          </w:p>
        </w:tc>
      </w:tr>
      <w:tr>
        <w:trPr>
          <w:trHeight w:val="220"/>
        </w:trPr>
        <w:tc>
          <w:tcPr>
            <w:tcW w:w="2100" w:type="dxa"/>
            <w:vAlign w:val="bottom"/>
          </w:tcPr>
          <w:p>
            <w:pPr>
              <w:spacing w:after="0"/>
              <w:rPr>
                <w:sz w:val="20"/>
                <w:szCs w:val="20"/>
                <w:color w:val="auto"/>
              </w:rPr>
            </w:pPr>
            <w:r>
              <w:rPr>
                <w:rFonts w:ascii="Arial" w:cs="Arial" w:eastAsia="Arial" w:hAnsi="Arial"/>
                <w:sz w:val="18"/>
                <w:szCs w:val="18"/>
                <w:b w:val="1"/>
                <w:bCs w:val="1"/>
                <w:color w:val="auto"/>
              </w:rPr>
              <w:t>redemption price</w:t>
            </w:r>
          </w:p>
        </w:tc>
        <w:tc>
          <w:tcPr>
            <w:tcW w:w="1900" w:type="dxa"/>
            <w:vAlign w:val="bottom"/>
          </w:tcPr>
          <w:p>
            <w:pPr>
              <w:spacing w:after="0"/>
              <w:rPr>
                <w:sz w:val="20"/>
                <w:szCs w:val="20"/>
                <w:color w:val="auto"/>
              </w:rPr>
            </w:pPr>
            <w:r>
              <w:rPr>
                <w:rFonts w:ascii="Arial" w:cs="Arial" w:eastAsia="Arial" w:hAnsi="Arial"/>
                <w:sz w:val="18"/>
                <w:szCs w:val="18"/>
                <w:color w:val="auto"/>
              </w:rPr>
              <w:t>of our initial business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combination may be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made pursuant to a</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tender offer or in</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connection with a</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stockholder vote. The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9"/>
              </w:rPr>
              <w:t>redemption price will be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the same whether we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conduct redemptions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pursuant to a tender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offer or in connection</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9"/>
              </w:rPr>
              <w:t>with a stockholder vote.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5"/>
              </w:rPr>
              <w:t>In either case, our public</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stockholders may</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redeem their public</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7"/>
              </w:rPr>
              <w:t>shares for cash equal to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the aggregate amount</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then on deposit in the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trust account as of two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business days prior to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5"/>
              </w:rPr>
              <w:t>the consummation of the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initial business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combination (which is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initially anticipated to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be $10.15 per public</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5"/>
              </w:rPr>
              <w:t>share), including interest</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4"/>
              </w:rPr>
              <w:t>earned on the funds held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 the trust account and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not previously released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to us to pay our taxes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divided by the number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of then outstanding</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7"/>
              </w:rPr>
              <w:t>public shares, subject to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the limitation that we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may only redeem our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7"/>
              </w:rPr>
              <w:t>public shares so long as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our net tangible assets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are at least $5,000,001</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either immediately prior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to or upon</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consummation of our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initial business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combination and any</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limitations (including</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but not limited to cash</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7"/>
              </w:rPr>
              <w:t>requirements) agreed to</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 connection with the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7"/>
              </w:rPr>
              <w:t>negotiation of terms of a</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5"/>
              </w:rPr>
              <w:t>proposed initial business</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combination.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Other Permitted</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Purchases of Public</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Shares by us or our</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12001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4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If we seek stockholder approval of our initial business combination, our sponsor, directors, officers, advisors or their affiliates may purchase shares in privately negotiated transactions or in the open market prior to or following completion of our initial business combination. There is no limit to the prices that our sponsor, directors, officers, advisors or their affiliates may pay in these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59"/>
        <w:spacing w:after="0"/>
        <w:rPr>
          <w:sz w:val="20"/>
          <w:szCs w:val="20"/>
          <w:color w:val="auto"/>
        </w:rPr>
      </w:pPr>
      <w:r>
        <w:rPr>
          <w:rFonts w:ascii="Arial" w:cs="Arial" w:eastAsia="Arial" w:hAnsi="Arial"/>
          <w:sz w:val="14"/>
          <w:szCs w:val="14"/>
          <w:b w:val="1"/>
          <w:bCs w:val="1"/>
          <w:color w:val="auto"/>
        </w:rPr>
        <w:t>Redemptions if we</w:t>
      </w:r>
    </w:p>
    <w:p>
      <w:pPr>
        <w:spacing w:after="0" w:line="17" w:lineRule="exact"/>
        <w:rPr>
          <w:sz w:val="20"/>
          <w:szCs w:val="20"/>
          <w:color w:val="auto"/>
        </w:rPr>
      </w:pPr>
    </w:p>
    <w:p>
      <w:pPr>
        <w:jc w:val="center"/>
        <w:ind w:right="459"/>
        <w:spacing w:after="0"/>
        <w:rPr>
          <w:sz w:val="20"/>
          <w:szCs w:val="20"/>
          <w:color w:val="auto"/>
        </w:rPr>
      </w:pPr>
      <w:r>
        <w:rPr>
          <w:rFonts w:ascii="Arial" w:cs="Arial" w:eastAsia="Arial" w:hAnsi="Arial"/>
          <w:sz w:val="14"/>
          <w:szCs w:val="14"/>
          <w:b w:val="1"/>
          <w:bCs w:val="1"/>
          <w:color w:val="auto"/>
        </w:rPr>
        <w:t>fail to Complete an</w:t>
      </w:r>
    </w:p>
    <w:p>
      <w:pPr>
        <w:spacing w:after="0" w:line="1" w:lineRule="exact"/>
        <w:rPr>
          <w:sz w:val="20"/>
          <w:szCs w:val="20"/>
          <w:color w:val="auto"/>
        </w:rPr>
      </w:pPr>
    </w:p>
    <w:p>
      <w:pPr>
        <w:jc w:val="center"/>
        <w:ind w:right="459"/>
        <w:spacing w:after="0"/>
        <w:rPr>
          <w:sz w:val="20"/>
          <w:szCs w:val="20"/>
          <w:color w:val="auto"/>
        </w:rPr>
      </w:pPr>
      <w:r>
        <w:rPr>
          <w:rFonts w:ascii="Arial" w:cs="Arial" w:eastAsia="Arial" w:hAnsi="Arial"/>
          <w:sz w:val="14"/>
          <w:szCs w:val="14"/>
          <w:b w:val="1"/>
          <w:bCs w:val="1"/>
          <w:color w:val="auto"/>
        </w:rPr>
        <w:t>Initial Business</w:t>
      </w:r>
    </w:p>
    <w:p>
      <w:pPr>
        <w:spacing w:after="0" w:line="1"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12001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41" w:lineRule="exact"/>
        <w:rPr>
          <w:sz w:val="20"/>
          <w:szCs w:val="20"/>
          <w:color w:val="auto"/>
        </w:rPr>
      </w:pPr>
    </w:p>
    <w:p>
      <w:pPr>
        <w:ind w:right="459"/>
        <w:spacing w:after="0" w:line="284" w:lineRule="auto"/>
        <w:rPr>
          <w:sz w:val="20"/>
          <w:szCs w:val="20"/>
          <w:color w:val="auto"/>
        </w:rPr>
      </w:pPr>
      <w:r>
        <w:rPr>
          <w:rFonts w:ascii="Arial" w:cs="Arial" w:eastAsia="Arial" w:hAnsi="Arial"/>
          <w:sz w:val="16"/>
          <w:szCs w:val="16"/>
          <w:color w:val="auto"/>
        </w:rPr>
        <w:t>If we are unable to complete our initial business combination within 12 months (or up to 18 months, as applicable) from the closing of this offering, we will redeem all public shares at a per-share price, payable in cash, equal to the aggregate amount, then on deposit in the trust account (which is initially anticipated to be $10.15 per public share) including interest earned on the funds held in the trust account and not previously released to us to pay our taxes (less up to $100,000 of interest to pay dissolution expenses), divided by the number of then outstanding public shares.</w:t>
      </w:r>
    </w:p>
    <w:p>
      <w:pPr>
        <w:spacing w:after="0" w:line="5352" w:lineRule="exact"/>
        <w:rPr>
          <w:sz w:val="20"/>
          <w:szCs w:val="20"/>
          <w:color w:val="auto"/>
        </w:rPr>
      </w:pPr>
    </w:p>
    <w:p>
      <w:pPr>
        <w:sectPr>
          <w:pgSz w:w="11900" w:h="16838" w:orient="portrait"/>
          <w:cols w:equalWidth="0" w:num="3">
            <w:col w:w="5260" w:space="220"/>
            <w:col w:w="1880" w:space="220"/>
            <w:col w:w="2299"/>
          </w:cols>
          <w:pgMar w:left="580" w:top="131" w:right="1440" w:bottom="1440" w:gutter="0" w:footer="0" w:header="0"/>
        </w:sectPr>
      </w:pPr>
    </w:p>
    <w:p>
      <w:pPr>
        <w:spacing w:after="0" w:line="20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9" w:name="page110"/>
    <w:bookmarkEnd w:id="10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Redemptions</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9"/>
              </w:rPr>
              <w:t>in Connection with our</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Initial Business</w:t>
            </w:r>
          </w:p>
        </w:tc>
        <w:tc>
          <w:tcPr>
            <w:tcW w:w="0" w:type="dxa"/>
            <w:vAlign w:val="bottom"/>
          </w:tcPr>
          <w:p>
            <w:pPr>
              <w:spacing w:after="0"/>
              <w:rPr>
                <w:sz w:val="1"/>
                <w:szCs w:val="1"/>
                <w:color w:val="auto"/>
              </w:rPr>
            </w:pPr>
          </w:p>
        </w:tc>
      </w:tr>
      <w:tr>
        <w:trPr>
          <w:trHeight w:val="186"/>
        </w:trPr>
        <w:tc>
          <w:tcPr>
            <w:tcW w:w="2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Combination</w:t>
            </w:r>
          </w:p>
        </w:tc>
        <w:tc>
          <w:tcPr>
            <w:tcW w:w="0" w:type="dxa"/>
            <w:vAlign w:val="bottom"/>
          </w:tcPr>
          <w:p>
            <w:pPr>
              <w:spacing w:after="0"/>
              <w:rPr>
                <w:sz w:val="1"/>
                <w:szCs w:val="1"/>
                <w:color w:val="auto"/>
              </w:rPr>
            </w:pPr>
          </w:p>
        </w:tc>
      </w:tr>
      <w:tr>
        <w:trPr>
          <w:trHeight w:val="26"/>
        </w:trPr>
        <w:tc>
          <w:tcPr>
            <w:tcW w:w="2100" w:type="dxa"/>
            <w:vAlign w:val="bottom"/>
            <w:vMerge w:val="restart"/>
          </w:tcPr>
          <w:p>
            <w:pPr>
              <w:spacing w:after="0"/>
              <w:rPr>
                <w:sz w:val="20"/>
                <w:szCs w:val="20"/>
                <w:color w:val="auto"/>
              </w:rPr>
            </w:pPr>
            <w:r>
              <w:rPr>
                <w:rFonts w:ascii="Arial" w:cs="Arial" w:eastAsia="Arial" w:hAnsi="Arial"/>
                <w:sz w:val="18"/>
                <w:szCs w:val="18"/>
                <w:b w:val="1"/>
                <w:bCs w:val="1"/>
                <w:color w:val="auto"/>
              </w:rPr>
              <w:t>Impact to remaining</w:t>
            </w: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100" w:type="dxa"/>
            <w:vAlign w:val="bottom"/>
            <w:vMerge w:val="continue"/>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The redemptions in</w:t>
            </w:r>
          </w:p>
        </w:tc>
        <w:tc>
          <w:tcPr>
            <w:tcW w:w="0" w:type="dxa"/>
            <w:vAlign w:val="bottom"/>
          </w:tcPr>
          <w:p>
            <w:pPr>
              <w:spacing w:after="0"/>
              <w:rPr>
                <w:sz w:val="1"/>
                <w:szCs w:val="1"/>
                <w:color w:val="auto"/>
              </w:rPr>
            </w:pPr>
          </w:p>
        </w:tc>
      </w:tr>
      <w:tr>
        <w:trPr>
          <w:trHeight w:val="220"/>
        </w:trPr>
        <w:tc>
          <w:tcPr>
            <w:tcW w:w="2100" w:type="dxa"/>
            <w:vAlign w:val="bottom"/>
          </w:tcPr>
          <w:p>
            <w:pPr>
              <w:spacing w:after="0"/>
              <w:rPr>
                <w:sz w:val="20"/>
                <w:szCs w:val="20"/>
                <w:color w:val="auto"/>
              </w:rPr>
            </w:pPr>
            <w:r>
              <w:rPr>
                <w:rFonts w:ascii="Arial" w:cs="Arial" w:eastAsia="Arial" w:hAnsi="Arial"/>
                <w:sz w:val="18"/>
                <w:szCs w:val="18"/>
                <w:b w:val="1"/>
                <w:bCs w:val="1"/>
                <w:color w:val="auto"/>
              </w:rPr>
              <w:t>stockholders</w:t>
            </w:r>
          </w:p>
        </w:tc>
        <w:tc>
          <w:tcPr>
            <w:tcW w:w="1900" w:type="dxa"/>
            <w:vAlign w:val="bottom"/>
          </w:tcPr>
          <w:p>
            <w:pPr>
              <w:spacing w:after="0"/>
              <w:rPr>
                <w:sz w:val="20"/>
                <w:szCs w:val="20"/>
                <w:color w:val="auto"/>
              </w:rPr>
            </w:pPr>
            <w:r>
              <w:rPr>
                <w:rFonts w:ascii="Arial" w:cs="Arial" w:eastAsia="Arial" w:hAnsi="Arial"/>
                <w:sz w:val="18"/>
                <w:szCs w:val="18"/>
                <w:color w:val="auto"/>
              </w:rPr>
              <w:t>connection with our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initial business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combination will reduce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4"/>
              </w:rPr>
              <w:t>the book value per share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for our remaining</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stockholders, who will</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bear the burden of the</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Marketing Fee, taxes</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payable.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Other Permitted</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Purchases of Public</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Shares by us or our</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12001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4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the permitted purchases described above are made there would be no impact to our remaining stockholders because the purchase price would not be paid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39"/>
        <w:spacing w:after="0"/>
        <w:rPr>
          <w:sz w:val="20"/>
          <w:szCs w:val="20"/>
          <w:color w:val="auto"/>
        </w:rPr>
      </w:pPr>
      <w:r>
        <w:rPr>
          <w:rFonts w:ascii="Arial" w:cs="Arial" w:eastAsia="Arial" w:hAnsi="Arial"/>
          <w:sz w:val="14"/>
          <w:szCs w:val="14"/>
          <w:b w:val="1"/>
          <w:bCs w:val="1"/>
          <w:color w:val="auto"/>
        </w:rPr>
        <w:t>Redemptions if we</w:t>
      </w:r>
    </w:p>
    <w:p>
      <w:pPr>
        <w:spacing w:after="0" w:line="17" w:lineRule="exact"/>
        <w:rPr>
          <w:sz w:val="20"/>
          <w:szCs w:val="20"/>
          <w:color w:val="auto"/>
        </w:rPr>
      </w:pPr>
    </w:p>
    <w:p>
      <w:pPr>
        <w:jc w:val="center"/>
        <w:ind w:right="439"/>
        <w:spacing w:after="0"/>
        <w:rPr>
          <w:sz w:val="20"/>
          <w:szCs w:val="20"/>
          <w:color w:val="auto"/>
        </w:rPr>
      </w:pPr>
      <w:r>
        <w:rPr>
          <w:rFonts w:ascii="Arial" w:cs="Arial" w:eastAsia="Arial" w:hAnsi="Arial"/>
          <w:sz w:val="14"/>
          <w:szCs w:val="14"/>
          <w:b w:val="1"/>
          <w:bCs w:val="1"/>
          <w:color w:val="auto"/>
        </w:rPr>
        <w:t>fail to Complete an</w:t>
      </w:r>
    </w:p>
    <w:p>
      <w:pPr>
        <w:spacing w:after="0" w:line="1" w:lineRule="exact"/>
        <w:rPr>
          <w:sz w:val="20"/>
          <w:szCs w:val="20"/>
          <w:color w:val="auto"/>
        </w:rPr>
      </w:pPr>
    </w:p>
    <w:p>
      <w:pPr>
        <w:jc w:val="center"/>
        <w:ind w:right="439"/>
        <w:spacing w:after="0"/>
        <w:rPr>
          <w:sz w:val="20"/>
          <w:szCs w:val="20"/>
          <w:color w:val="auto"/>
        </w:rPr>
      </w:pPr>
      <w:r>
        <w:rPr>
          <w:rFonts w:ascii="Arial" w:cs="Arial" w:eastAsia="Arial" w:hAnsi="Arial"/>
          <w:sz w:val="14"/>
          <w:szCs w:val="14"/>
          <w:b w:val="1"/>
          <w:bCs w:val="1"/>
          <w:color w:val="auto"/>
        </w:rPr>
        <w:t>Initial Business</w:t>
      </w:r>
    </w:p>
    <w:p>
      <w:pPr>
        <w:spacing w:after="0" w:line="1"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12001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41" w:lineRule="exact"/>
        <w:rPr>
          <w:sz w:val="20"/>
          <w:szCs w:val="20"/>
          <w:color w:val="auto"/>
        </w:rPr>
      </w:pPr>
    </w:p>
    <w:p>
      <w:pPr>
        <w:ind w:right="439"/>
        <w:spacing w:after="0" w:line="269" w:lineRule="auto"/>
        <w:rPr>
          <w:sz w:val="20"/>
          <w:szCs w:val="20"/>
          <w:color w:val="auto"/>
        </w:rPr>
      </w:pPr>
      <w:r>
        <w:rPr>
          <w:rFonts w:ascii="Arial" w:cs="Arial" w:eastAsia="Arial" w:hAnsi="Arial"/>
          <w:sz w:val="17"/>
          <w:szCs w:val="17"/>
          <w:color w:val="auto"/>
        </w:rPr>
        <w:t>The redemption of our public shares if we fail to complete our initial business combination will reduce the book value per share for the shares held by our initial stockholders, who will be our only remaining stockholders after such redemptions.</w:t>
      </w:r>
    </w:p>
    <w:p>
      <w:pPr>
        <w:spacing w:after="0" w:line="200" w:lineRule="exact"/>
        <w:rPr>
          <w:sz w:val="20"/>
          <w:szCs w:val="20"/>
          <w:color w:val="auto"/>
        </w:rPr>
      </w:pPr>
    </w:p>
    <w:p>
      <w:pPr>
        <w:sectPr>
          <w:pgSz w:w="11900" w:h="16838" w:orient="portrait"/>
          <w:cols w:equalWidth="0" w:num="3">
            <w:col w:w="5260" w:space="220"/>
            <w:col w:w="1860" w:space="240"/>
            <w:col w:w="2299"/>
          </w:cols>
          <w:pgMar w:left="580" w:top="131" w:right="1440" w:bottom="1440" w:gutter="0" w:footer="0" w:header="0"/>
        </w:sectPr>
      </w:pP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be listed on a national securities exchange, we will have net tangible assets in excess of $5,000,001 either immediately prior to or upon the successful consummation of this offering and will file a Current Report on Form 8-K, including an audited balance sheet demonstrating this fact.</w:t>
      </w:r>
    </w:p>
    <w:p>
      <w:pPr>
        <w:sectPr>
          <w:pgSz w:w="11900" w:h="16838" w:orient="portrait"/>
          <w:cols w:equalWidth="0" w:num="1">
            <w:col w:w="9879"/>
          </w:cols>
          <w:pgMar w:left="580" w:top="131" w:right="1440" w:bottom="1440" w:gutter="0" w:footer="0" w:header="0"/>
          <w:type w:val="continuous"/>
        </w:sectPr>
      </w:pPr>
    </w:p>
    <w:p>
      <w:pPr>
        <w:spacing w:after="0" w:line="14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800" w:type="dxa"/>
            <w:vAlign w:val="bottom"/>
          </w:tcPr>
          <w:p>
            <w:pPr>
              <w:spacing w:after="0"/>
              <w:rPr>
                <w:sz w:val="16"/>
                <w:szCs w:val="16"/>
                <w:color w:val="auto"/>
              </w:rPr>
            </w:pPr>
          </w:p>
        </w:tc>
        <w:tc>
          <w:tcPr>
            <w:tcW w:w="2600" w:type="dxa"/>
            <w:vAlign w:val="bottom"/>
          </w:tcPr>
          <w:p>
            <w:pPr>
              <w:ind w:left="660"/>
              <w:spacing w:after="0"/>
              <w:rPr>
                <w:sz w:val="20"/>
                <w:szCs w:val="20"/>
                <w:color w:val="auto"/>
              </w:rPr>
            </w:pPr>
            <w:r>
              <w:rPr>
                <w:rFonts w:ascii="Arial" w:cs="Arial" w:eastAsia="Arial" w:hAnsi="Arial"/>
                <w:sz w:val="14"/>
                <w:szCs w:val="14"/>
                <w:b w:val="1"/>
                <w:bCs w:val="1"/>
                <w:color w:val="auto"/>
              </w:rPr>
              <w:t>Terms of the Offering</w:t>
            </w:r>
          </w:p>
        </w:tc>
        <w:tc>
          <w:tcPr>
            <w:tcW w:w="0" w:type="dxa"/>
            <w:vAlign w:val="bottom"/>
          </w:tcPr>
          <w:p>
            <w:pPr>
              <w:spacing w:after="0"/>
              <w:rPr>
                <w:sz w:val="1"/>
                <w:szCs w:val="1"/>
                <w:color w:val="auto"/>
              </w:rPr>
            </w:pPr>
          </w:p>
        </w:tc>
      </w:tr>
      <w:tr>
        <w:trPr>
          <w:trHeight w:val="25"/>
        </w:trPr>
        <w:tc>
          <w:tcPr>
            <w:tcW w:w="2800" w:type="dxa"/>
            <w:vAlign w:val="bottom"/>
            <w:vMerge w:val="restart"/>
          </w:tcPr>
          <w:p>
            <w:pPr>
              <w:spacing w:after="0"/>
              <w:rPr>
                <w:sz w:val="20"/>
                <w:szCs w:val="20"/>
                <w:color w:val="auto"/>
              </w:rPr>
            </w:pPr>
            <w:r>
              <w:rPr>
                <w:rFonts w:ascii="Arial" w:cs="Arial" w:eastAsia="Arial" w:hAnsi="Arial"/>
                <w:sz w:val="18"/>
                <w:szCs w:val="18"/>
                <w:b w:val="1"/>
                <w:bCs w:val="1"/>
                <w:color w:val="auto"/>
              </w:rPr>
              <w:t>Escrow of offering proceeds</w:t>
            </w: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800" w:type="dxa"/>
            <w:vAlign w:val="bottom"/>
            <w:vMerge w:val="continue"/>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$101,500,000 of the net offering</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9"/>
              </w:rPr>
              <w:t>proceeds and proceeds from the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sale of the private warrants will</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9"/>
              </w:rPr>
              <w:t>be deposited into a trust account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 the United States, maintained</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by Continental Stock Transfer &amp;</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5"/>
              </w:rPr>
              <w:t>Trust Company, acting as trustee.</w:t>
            </w:r>
          </w:p>
        </w:tc>
        <w:tc>
          <w:tcPr>
            <w:tcW w:w="0" w:type="dxa"/>
            <w:vAlign w:val="bottom"/>
          </w:tcPr>
          <w:p>
            <w:pPr>
              <w:spacing w:after="0"/>
              <w:rPr>
                <w:sz w:val="1"/>
                <w:szCs w:val="1"/>
                <w:color w:val="auto"/>
              </w:rPr>
            </w:pPr>
          </w:p>
        </w:tc>
      </w:tr>
      <w:tr>
        <w:trPr>
          <w:trHeight w:val="890"/>
        </w:trPr>
        <w:tc>
          <w:tcPr>
            <w:tcW w:w="2800" w:type="dxa"/>
            <w:vAlign w:val="bottom"/>
          </w:tcPr>
          <w:p>
            <w:pPr>
              <w:spacing w:after="0"/>
              <w:rPr>
                <w:sz w:val="20"/>
                <w:szCs w:val="20"/>
                <w:color w:val="auto"/>
              </w:rPr>
            </w:pPr>
            <w:r>
              <w:rPr>
                <w:rFonts w:ascii="Arial" w:cs="Arial" w:eastAsia="Arial" w:hAnsi="Arial"/>
                <w:sz w:val="18"/>
                <w:szCs w:val="18"/>
                <w:b w:val="1"/>
                <w:bCs w:val="1"/>
                <w:color w:val="auto"/>
              </w:rPr>
              <w:t>Investment of net proceeds</w:t>
            </w:r>
          </w:p>
        </w:tc>
        <w:tc>
          <w:tcPr>
            <w:tcW w:w="2600" w:type="dxa"/>
            <w:vAlign w:val="bottom"/>
          </w:tcPr>
          <w:p>
            <w:pPr>
              <w:spacing w:after="0"/>
              <w:rPr>
                <w:sz w:val="20"/>
                <w:szCs w:val="20"/>
                <w:color w:val="auto"/>
              </w:rPr>
            </w:pPr>
            <w:r>
              <w:rPr>
                <w:rFonts w:ascii="Arial" w:cs="Arial" w:eastAsia="Arial" w:hAnsi="Arial"/>
                <w:sz w:val="18"/>
                <w:szCs w:val="18"/>
                <w:color w:val="auto"/>
              </w:rPr>
              <w:t>The $101,500,000 of the net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offering proceeds and proceeds</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from the sale of the private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9"/>
              </w:rPr>
              <w:t>warrants held in trust will only be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invested in United States</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9"/>
              </w:rPr>
              <w:t>government treasury bills, bonds</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or notes with a maturity of</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185 days or less or in money</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market funds meeting the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applicable conditions under</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Rule 2a-7 promulgated under the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5"/>
              </w:rPr>
              <w:t>Investment Company Act and that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invest solely in United States</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government treasuries.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6459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57" w:lineRule="exact"/>
        <w:rPr>
          <w:sz w:val="20"/>
          <w:szCs w:val="20"/>
          <w:color w:val="auto"/>
        </w:rPr>
      </w:pPr>
    </w:p>
    <w:p>
      <w:pPr>
        <w:ind w:right="459"/>
        <w:spacing w:after="0" w:line="287" w:lineRule="auto"/>
        <w:rPr>
          <w:sz w:val="20"/>
          <w:szCs w:val="20"/>
          <w:color w:val="auto"/>
        </w:rPr>
      </w:pPr>
      <w:r>
        <w:rPr>
          <w:rFonts w:ascii="Arial" w:cs="Arial" w:eastAsia="Arial" w:hAnsi="Arial"/>
          <w:sz w:val="16"/>
          <w:szCs w:val="16"/>
          <w:color w:val="auto"/>
        </w:rPr>
        <w:t>$89,550,000 of the offering proceeds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ind w:right="459"/>
        <w:spacing w:after="0" w:line="253" w:lineRule="auto"/>
        <w:rPr>
          <w:sz w:val="20"/>
          <w:szCs w:val="20"/>
          <w:color w:val="auto"/>
        </w:rPr>
      </w:pPr>
      <w:r>
        <w:rPr>
          <w:rFonts w:ascii="Arial" w:cs="Arial" w:eastAsia="Arial" w:hAnsi="Arial"/>
          <w:sz w:val="18"/>
          <w:szCs w:val="18"/>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1274" w:lineRule="exact"/>
        <w:rPr>
          <w:sz w:val="20"/>
          <w:szCs w:val="20"/>
          <w:color w:val="auto"/>
        </w:rPr>
      </w:pPr>
    </w:p>
    <w:p>
      <w:pPr>
        <w:sectPr>
          <w:pgSz w:w="11900" w:h="16838" w:orient="portrait"/>
          <w:cols w:equalWidth="0" w:num="2">
            <w:col w:w="6660" w:space="220"/>
            <w:col w:w="2999"/>
          </w:cols>
          <w:pgMar w:left="580" w:top="131" w:right="1440" w:bottom="1440" w:gutter="0" w:footer="0" w:header="0"/>
          <w:type w:val="continuous"/>
        </w:sectPr>
      </w:pPr>
    </w:p>
    <w:p>
      <w:pPr>
        <w:spacing w:after="0" w:line="19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0" w:name="page111"/>
    <w:bookmarkEnd w:id="1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line="282" w:lineRule="auto"/>
        <w:rPr>
          <w:sz w:val="20"/>
          <w:szCs w:val="20"/>
          <w:color w:val="auto"/>
        </w:rPr>
      </w:pPr>
      <w:r>
        <w:rPr>
          <w:rFonts w:ascii="Arial" w:cs="Arial" w:eastAsia="Arial" w:hAnsi="Arial"/>
          <w:sz w:val="18"/>
          <w:szCs w:val="18"/>
          <w:b w:val="1"/>
          <w:bCs w:val="1"/>
          <w:color w:val="auto"/>
        </w:rPr>
        <w:t>Receipt of interest on escrowed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60" w:right="60"/>
        <w:spacing w:after="0" w:line="347" w:lineRule="auto"/>
        <w:rPr>
          <w:sz w:val="20"/>
          <w:szCs w:val="20"/>
          <w:color w:val="auto"/>
        </w:rPr>
      </w:pPr>
      <w:r>
        <w:rPr>
          <w:rFonts w:ascii="Arial" w:cs="Arial" w:eastAsia="Arial" w:hAnsi="Arial"/>
          <w:sz w:val="16"/>
          <w:szCs w:val="16"/>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Trading of securities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Exercise of the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6459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Interest on proceeds from the trust account to be paid to stockholders is reduced by (i) any taxes paid or payable and (ii) 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p>
      <w:pPr>
        <w:spacing w:after="0" w:line="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initial target business that we acquire must have a fair market value equal to at least 80% of the balance in our trust account net of taxes payable at the time of the execution of a definitive agreement for our initial business combination.</w:t>
      </w:r>
    </w:p>
    <w:p>
      <w:pPr>
        <w:spacing w:after="0" w:line="1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units may commence trading on or promptly after the date of this prospectus. The shares of common stock and warrants comprising the units will begin to trade separately on the 90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after the date of this prospectus unless Chardan informs us of its decision to allow earlier separate trading (based upon its assessment of the relative strengths of the securities markets and small capitalization and blank check companies in general, and the trading pattern of, and demand for, our securities in particular), provided we have filed with the SEC a Current Report on Form 8-K, which includes an audited balance sheet reflecting our receipt of the proceeds of this offering.</w:t>
      </w:r>
    </w:p>
    <w:p>
      <w:pPr>
        <w:spacing w:after="0" w:line="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warrants cannot be exercised until the completion of a business combination and, accordingly, will be exercised only after the trust account has been terminated and distributed.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6459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ind w:right="599"/>
        <w:spacing w:after="0" w:line="272" w:lineRule="auto"/>
        <w:rPr>
          <w:sz w:val="20"/>
          <w:szCs w:val="20"/>
          <w:color w:val="auto"/>
        </w:rPr>
      </w:pPr>
      <w:r>
        <w:rPr>
          <w:rFonts w:ascii="Arial" w:cs="Arial" w:eastAsia="Arial" w:hAnsi="Arial"/>
          <w:sz w:val="17"/>
          <w:szCs w:val="17"/>
          <w:color w:val="auto"/>
        </w:rPr>
        <w:t>Interest on funds in escrow account would be held for the sole benefit of investors, unless and only after the funds held in escrow were released to us in connection with our completion of a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19"/>
        <w:spacing w:after="0" w:line="273" w:lineRule="auto"/>
        <w:rPr>
          <w:sz w:val="20"/>
          <w:szCs w:val="20"/>
          <w:color w:val="auto"/>
        </w:rPr>
      </w:pPr>
      <w:r>
        <w:rPr>
          <w:rFonts w:ascii="Arial" w:cs="Arial" w:eastAsia="Arial" w:hAnsi="Arial"/>
          <w:sz w:val="17"/>
          <w:szCs w:val="17"/>
          <w:color w:val="auto"/>
        </w:rPr>
        <w:t>We would be restricted from acquiring a target business unless the fair value of such business or net assets to be acquired represent at least 80% of the maximum offering proceeds.</w:t>
      </w:r>
    </w:p>
    <w:p>
      <w:pPr>
        <w:spacing w:after="0" w:line="200" w:lineRule="exact"/>
        <w:rPr>
          <w:sz w:val="20"/>
          <w:szCs w:val="20"/>
          <w:color w:val="auto"/>
        </w:rPr>
      </w:pPr>
    </w:p>
    <w:p>
      <w:pPr>
        <w:spacing w:after="0" w:line="234" w:lineRule="exact"/>
        <w:rPr>
          <w:sz w:val="20"/>
          <w:szCs w:val="20"/>
          <w:color w:val="auto"/>
        </w:rPr>
      </w:pPr>
    </w:p>
    <w:p>
      <w:pPr>
        <w:ind w:right="499"/>
        <w:spacing w:after="0" w:line="254" w:lineRule="auto"/>
        <w:rPr>
          <w:sz w:val="20"/>
          <w:szCs w:val="20"/>
          <w:color w:val="auto"/>
        </w:rPr>
      </w:pPr>
      <w:r>
        <w:rPr>
          <w:rFonts w:ascii="Arial" w:cs="Arial" w:eastAsia="Arial" w:hAnsi="Arial"/>
          <w:sz w:val="18"/>
          <w:szCs w:val="18"/>
          <w:color w:val="auto"/>
        </w:rPr>
        <w:t>No trading of the units or the underlying securities would be permitted until the completion of a business combination. During this period, the securities would be held in the escrow or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79"/>
        <w:spacing w:after="0" w:line="272" w:lineRule="auto"/>
        <w:rPr>
          <w:sz w:val="20"/>
          <w:szCs w:val="20"/>
          <w:color w:val="auto"/>
        </w:rPr>
      </w:pPr>
      <w:r>
        <w:rPr>
          <w:rFonts w:ascii="Arial" w:cs="Arial" w:eastAsia="Arial" w:hAnsi="Arial"/>
          <w:sz w:val="17"/>
          <w:szCs w:val="17"/>
          <w:color w:val="auto"/>
        </w:rPr>
        <w:t>The warrants could be exercised prior to the completion of a business combination, but securities received and cash paid in connection with the exercise would be deposited in the escrow or trust account.</w:t>
      </w:r>
    </w:p>
    <w:p>
      <w:pPr>
        <w:spacing w:after="0" w:line="200" w:lineRule="exact"/>
        <w:rPr>
          <w:sz w:val="20"/>
          <w:szCs w:val="20"/>
          <w:color w:val="auto"/>
        </w:rPr>
      </w:pPr>
    </w:p>
    <w:p>
      <w:pPr>
        <w:sectPr>
          <w:pgSz w:w="11900" w:h="16838" w:orient="portrait"/>
          <w:cols w:equalWidth="0" w:num="3">
            <w:col w:w="3540" w:space="520"/>
            <w:col w:w="2580" w:space="240"/>
            <w:col w:w="2999"/>
          </w:cols>
          <w:pgMar w:left="580" w:top="131" w:right="1440" w:bottom="1440" w:gutter="0" w:footer="0" w:header="0"/>
        </w:sectPr>
      </w:pPr>
    </w:p>
    <w:p>
      <w:pPr>
        <w:spacing w:after="0" w:line="18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1" w:name="page112"/>
    <w:bookmarkEnd w:id="1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2600" w:type="dxa"/>
            <w:vAlign w:val="bottom"/>
          </w:tcPr>
          <w:p>
            <w:pPr>
              <w:spacing w:after="0"/>
              <w:rPr>
                <w:sz w:val="20"/>
                <w:szCs w:val="20"/>
                <w:color w:val="auto"/>
              </w:rPr>
            </w:pPr>
            <w:r>
              <w:rPr>
                <w:rFonts w:ascii="Arial" w:cs="Arial" w:eastAsia="Arial" w:hAnsi="Arial"/>
                <w:sz w:val="14"/>
                <w:szCs w:val="14"/>
                <w:b w:val="1"/>
                <w:bCs w:val="1"/>
                <w:color w:val="auto"/>
              </w:rPr>
              <w:t>Terms of the Offering</w:t>
            </w:r>
          </w:p>
        </w:tc>
        <w:tc>
          <w:tcPr>
            <w:tcW w:w="0" w:type="dxa"/>
            <w:vAlign w:val="bottom"/>
          </w:tcPr>
          <w:p>
            <w:pPr>
              <w:spacing w:after="0"/>
              <w:rPr>
                <w:sz w:val="1"/>
                <w:szCs w:val="1"/>
                <w:color w:val="auto"/>
              </w:rPr>
            </w:pPr>
          </w:p>
        </w:tc>
      </w:tr>
      <w:tr>
        <w:trPr>
          <w:trHeight w:val="26"/>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rPr>
              <w:t>Election to remain an investor</w:t>
            </w: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20" w:type="dxa"/>
            <w:vAlign w:val="bottom"/>
            <w:vMerge w:val="continue"/>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We will either (1) give our</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stockholders the opportunity to</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6"/>
              </w:rPr>
              <w:t>vote on the business combination</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or (2) provide our public</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8"/>
              </w:rPr>
              <w:t>stockholders with the opportunity</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8"/>
              </w:rPr>
              <w:t>to sell their public shares to us in</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 tender offer for cash equal to</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 xml:space="preserve">their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4"/>
              </w:rPr>
              <w:t>aggregate amount then on deposit</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8"/>
              </w:rPr>
              <w:t>in the trust account, less taxes. If</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we hold a meeting to approve a</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9"/>
              </w:rPr>
              <w:t>proposed business combination,</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we will send each stockholder a</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proxy statement containing</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8"/>
              </w:rPr>
              <w:t>information required by the SEC.</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Under our certificate of</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incorporation, we must provide at</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least 10 days advance notice of</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any meeting of stockholders.</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Accordingly, this is the minimum</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amount of time we would need to</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provide holders to determine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whether to exercise their rights to</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redeem their shares into cash at</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such a meeting or to remain an</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investor in our company.</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Alternatively, if we do not hold a</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meeting and instead conduct a</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6"/>
              </w:rPr>
              <w:t>tender offer, we will conduct such</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tender offer in accordance with</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9"/>
              </w:rPr>
              <w:t>the tender offer rules of the SEC</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and file tender offer documents</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with the SEC which will contain</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substantially the same financial</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and other information about the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5"/>
              </w:rPr>
              <w:t>initial business combination as we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would have included in a proxy</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242"/>
        </w:trPr>
        <w:tc>
          <w:tcPr>
            <w:tcW w:w="2620" w:type="dxa"/>
            <w:vAlign w:val="bottom"/>
          </w:tcPr>
          <w:p>
            <w:pPr>
              <w:spacing w:after="0"/>
              <w:rPr>
                <w:sz w:val="21"/>
                <w:szCs w:val="21"/>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The tender offer rules require us</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to hold the tender offer open for</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at least 20 business days.</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Accordingly, this is the minimum</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amount of time we would need to</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provide holders to determine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whether they want to sell their</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shares to us in the tender offer or</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remain an investor in our</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6459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ind w:right="459"/>
        <w:spacing w:after="0" w:line="262" w:lineRule="auto"/>
        <w:rPr>
          <w:sz w:val="20"/>
          <w:szCs w:val="20"/>
          <w:color w:val="auto"/>
        </w:rPr>
      </w:pPr>
      <w:r>
        <w:rPr>
          <w:rFonts w:ascii="Arial" w:cs="Arial" w:eastAsia="Arial" w:hAnsi="Arial"/>
          <w:sz w:val="17"/>
          <w:szCs w:val="17"/>
          <w:color w:val="auto"/>
        </w:rPr>
        <w:t>A prospectus containing information required by the SEC would be sent to each investor. Each investor would be given the opportunity to notify the company, in writing, within a period of no less than 20 business days and no more than 45 business days from the effective date of the post-effective amendment, to decide whether he or she elects to remain a stockholder of the company or require the return of his or her investment. If the company has not received the notification by the end of the 45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business day, funds and interest or dividends, if any, held in the trust or escrow account would automatically be returned to the stockholder. Unless a sufficient number of investors elect to remain investors, all of the deposited funds in the escrow account must be returned to all investors and none of the securities will be issued.</w:t>
      </w:r>
    </w:p>
    <w:p>
      <w:pPr>
        <w:spacing w:after="0" w:line="4547" w:lineRule="exact"/>
        <w:rPr>
          <w:sz w:val="20"/>
          <w:szCs w:val="20"/>
          <w:color w:val="auto"/>
        </w:rPr>
      </w:pPr>
    </w:p>
    <w:p>
      <w:pPr>
        <w:sectPr>
          <w:pgSz w:w="11900" w:h="16838" w:orient="portrait"/>
          <w:cols w:equalWidth="0" w:num="2">
            <w:col w:w="6660" w:space="220"/>
            <w:col w:w="2999"/>
          </w:cols>
          <w:pgMar w:left="580" w:top="131"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2" w:name="page113"/>
    <w:bookmarkEnd w:id="1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2600" w:type="dxa"/>
            <w:vAlign w:val="bottom"/>
          </w:tcPr>
          <w:p>
            <w:pPr>
              <w:spacing w:after="0"/>
              <w:rPr>
                <w:sz w:val="20"/>
                <w:szCs w:val="20"/>
                <w:color w:val="auto"/>
              </w:rPr>
            </w:pPr>
            <w:r>
              <w:rPr>
                <w:rFonts w:ascii="Arial" w:cs="Arial" w:eastAsia="Arial" w:hAnsi="Arial"/>
                <w:sz w:val="14"/>
                <w:szCs w:val="14"/>
                <w:b w:val="1"/>
                <w:bCs w:val="1"/>
                <w:color w:val="auto"/>
              </w:rPr>
              <w:t>Terms of the Offering</w:t>
            </w:r>
          </w:p>
        </w:tc>
        <w:tc>
          <w:tcPr>
            <w:tcW w:w="0" w:type="dxa"/>
            <w:vAlign w:val="bottom"/>
          </w:tcPr>
          <w:p>
            <w:pPr>
              <w:spacing w:after="0"/>
              <w:rPr>
                <w:sz w:val="1"/>
                <w:szCs w:val="1"/>
                <w:color w:val="auto"/>
              </w:rPr>
            </w:pPr>
          </w:p>
        </w:tc>
      </w:tr>
      <w:tr>
        <w:trPr>
          <w:trHeight w:val="26"/>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w w:val="96"/>
              </w:rPr>
              <w:t>Business combination deadline</w:t>
            </w: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20" w:type="dxa"/>
            <w:vAlign w:val="bottom"/>
            <w:vMerge w:val="continue"/>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Pursuant to our certificate of</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incorporation, if we do not</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complete an initial business</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combination within 12 months (or</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up to 18 months, as applicable)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from the consummation of this</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offering, it will trigger our</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w w:val="97"/>
              </w:rPr>
              <w:t>automatic winding up, dissolution</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and liquidation.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6459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ind w:right="559"/>
        <w:spacing w:after="0" w:line="254" w:lineRule="auto"/>
        <w:rPr>
          <w:sz w:val="20"/>
          <w:szCs w:val="20"/>
          <w:color w:val="auto"/>
        </w:rPr>
      </w:pPr>
      <w:r>
        <w:rPr>
          <w:rFonts w:ascii="Arial" w:cs="Arial" w:eastAsia="Arial" w:hAnsi="Arial"/>
          <w:sz w:val="18"/>
          <w:szCs w:val="18"/>
          <w:color w:val="auto"/>
        </w:rPr>
        <w:t>If an acquisition has not been consummated within 18 months after the effective date of the initial registration statement, funds held in the trust or escrow account would be returned to investors.</w:t>
      </w:r>
    </w:p>
    <w:p>
      <w:pPr>
        <w:spacing w:after="0" w:line="624" w:lineRule="exact"/>
        <w:rPr>
          <w:sz w:val="20"/>
          <w:szCs w:val="20"/>
          <w:color w:val="auto"/>
        </w:rPr>
      </w:pPr>
    </w:p>
    <w:p>
      <w:pPr>
        <w:sectPr>
          <w:pgSz w:w="11900" w:h="16838" w:orient="portrait"/>
          <w:cols w:equalWidth="0" w:num="2">
            <w:col w:w="6660" w:space="220"/>
            <w:col w:w="2999"/>
          </w:cols>
          <w:pgMar w:left="580" w:top="131" w:right="1440" w:bottom="1440" w:gutter="0" w:footer="0" w:header="0"/>
        </w:sectPr>
      </w:pPr>
    </w:p>
    <w:p>
      <w:pPr>
        <w:spacing w:after="0" w:line="268" w:lineRule="exact"/>
        <w:rPr>
          <w:sz w:val="20"/>
          <w:szCs w:val="20"/>
          <w:color w:val="auto"/>
        </w:rPr>
      </w:pPr>
    </w:p>
    <w:p>
      <w:pPr>
        <w:ind w:left="1260"/>
        <w:spacing w:after="0" w:line="258" w:lineRule="auto"/>
        <w:rPr>
          <w:sz w:val="20"/>
          <w:szCs w:val="20"/>
          <w:color w:val="auto"/>
        </w:rPr>
      </w:pPr>
      <w:r>
        <w:rPr>
          <w:rFonts w:ascii="Arial" w:cs="Arial" w:eastAsia="Arial" w:hAnsi="Arial"/>
          <w:sz w:val="18"/>
          <w:szCs w:val="18"/>
          <w:b w:val="1"/>
          <w:bCs w:val="1"/>
          <w:color w:val="auto"/>
        </w:rPr>
        <w:t>Limitation on redemption rights of stockholders holding more than 15% of the shares sold in this offering if we hold a stockholder vote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6459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5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(including our affiliates), together with any affiliate of such stockholder or any other person with whom such stockholder is acting in concert or as a “group” (as defined under Section 13 of the Exchange Act), will be restricted from seeking redemption rights with respect to Excess Shares (more than an aggregate of 1% of the shares sold in this offering). Our public stockholders’ inability to redeem Excess Shares will reduce their influence over our ability to complete our initial business combination and they could suffer a material loss on their investment in us if they sell any Excess Shares in open market transactions.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6459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57" w:lineRule="exact"/>
        <w:rPr>
          <w:sz w:val="20"/>
          <w:szCs w:val="20"/>
          <w:color w:val="auto"/>
        </w:rPr>
      </w:pPr>
    </w:p>
    <w:p>
      <w:pPr>
        <w:ind w:right="519"/>
        <w:spacing w:after="0" w:line="272" w:lineRule="auto"/>
        <w:rPr>
          <w:sz w:val="20"/>
          <w:szCs w:val="20"/>
          <w:color w:val="auto"/>
        </w:rPr>
      </w:pPr>
      <w:r>
        <w:rPr>
          <w:rFonts w:ascii="Arial" w:cs="Arial" w:eastAsia="Arial" w:hAnsi="Arial"/>
          <w:sz w:val="17"/>
          <w:szCs w:val="17"/>
          <w:color w:val="auto"/>
        </w:rPr>
        <w:t>Many blank check companies provide no restrictions on the ability of stockholders to redeem shares based on the number of shares held by such stockholders in connection with an initial business combination</w:t>
      </w:r>
    </w:p>
    <w:p>
      <w:pPr>
        <w:spacing w:after="0" w:line="5148" w:lineRule="exact"/>
        <w:rPr>
          <w:sz w:val="20"/>
          <w:szCs w:val="20"/>
          <w:color w:val="auto"/>
        </w:rPr>
      </w:pPr>
    </w:p>
    <w:p>
      <w:pPr>
        <w:sectPr>
          <w:pgSz w:w="11900" w:h="16838" w:orient="portrait"/>
          <w:cols w:equalWidth="0" w:num="3">
            <w:col w:w="3820" w:space="240"/>
            <w:col w:w="2580" w:space="240"/>
            <w:col w:w="299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3" w:name="page114"/>
    <w:bookmarkEnd w:id="1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line="266" w:lineRule="auto"/>
        <w:rPr>
          <w:sz w:val="20"/>
          <w:szCs w:val="20"/>
          <w:color w:val="auto"/>
        </w:rPr>
      </w:pPr>
      <w:r>
        <w:rPr>
          <w:rFonts w:ascii="Arial" w:cs="Arial" w:eastAsia="Arial" w:hAnsi="Arial"/>
          <w:sz w:val="18"/>
          <w:szCs w:val="18"/>
          <w:b w:val="1"/>
          <w:bCs w:val="1"/>
          <w:color w:val="auto"/>
        </w:rPr>
        <w:t>Tendering stock certificates in connection with a tender offer or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16459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using The Depository Trust Company’s DWAC System, at the holder’s option. The tender offer or proxy materials, as applicable, that we will furnish to holders of our public shares in connection with our initial business combination will indicate whether we are requiring public stockholders to satisfy such delivery requirements. Accordingly, a public stockholder would have from the time we send out our tender offer materials until the close of the tender offer period, or up to two business days prior to the vote on the initial business combination if we distribute proxy materials, as applicable, to tender its shares if it wishes to seek to exercise its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6459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ind w:right="559"/>
        <w:spacing w:after="0" w:line="268" w:lineRule="auto"/>
        <w:rPr>
          <w:sz w:val="20"/>
          <w:szCs w:val="20"/>
          <w:color w:val="auto"/>
        </w:rPr>
      </w:pPr>
      <w:r>
        <w:rPr>
          <w:rFonts w:ascii="Arial" w:cs="Arial" w:eastAsia="Arial" w:hAnsi="Arial"/>
          <w:sz w:val="17"/>
          <w:szCs w:val="17"/>
          <w:color w:val="auto"/>
        </w:rPr>
        <w:t>In order to perfect redemption rights in connection with their business combinations, holders could vote against a proposed initial business combination and check a box on the proxy card indicating such holders were seeking to exercise their redemption rights. After the business combination was approved, the company would contact such stockholders to arrange for them to deliver their certificate to verify ownership.</w:t>
      </w:r>
    </w:p>
    <w:p>
      <w:pPr>
        <w:spacing w:after="0" w:line="5160" w:lineRule="exact"/>
        <w:rPr>
          <w:sz w:val="20"/>
          <w:szCs w:val="20"/>
          <w:color w:val="auto"/>
        </w:rPr>
      </w:pPr>
    </w:p>
    <w:p>
      <w:pPr>
        <w:sectPr>
          <w:pgSz w:w="11900" w:h="16838" w:orient="portrait"/>
          <w:cols w:equalWidth="0" w:num="3">
            <w:col w:w="3660" w:space="400"/>
            <w:col w:w="2600" w:space="220"/>
            <w:col w:w="299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4" w:name="page115"/>
    <w:bookmarkEnd w:id="1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3460" w:type="dxa"/>
            <w:vAlign w:val="bottom"/>
          </w:tcPr>
          <w:p>
            <w:pPr>
              <w:spacing w:after="0"/>
              <w:rPr>
                <w:sz w:val="20"/>
                <w:szCs w:val="20"/>
                <w:color w:val="auto"/>
              </w:rPr>
            </w:pPr>
            <w:r>
              <w:rPr>
                <w:rFonts w:ascii="Arial" w:cs="Arial" w:eastAsia="Arial" w:hAnsi="Arial"/>
                <w:sz w:val="14"/>
                <w:szCs w:val="14"/>
                <w:b w:val="1"/>
                <w:bCs w:val="1"/>
                <w:color w:val="auto"/>
              </w:rPr>
              <w:t>Terms of the Offering</w:t>
            </w:r>
          </w:p>
        </w:tc>
        <w:tc>
          <w:tcPr>
            <w:tcW w:w="0" w:type="dxa"/>
            <w:vAlign w:val="bottom"/>
          </w:tcPr>
          <w:p>
            <w:pPr>
              <w:spacing w:after="0"/>
              <w:rPr>
                <w:sz w:val="1"/>
                <w:szCs w:val="1"/>
                <w:color w:val="auto"/>
              </w:rPr>
            </w:pPr>
          </w:p>
        </w:tc>
      </w:tr>
      <w:tr>
        <w:trPr>
          <w:trHeight w:val="26"/>
        </w:trPr>
        <w:tc>
          <w:tcPr>
            <w:tcW w:w="1940" w:type="dxa"/>
            <w:vAlign w:val="bottom"/>
            <w:vMerge w:val="restart"/>
          </w:tcPr>
          <w:p>
            <w:pPr>
              <w:spacing w:after="0"/>
              <w:rPr>
                <w:sz w:val="20"/>
                <w:szCs w:val="20"/>
                <w:color w:val="auto"/>
              </w:rPr>
            </w:pPr>
            <w:r>
              <w:rPr>
                <w:rFonts w:ascii="Arial" w:cs="Arial" w:eastAsia="Arial" w:hAnsi="Arial"/>
                <w:sz w:val="18"/>
                <w:szCs w:val="18"/>
                <w:b w:val="1"/>
                <w:bCs w:val="1"/>
                <w:color w:val="auto"/>
              </w:rPr>
              <w:t>Release of funds</w:t>
            </w:r>
          </w:p>
        </w:tc>
        <w:tc>
          <w:tcPr>
            <w:tcW w:w="3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940" w:type="dxa"/>
            <w:vAlign w:val="bottom"/>
            <w:vMerge w:val="continue"/>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8"/>
              </w:rPr>
              <w:t>Except for interest earned on the funds held</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3"/>
              </w:rPr>
              <w:t>in the trust account that may be released to us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6"/>
              </w:rPr>
              <w:t>to pay our tax obligations, the proceeds from</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this offering and the sale of the private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8"/>
              </w:rPr>
              <w:t>warrants held in the trust account will not be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9"/>
              </w:rPr>
              <w:t>released until the earliest to occur of: (i)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completion of our initial business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combination, (ii) the redemption of any</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public shares properly submitted in</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6"/>
              </w:rPr>
              <w:t>connection with a stockholder vote to amend</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our amended and restated certificate of</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8"/>
              </w:rPr>
              <w:t>incorporation (A) to modify the substance or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timing of our obligation to allow redemption</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 connection with our initial business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6"/>
              </w:rPr>
              <w:t>combination or to redeem 100% of our public</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shares if we do not complete our initial</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business combination within 12 months (or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up to 18 months, as applicable) from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9"/>
              </w:rPr>
              <w:t>closing of this offering or (B) with respect to</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9"/>
              </w:rPr>
              <w:t>any other provision relating to stockholders’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rights or pre-business combination activity</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and (iii) the redemption of 100% of our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5"/>
              </w:rPr>
              <w:t>public shares if we are unable to complete an</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initial business combination within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required time frame (subject to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requirements of applicable law). On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completion of our initial business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combination, all amounts held in the trust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7"/>
              </w:rPr>
              <w:t>account will be released to us, less amounts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7"/>
              </w:rPr>
              <w:t>released to a separate account controlled by</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the trustee for disbursal to redeeming</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7"/>
              </w:rPr>
              <w:t>stockholders. We will use these funds to pay</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7"/>
              </w:rPr>
              <w:t>amounts due to any public stockholders who</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6"/>
              </w:rPr>
              <w:t>exercise their redemption rights as described</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above under “Redemption rights for public</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stockholders upon completion of our initial</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6"/>
              </w:rPr>
              <w:t>business combination,” to pay all or a portion</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9"/>
              </w:rPr>
              <w:t>of the consideration payable to the target or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owners of the target of our initial business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combination and to pay other expenses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associated with our initial business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combination, including the Marketing Fee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pursuant to the Business Combination</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Marketing Agreement described under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Underwriting (Conflicts of Interest) —</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i w:val="1"/>
                <w:iCs w:val="1"/>
                <w:color w:val="auto"/>
              </w:rPr>
              <w:t>Business Combination Marketing</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i w:val="1"/>
                <w:iCs w:val="1"/>
                <w:color w:val="auto"/>
              </w:rPr>
              <w:t>Agreement</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6459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7" w:lineRule="exact"/>
        <w:rPr>
          <w:sz w:val="20"/>
          <w:szCs w:val="20"/>
          <w:color w:val="auto"/>
        </w:rPr>
      </w:pPr>
    </w:p>
    <w:p>
      <w:pPr>
        <w:ind w:right="459"/>
        <w:spacing w:after="0" w:line="254" w:lineRule="auto"/>
        <w:rPr>
          <w:sz w:val="20"/>
          <w:szCs w:val="20"/>
          <w:color w:val="auto"/>
        </w:rPr>
      </w:pPr>
      <w:r>
        <w:rPr>
          <w:rFonts w:ascii="Arial" w:cs="Arial" w:eastAsia="Arial" w:hAnsi="Arial"/>
          <w:sz w:val="18"/>
          <w:szCs w:val="18"/>
          <w:color w:val="auto"/>
        </w:rPr>
        <w:t>The proceeds held in the escrow account would not be released until the earlier of the completion of a business combination or the failure to effect a business combination within the allotted time.</w:t>
      </w:r>
    </w:p>
    <w:p>
      <w:pPr>
        <w:sectPr>
          <w:pgSz w:w="11900" w:h="16838" w:orient="portrait"/>
          <w:cols w:equalWidth="0" w:num="2">
            <w:col w:w="6660" w:space="220"/>
            <w:col w:w="2999"/>
          </w:cols>
          <w:pgMar w:left="580" w:top="131"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820" w:type="dxa"/>
            <w:vAlign w:val="bottom"/>
          </w:tcPr>
          <w:p>
            <w:pPr>
              <w:ind w:left="268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50"/>
        </w:trPr>
        <w:tc>
          <w:tcPr>
            <w:tcW w:w="2380" w:type="dxa"/>
            <w:vAlign w:val="bottom"/>
            <w:gridSpan w:val="2"/>
          </w:tcPr>
          <w:p>
            <w:pPr>
              <w:spacing w:after="0"/>
              <w:rPr>
                <w:sz w:val="20"/>
                <w:szCs w:val="20"/>
                <w:color w:val="auto"/>
              </w:rPr>
            </w:pPr>
            <w:r>
              <w:rPr>
                <w:rFonts w:ascii="Arial" w:cs="Arial" w:eastAsia="Arial" w:hAnsi="Arial"/>
                <w:sz w:val="18"/>
                <w:szCs w:val="18"/>
                <w:color w:val="auto"/>
              </w:rPr>
              <w:t>Kerry Propper</w:t>
            </w:r>
          </w:p>
        </w:tc>
        <w:tc>
          <w:tcPr>
            <w:tcW w:w="5820" w:type="dxa"/>
            <w:vAlign w:val="bottom"/>
          </w:tcPr>
          <w:p>
            <w:pPr>
              <w:spacing w:after="0"/>
              <w:rPr>
                <w:sz w:val="20"/>
                <w:szCs w:val="20"/>
                <w:color w:val="auto"/>
              </w:rPr>
            </w:pPr>
            <w:r>
              <w:rPr>
                <w:rFonts w:ascii="Arial" w:cs="Arial" w:eastAsia="Arial" w:hAnsi="Arial"/>
                <w:sz w:val="18"/>
                <w:szCs w:val="18"/>
                <w:color w:val="auto"/>
              </w:rPr>
              <w:t>Co-Founder and Director Nominee (Chairman)</w:t>
            </w:r>
          </w:p>
        </w:tc>
      </w:tr>
      <w:tr>
        <w:trPr>
          <w:trHeight w:val="229"/>
        </w:trPr>
        <w:tc>
          <w:tcPr>
            <w:tcW w:w="2380" w:type="dxa"/>
            <w:vAlign w:val="bottom"/>
            <w:gridSpan w:val="2"/>
          </w:tcPr>
          <w:p>
            <w:pPr>
              <w:spacing w:after="0"/>
              <w:rPr>
                <w:sz w:val="20"/>
                <w:szCs w:val="20"/>
                <w:color w:val="auto"/>
              </w:rPr>
            </w:pPr>
            <w:r>
              <w:rPr>
                <w:rFonts w:ascii="Arial" w:cs="Arial" w:eastAsia="Arial" w:hAnsi="Arial"/>
                <w:sz w:val="18"/>
                <w:szCs w:val="18"/>
                <w:color w:val="auto"/>
              </w:rPr>
              <w:t>Jonas Grossman</w:t>
            </w:r>
          </w:p>
        </w:tc>
        <w:tc>
          <w:tcPr>
            <w:tcW w:w="5820" w:type="dxa"/>
            <w:vAlign w:val="bottom"/>
          </w:tcPr>
          <w:p>
            <w:pPr>
              <w:spacing w:after="0"/>
              <w:rPr>
                <w:sz w:val="20"/>
                <w:szCs w:val="20"/>
                <w:color w:val="auto"/>
              </w:rPr>
            </w:pPr>
            <w:r>
              <w:rPr>
                <w:rFonts w:ascii="Arial" w:cs="Arial" w:eastAsia="Arial" w:hAnsi="Arial"/>
                <w:sz w:val="18"/>
                <w:szCs w:val="18"/>
                <w:color w:val="auto"/>
                <w:w w:val="99"/>
              </w:rPr>
              <w:t>Co-Founder, Chief Executive Officer, President, Secretary, Treasurer and</w:t>
            </w:r>
          </w:p>
        </w:tc>
      </w:tr>
      <w:tr>
        <w:trPr>
          <w:trHeight w:val="230"/>
        </w:trPr>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Director</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Alex Weil</w:t>
            </w:r>
          </w:p>
        </w:tc>
        <w:tc>
          <w:tcPr>
            <w:tcW w:w="5820" w:type="dxa"/>
            <w:vAlign w:val="bottom"/>
          </w:tcPr>
          <w:p>
            <w:pPr>
              <w:spacing w:after="0"/>
              <w:rPr>
                <w:sz w:val="20"/>
                <w:szCs w:val="20"/>
                <w:color w:val="auto"/>
              </w:rPr>
            </w:pPr>
            <w:r>
              <w:rPr>
                <w:rFonts w:ascii="Arial" w:cs="Arial" w:eastAsia="Arial" w:hAnsi="Arial"/>
                <w:sz w:val="18"/>
                <w:szCs w:val="18"/>
                <w:color w:val="auto"/>
              </w:rPr>
              <w:t>Chief Financial Officer and Director Nominee</w:t>
            </w:r>
          </w:p>
        </w:tc>
      </w:tr>
      <w:tr>
        <w:trPr>
          <w:trHeight w:val="257"/>
        </w:trPr>
        <w:tc>
          <w:tcPr>
            <w:tcW w:w="2380" w:type="dxa"/>
            <w:vAlign w:val="bottom"/>
            <w:gridSpan w:val="2"/>
          </w:tcPr>
          <w:p>
            <w:pPr>
              <w:spacing w:after="0"/>
              <w:rPr>
                <w:sz w:val="20"/>
                <w:szCs w:val="20"/>
                <w:color w:val="auto"/>
              </w:rPr>
            </w:pPr>
            <w:r>
              <w:rPr>
                <w:rFonts w:ascii="Arial" w:cs="Arial" w:eastAsia="Arial" w:hAnsi="Arial"/>
                <w:sz w:val="18"/>
                <w:szCs w:val="18"/>
                <w:color w:val="auto"/>
              </w:rPr>
              <w:t>Jonathan Biele</w:t>
            </w:r>
          </w:p>
        </w:tc>
        <w:tc>
          <w:tcPr>
            <w:tcW w:w="582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Perry Boyle</w:t>
            </w:r>
          </w:p>
        </w:tc>
        <w:tc>
          <w:tcPr>
            <w:tcW w:w="582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Roderick Hardamon</w:t>
            </w:r>
          </w:p>
        </w:tc>
        <w:tc>
          <w:tcPr>
            <w:tcW w:w="582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Jory Des Jardins</w:t>
            </w:r>
          </w:p>
        </w:tc>
        <w:tc>
          <w:tcPr>
            <w:tcW w:w="582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Hitesh Thakrar</w:t>
            </w:r>
          </w:p>
        </w:tc>
        <w:tc>
          <w:tcPr>
            <w:tcW w:w="582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70"/>
        </w:trPr>
        <w:tc>
          <w:tcPr>
            <w:tcW w:w="2380" w:type="dxa"/>
            <w:vAlign w:val="bottom"/>
            <w:gridSpan w:val="2"/>
          </w:tcPr>
          <w:p>
            <w:pPr>
              <w:spacing w:after="0"/>
              <w:rPr>
                <w:sz w:val="20"/>
                <w:szCs w:val="20"/>
                <w:color w:val="auto"/>
              </w:rPr>
            </w:pPr>
            <w:r>
              <w:rPr>
                <w:rFonts w:ascii="Arial" w:cs="Arial" w:eastAsia="Arial" w:hAnsi="Arial"/>
                <w:sz w:val="18"/>
                <w:szCs w:val="18"/>
                <w:color w:val="auto"/>
              </w:rPr>
              <w:t>Todd Thomson</w:t>
            </w:r>
          </w:p>
        </w:tc>
        <w:tc>
          <w:tcPr>
            <w:tcW w:w="5820" w:type="dxa"/>
            <w:vAlign w:val="bottom"/>
          </w:tcPr>
          <w:p>
            <w:pPr>
              <w:spacing w:after="0"/>
              <w:rPr>
                <w:sz w:val="20"/>
                <w:szCs w:val="20"/>
                <w:color w:val="auto"/>
              </w:rPr>
            </w:pPr>
            <w:r>
              <w:rPr>
                <w:rFonts w:ascii="Arial" w:cs="Arial" w:eastAsia="Arial" w:hAnsi="Arial"/>
                <w:sz w:val="18"/>
                <w:szCs w:val="18"/>
                <w:color w:val="auto"/>
              </w:rPr>
              <w:t>Director Nominee</w:t>
            </w:r>
          </w:p>
        </w:tc>
      </w:tr>
    </w:tbl>
    <w:p>
      <w:pPr>
        <w:spacing w:after="0" w:line="148"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b w:val="1"/>
          <w:bCs w:val="1"/>
          <w:i w:val="1"/>
          <w:iCs w:val="1"/>
          <w:color w:val="auto"/>
        </w:rPr>
        <w:t>Kerry Propper</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46</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our co-founder and will serve as our Chairman of the board of directors upon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effectiveness of the registration statement of which this prospectus is a part. Mr. Propper was co-founder of Chardan and served as its chief executive officer and head of its investment bank from 2003 to 2015. He is a pioneer in the special purpose acquisition marketplace and has been an executive or senior advisor for six special purpose acquisition companies. Since 2015 Mr. Propper has been the chairman of Chardan’s board of directors and the co-founder and managing partner of ATW Partners, a growth-focused investment firm. Mr. Propper also sits on the board of 340Basics, Credit Sesame, PierianDx, and China</w:t>
      </w:r>
    </w:p>
    <w:p>
      <w:pPr>
        <w:spacing w:after="0" w:line="4"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Networks. Mr. Propper dedicates much of his time to philanthropy and is a founding member of Nadia’s Initiative. He also serves on the board of trustees of the International Crisis Group and sits on the executive boards of Keep A Child Alive, Voices of Rwanda, Yazda and Digital Citizens Fund. Mr. Propper earned his B.A. in Economics and International Studies from Colby College. We believe Mr. Propper is qualified to serve on our board of directors because of his extensive industry and transaction expertise and wide network of relationships with industry participants.</w:t>
      </w:r>
    </w:p>
    <w:p>
      <w:pPr>
        <w:spacing w:after="0" w:line="113" w:lineRule="exact"/>
        <w:rPr>
          <w:sz w:val="20"/>
          <w:szCs w:val="20"/>
          <w:color w:val="auto"/>
        </w:rPr>
      </w:pPr>
    </w:p>
    <w:p>
      <w:pPr>
        <w:ind w:left="1260" w:right="599" w:firstLine="360"/>
        <w:spacing w:after="0" w:line="266" w:lineRule="auto"/>
        <w:rPr>
          <w:sz w:val="20"/>
          <w:szCs w:val="20"/>
          <w:color w:val="auto"/>
        </w:rPr>
      </w:pPr>
      <w:r>
        <w:rPr>
          <w:rFonts w:ascii="Arial" w:cs="Arial" w:eastAsia="Arial" w:hAnsi="Arial"/>
          <w:sz w:val="17"/>
          <w:szCs w:val="17"/>
          <w:b w:val="1"/>
          <w:bCs w:val="1"/>
          <w:i w:val="1"/>
          <w:iCs w:val="1"/>
          <w:color w:val="auto"/>
        </w:rPr>
        <w:t>Jonas Grossman</w:t>
      </w:r>
      <w:r>
        <w:rPr>
          <w:rFonts w:ascii="Arial" w:cs="Arial" w:eastAsia="Arial" w:hAnsi="Arial"/>
          <w:sz w:val="17"/>
          <w:szCs w:val="17"/>
          <w:color w:val="auto"/>
        </w:rPr>
        <w:t>, 47, is our co-founder and has been our Chief Executive Officer and a member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since June 2020 and our President, Secretary, and Treasurer since July 2020. Since July 2020, Mr. Grossman has served as Chief Executive Officer and director of Chardan NexTech Acquisition Corp. Since April 2020, Mr. Grossman has been the Chief Executive Officer and president of Chardan Healthcare Acquisition 2 Corp., a special purpose acquisition company, which announced its merger with Renovacor, Inc in March 2021. He was the Chief Executive officer and President of Chardan Healthcare Acquisition Corp. from March 2018 until its merger in October 2019 with BiomX (NYSE: PHGE). Mr. Grossman is currently a director of BiomX. He was a co-founder and director for LifeSci Acquisition Corp., a special purpose acquisition company from March 2020 until its merger with Vincera Pharma, Inc. in December of 2020. Since December 2020, Mr. Grossman has served as a director of Ventoux CCM Acquisition Corp., a special purpose acquisition company. Since May 2021, Mr. Grossman has served as a director of CleanTech Acquisition Corp., a special purpose acquisition company. He has served as managing partner and head of capital markets for Chardan, a New York headquartered broker/dealer, since December 2003, and has additionally served as president of Chardan since September 2015. Since 2003, Mr. Grossman has overseen the Chardan’s investment banking and capital markets activities and initiatives. He has extensive transactional experience having led or managed more than 500 transactions during his tenure at Chardan. Since December 2006, Mr. Grossman has served as a founding partner for Cornix Advisors, LLC, a New York based hedge fund. From 2001 until 2003,</w:t>
      </w:r>
    </w:p>
    <w:p>
      <w:pPr>
        <w:spacing w:after="0" w:line="3"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Mr. Grossman worked at Ramius Capital Group, LLC, a global multi-strategy hedge fund where he served as Vice President and Head Trader. Mr. Grossman served as a director for Ideanomics, Inc. (formerly China Broadband, Inc.) (NASDAQ: IDEX) from January 2008 until November 2010. He holds a B.A. in Economics from Cornell University and an M.B.A. from NYU’s Stern School of Business. Mr. Grossman has served on the board of directors</w:t>
      </w:r>
    </w:p>
    <w:p>
      <w:pPr>
        <w:sectPr>
          <w:pgSz w:w="11900" w:h="16838" w:orient="portrait"/>
          <w:cols w:equalWidth="0" w:num="1">
            <w:col w:w="9879"/>
          </w:cols>
          <w:pgMar w:left="580" w:top="131" w:right="1440" w:bottom="1440" w:gutter="0" w:footer="0" w:header="0"/>
        </w:sectPr>
      </w:pP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6" w:name="page117"/>
    <w:bookmarkEnd w:id="1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91" w:lineRule="auto"/>
        <w:rPr>
          <w:sz w:val="20"/>
          <w:szCs w:val="20"/>
          <w:color w:val="auto"/>
        </w:rPr>
      </w:pPr>
      <w:r>
        <w:rPr>
          <w:rFonts w:ascii="Arial" w:cs="Arial" w:eastAsia="Arial" w:hAnsi="Arial"/>
          <w:sz w:val="17"/>
          <w:szCs w:val="17"/>
          <w:color w:val="auto"/>
        </w:rPr>
        <w:t>for UNICEF since December 2016. We believe Mr. Grossman is qualified to serve on our board of directors because of his long-running capital markets experience as well as his previous company board positions.</w:t>
      </w:r>
    </w:p>
    <w:p>
      <w:pPr>
        <w:spacing w:after="0" w:line="66" w:lineRule="exact"/>
        <w:rPr>
          <w:sz w:val="20"/>
          <w:szCs w:val="20"/>
          <w:color w:val="auto"/>
        </w:rPr>
      </w:pPr>
    </w:p>
    <w:p>
      <w:pPr>
        <w:ind w:left="1620"/>
        <w:spacing w:after="0"/>
        <w:rPr>
          <w:sz w:val="20"/>
          <w:szCs w:val="20"/>
          <w:color w:val="auto"/>
        </w:rPr>
      </w:pPr>
      <w:r>
        <w:rPr>
          <w:rFonts w:ascii="Arial" w:cs="Arial" w:eastAsia="Arial" w:hAnsi="Arial"/>
          <w:sz w:val="17"/>
          <w:szCs w:val="17"/>
          <w:b w:val="1"/>
          <w:bCs w:val="1"/>
          <w:i w:val="1"/>
          <w:iCs w:val="1"/>
          <w:color w:val="auto"/>
        </w:rPr>
        <w:t>Alex Weil</w:t>
      </w:r>
      <w:r>
        <w:rPr>
          <w:rFonts w:ascii="Arial" w:cs="Arial" w:eastAsia="Arial" w:hAnsi="Arial"/>
          <w:sz w:val="17"/>
          <w:szCs w:val="17"/>
          <w:color w:val="auto"/>
        </w:rPr>
        <w:t>, 49, has served as our Chief Financial Officer since April 2021 and will serve as a member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board of directors upon the effective date of the registration statement of which this prospectus is a part.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Since March 2021, Mr. Weil has served as chief financial officer of Chardan NexTech Acquisition Corp.,</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and he has agreed to serve on the board of directors. Mr. Weil has served as managing director and co-head</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FinTech investment banking at Chardan, a New York headquartered broker/dealer, since March 2020 and</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a director of Ventoux CCM Acquisition Corp., a special purpose acquisition company, since</w:t>
      </w:r>
    </w:p>
    <w:p>
      <w:pPr>
        <w:ind w:left="1260"/>
        <w:spacing w:after="0"/>
        <w:rPr>
          <w:sz w:val="20"/>
          <w:szCs w:val="20"/>
          <w:color w:val="auto"/>
        </w:rPr>
      </w:pPr>
      <w:r>
        <w:rPr>
          <w:rFonts w:ascii="Arial" w:cs="Arial" w:eastAsia="Arial" w:hAnsi="Arial"/>
          <w:sz w:val="17"/>
          <w:szCs w:val="17"/>
          <w:color w:val="auto"/>
        </w:rPr>
        <w:t>December 2020. From January 2018 to March 2020, he served as managing director and head of insurtech</w:t>
      </w:r>
    </w:p>
    <w:p>
      <w:pPr>
        <w:spacing w:after="0" w:line="7" w:lineRule="exact"/>
        <w:rPr>
          <w:sz w:val="20"/>
          <w:szCs w:val="20"/>
          <w:color w:val="auto"/>
        </w:rPr>
      </w:pPr>
    </w:p>
    <w:p>
      <w:pPr>
        <w:ind w:left="1260" w:right="539"/>
        <w:spacing w:after="0" w:line="252" w:lineRule="auto"/>
        <w:rPr>
          <w:sz w:val="20"/>
          <w:szCs w:val="20"/>
          <w:color w:val="auto"/>
        </w:rPr>
      </w:pPr>
      <w:r>
        <w:rPr>
          <w:rFonts w:ascii="Arial" w:cs="Arial" w:eastAsia="Arial" w:hAnsi="Arial"/>
          <w:sz w:val="17"/>
          <w:szCs w:val="17"/>
          <w:color w:val="auto"/>
        </w:rPr>
        <w:t>investment banking at SenaHill Securities, LLC, a New York headquartered broker/dealer. From January 2013 to September 2017, Mr. Weil was a director at PricewaterhouseCoopers Inc., a network of firms providing assurance, advisory and tax services. Prior to 2012, Mr. Weil held positions as a director at Lazard Middle Market, LLC, an executive director at UBS Securities LLC and a director at Citigroup Global Markets Inc. Mr. Weil holds a B.A. in Business Administration from the University of Colorado, Boulder. We believe Mr. Weil is qualified to serve on our board of directors extensive capital markets and transaction management experience and network of relationships.</w:t>
      </w:r>
    </w:p>
    <w:p>
      <w:pPr>
        <w:spacing w:after="0" w:line="113"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b w:val="1"/>
          <w:bCs w:val="1"/>
          <w:i w:val="1"/>
          <w:iCs w:val="1"/>
          <w:color w:val="auto"/>
        </w:rPr>
        <w:t>Jonathan C. “Jon” Biele</w:t>
      </w:r>
      <w:r>
        <w:rPr>
          <w:rFonts w:ascii="Arial" w:cs="Arial" w:eastAsia="Arial" w:hAnsi="Arial"/>
          <w:sz w:val="17"/>
          <w:szCs w:val="17"/>
          <w:color w:val="auto"/>
        </w:rPr>
        <w:t>, 51, has agreed to become a member of our board of directors as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date of the registration statement of which this prospectus is a part. Mr. Biele recently joined PREEM Inc., a vertical technology platform, as head of business and corporate development after a 28-year career in investment banking serving in a variety of leadership roles. Most recently, Mr. Biele served as head of technology and services investment banking after rejuvenating the equity capital markets practice at SunTrust Robinson Humphrey, where he worked from July 2013 to February 2020. During his career,</w:t>
      </w:r>
    </w:p>
    <w:p>
      <w:pPr>
        <w:spacing w:after="0" w:line="4" w:lineRule="exact"/>
        <w:rPr>
          <w:sz w:val="20"/>
          <w:szCs w:val="20"/>
          <w:color w:val="auto"/>
        </w:rPr>
      </w:pPr>
    </w:p>
    <w:p>
      <w:pPr>
        <w:ind w:left="1260" w:right="479"/>
        <w:spacing w:after="0" w:line="235" w:lineRule="auto"/>
        <w:rPr>
          <w:sz w:val="20"/>
          <w:szCs w:val="20"/>
          <w:color w:val="auto"/>
        </w:rPr>
      </w:pPr>
      <w:r>
        <w:rPr>
          <w:rFonts w:ascii="Arial" w:cs="Arial" w:eastAsia="Arial" w:hAnsi="Arial"/>
          <w:sz w:val="18"/>
          <w:szCs w:val="18"/>
          <w:color w:val="auto"/>
        </w:rPr>
        <w:t>Mr. Biele focused on providing capital markets, strategic and tactical advice to companies, boards of directors, private equity and venture capitalists. In addition to his tenure at SunTrust Robinson Humphrey, Mr. Biele served as head of equity capital markets for Citadel Securities from 2010 to 2013, for Cowen and Co. from 2007 to 2010, and for Lazard Freres from 2005 to 2007,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a premier ski academy in the United States, and remains the lead investor and advisor to the chief executive officer of inGamba Tours, a luxury cyclo-tourism business. Mr. Biele earned a B.A. in History in 1992 from St. Lawrence University. We believe that Mr. Biele’s vast experience in corporate finance and strategy, in addition to his vast network of relationships, will be an extremely valuable contribution to our board of directors.</w:t>
      </w:r>
    </w:p>
    <w:p>
      <w:pPr>
        <w:spacing w:after="0" w:line="130"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b w:val="1"/>
          <w:bCs w:val="1"/>
          <w:i w:val="1"/>
          <w:iCs w:val="1"/>
          <w:color w:val="auto"/>
        </w:rPr>
        <w:t>Perry Boyle</w:t>
      </w:r>
      <w:r>
        <w:rPr>
          <w:rFonts w:ascii="Arial" w:cs="Arial" w:eastAsia="Arial" w:hAnsi="Arial"/>
          <w:sz w:val="17"/>
          <w:szCs w:val="17"/>
          <w:color w:val="auto"/>
        </w:rPr>
        <w:t>, 57, will serve as a member of our board of directors upon the effective date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of which this prospectus is a part. Mr. Boyle was with Point72 Asset Management, L.P., or Point 72, and Point 72 affiliates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w:t>
      </w:r>
    </w:p>
    <w:p>
      <w:pPr>
        <w:spacing w:after="0" w:line="4" w:lineRule="exact"/>
        <w:rPr>
          <w:sz w:val="20"/>
          <w:szCs w:val="20"/>
          <w:color w:val="auto"/>
        </w:rPr>
      </w:pPr>
    </w:p>
    <w:p>
      <w:pPr>
        <w:ind w:left="1260" w:right="439"/>
        <w:spacing w:after="0" w:line="235" w:lineRule="auto"/>
        <w:rPr>
          <w:sz w:val="20"/>
          <w:szCs w:val="20"/>
          <w:color w:val="auto"/>
        </w:rPr>
      </w:pPr>
      <w:r>
        <w:rPr>
          <w:rFonts w:ascii="Arial" w:cs="Arial" w:eastAsia="Arial" w:hAnsi="Arial"/>
          <w:sz w:val="18"/>
          <w:szCs w:val="18"/>
          <w:color w:val="auto"/>
        </w:rPr>
        <w:t>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Point72, overseeing offices in London, Hong Kong, Tokyo and Singapore. Prior to joining S.A.C., Mr. Boyle was a founding partner of Thomas Weisel Partners from 2000 until 2004, and a managing director at Alex. Brown &amp; Sons from 1992-2000. He began his career as an investment banker with Salomon Brothers Inc. Mr. Boyle is a member of the advisory board of the Center for a New American Security (CNAS), and a director of The US Friends of the International Institute for Strategic Studies (IISS). He has agreed to serve on the board of directors of Chardan NexTech Acquisition Corp. upon the effectiveness of its registration statement. He was a 2018 and 2019 delegate from the IISS to the Shangri-La Dialogue in Singapore. He is a council member of the Hoover Institution and a Lionel Curtis member of Chatham House. Mr. Boyle helps lead the annual Ride For Our Vets, the</w:t>
      </w: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rPr>
          <w:sz w:val="20"/>
          <w:szCs w:val="20"/>
          <w:color w:val="auto"/>
        </w:rPr>
      </w:pPr>
      <w:r>
        <w:rPr>
          <w:rFonts w:ascii="Arial" w:cs="Arial" w:eastAsia="Arial" w:hAnsi="Arial"/>
          <w:sz w:val="18"/>
          <w:szCs w:val="18"/>
          <w:color w:val="auto"/>
        </w:rPr>
        <w:t>major source of funding for the Connecticut Veterans Legal Center. He received his B.A. in Economics from Stanford University, his M.B.A. from Dartmouth College and a M.A. from the Fletcher School at Tufts University. He has lectured on investing at Brown, Yale, Dartmouth, Harvard, Cambridge and UNC, and delivered testimony to Congress on financial regulation. We believe Mr. Boyle is qualified to serve on our board of directors because of industry leadership and capital markets experience from research to fundraising.</w:t>
      </w:r>
    </w:p>
    <w:p>
      <w:pPr>
        <w:spacing w:after="0" w:line="10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b w:val="1"/>
          <w:bCs w:val="1"/>
          <w:i w:val="1"/>
          <w:iCs w:val="1"/>
          <w:color w:val="auto"/>
        </w:rPr>
        <w:t>Roderick Hardamon</w:t>
      </w:r>
      <w:r>
        <w:rPr>
          <w:rFonts w:ascii="Arial" w:cs="Arial" w:eastAsia="Arial" w:hAnsi="Arial"/>
          <w:sz w:val="17"/>
          <w:szCs w:val="17"/>
          <w:color w:val="auto"/>
        </w:rPr>
        <w:t>, 44, will serve as a member of our board of directors upon the effective date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of which this prospectus is a part. Mr. Hardamon has served as chief executive officer of URGE Imprint LLC, a boutique management consulting firm headquartered in Detroit, Michigan, and URGE Development Group, a real estate development firm headquartered in Detroit, Michigan, since May 2016. From July 1998 to March 2016, Mr. Hardamon held various positions at Citigroup, a leading global bank, finally serving as managing director and North American head of Citigroup’s alternative investor services business. From March 2016 to April 2016, Mr. Hardamon briefly served as a managing director at SS&amp;C Technologies, a global provider of services and software for the financial services and healthcare industries. Mr. Hardamon graduated from Morehouse College with B.A.s in accounting and Philosophy in 1998. We believe Mr. Hardamon is qualified to serve on our board of directors because of his extensive experience in business innovation, mergers and acquisitions, and senior executive leadership.</w:t>
      </w:r>
    </w:p>
    <w:p>
      <w:pPr>
        <w:spacing w:after="0" w:line="118" w:lineRule="exact"/>
        <w:rPr>
          <w:sz w:val="20"/>
          <w:szCs w:val="20"/>
          <w:color w:val="auto"/>
        </w:rPr>
      </w:pPr>
    </w:p>
    <w:p>
      <w:pPr>
        <w:ind w:left="1260" w:right="699" w:firstLine="360"/>
        <w:spacing w:after="0" w:line="274" w:lineRule="auto"/>
        <w:rPr>
          <w:sz w:val="20"/>
          <w:szCs w:val="20"/>
          <w:color w:val="auto"/>
        </w:rPr>
      </w:pPr>
      <w:r>
        <w:rPr>
          <w:rFonts w:ascii="Arial" w:cs="Arial" w:eastAsia="Arial" w:hAnsi="Arial"/>
          <w:sz w:val="16"/>
          <w:szCs w:val="16"/>
          <w:b w:val="1"/>
          <w:bCs w:val="1"/>
          <w:i w:val="1"/>
          <w:iCs w:val="1"/>
          <w:color w:val="auto"/>
        </w:rPr>
        <w:t>Jory Des Jardins</w:t>
      </w:r>
      <w:r>
        <w:rPr>
          <w:rFonts w:ascii="Arial" w:cs="Arial" w:eastAsia="Arial" w:hAnsi="Arial"/>
          <w:sz w:val="16"/>
          <w:szCs w:val="16"/>
          <w:color w:val="auto"/>
        </w:rPr>
        <w:t>, 49, will serve as a member of our board of directors upon the effective date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registration statement of which this prospectus is a part. Ms. Jardins is the chief marketing officer of The</w:t>
      </w:r>
    </w:p>
    <w:p>
      <w:pPr>
        <w:spacing w:after="0" w:line="1" w:lineRule="exact"/>
        <w:rPr>
          <w:sz w:val="20"/>
          <w:szCs w:val="20"/>
          <w:color w:val="auto"/>
        </w:rPr>
      </w:pPr>
    </w:p>
    <w:p>
      <w:pPr>
        <w:ind w:left="1260" w:right="479"/>
        <w:spacing w:after="0" w:line="248" w:lineRule="auto"/>
        <w:tabs>
          <w:tab w:leader="none" w:pos="1478"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Company, a position she has held since 2020. She has also served as VC-in-Residence at the W Fund since 2020. Ms. Jardins recently served as the head of global startup marketing at Amazon Web Services from 2019 to 2020. Before her time at Amazon Web Services, she served as the global head of community at ConsenSys from 2018 to 2019. Ms. Jardins served as an advisor at Tribal Advisors from 2016 to 2018. In 2005, she co-founded BlogHer and served as the company’s president until its acquisition in 2015.</w:t>
      </w:r>
    </w:p>
    <w:p>
      <w:pPr>
        <w:spacing w:after="0" w:line="2" w:lineRule="exact"/>
        <w:rPr>
          <w:rFonts w:ascii="Arial" w:cs="Arial" w:eastAsia="Arial" w:hAnsi="Arial"/>
          <w:sz w:val="17"/>
          <w:szCs w:val="17"/>
          <w:color w:val="auto"/>
        </w:rPr>
      </w:pPr>
    </w:p>
    <w:p>
      <w:pPr>
        <w:ind w:left="1260" w:right="899"/>
        <w:spacing w:after="0" w:line="238" w:lineRule="auto"/>
        <w:rPr>
          <w:rFonts w:ascii="Arial" w:cs="Arial" w:eastAsia="Arial" w:hAnsi="Arial"/>
          <w:sz w:val="17"/>
          <w:szCs w:val="17"/>
          <w:color w:val="auto"/>
        </w:rPr>
      </w:pPr>
      <w:r>
        <w:rPr>
          <w:rFonts w:ascii="Arial" w:cs="Arial" w:eastAsia="Arial" w:hAnsi="Arial"/>
          <w:sz w:val="18"/>
          <w:szCs w:val="18"/>
          <w:color w:val="auto"/>
        </w:rPr>
        <w:t>Ms. Jardins graduated from the University of Illinois at Urbana-Champaign in 1993 where she studied history, literature, and psychology. We believe that Ms. Jardins is qualified to serve on our board of directors given her exposure to dozens of scaling startups as well as her experience with disruptiv</w:t>
      </w:r>
      <w:r>
        <w:rPr>
          <w:rFonts w:ascii="Arial" w:cs="Arial" w:eastAsia="Arial" w:hAnsi="Arial"/>
          <w:sz w:val="18"/>
          <w:szCs w:val="18"/>
          <w:b w:val="1"/>
          <w:bCs w:val="1"/>
          <w:color w:val="auto"/>
        </w:rPr>
        <w:t>e</w:t>
      </w:r>
      <w:r>
        <w:rPr>
          <w:rFonts w:ascii="Arial" w:cs="Arial" w:eastAsia="Arial" w:hAnsi="Arial"/>
          <w:sz w:val="18"/>
          <w:szCs w:val="18"/>
          <w:color w:val="auto"/>
        </w:rPr>
        <w:t xml:space="preserve"> technology</w:t>
      </w:r>
      <w:r>
        <w:rPr>
          <w:rFonts w:ascii="Arial" w:cs="Arial" w:eastAsia="Arial" w:hAnsi="Arial"/>
          <w:sz w:val="18"/>
          <w:szCs w:val="18"/>
          <w:b w:val="1"/>
          <w:bCs w:val="1"/>
          <w:color w:val="auto"/>
        </w:rPr>
        <w:t>.</w:t>
      </w:r>
    </w:p>
    <w:p>
      <w:pPr>
        <w:spacing w:after="0" w:line="121" w:lineRule="exact"/>
        <w:rPr>
          <w:sz w:val="20"/>
          <w:szCs w:val="20"/>
          <w:color w:val="auto"/>
        </w:rPr>
      </w:pPr>
    </w:p>
    <w:p>
      <w:pPr>
        <w:ind w:left="1260" w:right="639" w:firstLine="360"/>
        <w:spacing w:after="0" w:line="269" w:lineRule="auto"/>
        <w:rPr>
          <w:sz w:val="20"/>
          <w:szCs w:val="20"/>
          <w:color w:val="auto"/>
        </w:rPr>
      </w:pPr>
      <w:r>
        <w:rPr>
          <w:rFonts w:ascii="Arial" w:cs="Arial" w:eastAsia="Arial" w:hAnsi="Arial"/>
          <w:sz w:val="17"/>
          <w:szCs w:val="17"/>
          <w:b w:val="1"/>
          <w:bCs w:val="1"/>
          <w:i w:val="1"/>
          <w:iCs w:val="1"/>
          <w:color w:val="auto"/>
        </w:rPr>
        <w:t>Hitesh Thakrar</w:t>
      </w:r>
      <w:r>
        <w:rPr>
          <w:rFonts w:ascii="Arial" w:cs="Arial" w:eastAsia="Arial" w:hAnsi="Arial"/>
          <w:sz w:val="17"/>
          <w:szCs w:val="17"/>
          <w:color w:val="auto"/>
        </w:rPr>
        <w:t>, 59, will serve as a member of our board of directors upon the effective date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of which this prospectus is a part. Mr. Thakrar is an experienced investor in the technology sector, having spent over 20 years investing in public equities in the life sciences, information technology and innovation sectors. Since 2015, he has been active in early stage venture investing.</w:t>
      </w:r>
    </w:p>
    <w:p>
      <w:pPr>
        <w:spacing w:after="0" w:line="2" w:lineRule="exact"/>
        <w:rPr>
          <w:sz w:val="20"/>
          <w:szCs w:val="20"/>
          <w:color w:val="auto"/>
        </w:rPr>
      </w:pPr>
    </w:p>
    <w:p>
      <w:pPr>
        <w:ind w:left="1260" w:right="459"/>
        <w:spacing w:after="0" w:line="266" w:lineRule="auto"/>
        <w:rPr>
          <w:sz w:val="20"/>
          <w:szCs w:val="20"/>
          <w:color w:val="auto"/>
        </w:rPr>
      </w:pPr>
      <w:r>
        <w:rPr>
          <w:rFonts w:ascii="Arial" w:cs="Arial" w:eastAsia="Arial" w:hAnsi="Arial"/>
          <w:sz w:val="17"/>
          <w:szCs w:val="17"/>
          <w:color w:val="auto"/>
        </w:rPr>
        <w:t>Mr. Thakrar is currently a Venture Partner at Syncona Limited, a Wellcome Trust backed early stage venture fund, a position he has held since February 2016. He has also served as a Governance Board Member of KQ Labs at the Francis Crick Institute since December 2018. Since August 2020, he has been the main Board Trustee of the Alan Turing Institute which is the UK National Institute for Artificial Intelligence and Data Science research. Additionally, since November 2016, Mr. Thakrar has been the Chair of the Investment Committee for Newable Ventures, a pre-Series A fund focused on deep technology. He has also served as an advisor to UKRI’s Science and Technology Funding Council (SFTC), which helps early stage companies spin out from UK universities, since July 2020. He has previously served as a non-executive director for Desktop Genetics and Tropic Biosciences since 2015 and 2017 respectively, both of which specialize in the use of CRISPR technology in gene editing. Previously, Mr. Thakrar held the position of Portfolio Manager, Global Innovation Fund with the Abu Dhabi Investment Authority (ADIA), from 2009 until 2015. He has worked at several other public market institutions in global equity research and fund management including JP Morgan, Aviva Group, Dresdner Bank and New Star Asset Management. He has previously held the position of Innovation Fellow at the University of Cambridge, recently joined as a Trustee of the Royal National Orthopaedic Hospital Charity and is a member of the commercial Board of the Institute and Audit committee. Mr. Thakrar has a degree in chemistry from Kings College, London, an MBA from Cranfield University and a CFA from the American Association of Investment Analysts. We believe Mr. Thakrar is qualified to serve as a member of our board of directors given his decades of technology investing and public company expertise.</w:t>
      </w:r>
    </w:p>
    <w:p>
      <w:pPr>
        <w:spacing w:after="0" w:line="10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b w:val="1"/>
          <w:bCs w:val="1"/>
          <w:i w:val="1"/>
          <w:iCs w:val="1"/>
          <w:color w:val="auto"/>
        </w:rPr>
        <w:t>Todd Thomson</w:t>
      </w:r>
      <w:r>
        <w:rPr>
          <w:rFonts w:ascii="Arial" w:cs="Arial" w:eastAsia="Arial" w:hAnsi="Arial"/>
          <w:sz w:val="18"/>
          <w:szCs w:val="18"/>
          <w:color w:val="auto"/>
        </w:rPr>
        <w:t>, 60, will serve as a member of our board of directors upon the effective date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statement of which this prospectus is a part. He is currently the chief operating officer and chief financial officer of Kairos Ventures, an early-stage investment firm. He is an accomplished operating executive and entrepreneur, having served as Citigroup chief financial officer for five years and as chief executive officer of Citigroup’s nearly $10 billion global wealth management division for more than two years.</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8" w:name="page119"/>
    <w:bookmarkEnd w:id="1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1" w:lineRule="auto"/>
        <w:rPr>
          <w:sz w:val="20"/>
          <w:szCs w:val="20"/>
          <w:color w:val="auto"/>
        </w:rPr>
      </w:pPr>
      <w:r>
        <w:rPr>
          <w:rFonts w:ascii="Arial" w:cs="Arial" w:eastAsia="Arial" w:hAnsi="Arial"/>
          <w:sz w:val="17"/>
          <w:szCs w:val="17"/>
          <w:color w:val="auto"/>
        </w:rPr>
        <w:t>Mr. Thomson is a leading practitioner on mergers and acquisitions and business strategy, having led the acquisition and strategy efforts for Citigroup and GE Capital, as well as serving as advisor to Fortune 500 firms while at Bain &amp; Co., Booz Allen Hamilton, and Barents Group. He has extensive investing experience as chief executive officer of Citigroup alternative investments, chairman of the Citigroup pension investment committee, chairman of the dynasty investment committee, and a member of the investment committees for the Davidson College and World Resources Institute endowments. Prior to joining Kairos Ventures, Mr. Thomson served as co-founder and chairman of Dynasty Financial Partners, or Dynasty, a leading investment and technology platform for sophisticated independent advisors. Founded by</w:t>
      </w:r>
    </w:p>
    <w:p>
      <w:pPr>
        <w:spacing w:after="0" w:line="1" w:lineRule="exact"/>
        <w:rPr>
          <w:sz w:val="20"/>
          <w:szCs w:val="20"/>
          <w:color w:val="auto"/>
        </w:rPr>
      </w:pPr>
    </w:p>
    <w:p>
      <w:pPr>
        <w:ind w:left="1260" w:right="439"/>
        <w:spacing w:after="0" w:line="252" w:lineRule="auto"/>
        <w:rPr>
          <w:sz w:val="20"/>
          <w:szCs w:val="20"/>
          <w:color w:val="auto"/>
        </w:rPr>
      </w:pPr>
      <w:r>
        <w:rPr>
          <w:rFonts w:ascii="Arial" w:cs="Arial" w:eastAsia="Arial" w:hAnsi="Arial"/>
          <w:sz w:val="17"/>
          <w:szCs w:val="17"/>
          <w:color w:val="auto"/>
        </w:rPr>
        <w:t>Mr. Thomson and his colleagues in 2010, Dynasty serves nearly 50 registered investment advisor firms nationally, with $50 billion under management. In addition to serving as chairman, Todd served in several operating roles since Dynasty’s founding, including chairing the investment committee, serving as chief investment officer, and designing and leading Dynasty Capital Strategies. Mr. Thomson has also agreed to serve on the board of Chardan NexTech Acquisition Corp., a blank check company, upon the effectiveness of its registration statement. We believe Mr. Thomson is qualified to serve on our board of directors because experience in public company corporate finance and early-stage investing.</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So long as we obtain and maintain a listing for our securities on Nasdaq, a majority of our board of directors generally must be independent, subject to certain limited exceptions and phase-in period set forth under the rules of Nasdaq.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each of Messrs. Biele, Boyle, Hardamon, Thakrar and Thomson and Ms. Jardins, is an “independent director” as defined in the Nasdaq listing standards and applicable SEC rules. We expect a majority of our board of directors to be comprised of independent directors within 12 months from the date of listing to comply with the majority independent board requirement in Rule 5605(b) of the Nasdaq listing rules. Our independent directors will have regularly scheduled meetings at which only independent directors are present.</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Arial" w:cs="Arial" w:eastAsia="Arial" w:hAnsi="Arial"/>
          <w:sz w:val="17"/>
          <w:szCs w:val="17"/>
          <w:color w:val="auto"/>
        </w:rPr>
        <w:t>We will have eight directors upon completion of this offering. Our board of directors will be divided into two classes with only one class of directors being elected in each year and each class (except for those directors appointed prior to our first annual meeting of stockholders) serving a 2-year term. In accordance with Nasdaq corporate governance requirements, we are not required to hold an annual meeting until one year after our first fiscal year end following our listing on Nasdaq. The term of office of the first class of directors, consisting of Messrs. Biele, Boyle, Hardamon, Thakrar and Thomson and Ms. Jardins will expire at our first annual meeting of stockholders. The term of office of the second class of directors, consisting of Messrs. Grossman, Propper, and Weil, will expire at our second annual meeting of stockholders. We may not hold an annual meeting of stockholders until after we consummate our initial business combination.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Subject to any other special rights applicable to the stockholders, including holders of preferred stock, whenever any director shall have been elected by the holders of any class of stock voting separately as a class, such director may be removed and the vacancy filled only by the holders of that class of stock voting separately as a class. Vacancies caused by any such removal and not filled by the stockholders at the meeting at which such removal shall have been made, or any vacancy caused by the death or resignation of any director or for any other reason, and any newly created directorship resulting from any increase in the authorized number of directors, may be filled by the affirmative vote of a majority of the directors then in office, although less than a quorum, and any director so elected to fill any such vacancy or newly created directorship shall hold office until his or her successor is elected and qualified or until his or her earlier resignation or removal.</w:t>
      </w:r>
    </w:p>
    <w:p>
      <w:pPr>
        <w:spacing w:after="0" w:line="124" w:lineRule="exact"/>
        <w:rPr>
          <w:sz w:val="20"/>
          <w:szCs w:val="20"/>
          <w:color w:val="auto"/>
        </w:rPr>
      </w:pPr>
    </w:p>
    <w:p>
      <w:pPr>
        <w:ind w:left="1260" w:right="419" w:firstLine="360"/>
        <w:spacing w:after="0" w:line="291"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persons to</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43" w:lineRule="auto"/>
        <w:rPr>
          <w:sz w:val="20"/>
          <w:szCs w:val="20"/>
          <w:color w:val="auto"/>
        </w:rPr>
      </w:pPr>
      <w:r>
        <w:rPr>
          <w:rFonts w:ascii="Arial" w:cs="Arial" w:eastAsia="Arial" w:hAnsi="Arial"/>
          <w:sz w:val="18"/>
          <w:szCs w:val="18"/>
          <w:color w:val="auto"/>
        </w:rPr>
        <w:t>the offices set forth in our bylaws as it deems appropriate. Our bylaws provide that our officers may consist of a Chairman of the Board, Vice Chairmen of the Board, President, Vice Presidents, Secretary, Treasurer, Assistant Secretaries, Assistant Treasurers, and such other offices as may be determined by the board of directors.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Officer and Director Compensation</w:t>
      </w:r>
    </w:p>
    <w:p>
      <w:pPr>
        <w:spacing w:after="0" w:line="14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None of our officers or directors has received any cash compensation for services rendered to us. Except as described below, to date, no compensation of any kind, including any finder’s fee, reimbursement, consulting fee or monies in respect of any payment of a loan, will be paid by us to our officers and directors, or, other than as described herein, to our sponsor or any affiliate of our sponsor or officers, prior to, or in connection with any services rendered in order to effectuate, the consummation of our initial business combination (regardless of the type of transaction that it is) . However, in May and June 2021, our sponsor transferred 20,000 founder shares to each of Messrs. Biele, Boyle, Hardamon, Thakrar and Thomson and Ms. Jardins. In addition, commencing on the date our securities are first listed on Nasdaq, we will pay an amount equal to $10,000 per month to our sponsor for office space, administrative and shared personnel support services. Also, our officers and directors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Any such payments prior to an initial business combination will be made using funds held outside the trust account. Other than quarterly audit committee review of such payments, we do not expect to have any additional controls in place governing our reimbursement payments to our directors and officers for their out-of-pocket expenses incurred in connection with identifying and consummating an initial business combination.</w:t>
      </w:r>
    </w:p>
    <w:p>
      <w:pPr>
        <w:spacing w:after="0" w:line="116"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tender offer materials or proxy solicitation materials furnished to our stockholders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2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48"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7"/>
          <w:szCs w:val="17"/>
          <w:color w:val="auto"/>
        </w:rPr>
        <w:t>Our board of directors will have two standing committees: an audit committee and a compensation committee. Subject to phase-in rules and certain limited exceptions, Nasdaq rules and Rule 10A-3 of the Exchange Act require that the audit committee of a listed company be comprised solely of independent directors. In addition, Nasdaq rules generally require that the compensation committee of a listed company be comprised solely of independent directors, subject to certain limited exceptions set forth thereunder.</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ind w:left="1260" w:right="899" w:firstLine="360"/>
        <w:spacing w:after="0" w:line="291" w:lineRule="auto"/>
        <w:rPr>
          <w:sz w:val="20"/>
          <w:szCs w:val="20"/>
          <w:color w:val="auto"/>
        </w:rPr>
      </w:pPr>
      <w:r>
        <w:rPr>
          <w:rFonts w:ascii="Arial" w:cs="Arial" w:eastAsia="Arial" w:hAnsi="Arial"/>
          <w:sz w:val="17"/>
          <w:szCs w:val="17"/>
          <w:color w:val="auto"/>
        </w:rPr>
        <w:t>Prior to the consummation of this offering, we will establish an audit committee of the board of directors. Messrs. Hardamon, Boyle and Grossman will serve as members of our audit committee, and</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7" w:lineRule="auto"/>
        <w:rPr>
          <w:sz w:val="20"/>
          <w:szCs w:val="20"/>
          <w:color w:val="auto"/>
        </w:rPr>
      </w:pPr>
      <w:r>
        <w:rPr>
          <w:rFonts w:ascii="Arial" w:cs="Arial" w:eastAsia="Arial" w:hAnsi="Arial"/>
          <w:sz w:val="18"/>
          <w:szCs w:val="18"/>
          <w:color w:val="auto"/>
        </w:rPr>
        <w:t>Mr. Hardamon will chair the audit committee. Under the Nasdaq listing standards and applicable SEC rules, we are required to have at least three members of the audit committee, all of whom must be independent, subject to certain phase-in provisions. Mr. Hardamon and Mr. Boyle meet the independent director standard under Nasdaq listing standards and under Rule 10-A-3(b) (1) of the Exchange Act but Mr. Grossman does not meet such standards.</w:t>
      </w:r>
    </w:p>
    <w:p>
      <w:pPr>
        <w:spacing w:after="0" w:line="107" w:lineRule="exact"/>
        <w:rPr>
          <w:sz w:val="20"/>
          <w:szCs w:val="20"/>
          <w:color w:val="auto"/>
        </w:rPr>
      </w:pPr>
    </w:p>
    <w:p>
      <w:pPr>
        <w:jc w:val="both"/>
        <w:ind w:left="1260" w:right="659" w:firstLine="360"/>
        <w:spacing w:after="0" w:line="308" w:lineRule="auto"/>
        <w:rPr>
          <w:sz w:val="20"/>
          <w:szCs w:val="20"/>
          <w:color w:val="auto"/>
        </w:rPr>
      </w:pPr>
      <w:r>
        <w:rPr>
          <w:rFonts w:ascii="Arial" w:cs="Arial" w:eastAsia="Arial" w:hAnsi="Arial"/>
          <w:sz w:val="17"/>
          <w:szCs w:val="17"/>
          <w:color w:val="auto"/>
        </w:rPr>
        <w:t>Each member of the audit committee is financially literate and our board of directors has determined that Mr. Hardamon qualifies as an “audit committee financial expert” as defined in applicable SEC rules.</w:t>
      </w:r>
    </w:p>
    <w:p>
      <w:pPr>
        <w:spacing w:after="0" w:line="79"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We will adopt an audit committee charter, which will detail the principal functions of the audit committee, including:</w:t>
      </w:r>
    </w:p>
    <w:p>
      <w:pPr>
        <w:spacing w:after="0" w:line="62" w:lineRule="exact"/>
        <w:rPr>
          <w:sz w:val="20"/>
          <w:szCs w:val="20"/>
          <w:color w:val="auto"/>
        </w:rPr>
      </w:pPr>
    </w:p>
    <w:p>
      <w:pPr>
        <w:ind w:left="1800" w:right="459" w:hanging="180"/>
        <w:spacing w:after="0" w:line="277"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registered public accounting firm engaged by us;</w:t>
      </w:r>
    </w:p>
    <w:p>
      <w:pPr>
        <w:spacing w:after="0" w:line="62" w:lineRule="exact"/>
        <w:rPr>
          <w:rFonts w:ascii="Arial" w:cs="Arial" w:eastAsia="Arial" w:hAnsi="Arial"/>
          <w:sz w:val="18"/>
          <w:szCs w:val="18"/>
          <w:color w:val="auto"/>
        </w:rPr>
      </w:pPr>
    </w:p>
    <w:p>
      <w:pPr>
        <w:ind w:left="1800" w:right="419" w:hanging="180"/>
        <w:spacing w:after="0" w:line="308" w:lineRule="auto"/>
        <w:tabs>
          <w:tab w:leader="none" w:pos="18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pre-approving all audit and permitted non-audit services to be provided by the independent registered public accounting firm engaged by us, and establishing pre-approval policies and procedures;</w:t>
      </w:r>
    </w:p>
    <w:p>
      <w:pPr>
        <w:spacing w:after="0" w:line="38" w:lineRule="exact"/>
        <w:rPr>
          <w:rFonts w:ascii="Arial" w:cs="Arial" w:eastAsia="Arial" w:hAnsi="Arial"/>
          <w:sz w:val="17"/>
          <w:szCs w:val="17"/>
          <w:color w:val="auto"/>
        </w:rPr>
      </w:pPr>
    </w:p>
    <w:p>
      <w:pPr>
        <w:ind w:left="1800" w:right="519" w:hanging="180"/>
        <w:spacing w:after="0" w:line="308" w:lineRule="auto"/>
        <w:tabs>
          <w:tab w:leader="none" w:pos="18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setting clear hiring policies for employees or former employees of the independent registered public accounting firm, including but not limited to, as required by applicable laws and regulations;</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setting clear policies for audit partner rotation in compliance with applicable laws and regulations;</w:t>
      </w:r>
    </w:p>
    <w:p>
      <w:pPr>
        <w:spacing w:after="0" w:line="142" w:lineRule="exact"/>
        <w:rPr>
          <w:rFonts w:ascii="Arial" w:cs="Arial" w:eastAsia="Arial" w:hAnsi="Arial"/>
          <w:sz w:val="17"/>
          <w:szCs w:val="17"/>
          <w:color w:val="auto"/>
        </w:rPr>
      </w:pPr>
    </w:p>
    <w:p>
      <w:pPr>
        <w:ind w:left="1800" w:right="519" w:hanging="180"/>
        <w:spacing w:after="0" w:line="254"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 all relationships between the independent registered public accounting firm and us to assess the independent registered public accounting firm’s independence;</w:t>
      </w:r>
    </w:p>
    <w:p>
      <w:pPr>
        <w:spacing w:after="0" w:line="83" w:lineRule="exact"/>
        <w:rPr>
          <w:rFonts w:ascii="Arial" w:cs="Arial" w:eastAsia="Arial" w:hAnsi="Arial"/>
          <w:sz w:val="18"/>
          <w:szCs w:val="18"/>
          <w:color w:val="auto"/>
        </w:rPr>
      </w:pPr>
    </w:p>
    <w:p>
      <w:pPr>
        <w:ind w:left="1800" w:right="539" w:hanging="180"/>
        <w:spacing w:after="0" w:line="308" w:lineRule="auto"/>
        <w:tabs>
          <w:tab w:leader="none" w:pos="18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reviewing and approving any related party transaction required to be disclosed pursuant to Item 404 of Regulation S-K promulgated by the SEC prior to us entering into such transaction; and</w:t>
      </w:r>
    </w:p>
    <w:p>
      <w:pPr>
        <w:spacing w:after="0" w:line="38" w:lineRule="exact"/>
        <w:rPr>
          <w:rFonts w:ascii="Arial" w:cs="Arial" w:eastAsia="Arial" w:hAnsi="Arial"/>
          <w:sz w:val="17"/>
          <w:szCs w:val="17"/>
          <w:color w:val="auto"/>
        </w:rPr>
      </w:pPr>
    </w:p>
    <w:p>
      <w:pPr>
        <w:ind w:left="1800" w:right="479" w:hanging="180"/>
        <w:spacing w:after="0" w:line="255"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44"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Prior to the consummation of this offering, we will establish a compensation committee of the board of directors. Ms. Jardins, Mr. Biele and Mr. Thomson will serve as members of our compensation committee. Under the Nasdaq listing standards and applicable SEC rules, we generally would be required to have at least two members of the compensation committee, all of whom must be independent, subject to certain limited exceptions set forth under the rules of Nasdaq. Ms. Jardins, Mr. Biele and Mr. Thomson are independent, and Ms. Jardins will chair the compensation committee.</w:t>
      </w:r>
    </w:p>
    <w:p>
      <w:pPr>
        <w:spacing w:after="0" w:line="125"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We will adopt a compensation committee charter, which will detail the principal functions of the compensation committee, including:</w:t>
      </w:r>
    </w:p>
    <w:p>
      <w:pPr>
        <w:spacing w:after="0" w:line="62" w:lineRule="exact"/>
        <w:rPr>
          <w:sz w:val="20"/>
          <w:szCs w:val="20"/>
          <w:color w:val="auto"/>
        </w:rPr>
      </w:pPr>
    </w:p>
    <w:p>
      <w:pPr>
        <w:ind w:left="1800" w:right="519" w:hanging="180"/>
        <w:spacing w:after="0" w:line="259"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p>
      <w:pPr>
        <w:spacing w:after="0" w:line="78"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approving on an annual basis the compensation, if any is paid by us, of all of our other officers;</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1" w:name="page122"/>
    <w:bookmarkEnd w:id="1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17" w:lineRule="exact"/>
        <w:rPr>
          <w:rFonts w:ascii="Arial" w:cs="Arial" w:eastAsia="Arial" w:hAnsi="Arial"/>
          <w:sz w:val="18"/>
          <w:szCs w:val="18"/>
          <w:color w:val="auto"/>
        </w:rPr>
      </w:pPr>
    </w:p>
    <w:p>
      <w:pPr>
        <w:ind w:left="1800" w:right="1259" w:hanging="180"/>
        <w:spacing w:after="0" w:line="277"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48"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62" w:lineRule="exact"/>
        <w:rPr>
          <w:rFonts w:ascii="Arial" w:cs="Arial" w:eastAsia="Arial" w:hAnsi="Arial"/>
          <w:sz w:val="18"/>
          <w:szCs w:val="18"/>
          <w:color w:val="auto"/>
        </w:rPr>
      </w:pPr>
    </w:p>
    <w:p>
      <w:pPr>
        <w:ind w:left="1800" w:right="1059" w:hanging="180"/>
        <w:spacing w:after="0" w:line="277"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reviewing, evaluating and recommending changes, if appropriate, to the remuneration for directors.</w:t>
      </w:r>
    </w:p>
    <w:p>
      <w:pPr>
        <w:spacing w:after="0" w:line="156" w:lineRule="exact"/>
        <w:rPr>
          <w:sz w:val="20"/>
          <w:szCs w:val="20"/>
          <w:color w:val="auto"/>
        </w:rPr>
      </w:pPr>
    </w:p>
    <w:p>
      <w:pPr>
        <w:ind w:left="1260" w:right="739" w:firstLine="360"/>
        <w:spacing w:after="0"/>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Nominations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do not have a standing nominating committee, although we intend to form a corporate governance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nominating committee as and when required to do so by law or Nasdaq rules. In accordance with</w:t>
      </w:r>
    </w:p>
    <w:p>
      <w:pPr>
        <w:ind w:left="1260"/>
        <w:spacing w:after="0"/>
        <w:rPr>
          <w:sz w:val="20"/>
          <w:szCs w:val="20"/>
          <w:color w:val="auto"/>
        </w:rPr>
      </w:pPr>
      <w:r>
        <w:rPr>
          <w:rFonts w:ascii="Arial" w:cs="Arial" w:eastAsia="Arial" w:hAnsi="Arial"/>
          <w:sz w:val="17"/>
          <w:szCs w:val="17"/>
          <w:color w:val="auto"/>
        </w:rPr>
        <w:t>Rule 5605 of the Nasdaq rules, a majority of the independent directors may recommend a director nominee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for selection by the board of directors. The board of directors believes that the independent directors can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satisfactorily carry out the responsibility of properly selecting or approving director nominees without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formation of a standing nominating committee. All of our independent directors who will participate in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consideration and recommendation of director nominees. In accordance with Rule 5605 of the Nasdaq rules,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each of Messrs. Biele, Boyle, Hardamon, Thakrar and Thomson and Ms. Jardins is independent. As there is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 standing nominating committee, we do not have a nominating committee charter in place.</w:t>
      </w:r>
    </w:p>
    <w:p>
      <w:pPr>
        <w:spacing w:after="0" w:line="128"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7"/>
          <w:szCs w:val="17"/>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 However, prior to our initial business combination, holders of our public shares will not have the right to recommend director candidates for nomination to our board of directors.</w:t>
      </w:r>
    </w:p>
    <w:p>
      <w:pPr>
        <w:spacing w:after="0" w:line="94"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Ethics</w:t>
      </w:r>
    </w:p>
    <w:p>
      <w:pPr>
        <w:spacing w:after="0" w:line="162" w:lineRule="exact"/>
        <w:rPr>
          <w:sz w:val="20"/>
          <w:szCs w:val="20"/>
          <w:color w:val="auto"/>
        </w:rPr>
      </w:pPr>
    </w:p>
    <w:p>
      <w:pPr>
        <w:ind w:left="1260" w:right="579" w:firstLine="360"/>
        <w:spacing w:after="0" w:line="238" w:lineRule="auto"/>
        <w:rPr>
          <w:sz w:val="20"/>
          <w:szCs w:val="20"/>
          <w:color w:val="auto"/>
        </w:rPr>
      </w:pPr>
      <w:r>
        <w:rPr>
          <w:rFonts w:ascii="Arial" w:cs="Arial" w:eastAsia="Arial" w:hAnsi="Arial"/>
          <w:sz w:val="18"/>
          <w:szCs w:val="18"/>
          <w:color w:val="auto"/>
        </w:rPr>
        <w:t>Prior to the consummation of this offering, we will adopt a Code of Ethics applicable to our directors, officers and employees. We will file a copy of our Code of Ethics and our audit and compensation committee charters as exhibits to the registration statement of which this prospectus is a part. You will be able to review these documents by accessing our public filings at the SEC’s web site at www.sec.gov. In addition, a copy of the Code of Ethics will be provided without charge upon request from us. We intend to disclose any amendments to or waivers of certain provisions of our Code of Ethics in a Current Report on Form 8-K. See the section of this prospectus entitled “</w:t>
      </w:r>
      <w:r>
        <w:rPr>
          <w:rFonts w:ascii="Arial" w:cs="Arial" w:eastAsia="Arial" w:hAnsi="Arial"/>
          <w:sz w:val="18"/>
          <w:szCs w:val="18"/>
          <w:i w:val="1"/>
          <w:iCs w:val="1"/>
          <w:color w:val="auto"/>
        </w:rPr>
        <w:t>Where You Can Find Additional Information</w:t>
      </w:r>
      <w:r>
        <w:rPr>
          <w:rFonts w:ascii="Arial" w:cs="Arial" w:eastAsia="Arial" w:hAnsi="Arial"/>
          <w:sz w:val="18"/>
          <w:szCs w:val="18"/>
          <w:color w:val="auto"/>
        </w:rPr>
        <w:t>” for more information.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2" w:name="page123"/>
    <w:bookmarkEnd w:id="1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99"/>
        <w:spacing w:after="0" w:line="279" w:lineRule="auto"/>
        <w:rPr>
          <w:sz w:val="20"/>
          <w:szCs w:val="20"/>
          <w:color w:val="auto"/>
        </w:rPr>
      </w:pPr>
      <w:r>
        <w:rPr>
          <w:rFonts w:ascii="Arial" w:cs="Arial" w:eastAsia="Arial" w:hAnsi="Arial"/>
          <w:sz w:val="17"/>
          <w:szCs w:val="17"/>
          <w:color w:val="auto"/>
        </w:rPr>
        <w:t>combination. While Chardan will not have any duty to offer acquisition opportunities to us, Chardan may become aware of a potential transaction that is an attractive opportunity for us, which Chardan may decide to share with us. In addition, our officers and directors may have a duty to offer acquisition opportunities to other entities to which they owe duties or clients of affiliates of our sponsor.</w:t>
      </w:r>
    </w:p>
    <w:p>
      <w:pPr>
        <w:spacing w:after="0" w:line="90"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As a result, affiliates of our sponsor and their respective clients may compete with us for acquisition opportunities in the same industries and sectors as we may target for our initial business combination. If any of them decide to pursue any such opportunity, we may be precluded from procuring such opportunities. In addition, investment ideas generated within Chardan, including by any of our officers and other persons who may make decisions for the company, may be suitable both for us and for affiliates of our sponsor or any of their respective clients, and will be directed initially to such persons rather than to us. None of Chardan nor members of our management team who are also employed by Chardan or any of its affiliates have any obligation to present us with any opportunity for a potential business combination of which they become aware unless it is offered to them solely in their capacity as a director or officer of the Company and after they have satisfied their contractual and fiduciary obligations to other parties.</w:t>
      </w:r>
    </w:p>
    <w:p>
      <w:pPr>
        <w:spacing w:after="0" w:line="118"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Our sponsor, officers, directors, Chardan and their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Chardan NexTech 1,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24"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16" w:lineRule="exact"/>
        <w:rPr>
          <w:sz w:val="20"/>
          <w:szCs w:val="20"/>
          <w:color w:val="auto"/>
        </w:rPr>
      </w:pPr>
    </w:p>
    <w:p>
      <w:pPr>
        <w:ind w:left="1260" w:right="659" w:firstLine="360"/>
        <w:spacing w:after="0" w:line="269" w:lineRule="auto"/>
        <w:rPr>
          <w:sz w:val="20"/>
          <w:szCs w:val="20"/>
          <w:color w:val="auto"/>
        </w:rPr>
      </w:pPr>
      <w:r>
        <w:rPr>
          <w:rFonts w:ascii="Arial" w:cs="Arial" w:eastAsia="Arial" w:hAnsi="Arial"/>
          <w:sz w:val="17"/>
          <w:szCs w:val="17"/>
          <w:color w:val="auto"/>
        </w:rPr>
        <w:t>Notwithstanding the foregoing, we may, at our option, pursue an Affiliated Joint Acquisition. We do not expect that we would pursue any such opportunity with an Affiliated SPAC. This would only occur, though, if (i) permitted by applicable regulatory and other legal limitations; (ii) we and our sponsor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could involve a co-investment with us in the target business at the time of our initial business combination, or we could raise additional proceeds to complete the initial business combination. Any such Affiliated Joint Acquisition or specified future issuance would be in addition to, and would not include, the forward purchase securities issued pursuant to the forward purchase contract.</w:t>
      </w:r>
    </w:p>
    <w:p>
      <w:pPr>
        <w:spacing w:after="0" w:line="114"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The potential conflicts described above may limit our ability to enter into a business combination or other transactions. These circumstances could give rise to numerous situations where interests may conflict. There can be no assurance that these or other conflicts of interest with the potential for adverse effects on the Company and investors will not arise.</w:t>
      </w: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Potential investors should be aware of the additional following potential conflicts of interest:</w:t>
      </w:r>
    </w:p>
    <w:p>
      <w:pPr>
        <w:spacing w:after="0" w:line="117" w:lineRule="exact"/>
        <w:rPr>
          <w:sz w:val="20"/>
          <w:szCs w:val="20"/>
          <w:color w:val="auto"/>
        </w:rPr>
      </w:pPr>
    </w:p>
    <w:p>
      <w:pPr>
        <w:ind w:left="1800" w:right="879" w:hanging="180"/>
        <w:spacing w:after="0" w:line="263"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75" w:lineRule="exact"/>
        <w:rPr>
          <w:rFonts w:ascii="Arial" w:cs="Arial" w:eastAsia="Arial" w:hAnsi="Arial"/>
          <w:sz w:val="18"/>
          <w:szCs w:val="18"/>
          <w:color w:val="auto"/>
        </w:rPr>
      </w:pPr>
    </w:p>
    <w:p>
      <w:pPr>
        <w:ind w:left="1800" w:right="519" w:hanging="180"/>
        <w:spacing w:after="0" w:line="255"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management has pre-existing fiduciary duties and contractual obligations and if there is a conflict of interest in determining to which entity a particular business opportunity should be presented, any pre-existing fiduciary obligation will be presented the opportunity before we are presented with it.</w:t>
      </w:r>
    </w:p>
    <w:p>
      <w:pPr>
        <w:spacing w:after="0" w:line="97" w:lineRule="exact"/>
        <w:rPr>
          <w:rFonts w:ascii="Arial" w:cs="Arial" w:eastAsia="Arial" w:hAnsi="Arial"/>
          <w:sz w:val="18"/>
          <w:szCs w:val="18"/>
          <w:color w:val="auto"/>
        </w:rPr>
      </w:pPr>
    </w:p>
    <w:p>
      <w:pPr>
        <w:jc w:val="both"/>
        <w:ind w:left="1800" w:right="739" w:hanging="180"/>
        <w:spacing w:after="0" w:line="263"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officers and directors may in the future become affiliated with entities, including other blank check companies, engaged in business activities similar to those intended to be conducted by our company.</w:t>
      </w:r>
    </w:p>
    <w:p>
      <w:pPr>
        <w:spacing w:after="0" w:line="75" w:lineRule="exact"/>
        <w:rPr>
          <w:rFonts w:ascii="Arial" w:cs="Arial" w:eastAsia="Arial" w:hAnsi="Arial"/>
          <w:sz w:val="18"/>
          <w:szCs w:val="18"/>
          <w:color w:val="auto"/>
        </w:rPr>
      </w:pPr>
    </w:p>
    <w:p>
      <w:pPr>
        <w:ind w:left="1800" w:right="439" w:hanging="180"/>
        <w:spacing w:after="0" w:line="253"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founder shares owned by our officers and directors will be released from escrow only if a business combination is successfully completed and subject to certain other limitations. Additionally, our officers and directors will not receive distributions from the trust account with respect to any of their founder shares if we do not complete a business combination. In addition, our officers and directors may loan funds to us after this offering and may be owed reimbursement for expenses incurred in connection with certain activities on our behalf which would only be repaid if we complete an initial business combination. For the foregoing reasons, the personal and financial interests of our directors and executive officers may influence their motivation in identifying and selecting a target business, completing a business combination in a timely manner and securing the release of their shares.</w:t>
      </w:r>
    </w:p>
    <w:p>
      <w:pPr>
        <w:spacing w:after="0" w:line="86" w:lineRule="exact"/>
        <w:rPr>
          <w:rFonts w:ascii="Arial" w:cs="Arial" w:eastAsia="Arial" w:hAnsi="Arial"/>
          <w:sz w:val="18"/>
          <w:szCs w:val="18"/>
          <w:color w:val="auto"/>
        </w:rPr>
      </w:pPr>
    </w:p>
    <w:p>
      <w:pPr>
        <w:ind w:left="1800" w:right="419" w:hanging="180"/>
        <w:spacing w:after="0" w:line="267" w:lineRule="auto"/>
        <w:tabs>
          <w:tab w:leader="none" w:pos="18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Our sponsor, officers and directors have agreed to waive their redemption rights with respect to any founder shares and any public shares held by them in connection with the consummation of our initial business combination. Additionally, our initial stockholders, officers and directors have agreed to waive their rights to liquidating distributions from the trust account with respect to any founder shares held by them if we fail to consummate our initial business combination within the completion window. However, if our initial stockholders or any of our officers, directors or affiliates acquire public shares in or after this offering, they will be entitled to liquidating distributions from the trust account with respect to such public shares if we fail to consummate our initial business combination within the completion window. 50% of these founder shares will not be transferred, assigned, sold or released from escrow until the earlier of (i) six months after the date of the consummation of our initial business combination or (ii) the date on which the closing price of our shares of common stock equals or exceeds $12.50 per share (as adjusted for stock splits, stock dividends, reorganizations and recapitalizations) for any 10 trading days within any 30-trading day period commencing after our initial business combination. And the remaining 50% of the founder shares will not be transferred, assigned, sold or released from escrow until six months after the date of the consummation of our initial business combination or earlier, in either case, if, subsequent to our initial business combination, we consummate a subsequent liquidation, merger, stock exchange or other similar transaction that results in all of our stockholders having the right to exchange their shares of common stock for cash, securities or other property. Since our sponsor, officers and directors may directly or indirectly own common stock and warrants following this offering, our officers and directors may have a conflict of interest in determining whether a particular target business is an appropriate business with which to effectuate our initial business combination.</w:t>
      </w:r>
    </w:p>
    <w:p>
      <w:pPr>
        <w:spacing w:after="0" w:line="89" w:lineRule="exact"/>
        <w:rPr>
          <w:rFonts w:ascii="Arial" w:cs="Arial" w:eastAsia="Arial" w:hAnsi="Arial"/>
          <w:sz w:val="17"/>
          <w:szCs w:val="17"/>
          <w:color w:val="auto"/>
        </w:rPr>
      </w:pPr>
    </w:p>
    <w:p>
      <w:pPr>
        <w:ind w:left="1800" w:right="479" w:hanging="180"/>
        <w:spacing w:after="0" w:line="286" w:lineRule="auto"/>
        <w:tabs>
          <w:tab w:leader="none" w:pos="18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57" w:lineRule="exact"/>
        <w:rPr>
          <w:rFonts w:ascii="Arial" w:cs="Arial" w:eastAsia="Arial" w:hAnsi="Arial"/>
          <w:sz w:val="17"/>
          <w:szCs w:val="17"/>
          <w:color w:val="auto"/>
        </w:rPr>
      </w:pPr>
    </w:p>
    <w:p>
      <w:pPr>
        <w:ind w:left="1800" w:right="419" w:hanging="180"/>
        <w:spacing w:after="0" w:line="259"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sponsor, officers or directors may have a conflict of interest with respect to evaluating a business combination and financing arrangements as we may obtain loans from our sponsor or an affiliate of our sponsor or any of our officers or directors to finance transaction costs in connection with an intended initial business combination.</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4" w:name="page125"/>
    <w:bookmarkEnd w:id="1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39" w:hanging="180"/>
        <w:spacing w:after="0" w:line="273" w:lineRule="auto"/>
        <w:tabs>
          <w:tab w:leader="none" w:pos="18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 order to minimize potential conflicts of interest which may arise from multiple affiliations, our officers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w:t>
      </w:r>
    </w:p>
    <w:p>
      <w:pPr>
        <w:spacing w:after="0" w:line="69" w:lineRule="exact"/>
        <w:rPr>
          <w:rFonts w:ascii="Arial" w:cs="Arial" w:eastAsia="Arial" w:hAnsi="Arial"/>
          <w:sz w:val="17"/>
          <w:szCs w:val="17"/>
          <w:color w:val="auto"/>
        </w:rPr>
      </w:pPr>
    </w:p>
    <w:p>
      <w:pPr>
        <w:ind w:left="1800" w:right="759" w:hanging="180"/>
        <w:spacing w:after="0" w:line="308" w:lineRule="auto"/>
        <w:tabs>
          <w:tab w:leader="none" w:pos="18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Our sponsor intends to allocate up to 20,000 founder shares to each of our independent directors. Such securities will be worthless if we do not complete an initial business combination.</w:t>
      </w:r>
    </w:p>
    <w:p>
      <w:pPr>
        <w:spacing w:after="0" w:line="38" w:lineRule="exact"/>
        <w:rPr>
          <w:rFonts w:ascii="Arial" w:cs="Arial" w:eastAsia="Arial" w:hAnsi="Arial"/>
          <w:sz w:val="17"/>
          <w:szCs w:val="17"/>
          <w:color w:val="auto"/>
        </w:rPr>
      </w:pPr>
    </w:p>
    <w:p>
      <w:pPr>
        <w:ind w:left="1800" w:right="419" w:hanging="180"/>
        <w:spacing w:after="0" w:line="286" w:lineRule="auto"/>
        <w:tabs>
          <w:tab w:leader="none" w:pos="18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We may engage Chardan, or another affiliate of our sponsor, as a financial advisor in connection with our initial business combination and pay such affiliate a customary financial advisory fee in an amount that constitutes a market standard financial advisory fee for comparable transactions.</w:t>
      </w:r>
    </w:p>
    <w:p>
      <w:pPr>
        <w:spacing w:after="0" w:line="57" w:lineRule="exact"/>
        <w:rPr>
          <w:rFonts w:ascii="Arial" w:cs="Arial" w:eastAsia="Arial" w:hAnsi="Arial"/>
          <w:sz w:val="17"/>
          <w:szCs w:val="17"/>
          <w:color w:val="auto"/>
        </w:rPr>
      </w:pPr>
    </w:p>
    <w:p>
      <w:pPr>
        <w:ind w:left="1800" w:right="519" w:hanging="180"/>
        <w:spacing w:after="0" w:line="263" w:lineRule="auto"/>
        <w:tabs>
          <w:tab w:leader="none" w:pos="1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Furthermore, we may acquire a target company that has engaged Chardan, or another affiliate of our sponsor, as a financial advisor, and such target company may pay such affiliate a financial advisory fee in connection with our initial business combination.</w:t>
      </w:r>
    </w:p>
    <w:p>
      <w:pPr>
        <w:spacing w:after="0" w:line="103"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62" w:lineRule="exact"/>
        <w:rPr>
          <w:sz w:val="20"/>
          <w:szCs w:val="20"/>
          <w:color w:val="auto"/>
        </w:rPr>
      </w:pPr>
    </w:p>
    <w:p>
      <w:pPr>
        <w:ind w:left="1800" w:hanging="180"/>
        <w:spacing w:after="0"/>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17"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103"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12 months (or up to 18 months, as applicable)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338"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The following table summarizes the other relevant pre-existing fiduciary or contractual obligations of our officers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Name of Affiliated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20574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340Basics d/b/a Nuvem</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ATW Partners</w:t>
      </w:r>
    </w:p>
    <w:p>
      <w:pPr>
        <w:spacing w:after="0" w:line="9" w:lineRule="exact"/>
        <w:rPr>
          <w:sz w:val="20"/>
          <w:szCs w:val="20"/>
          <w:color w:val="auto"/>
        </w:rPr>
      </w:pPr>
    </w:p>
    <w:p>
      <w:pPr>
        <w:ind w:left="1260" w:right="60"/>
        <w:spacing w:after="0" w:line="250" w:lineRule="auto"/>
        <w:rPr>
          <w:sz w:val="20"/>
          <w:szCs w:val="20"/>
          <w:color w:val="auto"/>
        </w:rPr>
      </w:pPr>
      <w:r>
        <w:rPr>
          <w:rFonts w:ascii="Arial" w:cs="Arial" w:eastAsia="Arial" w:hAnsi="Arial"/>
          <w:sz w:val="18"/>
          <w:szCs w:val="18"/>
          <w:color w:val="auto"/>
        </w:rPr>
        <w:t>Chardan Capital Markets, LLC Chardan NexTech Acquisition Corp. China Networks International Holdings Ltd.</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Credit Sesame, Inc.</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PierianDx, Inc.</w:t>
      </w:r>
    </w:p>
    <w:p>
      <w:pPr>
        <w:spacing w:after="0" w:line="35" w:lineRule="exact"/>
        <w:rPr>
          <w:sz w:val="20"/>
          <w:szCs w:val="20"/>
          <w:color w:val="auto"/>
        </w:rPr>
      </w:pPr>
    </w:p>
    <w:p>
      <w:pPr>
        <w:ind w:left="1260"/>
        <w:spacing w:after="0" w:line="253" w:lineRule="auto"/>
        <w:rPr>
          <w:sz w:val="20"/>
          <w:szCs w:val="20"/>
          <w:color w:val="auto"/>
        </w:rPr>
      </w:pPr>
      <w:r>
        <w:rPr>
          <w:rFonts w:ascii="Arial" w:cs="Arial" w:eastAsia="Arial" w:hAnsi="Arial"/>
          <w:sz w:val="18"/>
          <w:szCs w:val="18"/>
          <w:color w:val="auto"/>
        </w:rPr>
        <w:t>Chardan Capital Markets, LLC Chardan Healthcare Acquisition 2 Corp. Chardan NexTech Acquisition Corp. CleanTech Acquisition Corp. Cornix Advisers, LLC</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BiomX, Inc.</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Ventoux CCM Acquisition Corp.</w:t>
      </w:r>
    </w:p>
    <w:p>
      <w:pPr>
        <w:spacing w:after="0" w:line="49" w:lineRule="exact"/>
        <w:rPr>
          <w:sz w:val="20"/>
          <w:szCs w:val="20"/>
          <w:color w:val="auto"/>
        </w:rPr>
      </w:pPr>
    </w:p>
    <w:p>
      <w:pPr>
        <w:ind w:left="1260" w:right="280"/>
        <w:spacing w:after="0" w:line="286" w:lineRule="auto"/>
        <w:rPr>
          <w:sz w:val="20"/>
          <w:szCs w:val="20"/>
          <w:color w:val="auto"/>
        </w:rPr>
      </w:pPr>
      <w:r>
        <w:rPr>
          <w:rFonts w:ascii="Arial" w:cs="Arial" w:eastAsia="Arial" w:hAnsi="Arial"/>
          <w:sz w:val="17"/>
          <w:szCs w:val="17"/>
          <w:color w:val="auto"/>
        </w:rPr>
        <w:t>Chardan Capital Markets, LLC Chardan NexTech Acquisition Corp. Ventoux CCM Acquisition Corp.</w:t>
      </w: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PREEM Inc.</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Chardan NexTech Acquisition Corp.</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URGE Development Group</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URGE Imprint LLC</w:t>
      </w:r>
    </w:p>
    <w:p>
      <w:pPr>
        <w:spacing w:after="0" w:line="26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 Company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 Fund</w:t>
      </w:r>
    </w:p>
    <w:p>
      <w:pPr>
        <w:spacing w:after="0" w:line="4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Syncona Limited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KQ Labs</w:t>
      </w:r>
    </w:p>
    <w:p>
      <w:pPr>
        <w:spacing w:after="0" w:line="49" w:lineRule="exact"/>
        <w:rPr>
          <w:sz w:val="20"/>
          <w:szCs w:val="20"/>
          <w:color w:val="auto"/>
        </w:rPr>
      </w:pPr>
    </w:p>
    <w:p>
      <w:pPr>
        <w:ind w:left="1260" w:right="280"/>
        <w:spacing w:after="0" w:line="308" w:lineRule="auto"/>
        <w:rPr>
          <w:sz w:val="20"/>
          <w:szCs w:val="20"/>
          <w:color w:val="auto"/>
        </w:rPr>
      </w:pPr>
      <w:r>
        <w:rPr>
          <w:rFonts w:ascii="Arial" w:cs="Arial" w:eastAsia="Arial" w:hAnsi="Arial"/>
          <w:sz w:val="17"/>
          <w:szCs w:val="17"/>
          <w:color w:val="auto"/>
        </w:rPr>
        <w:t>Kairos Ventures Investments, LLC Chardan NexTech Acquisition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Name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wp:posOffset>
            </wp:positionV>
            <wp:extent cx="8229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Kerry Propper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Jonas Grossman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Alex Weil</w:t>
      </w:r>
    </w:p>
    <w:p>
      <w:pPr>
        <w:spacing w:after="0" w:line="200" w:lineRule="exact"/>
        <w:rPr>
          <w:sz w:val="20"/>
          <w:szCs w:val="20"/>
          <w:color w:val="auto"/>
        </w:rPr>
      </w:pPr>
    </w:p>
    <w:p>
      <w:pPr>
        <w:spacing w:after="0" w:line="295" w:lineRule="exact"/>
        <w:rPr>
          <w:sz w:val="20"/>
          <w:szCs w:val="20"/>
          <w:color w:val="auto"/>
        </w:rPr>
      </w:pPr>
    </w:p>
    <w:p>
      <w:pPr>
        <w:ind w:right="140"/>
        <w:spacing w:after="0" w:line="535" w:lineRule="auto"/>
        <w:rPr>
          <w:sz w:val="20"/>
          <w:szCs w:val="20"/>
          <w:color w:val="auto"/>
        </w:rPr>
      </w:pPr>
      <w:r>
        <w:rPr>
          <w:rFonts w:ascii="Arial" w:cs="Arial" w:eastAsia="Arial" w:hAnsi="Arial"/>
          <w:sz w:val="16"/>
          <w:szCs w:val="16"/>
          <w:color w:val="auto"/>
        </w:rPr>
        <w:t>Jonathan Biele Perry Boyle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Roderick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Hardamon</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Jory Des Jardins</w:t>
      </w:r>
    </w:p>
    <w:p>
      <w:pPr>
        <w:spacing w:after="0" w:line="302"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Hitesh Thakrar</w:t>
      </w:r>
    </w:p>
    <w:p>
      <w:pPr>
        <w:spacing w:after="0" w:line="200" w:lineRule="exact"/>
        <w:rPr>
          <w:sz w:val="20"/>
          <w:szCs w:val="20"/>
          <w:color w:val="auto"/>
        </w:rPr>
      </w:pPr>
    </w:p>
    <w:p>
      <w:pPr>
        <w:spacing w:after="0" w:line="29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Todd Thomson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Priority/Preference relative to</w:t>
      </w:r>
    </w:p>
    <w:p>
      <w:pPr>
        <w:spacing w:after="0" w:line="17"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Chardan NexTech Acquisition 2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0574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41" w:lineRule="exact"/>
        <w:rPr>
          <w:sz w:val="20"/>
          <w:szCs w:val="20"/>
          <w:color w:val="auto"/>
        </w:rPr>
      </w:pPr>
    </w:p>
    <w:p>
      <w:pPr>
        <w:jc w:val="both"/>
        <w:ind w:right="419"/>
        <w:spacing w:after="0" w:line="254" w:lineRule="auto"/>
        <w:rPr>
          <w:sz w:val="20"/>
          <w:szCs w:val="20"/>
          <w:color w:val="auto"/>
        </w:rPr>
      </w:pPr>
      <w:r>
        <w:rPr>
          <w:rFonts w:ascii="Arial" w:cs="Arial" w:eastAsia="Arial" w:hAnsi="Arial"/>
          <w:sz w:val="18"/>
          <w:szCs w:val="18"/>
          <w:color w:val="auto"/>
        </w:rPr>
        <w:t>340Basics d/b/a Nuvem, ATW Partners, and Chardan Capital Markets, LLC, China Networks International Holdings Ltd., Credit Sesame, Inc., and PierianDx, Inc. will each have priority over us. We will have priority over Chardan NexTech Acquisition Corp.</w:t>
      </w:r>
    </w:p>
    <w:p>
      <w:pPr>
        <w:spacing w:after="0" w:line="235" w:lineRule="exact"/>
        <w:rPr>
          <w:sz w:val="20"/>
          <w:szCs w:val="20"/>
          <w:color w:val="auto"/>
        </w:rPr>
      </w:pPr>
    </w:p>
    <w:p>
      <w:pPr>
        <w:jc w:val="both"/>
        <w:ind w:right="419"/>
        <w:spacing w:after="0" w:line="272" w:lineRule="auto"/>
        <w:rPr>
          <w:sz w:val="20"/>
          <w:szCs w:val="20"/>
          <w:color w:val="auto"/>
        </w:rPr>
      </w:pPr>
      <w:r>
        <w:rPr>
          <w:rFonts w:ascii="Arial" w:cs="Arial" w:eastAsia="Arial" w:hAnsi="Arial"/>
          <w:sz w:val="17"/>
          <w:szCs w:val="17"/>
          <w:color w:val="auto"/>
        </w:rPr>
        <w:t>Chardan Capital Markets, LLC, Chardan Healthcare Acquisition 2 Corp., CleanTech Acquisition Corp., Cornix Advisers, LLC, BiomX, Inc. and Ventoux CCM Acquisition Corp. will each have priority over us. We will have priority over Chardan NexTech Acquisition Corp.</w:t>
      </w:r>
    </w:p>
    <w:p>
      <w:pPr>
        <w:spacing w:after="0" w:line="15" w:lineRule="exact"/>
        <w:rPr>
          <w:sz w:val="20"/>
          <w:szCs w:val="20"/>
          <w:color w:val="auto"/>
        </w:rPr>
      </w:pPr>
    </w:p>
    <w:p>
      <w:pPr>
        <w:jc w:val="both"/>
        <w:ind w:right="419"/>
        <w:spacing w:after="0" w:line="257" w:lineRule="auto"/>
        <w:rPr>
          <w:sz w:val="20"/>
          <w:szCs w:val="20"/>
          <w:color w:val="auto"/>
        </w:rPr>
      </w:pPr>
      <w:r>
        <w:rPr>
          <w:rFonts w:ascii="Arial" w:cs="Arial" w:eastAsia="Arial" w:hAnsi="Arial"/>
          <w:sz w:val="18"/>
          <w:szCs w:val="18"/>
          <w:color w:val="auto"/>
        </w:rPr>
        <w:t>Chardan Capital Markets, LLC, and Ventoux CCM Acquisition Corp. will each have priority over us. We will have priority over Chardan NexTech Acquisition Corp.</w:t>
      </w:r>
    </w:p>
    <w:p>
      <w:pPr>
        <w:spacing w:after="0" w:line="26" w:lineRule="exact"/>
        <w:rPr>
          <w:sz w:val="20"/>
          <w:szCs w:val="20"/>
          <w:color w:val="auto"/>
        </w:rPr>
      </w:pPr>
    </w:p>
    <w:p>
      <w:pPr>
        <w:ind w:right="419"/>
        <w:spacing w:after="0" w:line="279" w:lineRule="auto"/>
        <w:rPr>
          <w:sz w:val="20"/>
          <w:szCs w:val="20"/>
          <w:color w:val="auto"/>
        </w:rPr>
      </w:pPr>
      <w:r>
        <w:rPr>
          <w:rFonts w:ascii="Arial" w:cs="Arial" w:eastAsia="Arial" w:hAnsi="Arial"/>
          <w:sz w:val="18"/>
          <w:szCs w:val="18"/>
          <w:color w:val="auto"/>
        </w:rPr>
        <w:t>PREEM Inc. will have priority over us. We will have priority over Chardan NexTech Acquisition Corp.</w:t>
      </w:r>
    </w:p>
    <w:p>
      <w:pPr>
        <w:spacing w:after="0" w:line="7" w:lineRule="exact"/>
        <w:rPr>
          <w:sz w:val="20"/>
          <w:szCs w:val="20"/>
          <w:color w:val="auto"/>
        </w:rPr>
      </w:pPr>
    </w:p>
    <w:p>
      <w:pPr>
        <w:jc w:val="both"/>
        <w:ind w:right="419"/>
        <w:spacing w:after="0" w:line="263" w:lineRule="auto"/>
        <w:rPr>
          <w:sz w:val="20"/>
          <w:szCs w:val="20"/>
          <w:color w:val="auto"/>
        </w:rPr>
      </w:pPr>
      <w:r>
        <w:rPr>
          <w:rFonts w:ascii="Arial" w:cs="Arial" w:eastAsia="Arial" w:hAnsi="Arial"/>
          <w:sz w:val="18"/>
          <w:szCs w:val="18"/>
          <w:color w:val="auto"/>
        </w:rPr>
        <w:t>URGE Development Group and URGE Imprint LLC will each have priority over us.</w:t>
      </w:r>
    </w:p>
    <w:p>
      <w:pPr>
        <w:spacing w:after="0" w:line="22" w:lineRule="exact"/>
        <w:rPr>
          <w:sz w:val="20"/>
          <w:szCs w:val="20"/>
          <w:color w:val="auto"/>
        </w:rPr>
      </w:pPr>
    </w:p>
    <w:p>
      <w:pPr>
        <w:jc w:val="both"/>
        <w:ind w:right="419"/>
        <w:spacing w:after="0" w:line="277" w:lineRule="auto"/>
        <w:rPr>
          <w:sz w:val="20"/>
          <w:szCs w:val="20"/>
          <w:color w:val="auto"/>
        </w:rPr>
      </w:pPr>
      <w:r>
        <w:rPr>
          <w:rFonts w:ascii="Arial" w:cs="Arial" w:eastAsia="Arial" w:hAnsi="Arial"/>
          <w:sz w:val="18"/>
          <w:szCs w:val="18"/>
          <w:color w:val="auto"/>
        </w:rPr>
        <w:t>The @ Company and W Fund will each have priority over us.</w:t>
      </w:r>
    </w:p>
    <w:p>
      <w:pPr>
        <w:spacing w:after="0" w:line="8" w:lineRule="exact"/>
        <w:rPr>
          <w:sz w:val="20"/>
          <w:szCs w:val="20"/>
          <w:color w:val="auto"/>
        </w:rPr>
      </w:pPr>
    </w:p>
    <w:p>
      <w:pPr>
        <w:jc w:val="both"/>
        <w:ind w:right="419"/>
        <w:spacing w:after="0" w:line="277" w:lineRule="auto"/>
        <w:rPr>
          <w:sz w:val="20"/>
          <w:szCs w:val="20"/>
          <w:color w:val="auto"/>
        </w:rPr>
      </w:pPr>
      <w:r>
        <w:rPr>
          <w:rFonts w:ascii="Arial" w:cs="Arial" w:eastAsia="Arial" w:hAnsi="Arial"/>
          <w:sz w:val="18"/>
          <w:szCs w:val="18"/>
          <w:color w:val="auto"/>
        </w:rPr>
        <w:t>Syncona Limited and KQ Labs will each have priority over us.</w:t>
      </w:r>
    </w:p>
    <w:p>
      <w:pPr>
        <w:spacing w:after="0" w:line="8" w:lineRule="exact"/>
        <w:rPr>
          <w:sz w:val="20"/>
          <w:szCs w:val="20"/>
          <w:color w:val="auto"/>
        </w:rPr>
      </w:pPr>
    </w:p>
    <w:p>
      <w:pPr>
        <w:jc w:val="both"/>
        <w:ind w:right="419"/>
        <w:spacing w:after="0" w:line="259" w:lineRule="auto"/>
        <w:rPr>
          <w:sz w:val="20"/>
          <w:szCs w:val="20"/>
          <w:color w:val="auto"/>
        </w:rPr>
      </w:pPr>
      <w:r>
        <w:rPr>
          <w:rFonts w:ascii="Arial" w:cs="Arial" w:eastAsia="Arial" w:hAnsi="Arial"/>
          <w:sz w:val="18"/>
          <w:szCs w:val="18"/>
          <w:color w:val="auto"/>
        </w:rPr>
        <w:t>Kairos Ventures Investments, LLC will have priority over us. We will have priority over Chardan NexTech Acquisition Corp.</w:t>
      </w:r>
    </w:p>
    <w:p>
      <w:pPr>
        <w:spacing w:after="0" w:line="133" w:lineRule="exact"/>
        <w:rPr>
          <w:sz w:val="20"/>
          <w:szCs w:val="20"/>
          <w:color w:val="auto"/>
        </w:rPr>
      </w:pPr>
    </w:p>
    <w:p>
      <w:pPr>
        <w:sectPr>
          <w:pgSz w:w="11900" w:h="16838" w:orient="portrait"/>
          <w:cols w:equalWidth="0" w:num="3">
            <w:col w:w="4300" w:space="420"/>
            <w:col w:w="1240" w:space="260"/>
            <w:col w:w="3659"/>
          </w:cols>
          <w:pgMar w:left="580" w:top="131" w:right="1440" w:bottom="1440" w:gutter="0" w:footer="0" w:header="0"/>
        </w:sectPr>
      </w:pPr>
    </w:p>
    <w:p>
      <w:pPr>
        <w:ind w:left="1260" w:right="459" w:firstLine="360"/>
        <w:spacing w:after="0" w:line="255" w:lineRule="auto"/>
        <w:rPr>
          <w:sz w:val="20"/>
          <w:szCs w:val="20"/>
          <w:color w:val="auto"/>
        </w:rPr>
      </w:pPr>
      <w:r>
        <w:rPr>
          <w:rFonts w:ascii="Arial" w:cs="Arial" w:eastAsia="Arial" w:hAnsi="Arial"/>
          <w:sz w:val="18"/>
          <w:szCs w:val="18"/>
          <w:color w:val="auto"/>
        </w:rPr>
        <w:t>As noted above, some of our officers and directors are affiliated with Chardan, which is also our sponsor and the underwriter in this offering. Such officers and directors owe a pre-existing fiduciary duty to Chardan, meaning that they will present opportunities to Chardan prior to presenting them to us, if, for example, a potential target company is open to either raising funds in an offering or engaging in a transaction with a SPAC. This may limit the number of potential targets they present to us for purposes of completing a business combination.</w:t>
      </w:r>
    </w:p>
    <w:p>
      <w:pPr>
        <w:spacing w:after="0" w:line="111"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In connection with the vote required for any business combination, all of our existing stockholders, including all of our officers and directors, have agreed to vote their respective founder shares in favor of any proposed business combination. In addition, they have agreed to waive their respective rights to participate in any liquidation distribution with respect to those shares of common stock acquired by them prior to this offering. If they purchase shares of common stock in this offering or in the open market, however, they would be entitled to participate in any liquidation distribution in respect of such shares but have agreed not to redeem such shares (or sell their shares in any tender offer) in connection with the consummation of our initial business combination or an amendment to our certificate of incorporation relating to pre-business combination activity.</w:t>
      </w:r>
    </w:p>
    <w:p>
      <w:pPr>
        <w:spacing w:after="0" w:line="129"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All ongoing and future transactions between us and any of our officers and directors or their respective affiliates will be on terms believed by us to be no less favorable to us than are available from unaffiliated third</w:t>
      </w:r>
    </w:p>
    <w:p>
      <w:pPr>
        <w:sectPr>
          <w:pgSz w:w="11900" w:h="16838" w:orient="portrait"/>
          <w:cols w:equalWidth="0" w:num="1">
            <w:col w:w="9879"/>
          </w:cols>
          <w:pgMar w:left="580" w:top="131" w:right="1440" w:bottom="1440" w:gutter="0" w:footer="0" w:header="0"/>
          <w:type w:val="continuous"/>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6" w:name="page127"/>
    <w:bookmarkEnd w:id="1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3" w:lineRule="auto"/>
        <w:rPr>
          <w:sz w:val="20"/>
          <w:szCs w:val="20"/>
          <w:color w:val="auto"/>
        </w:rPr>
      </w:pPr>
      <w:r>
        <w:rPr>
          <w:rFonts w:ascii="Arial" w:cs="Arial" w:eastAsia="Arial" w:hAnsi="Arial"/>
          <w:sz w:val="17"/>
          <w:szCs w:val="17"/>
          <w:color w:val="auto"/>
        </w:rPr>
        <w:t>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97"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officers, directors or initial stockholders,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Furthermore, in no event will any of our initial stockholders, officers, directors, special advisors or their respective affiliates be paid any finder’s fee, consulting fee or other similar compensation prior to, or for any services they render in order to effectuate, the consummation of our initial business combination.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62"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24"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14"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25" w:lineRule="exact"/>
        <w:rPr>
          <w:sz w:val="20"/>
          <w:szCs w:val="20"/>
          <w:color w:val="auto"/>
        </w:rPr>
      </w:pPr>
    </w:p>
    <w:p>
      <w:pPr>
        <w:ind w:left="1260" w:right="899" w:firstLine="360"/>
        <w:spacing w:after="0" w:line="308" w:lineRule="auto"/>
        <w:rPr>
          <w:sz w:val="20"/>
          <w:szCs w:val="20"/>
          <w:color w:val="auto"/>
        </w:rPr>
      </w:pPr>
      <w:r>
        <w:rPr>
          <w:rFonts w:ascii="Arial" w:cs="Arial" w:eastAsia="Arial" w:hAnsi="Arial"/>
          <w:sz w:val="17"/>
          <w:szCs w:val="17"/>
          <w:color w:val="auto"/>
        </w:rPr>
        <w:t>We believe that these provisions, the directors’ and officers’ liability insurance and the indemnity agreements are necessary to attract and retain talented and experienced officers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STOCKHOLDERS</w:t>
      </w:r>
    </w:p>
    <w:p>
      <w:pPr>
        <w:spacing w:after="0" w:line="148" w:lineRule="exact"/>
        <w:rPr>
          <w:sz w:val="20"/>
          <w:szCs w:val="20"/>
          <w:color w:val="auto"/>
        </w:rPr>
      </w:pPr>
    </w:p>
    <w:p>
      <w:pPr>
        <w:ind w:left="1260" w:right="1320" w:firstLine="360"/>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our shares of common stock as of the date of this prospectus and as adjusted to reflect the sale of our shares of common stock included in the units offered by this prospectus (assuming none of the individuals listed purchase units in this offering), by:</w:t>
      </w:r>
    </w:p>
    <w:p>
      <w:pPr>
        <w:spacing w:after="0" w:line="79" w:lineRule="exact"/>
        <w:rPr>
          <w:sz w:val="20"/>
          <w:szCs w:val="20"/>
          <w:color w:val="auto"/>
        </w:rPr>
      </w:pPr>
    </w:p>
    <w:p>
      <w:pPr>
        <w:ind w:left="1800" w:right="1440" w:hanging="180"/>
        <w:spacing w:after="0" w:line="277"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shares of common stock;</w:t>
      </w:r>
    </w:p>
    <w:p>
      <w:pPr>
        <w:spacing w:after="0" w:line="62" w:lineRule="exact"/>
        <w:rPr>
          <w:rFonts w:ascii="Arial" w:cs="Arial" w:eastAsia="Arial" w:hAnsi="Arial"/>
          <w:sz w:val="18"/>
          <w:szCs w:val="18"/>
          <w:color w:val="auto"/>
        </w:rPr>
      </w:pPr>
    </w:p>
    <w:p>
      <w:pPr>
        <w:ind w:left="1800" w:right="1480" w:hanging="180"/>
        <w:spacing w:after="0" w:line="277" w:lineRule="auto"/>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of our officers, directors, and director nominees that beneficially owns shares of our common stock;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of our officers, directors, and director nominees as a group.</w:t>
      </w:r>
    </w:p>
    <w:p>
      <w:pPr>
        <w:spacing w:after="0" w:line="158" w:lineRule="exact"/>
        <w:rPr>
          <w:sz w:val="20"/>
          <w:szCs w:val="20"/>
          <w:color w:val="auto"/>
        </w:rPr>
      </w:pPr>
    </w:p>
    <w:p>
      <w:pPr>
        <w:ind w:left="1260" w:right="1540" w:firstLine="360"/>
        <w:spacing w:after="0" w:line="259"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or beneficial ownership of the private warrants, as such warrants are not exercisable within 60 days of the date of this prospectus.</w:t>
      </w:r>
    </w:p>
    <w:p>
      <w:pPr>
        <w:spacing w:after="0" w:line="119" w:lineRule="exact"/>
        <w:rPr>
          <w:sz w:val="20"/>
          <w:szCs w:val="20"/>
          <w:color w:val="auto"/>
        </w:rPr>
      </w:pPr>
    </w:p>
    <w:p>
      <w:pPr>
        <w:ind w:left="1260" w:right="1280" w:firstLine="360"/>
        <w:spacing w:after="0" w:line="266" w:lineRule="auto"/>
        <w:rPr>
          <w:sz w:val="20"/>
          <w:szCs w:val="20"/>
          <w:color w:val="auto"/>
        </w:rPr>
      </w:pPr>
      <w:r>
        <w:rPr>
          <w:rFonts w:ascii="Arial" w:cs="Arial" w:eastAsia="Arial" w:hAnsi="Arial"/>
          <w:sz w:val="17"/>
          <w:szCs w:val="17"/>
          <w:color w:val="auto"/>
        </w:rPr>
        <w:t>On July 23, 2020, our sponsor purchased 1,000,000 shares of common stock for an aggregate purchase price of $25,000. On March 4, 2021, we effected a 2.875-for-1 stock split, resulting in 2,875,000 shares of common stock being held by our sponsor (up to 375,000 of which are subject to forfeiture if the underwriters’ over-allotment option is not exercised in full). In May and June 2021, our sponsor transferred 20,000 founder shares to each of Messrs. Biele, Boyle, Hardamon, Thakrar and Thomson and Ms. Jardins. In addition, Chardan NexTech 2 Warrant Holdings LLC, an affiliate of our sponsor, has committed, pursuant to a written agreement, to purchase an aggregate of 4,200,000 (or up to 4,442,183 depending on the extent to which the underwriters’ over-allotment option is exercised) private warrants for a purchase price of approximately $0.93 per private warrant in a private placement that will occur simultaneously with the closing of this offering. The following table presents the number of shares and percentage of our common stock owned by our initial stockholders before and after this offering. The post-offering numbers</w:t>
      </w:r>
    </w:p>
    <w:p>
      <w:pPr>
        <w:spacing w:after="0" w:line="7" w:lineRule="exact"/>
        <w:rPr>
          <w:sz w:val="20"/>
          <w:szCs w:val="20"/>
          <w:color w:val="auto"/>
        </w:rPr>
      </w:pPr>
    </w:p>
    <w:p>
      <w:pPr>
        <w:ind w:left="1260" w:right="1320"/>
        <w:spacing w:after="0" w:line="277" w:lineRule="auto"/>
        <w:rPr>
          <w:sz w:val="20"/>
          <w:szCs w:val="20"/>
          <w:color w:val="auto"/>
        </w:rPr>
      </w:pPr>
      <w:r>
        <w:rPr>
          <w:rFonts w:ascii="Arial" w:cs="Arial" w:eastAsia="Arial" w:hAnsi="Arial"/>
          <w:sz w:val="17"/>
          <w:szCs w:val="17"/>
          <w:color w:val="auto"/>
        </w:rPr>
        <w:t>and percentages presented assume that the underwriters do not exercise their over-allotment option, that our initial stockholders forfeit 375,000 founder shares on a pro rata basis, and that there are an aggregate of 12,500,000 shares of common stock, consisting of issued and outstanding after this offering.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6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Prior to Offering</w:t>
            </w:r>
          </w:p>
        </w:tc>
        <w:tc>
          <w:tcPr>
            <w:tcW w:w="220" w:type="dxa"/>
            <w:vAlign w:val="bottom"/>
          </w:tcPr>
          <w:p>
            <w:pPr>
              <w:spacing w:after="0"/>
              <w:rPr>
                <w:sz w:val="21"/>
                <w:szCs w:val="21"/>
                <w:color w:val="auto"/>
              </w:rPr>
            </w:pPr>
          </w:p>
        </w:tc>
        <w:tc>
          <w:tcPr>
            <w:tcW w:w="178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After Offering</w:t>
            </w:r>
            <w:r>
              <w:rPr>
                <w:rFonts w:ascii="Arial" w:cs="Arial" w:eastAsia="Arial" w:hAnsi="Arial"/>
                <w:sz w:val="21"/>
                <w:szCs w:val="21"/>
                <w:b w:val="1"/>
                <w:bCs w:val="1"/>
                <w:color w:val="auto"/>
                <w:vertAlign w:val="superscript"/>
              </w:rPr>
              <w:t>(2)</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Approximate</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Approximate</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Percentage of</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Percentage of</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Number of</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Shares of</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Shares of</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260" w:type="dxa"/>
            <w:vAlign w:val="bottom"/>
          </w:tcPr>
          <w:p>
            <w:pPr>
              <w:spacing w:after="0"/>
              <w:rPr>
                <w:sz w:val="13"/>
                <w:szCs w:val="13"/>
                <w:color w:val="auto"/>
              </w:rPr>
            </w:pPr>
          </w:p>
        </w:tc>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1"/>
                <w:szCs w:val="21"/>
                <w:b w:val="1"/>
                <w:bCs w:val="1"/>
                <w:color w:val="auto"/>
                <w:vertAlign w:val="superscript"/>
              </w:rPr>
              <w:t>(1)</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7"/>
              </w:rPr>
              <w:t>Beneficially</w:t>
            </w:r>
          </w:p>
        </w:tc>
        <w:tc>
          <w:tcPr>
            <w:tcW w:w="10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Common</w:t>
            </w: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Beneficially</w:t>
            </w: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8"/>
              </w:rPr>
              <w:t>Common</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39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4"/>
              </w:rPr>
              <w:t>Owned</w:t>
            </w:r>
            <w:r>
              <w:rPr>
                <w:rFonts w:ascii="Arial" w:cs="Arial" w:eastAsia="Arial" w:hAnsi="Arial"/>
                <w:sz w:val="21"/>
                <w:szCs w:val="21"/>
                <w:b w:val="1"/>
                <w:bCs w:val="1"/>
                <w:color w:val="auto"/>
                <w:w w:val="84"/>
                <w:vertAlign w:val="superscript"/>
              </w:rPr>
              <w:t>(2)</w:t>
            </w: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260" w:type="dxa"/>
            <w:vAlign w:val="bottom"/>
          </w:tcPr>
          <w:p>
            <w:pPr>
              <w:spacing w:after="0"/>
              <w:rPr>
                <w:sz w:val="22"/>
                <w:szCs w:val="22"/>
                <w:color w:val="auto"/>
              </w:rPr>
            </w:pPr>
          </w:p>
        </w:tc>
        <w:tc>
          <w:tcPr>
            <w:tcW w:w="390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Chardan NexTech Investments 2 LLC</w:t>
            </w:r>
            <w:r>
              <w:rPr>
                <w:rFonts w:ascii="Arial" w:cs="Arial" w:eastAsia="Arial" w:hAnsi="Arial"/>
                <w:sz w:val="26"/>
                <w:szCs w:val="26"/>
                <w:color w:val="auto"/>
                <w:vertAlign w:val="superscript"/>
              </w:rPr>
              <w:t>(3)</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2,755,000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w:t>
            </w:r>
          </w:p>
        </w:tc>
        <w:tc>
          <w:tcPr>
            <w:tcW w:w="2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2,380,000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Kerry Propper</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9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Jonas Grossman</w:t>
            </w:r>
            <w:r>
              <w:rPr>
                <w:rFonts w:ascii="Arial" w:cs="Arial" w:eastAsia="Arial" w:hAnsi="Arial"/>
                <w:sz w:val="26"/>
                <w:szCs w:val="26"/>
                <w:color w:val="auto"/>
                <w:vertAlign w:val="superscript"/>
              </w:rPr>
              <w:t>(3)</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2,755,000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w:t>
            </w:r>
          </w:p>
        </w:tc>
        <w:tc>
          <w:tcPr>
            <w:tcW w:w="2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2,380,000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Alex Weil</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Jonathan Biele</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Perry Boyle</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20,000</w:t>
            </w:r>
          </w:p>
        </w:tc>
        <w:tc>
          <w:tcPr>
            <w:tcW w:w="8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Roderick Hardamon</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Jory Des Jardins</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20,000</w:t>
            </w:r>
          </w:p>
        </w:tc>
        <w:tc>
          <w:tcPr>
            <w:tcW w:w="8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Hitesh Thakrar</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Todd Thomson</w:t>
            </w: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20,000</w:t>
            </w:r>
          </w:p>
        </w:tc>
        <w:tc>
          <w:tcPr>
            <w:tcW w:w="8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7"/>
              </w:rPr>
              <w:t>All officers and directors as a group (8 individuals)</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2,875,000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2,500,000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8"/>
        </w:trPr>
        <w:tc>
          <w:tcPr>
            <w:tcW w:w="1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123</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-2510790</wp:posOffset>
            </wp:positionV>
            <wp:extent cx="1371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-2510790</wp:posOffset>
            </wp:positionV>
            <wp:extent cx="1371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-2510790</wp:posOffset>
            </wp:positionV>
            <wp:extent cx="1371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-2510790</wp:posOffset>
            </wp:positionV>
            <wp:extent cx="12890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28" w:name="page129"/>
    <w:bookmarkEnd w:id="1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528320</wp:posOffset>
            </wp:positionV>
            <wp:extent cx="12344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620" w:hanging="360"/>
        <w:spacing w:after="0"/>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1620" w:right="779" w:hanging="360"/>
        <w:spacing w:after="0" w:line="257" w:lineRule="auto"/>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is c/o Chardan NexTech Acquisition 2 Corp., 17 State Street, 21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Floor, New York, NY 10004.</w:t>
      </w:r>
    </w:p>
    <w:p>
      <w:pPr>
        <w:ind w:left="1620" w:hanging="360"/>
        <w:spacing w:after="0"/>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Interests shown consist of founder shares.</w:t>
      </w:r>
    </w:p>
    <w:p>
      <w:pPr>
        <w:spacing w:after="0" w:line="60" w:lineRule="exact"/>
        <w:rPr>
          <w:rFonts w:ascii="Arial" w:cs="Arial" w:eastAsia="Arial" w:hAnsi="Arial"/>
          <w:sz w:val="18"/>
          <w:szCs w:val="18"/>
          <w:color w:val="auto"/>
        </w:rPr>
      </w:pPr>
    </w:p>
    <w:p>
      <w:pPr>
        <w:ind w:left="1620" w:right="439" w:hanging="360"/>
        <w:spacing w:after="0" w:line="293" w:lineRule="auto"/>
        <w:tabs>
          <w:tab w:leader="none" w:pos="1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Our sponsor is the record holder of such shares. Jonas Grossman is the sole member of our sponsor. As such, Mr. Grossman may be deemed to have beneficial ownership of the common stock held directly by our sponsor. Mr. Grossman disclaims any beneficial ownership of the reported shares other than to the extent of any pecuniary interest they may have therein, directly or indirectly. Certain other employees of Chardan or its affiliates, including each of our executive officers, have direct or indirect membership interests in our sponsor, and thus have pecuniary interests in certain of the reported shares.</w:t>
      </w:r>
    </w:p>
    <w:p>
      <w:pPr>
        <w:spacing w:after="0" w:line="97"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Immediately after this offering, our initial stockholders will beneficially own 20% of the then issued and outstanding shares of common stock (assuming none of them purchase any units offered by this prospectus). None of our initial stockholders, officers and directors has indicated to us that he intends to purchase securities in this offering. Because of the ownership block held by our initial stockholders, such individuals may be able to effectively exercise control over all matters requiring approval by our stockholders, including the election of directors and approval of significant corporate transactions other than approval of our initial business combination.</w:t>
      </w:r>
    </w:p>
    <w:p>
      <w:pPr>
        <w:spacing w:after="0" w:line="11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If the underwriters do not exercise all or a portion of the over-allotment option, our initial stockholders will have up to an aggregate 375,000 shares of common stock subject to forfeiture. Only a number of shares necessary to maintain our initial stockholders’ collective 20% ownership interest in our shares of common stock after giving effect to the offering and the exercise, if any, of the underwriters’ over-allotment option will be forfeited.</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addition, Chardan NexTech 2 Warrant Holdings LLC, an affiliate of our sponsor, has committed to</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purchase from us an aggregate of 4,200,000 (or up to 4,442,183 warrants depending on the extent to which</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underwriters’ over-allotment option is exercised) at a price of approximately $0.93 per warrant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($3,902,000 (or up to $4,127,000 depending on the extent to which the underwriters’ over-allotment option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is exercised)), with each warrant exercisable for one share of common stock at an exercise price of $11.50</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per share. These purchases will take place on a private placement basis simultaneously with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consummation of this offering.</w:t>
      </w:r>
    </w:p>
    <w:p>
      <w:pPr>
        <w:spacing w:after="0" w:line="143"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 proceeds from the sale of the private warrants will be added to the proceeds of this offering and placed in a trust account in the United States maintained by Continental Stock Transfer &amp; Trust Company, as trustee. If we do not complete our initial business combination within 12 months (or up to 18 months, as applicable), the proceeds from the sale of the private warrants will be included in the liquidating distribution to the holders of our public shares.</w:t>
      </w:r>
    </w:p>
    <w:p>
      <w:pPr>
        <w:spacing w:after="0" w:line="107"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Chardan NexTech 2 Warrant Holdings LLC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129"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be paid upon consummation of our initial business combination, without interest. Loans made by Chardan</w:t>
      </w: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spacing w:after="0" w:line="291" w:lineRule="auto"/>
        <w:rPr>
          <w:sz w:val="20"/>
          <w:szCs w:val="20"/>
          <w:color w:val="auto"/>
        </w:rPr>
      </w:pPr>
      <w:r>
        <w:rPr>
          <w:rFonts w:ascii="Arial" w:cs="Arial" w:eastAsia="Arial" w:hAnsi="Arial"/>
          <w:sz w:val="17"/>
          <w:szCs w:val="17"/>
          <w:color w:val="auto"/>
        </w:rPr>
        <w:t>or any of its related persons will not be convertible into any of our securities and Chardan and its related persons will have no recourse with respect to their ability to convert their loans into any of our securities.</w:t>
      </w:r>
    </w:p>
    <w:p>
      <w:pPr>
        <w:spacing w:after="0" w:line="66"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Each of our sponsor, officers and directors is our “promoter,” as that term is defined under the federal securities laws.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Restrictions on Transfers of Founder Shares and Private Warrants</w:t>
      </w:r>
    </w:p>
    <w:p>
      <w:pPr>
        <w:spacing w:after="0" w:line="162"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All of the founder shares issued and outstanding prior to the date of this prospectus will be placed in escrow with Continental Stock Transfer &amp; Trust Company, as escrow agent, until (1) with respect to 50% of the founder shares, the earlier of six months after the date of the consummation of our initial business combination and the date on which the closing price of our common stock equals or exceeds $ 12.50 per share (as adjusted for share splits, share capitalizations, reorganizations and recapitalizations) for any 10 trading days within any 30-trading day period commencing after our initial business combination and</w:t>
      </w:r>
    </w:p>
    <w:p>
      <w:pPr>
        <w:spacing w:after="0" w:line="4" w:lineRule="exact"/>
        <w:rPr>
          <w:sz w:val="20"/>
          <w:szCs w:val="20"/>
          <w:color w:val="auto"/>
        </w:rPr>
      </w:pPr>
    </w:p>
    <w:p>
      <w:pPr>
        <w:ind w:left="1260" w:right="539"/>
        <w:spacing w:after="0" w:line="253" w:lineRule="auto"/>
        <w:tabs>
          <w:tab w:leader="none" w:pos="1529" w:val="left"/>
        </w:tabs>
        <w:numPr>
          <w:ilvl w:val="0"/>
          <w:numId w:val="68"/>
        </w:numPr>
        <w:rPr>
          <w:rFonts w:ascii="Arial" w:cs="Arial" w:eastAsia="Arial" w:hAnsi="Arial"/>
          <w:sz w:val="17"/>
          <w:szCs w:val="17"/>
          <w:color w:val="auto"/>
        </w:rPr>
      </w:pPr>
      <w:r>
        <w:rPr>
          <w:rFonts w:ascii="Arial" w:cs="Arial" w:eastAsia="Arial" w:hAnsi="Arial"/>
          <w:sz w:val="17"/>
          <w:szCs w:val="17"/>
          <w:color w:val="auto"/>
        </w:rPr>
        <w:t>with respect to the remaining 50% of the founder shares, six months after the date of the consummation of our initial business combination, or earlier, in either case, if, subsequent to our initial business combination, we consummate a liquidation, merger, share exchange or other similar transaction which results in all of our stockholders having the right to exchange their shares for cash, securities or other property. Up to 375,000 of the founder shares may also be released from escrow earlier than this date for forfeiture and cancellation if the over-allotment option is not exercised in full as described above.</w:t>
      </w:r>
    </w:p>
    <w:p>
      <w:pPr>
        <w:spacing w:after="0" w:line="111"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During the escrow period, the holders of the founder shares will not be able to sell or transfer their securities except (1) to any parties (including their respective affiliates and stockholders) participating in the private placement of the private warrants, officers, directors, stockholders, employees and members of our sponsor and its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 (6) pursuant to a qualified domestic relations order, (7) by certain pledges to secure obligations incurred in connection with purchases of our securities, (8) by private sales at prices no greater than the price at which the shares were originally purchased, (9) in the event of our liquidation prior to our completion of our initial business combination, (10) by virtue of the laws of the State of Delaware or our sponsor’s operating agreement upon dissolution of our sponsor or the organizational documents of Chardan upon dissolution of Chardan; or (11) for the cancellation of up to 375,000 founder shares subject to forfeiture to the extent that the underwriters’ over-allotment is not exercised in full or in part or in connection with the consummation of our initial business combination, in each case (except for clause 11 or with our prior consent) where the transferee agrees to the terms of the escrow agreement and the insider letter.</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48"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The holders of our founder shares issued and outstanding on the date of this prospectus, as well as the holders of the private warrants (and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 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Chardan NexTech 2 Warrant Holdings LLC ,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pacing w:after="0" w:line="37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48" w:lineRule="exact"/>
        <w:rPr>
          <w:sz w:val="20"/>
          <w:szCs w:val="20"/>
          <w:color w:val="auto"/>
        </w:rPr>
      </w:pPr>
    </w:p>
    <w:p>
      <w:pPr>
        <w:ind w:left="1260" w:right="519" w:firstLine="360"/>
        <w:spacing w:after="0" w:line="239"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In May and June 2021, our sponsor transferred 20,000 founder shares to each of Messrs. Biele, Boyle, Hardamon, Thakrar and Thomson and Ms. Jardins. If the underwriters do not exercise all or a portion of their over-allotment option, our initial stockholders have agreed to forfeit and immediately cancel up to an aggregate of 375,000 founder shares in proportion to the portion of the over-allotment option that was not exercised.</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the underwriters determine the size of the offering should be increased (including pursuant to</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Rule 462(b) under the Securities Act) or decreased, a share capitalization or a contribution back to capital,</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as applicable, would be effectuated in order to maintain our initial stockholders’ ownership at 20% of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number of shares issued and outstanding after the closing of this offering.</w:t>
      </w:r>
    </w:p>
    <w:p>
      <w:pPr>
        <w:spacing w:after="0" w:line="12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Chardan NexTech 2 Warrant Holdings LLC, an affiliate of our sponsor, has committed to purchase from us an aggregate of 4,200,000 (or up to 4,442,183 warrants depending on the extent to which the underwriters’ over-allotment option is exercised) at a price of approximately $0.93 per warrant ($3,902,000 (or up to $4,127,000 depending on the extent to which the underwriters’ over-allotment option is exercised)), with each warrant exercisable for one share of common stock at an exercise price of $11.50 per share. These purchases will take place on a private placement basis simultaneously with the consummation of this offering. If we do not complete our initial business combination within 12 months from the closing of this offering (or up to 18 months from the closing of this offering if we extend the period of time to consummate a business combination by the maximum amount as described in more detail in this prospectus), the proceeds from the sale of the private warrants will be included in the liquidating distribution to the holders of our public shares. 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Chardan NexTech 2 Warrant Holdings LLC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9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12"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Our initial stockholders, holders of the private warrants (and all underlying securities) and holders of the warrants (and all underlying securities) issuable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or warrants issued in payment of working capital loans made to us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Chardan NexTech 2 Warrant Holdings LLC ,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w:t>
      </w: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61" w:lineRule="auto"/>
        <w:rPr>
          <w:sz w:val="20"/>
          <w:szCs w:val="20"/>
          <w:color w:val="auto"/>
        </w:rPr>
      </w:pPr>
      <w:r>
        <w:rPr>
          <w:rFonts w:ascii="Arial" w:cs="Arial" w:eastAsia="Arial" w:hAnsi="Arial"/>
          <w:sz w:val="18"/>
          <w:szCs w:val="18"/>
          <w:color w:val="auto"/>
        </w:rPr>
        <w:t>seven years from the effective date of the registration statement of which this prospectus forms a part, as long as Chardan or any of its related persons are beneficial owners of private warrants.</w:t>
      </w:r>
    </w:p>
    <w:p>
      <w:pPr>
        <w:spacing w:after="0" w:line="90"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 xml:space="preserve">We will have 12 months from the closing of this offering to consummate an initial business combination. However, if we anticipate that we may not be able to consummate our initial business combination within 12 months, our insiders or their affiliates may, but are not obligated to, extend the period of time to consummate a business combination up to two times by an additional three months each time (for a total of up to 18 months to complete a business combination); </w:t>
      </w:r>
      <w:r>
        <w:rPr>
          <w:rFonts w:ascii="Arial" w:cs="Arial" w:eastAsia="Arial" w:hAnsi="Arial"/>
          <w:sz w:val="17"/>
          <w:szCs w:val="17"/>
          <w:i w:val="1"/>
          <w:iCs w:val="1"/>
          <w:color w:val="auto"/>
        </w:rPr>
        <w:t>provided that</w:t>
      </w:r>
      <w:r>
        <w:rPr>
          <w:rFonts w:ascii="Arial" w:cs="Arial" w:eastAsia="Arial" w:hAnsi="Arial"/>
          <w:sz w:val="17"/>
          <w:szCs w:val="17"/>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In the event of our dissolution and liquidation, the private units will expire and will be worthless.</w:t>
      </w:r>
    </w:p>
    <w:p>
      <w:pPr>
        <w:spacing w:after="0" w:line="115"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We are not prohibited from pursuing an initial business combination with a business that is affiliated with our sponsor, its affiliates, or our officers or directors, including an Affiliated Joint Acquisition. In the event we seek to complete our initial business combination with a business that is affiliated with our sponsor, its affiliates or our officers or directors, we, or a committee of independent directors, will obtain an opinion from an independent investment banking firm or another independent firm that commonly renders valuation opinions that our initial business combination is fair to our stockholders from a financial point of view. Any such Affiliated Joint Acquisition or specified future issuance would be in addition to, and would not include, the forward purchase securities issued pursuant to the forward purchase contract.</w:t>
      </w:r>
    </w:p>
    <w:p>
      <w:pPr>
        <w:spacing w:after="0" w:line="113" w:lineRule="exact"/>
        <w:rPr>
          <w:sz w:val="20"/>
          <w:szCs w:val="20"/>
          <w:color w:val="auto"/>
        </w:rPr>
      </w:pPr>
    </w:p>
    <w:p>
      <w:pPr>
        <w:ind w:left="1260" w:right="579" w:firstLine="360"/>
        <w:spacing w:after="0" w:line="253" w:lineRule="auto"/>
        <w:rPr>
          <w:sz w:val="20"/>
          <w:szCs w:val="20"/>
          <w:color w:val="auto"/>
        </w:rPr>
      </w:pPr>
      <w:r>
        <w:rPr>
          <w:rFonts w:ascii="Arial" w:cs="Arial" w:eastAsia="Arial" w:hAnsi="Arial"/>
          <w:sz w:val="17"/>
          <w:szCs w:val="17"/>
          <w:color w:val="auto"/>
        </w:rPr>
        <w:t>We will reimburse our officers and directors for any reasonable out- of- pocket business expenses incurred by them in connection with certain activities on our behalf such as identifying and investigating possible target businesses and business combinations. There is no limit on the amount of out- 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 Our audit committee will review and approve all reimbursements and payments made to any initial stockholder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99"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No compensation or fees of any kind, including finder’s fees, consulting fees or other similar compensation, will be paid to any of our initial stockholders, officers or directors who owned our shares of common stock prior to this offering, or to any of their respective affiliates, prior to or with respect to the business combination (regardless of the type of transaction that it is).</w:t>
      </w: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including the payment of any compensation, will require prior approval by a majority of our uninterested “independent” directors (to the extent we have any) or the members of our board who do not have an interest in the transaction, in either case who had access, at our expense, to our attorneys or independent legal counsel. We will not enter into any such transaction unless our disinterested “independent” directors (or, if there are no “independent” directors, our disinterested directors) determine that the terms of such transaction are no less favorable to us than those that would be available to us with respect to such a transaction from unaffiliated third parties.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Commencing on the date our securities are first listed on Nasdaq, we will pay an amount equal to</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$10,000 per month to our sponsor for office space, administrative and shared personnel support services.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Upon completion of our initial business combination or our liquidation, we will cease paying these monthly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fees. Accordingly, in the event the consummation of our initial business combination takes 12 months, our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sponsor will be paid a total of $120,000 ($10,000 per month) and will be entitled to be reimbursed for any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out-of-pocket expenses.</w:t>
      </w:r>
    </w:p>
    <w:p>
      <w:pPr>
        <w:spacing w:after="0" w:line="128"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We may engage Chardan, or another affiliate of our sponsor, as a financial advisor in connection with our initial business combination and pay such affiliate a customary financial advisory fee in an amount that constitutes a market standard financial advisory fee for comparable transactions. Furthermore, we may acquire a target company that has engaged Chardan, or another affiliate of our sponsor, as a financial advisor, and such target company may pay such affiliate a financial advisory fee in connection with our initial business combination.</w:t>
      </w:r>
    </w:p>
    <w:p>
      <w:pPr>
        <w:spacing w:after="0" w:line="122"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We have engaged Chardan as an advisor in connection with our business combination, pursuant to the Business Combination Marketing Agreement described under “</w:t>
      </w:r>
      <w:r>
        <w:rPr>
          <w:rFonts w:ascii="Arial" w:cs="Arial" w:eastAsia="Arial" w:hAnsi="Arial"/>
          <w:sz w:val="18"/>
          <w:szCs w:val="18"/>
          <w:i w:val="1"/>
          <w:iCs w:val="1"/>
          <w:color w:val="auto"/>
        </w:rPr>
        <w:t>Underwriting (Conflicts of Interest) —</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 Marketing Agreement</w:t>
      </w:r>
      <w:r>
        <w:rPr>
          <w:rFonts w:ascii="Arial" w:cs="Arial" w:eastAsia="Arial" w:hAnsi="Arial"/>
          <w:sz w:val="18"/>
          <w:szCs w:val="18"/>
          <w:color w:val="auto"/>
        </w:rPr>
        <w:t>.” We will pay Chardan a cash fee for such services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consummation of our initial business combination in an amount equal to, in the aggregate, 3.5% of the gross proceeds of this offering. As a result, Chardan will not be entitled to such fee unless we consummate our initial business combination.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Policy</w:t>
      </w:r>
    </w:p>
    <w:p>
      <w:pPr>
        <w:spacing w:after="0" w:line="148" w:lineRule="exact"/>
        <w:rPr>
          <w:sz w:val="20"/>
          <w:szCs w:val="20"/>
          <w:color w:val="auto"/>
        </w:rPr>
      </w:pPr>
    </w:p>
    <w:p>
      <w:pPr>
        <w:ind w:left="1260" w:right="919" w:firstLine="360"/>
        <w:spacing w:after="0" w:line="248"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11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Prior to the consummation of this offering, we will adopt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 A form of the code of ethics that we plan to adopt prior to the consummation of this offering is filed as an exhibit to the registration statement of which this prospectus is a part.</w:t>
      </w:r>
    </w:p>
    <w:p>
      <w:pPr>
        <w:spacing w:after="0" w:line="127"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In addition, our audit committee, pursuant to a written charter that we will adopt prior to the consummation of this offering,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A form of the audit committee charter that we plan to adopt prior to the consummation of this offering is filed as an exhibit to the registration statement of which this prospectus is a part. We also require each of our directors and officers to complete a directors’ and officers’ questionnaire that elicits information about related party transactions.</w:t>
      </w:r>
    </w:p>
    <w:p>
      <w:pPr>
        <w:spacing w:after="0" w:line="104" w:lineRule="exact"/>
        <w:rPr>
          <w:sz w:val="20"/>
          <w:szCs w:val="20"/>
          <w:color w:val="auto"/>
        </w:rPr>
      </w:pPr>
    </w:p>
    <w:p>
      <w:pPr>
        <w:ind w:left="1260" w:right="719" w:firstLine="360"/>
        <w:spacing w:after="0" w:line="308"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To further minimize conflicts of interest, we have agreed not to consummate an initial business combination with an entity that is affiliated with any of our sponsor, officers or directors unless we, or a committee of independent directors, have obtained an opinion from an independent investment banking firm or another independent firm that commonly renders valuation opinions that our initial business combination is fair to our stockholders from a financial point of view. Furthermore, there will be no finder’s fees, reimbursement, consulting fee, non-cash payments, monies in respect of any payment of a loan or other compensation paid by us to our sponsor, officers or directors, or any affiliate of our sponsor or officers prior to, or in connection with any services rendered in order to effectuate, the consummation of our initial business combination (regardless of the type of transaction that it is) other than the following payments, none of which will be made from the proceeds of this offering held in the trust account prior to the completion of our initial business combination:</w:t>
      </w:r>
    </w:p>
    <w:p>
      <w:pPr>
        <w:spacing w:after="0" w:line="84" w:lineRule="exact"/>
        <w:rPr>
          <w:sz w:val="20"/>
          <w:szCs w:val="20"/>
          <w:color w:val="auto"/>
        </w:rPr>
      </w:pPr>
    </w:p>
    <w:p>
      <w:pPr>
        <w:ind w:left="1800" w:right="479" w:hanging="180"/>
        <w:spacing w:after="0" w:line="277"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Repayment of up to an aggregate of $250,000 in loans made to us by our sponsor, which our sponsor has committed to cover offering-related and organizational expenses;</w:t>
      </w:r>
    </w:p>
    <w:p>
      <w:pPr>
        <w:spacing w:after="0" w:line="62"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Repayment to our sponsor for office space, administrative and shared personnel support services, in an amount equal to $10,000 per month;</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Our sponsor intends to allocate up to 20,000 founder shares to each of our independent directors;</w:t>
      </w:r>
    </w:p>
    <w:p>
      <w:pPr>
        <w:spacing w:after="0" w:line="128" w:lineRule="exact"/>
        <w:rPr>
          <w:rFonts w:ascii="Arial" w:cs="Arial" w:eastAsia="Arial" w:hAnsi="Arial"/>
          <w:sz w:val="17"/>
          <w:szCs w:val="17"/>
          <w:color w:val="auto"/>
        </w:rPr>
      </w:pPr>
    </w:p>
    <w:p>
      <w:pPr>
        <w:ind w:left="1800" w:right="579" w:hanging="180"/>
        <w:spacing w:after="0" w:line="277"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Reimbursement for any out-of-pocket expenses related to identifying, investigating and completing an initial business combination;</w:t>
      </w:r>
    </w:p>
    <w:p>
      <w:pPr>
        <w:spacing w:after="0" w:line="62" w:lineRule="exact"/>
        <w:rPr>
          <w:rFonts w:ascii="Arial" w:cs="Arial" w:eastAsia="Arial" w:hAnsi="Arial"/>
          <w:sz w:val="18"/>
          <w:szCs w:val="18"/>
          <w:color w:val="auto"/>
        </w:rPr>
      </w:pPr>
    </w:p>
    <w:p>
      <w:pPr>
        <w:ind w:left="1800" w:right="519" w:hanging="180"/>
        <w:spacing w:after="0" w:line="257" w:lineRule="auto"/>
        <w:tabs>
          <w:tab w:leader="none" w:pos="1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Repayment of loans, which may be made by our sponsor or an affiliate of our sponsor or certain of our officers and directors to finance transaction costs in connection with an intended initial business combination, the terms of which have not been determined nor have any written agreements been executed with respect thereto (provided that in no event will any loans provided by our sponsor be convertible into our securities); and</w:t>
      </w:r>
    </w:p>
    <w:p>
      <w:pPr>
        <w:spacing w:after="0" w:line="79" w:lineRule="exact"/>
        <w:rPr>
          <w:rFonts w:ascii="Arial" w:cs="Arial" w:eastAsia="Arial" w:hAnsi="Arial"/>
          <w:sz w:val="18"/>
          <w:szCs w:val="18"/>
          <w:color w:val="auto"/>
        </w:rPr>
      </w:pPr>
    </w:p>
    <w:p>
      <w:pPr>
        <w:ind w:left="1800" w:right="439" w:hanging="180"/>
        <w:spacing w:after="0" w:line="279" w:lineRule="auto"/>
        <w:tabs>
          <w:tab w:leader="none" w:pos="18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Payment to Chardan of the Marketing Fee, fees for any financial advisory, placement agency or other similar investment banking services Chardan may provide to our company in the future, including in connection with the closing of our initial business combination, and reimbursement of Chardan for any out-of-pocket expenses incurred by it in connection with the performance of such services.</w:t>
      </w:r>
    </w:p>
    <w:p>
      <w:pPr>
        <w:spacing w:after="0" w:line="90"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Our audit committee will review on a quarterly basis all payments that were made to our sponsor, officers or directors, or our or their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Our amended certificate of incorporation will authorize the issuance of 50,000,000 shares of common stock, $0.0001 par value per share, and 1,000,000 shares of preferred stock, $0.0001 par value per share. As of the date of this prospectus, 2,875,000 shares of common stock are issued and outstanding, which are held by our initial stockholders.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Units</w:t>
      </w:r>
    </w:p>
    <w:p>
      <w:pPr>
        <w:spacing w:after="0" w:line="162"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Each unit consists of one share of common stock and one-half of one warrant. Each whole warrant entitles the holder thereof to purchase one share of our common stock at a price of $11.50 per share, subject to adjustment as described in this prospectus. Pursuant to the warrant agreement, a warrant holder may exercise its warrants only for a whole number of shares of common stock. Thus, only a whole warrant may be exercised at any given time by a warrant holder. No fractional warrants will be issued upon separation of the units and only whole warrants will trade. Accordingly, unless you purchase a multiple of two units, the number of warrants issuable to you upon separation of the units will be rounded down to the nearest whole number of warrants.</w:t>
      </w:r>
    </w:p>
    <w:p>
      <w:pPr>
        <w:spacing w:after="0" w:line="126"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7"/>
          <w:szCs w:val="17"/>
          <w:color w:val="auto"/>
        </w:rPr>
        <w:t>We expect that the common stock and warrants comprising the units will begin separate trading on the 52nd day following the closing of this offering unless Chardan informs us of its decision to allow earlier separate trading, subject to our having filed the Current Report on Form 8-K described below and having issued a press release announcing when such separate trading will begin. Once the shares of common stock and warrants commence separate trading, holders will have the option to continue to hold units or separate their units into the component securities. Holders will need to have their brokers contact our transfer agent in order to separate the units into shares of common stock and warrants.</w:t>
      </w:r>
    </w:p>
    <w:p>
      <w:pPr>
        <w:spacing w:after="0" w:line="99"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In no event will the common stock and warrants be traded separately until we have filed with the SEC a Current Report on Form 8 -K that includes an audited balance sheet reflecting our receipt of the gross proceeds at the closing of this offering. We will file a Current Report on Form 8-K that includes this audited balance sheet upon the completion of this offering, which closing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ind w:left="1260" w:right="1019" w:firstLine="360"/>
        <w:spacing w:after="0" w:line="263" w:lineRule="auto"/>
        <w:rPr>
          <w:sz w:val="20"/>
          <w:szCs w:val="20"/>
          <w:color w:val="auto"/>
        </w:rPr>
      </w:pPr>
      <w:r>
        <w:rPr>
          <w:rFonts w:ascii="Arial" w:cs="Arial" w:eastAsia="Arial" w:hAnsi="Arial"/>
          <w:sz w:val="18"/>
          <w:szCs w:val="18"/>
          <w:color w:val="auto"/>
        </w:rPr>
        <w:t>Upon the closing of this offering, 12,500,000 shares of our common stock will be outstanding (assuming no exercise of the underwriters’ over-allotment option and the corresponding forfeiture of 375,000 founder shares by our initial stockholders), consisting of:</w:t>
      </w:r>
    </w:p>
    <w:p>
      <w:pPr>
        <w:spacing w:after="0" w:line="76" w:lineRule="exact"/>
        <w:rPr>
          <w:sz w:val="20"/>
          <w:szCs w:val="20"/>
          <w:color w:val="auto"/>
        </w:rPr>
      </w:pPr>
    </w:p>
    <w:p>
      <w:pPr>
        <w:ind w:left="1800" w:hanging="180"/>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10,000,000 shares of common stock underlying the units being offered in this offering;</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2,500,000 founder shares held by our initial stockholders.</w:t>
      </w:r>
    </w:p>
    <w:p>
      <w:pPr>
        <w:spacing w:after="0" w:line="158"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If we increase or decrease the size of this offering (including pursuant to Rule 462(b) under the Securities Act), a share capitalization or a contribution back to capital, as applicable, would be effectuated in order to maintain our initial stockholders’ ownership at 20% of the number of shares issued and outstanding after the closing of this offering.</w:t>
      </w:r>
    </w:p>
    <w:p>
      <w:pPr>
        <w:spacing w:after="0" w:line="106" w:lineRule="exact"/>
        <w:rPr>
          <w:sz w:val="20"/>
          <w:szCs w:val="20"/>
          <w:color w:val="auto"/>
        </w:rPr>
      </w:pPr>
    </w:p>
    <w:p>
      <w:pPr>
        <w:ind w:left="1260" w:right="559" w:firstLine="360"/>
        <w:spacing w:after="0" w:line="272" w:lineRule="auto"/>
        <w:rPr>
          <w:sz w:val="20"/>
          <w:szCs w:val="20"/>
          <w:color w:val="auto"/>
        </w:rPr>
      </w:pPr>
      <w:r>
        <w:rPr>
          <w:rFonts w:ascii="Arial" w:cs="Arial" w:eastAsia="Arial" w:hAnsi="Arial"/>
          <w:sz w:val="17"/>
          <w:szCs w:val="17"/>
          <w:color w:val="auto"/>
        </w:rPr>
        <w:t>Common stockholders of record are entitled to one vote for each share held on all matters to be voted on by stockholders. Unless specified in our amended and restated certificate of incorporation or bylaws, or as required by applicable law or stock exchange rules, the affirmative vote of a majority of our shares of common stock that are voted is required to approve any such matter voted on by our stockholders (other than the election of directors). Our board of directors will be divided into two classes, each of which will generally serve for a term of two years with only one class of directors being elected in each year. There is no cumulative voting with respect to the election of directors, with the result that the holders of more than</w:t>
      </w: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63" w:lineRule="auto"/>
        <w:rPr>
          <w:sz w:val="20"/>
          <w:szCs w:val="20"/>
          <w:color w:val="auto"/>
        </w:rPr>
      </w:pPr>
      <w:r>
        <w:rPr>
          <w:rFonts w:ascii="Arial" w:cs="Arial" w:eastAsia="Arial" w:hAnsi="Arial"/>
          <w:sz w:val="18"/>
          <w:szCs w:val="18"/>
          <w:color w:val="auto"/>
        </w:rPr>
        <w:t>50% of the shares voted for the election of directors can elect all of the directors. Our stockholders are entitled to receive ratable dividends when, as and if declared by the board of directors out of funds legally available therefor.</w:t>
      </w:r>
    </w:p>
    <w:p>
      <w:pPr>
        <w:spacing w:after="0" w:line="103"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Because our amended and restated certificate of incorporation will authorize the issuance of up to 50,000,000 shares of common stock, if we were to enter into an initial business combination, we may (depending on the terms of such an initial business combination) be required to increase the number of shares of common stock that we are authorized to issue at the same time as our stockholders vote on the initial business combination to the extent we seek stockholder approval in connection with our initial business combination.</w:t>
      </w:r>
    </w:p>
    <w:p>
      <w:pPr>
        <w:spacing w:after="0" w:line="125"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27"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We will provide our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$10.15 per public share.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law,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will require these tender offer documents to contain substantially the same financial and other information about the initial business combination and the redemption rights as is required under the SEC’s proxy rules. If, however, a stockholder approval of the transaction is required by law, or we decide to obtain stockholder approval for business or other legal reasons, we will, like many blank check companies, offer to redeem shares in conjunction with a proxy solicitation pursuant to the proxy rules and not pursuant to the tender offer rules. 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w:t>
      </w:r>
    </w:p>
    <w:p>
      <w:pPr>
        <w:spacing w:after="0" w:line="118"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However, the participation of our sponsor, officers, directors, advisors or their affiliates in privately-negotiated transactions (as described in this prospectus), if any, could result in the approval of our initial business combination even if a majority of our public stockholders vote, or indicate their intention to vote, against such business combination. For purposes of seeking approval of the majority of our outstanding shares of common stock voted, non-votes will have no effect on the approval of our initial business combination once a quorum is obtained. We intend to give approximately 30 days (but not less than 10 days nor more than 60 days) prior written notice of any such meeting, if required, at which a vote shall be</w:t>
      </w:r>
    </w:p>
    <w:p>
      <w:pPr>
        <w:sectPr>
          <w:pgSz w:w="11900" w:h="16838" w:orient="portrait"/>
          <w:cols w:equalWidth="0" w:num="1">
            <w:col w:w="9879"/>
          </w:cols>
          <w:pgMar w:left="580" w:top="131"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6" w:name="page137"/>
    <w:bookmarkEnd w:id="13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79"/>
        <w:spacing w:after="0" w:line="248" w:lineRule="auto"/>
        <w:rPr>
          <w:sz w:val="20"/>
          <w:szCs w:val="20"/>
          <w:color w:val="auto"/>
        </w:rPr>
      </w:pPr>
      <w:r>
        <w:rPr>
          <w:rFonts w:ascii="Arial" w:cs="Arial" w:eastAsia="Arial" w:hAnsi="Arial"/>
          <w:sz w:val="18"/>
          <w:szCs w:val="18"/>
          <w:color w:val="auto"/>
        </w:rPr>
        <w:t>taken to approve our initial business combination. These quorum and voting thresholds, and the voting agreements of our initial stockholders, may make it more likely that we will consummate our initial business combination.</w:t>
      </w:r>
    </w:p>
    <w:p>
      <w:pPr>
        <w:spacing w:after="0" w:line="101"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of common stock sold in this offering, which we refer to as the Excess Shares.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the initial business combination. And, as a result, such stockholders will continue to hold that number of shares exceeding 15% and, in order to dispose such shares would be required to sell their stock in open market transactions, potentially at a loss.</w:t>
      </w:r>
    </w:p>
    <w:p>
      <w:pPr>
        <w:spacing w:after="0" w:line="121"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If we seek stockholder approval in connection with our initial business combination, pursuant to the letter agreement our sponsor, officers and directors have agreed to vote their founder shares and any public shares purchased during or after this offering (including in open market and privately negotiated transactions) in favor of our initial business combination. As a result, in addition to our initial stockholders’ founder shares, we would need only 7,500,001, or 37.5%, of the 20,000,000 public shares sold in this offering to be voted in favor of an initial business combination (assuming all outstanding shares are voted) in order to have our initial business combination approved (assuming the over-allotment option is not exercised). Additionally, each public stockholder may elect to redeem its public shares irrespective of whether they vote for or against the proposed transaction (subject to the limitation described in the preceding paragraph).</w:t>
      </w:r>
    </w:p>
    <w:p>
      <w:pPr>
        <w:spacing w:after="0" w:line="121" w:lineRule="exact"/>
        <w:rPr>
          <w:sz w:val="20"/>
          <w:szCs w:val="20"/>
          <w:color w:val="auto"/>
        </w:rPr>
      </w:pPr>
    </w:p>
    <w:p>
      <w:pPr>
        <w:ind w:left="1260" w:right="619" w:firstLine="360"/>
        <w:spacing w:after="0" w:line="250" w:lineRule="auto"/>
        <w:rPr>
          <w:sz w:val="20"/>
          <w:szCs w:val="20"/>
          <w:color w:val="auto"/>
        </w:rPr>
      </w:pPr>
      <w:r>
        <w:rPr>
          <w:rFonts w:ascii="Arial" w:cs="Arial" w:eastAsia="Arial" w:hAnsi="Arial"/>
          <w:sz w:val="17"/>
          <w:szCs w:val="17"/>
          <w:color w:val="auto"/>
        </w:rPr>
        <w:t>Pursuant to our amended and restated certificate of incorporation, if we do not complete a business combination within 12 months from the closing of this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However, if we anticipate that we may not be able to consummate our initial business combination within 12 months, our insiders or their affiliates may, but are not obligated to, extend the period of time to consummate a business combination up to two times by an additional three months each time (for a total of up to</w:t>
      </w:r>
    </w:p>
    <w:p>
      <w:pPr>
        <w:spacing w:after="0" w:line="5" w:lineRule="exact"/>
        <w:rPr>
          <w:sz w:val="20"/>
          <w:szCs w:val="20"/>
          <w:color w:val="auto"/>
        </w:rPr>
      </w:pPr>
    </w:p>
    <w:p>
      <w:pPr>
        <w:ind w:left="1260" w:right="419"/>
        <w:spacing w:after="0" w:line="249" w:lineRule="auto"/>
        <w:rPr>
          <w:sz w:val="20"/>
          <w:szCs w:val="20"/>
          <w:color w:val="auto"/>
        </w:rPr>
      </w:pPr>
      <w:r>
        <w:rPr>
          <w:rFonts w:ascii="Arial" w:cs="Arial" w:eastAsia="Arial" w:hAnsi="Arial"/>
          <w:sz w:val="17"/>
          <w:szCs w:val="17"/>
          <w:color w:val="auto"/>
        </w:rPr>
        <w:t xml:space="preserve">18 months to complete a business combination);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 allotment option is exercised in full), on or prior to the date of the applicable deadline.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w:t>
      </w: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1" w:lineRule="auto"/>
        <w:rPr>
          <w:sz w:val="20"/>
          <w:szCs w:val="20"/>
          <w:color w:val="auto"/>
        </w:rPr>
      </w:pPr>
      <w:r>
        <w:rPr>
          <w:rFonts w:ascii="Arial" w:cs="Arial" w:eastAsia="Arial" w:hAnsi="Arial"/>
          <w:sz w:val="17"/>
          <w:szCs w:val="17"/>
          <w:color w:val="auto"/>
        </w:rPr>
        <w:t>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There will be no redemption rights or liquidating distributions with respect to our warrants, which will expire worthless if we fail to complete our initial business combination within the allotted time period. Our sponsor, officers and directors have entered into a letter agreement with us, pursuant to which they have agreed to waive their rights to liquidating distributions from the trust account with respect to any founder shares held by them if we fail to complete our initial business combination within 12 months from the closing of this offering (or up to 18 months from the closing of this offering if we extend the period of time to consummate a business combination by the maximum amount as described in more detail in this prospectus). However, if our initial stockholders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10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In the event of a liquidation, dissolution or winding up of the company after an initial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then on deposit in the trust account, upon the completion of our initial business combination, subject to the limitations described herein.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Founder Shares</w:t>
      </w:r>
    </w:p>
    <w:p>
      <w:pPr>
        <w:spacing w:after="0" w:line="162" w:lineRule="exact"/>
        <w:rPr>
          <w:sz w:val="20"/>
          <w:szCs w:val="20"/>
          <w:color w:val="auto"/>
        </w:rPr>
      </w:pPr>
    </w:p>
    <w:p>
      <w:pPr>
        <w:ind w:left="1260" w:right="519" w:firstLine="360"/>
        <w:spacing w:after="0" w:line="274" w:lineRule="auto"/>
        <w:rPr>
          <w:sz w:val="20"/>
          <w:szCs w:val="20"/>
          <w:color w:val="auto"/>
        </w:rPr>
      </w:pPr>
      <w:r>
        <w:rPr>
          <w:rFonts w:ascii="Arial" w:cs="Arial" w:eastAsia="Arial" w:hAnsi="Arial"/>
          <w:sz w:val="16"/>
          <w:szCs w:val="16"/>
          <w:color w:val="auto"/>
        </w:rPr>
        <w:t>The founder shares are identical to the shares of common stock included in the units being sold in this offering, and holders of founder shares have the same stockholder rights as public stockholders, except that</w:t>
      </w:r>
    </w:p>
    <w:p>
      <w:pPr>
        <w:spacing w:after="0" w:line="1" w:lineRule="exact"/>
        <w:rPr>
          <w:sz w:val="20"/>
          <w:szCs w:val="20"/>
          <w:color w:val="auto"/>
        </w:rPr>
      </w:pPr>
    </w:p>
    <w:p>
      <w:pPr>
        <w:ind w:left="1260" w:right="419"/>
        <w:spacing w:after="0" w:line="235" w:lineRule="auto"/>
        <w:tabs>
          <w:tab w:leader="none" w:pos="148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founder shares are subject to certain transfer restrictions, as described in more detail below, (ii) our sponsor, officers and directors have entered into a letter agreement with us, pursuant to which they have agreed (A) to waive their redemption rights with respect to any founder shares and any public shares held by them in connection with the completion of our initial business combination, (B) to waive their redemption rights with respect to their founder shares and public shares in connection with a stockholder vote to approve an amendment to our amended and restated certificate of incorporation (x) to modify the substance or timing of our obligation to allow redemption in connection with our initial business combination or to redeem 100% of our public shares if we do not complete our initial business combination within 12 months (or up to 18 months, as applicable) from the closing of this offering or (y) with respect to any other provision relating to stockholders’ rights or pre-initial business combination activity and (C) to waive their rights to liquidating distributions from the trust account with respect to any founder shares held by them if we fail to complete our initial business combination within 12 months (or up to 18 months, as applicable) from the closing of this offering, although they will be entitled to liquidating distributions from the trust account with respect to any public shares they hold if we fail to complete our initial business combination within such time period, and (iii) are entitled to registration rights. If we submit our initial business combination to our public stockholders for a vote, our sponsor, officers and directors have agreed pursuant to the letter agreement to vote any founder shares held by them and any public shares purchased during or after this offering (including in open market and privately negotiated transactions) in favor of our initial business combination.</w:t>
      </w:r>
    </w:p>
    <w:p>
      <w:pPr>
        <w:spacing w:after="0" w:line="12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With certain limited exceptions, 50% of the founder shares will not be transferred, assigned, sold or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released from escrow until the earlier of (i) six months after the date of the consummation of a business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combination or (ii) the date on which the closing price of our shares of common stock equals or exceeds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$12.50 per share (as adjusted for stock splits, stock dividends, reorganizations and recapitalizations) for any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 trading days within any 30-trading day period commencing after a business combination. The remaining</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50% of the founder shares will not be transferred, assigned, sold or released from escrow until 6 months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after the date of the consummation of a business combination, or earlier, in either case, if, subsequent to a</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business combination, we consummate a subsequent liquidation, merger, stock exchange or other similar</w:t>
      </w:r>
    </w:p>
    <w:p>
      <w:pPr>
        <w:spacing w:after="0" w:line="38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spacing w:after="0" w:line="261" w:lineRule="auto"/>
        <w:rPr>
          <w:sz w:val="20"/>
          <w:szCs w:val="20"/>
          <w:color w:val="auto"/>
        </w:rPr>
      </w:pPr>
      <w:r>
        <w:rPr>
          <w:rFonts w:ascii="Arial" w:cs="Arial" w:eastAsia="Arial" w:hAnsi="Arial"/>
          <w:sz w:val="18"/>
          <w:szCs w:val="18"/>
          <w:color w:val="auto"/>
        </w:rPr>
        <w:t>transaction which results in all of the stockholders having the right to exchange their shares of common stock for cash, securities or other property.</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There are no shares of preferred stock outstanding as of the date of this prospectus. Our amended and restated certificate of incorporation to be filed with the State of Delaware will authorize the issuance of 1,000,000 shares of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that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used as a method of discouraging, delaying or preventing a change in control of us. Although we do not currently intend to issue any shares of preferred stock, we reserve the right to do so in the future.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Redeemable Warrants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5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Each whole warrant entitles the registered holder to purchase one share of our common stock at a price of $11.50 per share, subject to adjustment as discussed below, at any time commencing 30 days after the completion of our initial business combination. Pursuant to the warrant agreement, a warrant holder may exercise its warrants only for a whole number of shares of common stock. This means that only a whole warrant may be exercised at any given time by a warrant holder. No fractional warrants will be issued upon separation of the units and only whole warrants will trade. Accordingly, unless you purchase a multiple of two units, the number of warrants issuable to you upon separation of the units will be rounded down to the nearest whole number of warrants. The warrants will expire five years after the completion of our initial business combination, at 5:00 p.m., New York City time, or earlier upon redemption or liquidation.</w:t>
      </w:r>
    </w:p>
    <w:p>
      <w:pPr>
        <w:spacing w:after="0" w:line="116"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We will not be obligated to deliver any shares of common stock pursuant to the exercise of a warrant and will have no obligation to settle such warrant exercise unless a registration statement under the Securities Act with respect to the offer and sale of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05"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We are registering the offer and sale of our common stock underlying the public warrants under the Securities Act. In addition, we have agreed that as soon as practicable, but in no event later than 15 business days after the closing of our initial business combination, we will use our commercially reasonable best efforts to file with the SEC a registration statement covering the shares of common stock issuable upon exercise of the warrants, to cause such registration statement to become effective within 60 business days after the closing of our initial business combination, and to maintain a current prospectus relating to those shares of common stock until the warrants expire or are redeemed, as specified in the warrant agreement. If a registration statement covering the shares of common stock issuable upon exercise of the warrants is not effective by the 60th business day after the closing of our initial business combination, warrant holders may, until such time as there is an effective registration statement and during any period when we will have</w:t>
      </w:r>
    </w:p>
    <w:p>
      <w:pPr>
        <w:spacing w:after="0" w:line="37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9" w:name="page140"/>
    <w:bookmarkEnd w:id="13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38" w:lineRule="auto"/>
        <w:rPr>
          <w:sz w:val="20"/>
          <w:szCs w:val="20"/>
          <w:color w:val="auto"/>
        </w:rPr>
      </w:pPr>
      <w:r>
        <w:rPr>
          <w:rFonts w:ascii="Arial" w:cs="Arial" w:eastAsia="Arial" w:hAnsi="Arial"/>
          <w:sz w:val="18"/>
          <w:szCs w:val="18"/>
          <w:color w:val="auto"/>
        </w:rPr>
        <w:t>failed to maintain an effective registration statement, exercise warrants on a “cashless basis” in accordance with Section 3(a)(9) of the Securities Act or another exemption. Notwithstanding the above, if our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117" w:lineRule="exact"/>
        <w:rPr>
          <w:sz w:val="20"/>
          <w:szCs w:val="20"/>
          <w:color w:val="auto"/>
        </w:rPr>
      </w:pPr>
    </w:p>
    <w:p>
      <w:pPr>
        <w:ind w:left="1800" w:hanging="180"/>
        <w:spacing w:after="0"/>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17" w:lineRule="exact"/>
        <w:rPr>
          <w:rFonts w:ascii="Arial" w:cs="Arial" w:eastAsia="Arial" w:hAnsi="Arial"/>
          <w:sz w:val="18"/>
          <w:szCs w:val="18"/>
          <w:color w:val="auto"/>
        </w:rPr>
      </w:pPr>
    </w:p>
    <w:p>
      <w:pPr>
        <w:ind w:left="1800" w:right="419" w:hanging="180"/>
        <w:spacing w:after="0" w:line="257"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shares of common stock equals or exceeds $16.00 per share (as adjusted for stock splits, stock dividends, reorganizations, recapitalizations and the like) for any 10 trading days within a 30-day trading period commencing once the warrants become exercisable and ending three trading days before we send the notice of redemption to warrant holders.</w:t>
      </w:r>
    </w:p>
    <w:p>
      <w:pPr>
        <w:spacing w:after="0" w:line="107" w:lineRule="exact"/>
        <w:rPr>
          <w:sz w:val="20"/>
          <w:szCs w:val="20"/>
          <w:color w:val="auto"/>
        </w:rPr>
      </w:pPr>
    </w:p>
    <w:p>
      <w:pPr>
        <w:ind w:left="1260" w:right="639" w:firstLine="360"/>
        <w:spacing w:after="0"/>
        <w:rPr>
          <w:sz w:val="20"/>
          <w:szCs w:val="20"/>
          <w:color w:val="auto"/>
        </w:rPr>
      </w:pPr>
      <w:r>
        <w:rPr>
          <w:rFonts w:ascii="Arial" w:cs="Arial" w:eastAsia="Arial" w:hAnsi="Arial"/>
          <w:sz w:val="18"/>
          <w:szCs w:val="18"/>
          <w:color w:val="auto"/>
        </w:rPr>
        <w:t>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w:t>
      </w:r>
    </w:p>
    <w:p>
      <w:pPr>
        <w:spacing w:after="0" w:line="122" w:lineRule="exact"/>
        <w:rPr>
          <w:sz w:val="20"/>
          <w:szCs w:val="20"/>
          <w:color w:val="auto"/>
        </w:rPr>
      </w:pPr>
    </w:p>
    <w:p>
      <w:pPr>
        <w:ind w:left="1260" w:right="619" w:firstLine="360"/>
        <w:spacing w:after="0" w:line="239"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common stock may fall below the $16.00 redemption trigger price (as adjusted for stock splits, stock dividends, reorganizations, recapitalizations and the like) as well as the $11.50 warrant exercise price after the redemption notice is issued.</w:t>
      </w:r>
    </w:p>
    <w:p>
      <w:pPr>
        <w:spacing w:after="0" w:line="123" w:lineRule="exact"/>
        <w:rPr>
          <w:sz w:val="20"/>
          <w:szCs w:val="20"/>
          <w:color w:val="auto"/>
        </w:rPr>
      </w:pPr>
    </w:p>
    <w:p>
      <w:pPr>
        <w:ind w:left="1260" w:right="479" w:firstLine="360"/>
        <w:spacing w:after="0" w:line="250"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If our management takes advantage of this option, all holders of warrants would pay the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sponsor and its permitted transferees would still be entitled to exercise their private warrants for cash or on a cashless basis using the same formula described above that other warrant holders would have been required to use had all warrant holders been required to exercise their warrants on a cashless basis, as described in more detail below.</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0" w:name="page141"/>
    <w:bookmarkEnd w:id="14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common stock outstanding immediately after giving effect to such exercise.</w:t>
      </w:r>
    </w:p>
    <w:p>
      <w:pPr>
        <w:spacing w:after="0" w:line="10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If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and (ii) one minus the quotient of (x) the price per share of common stock paid in such rights offering divided by (y) the fair market value. For these purposes (i) if the rights offering is for securities convertible into or exercisable for common stock, in determining the price payable for common stock, there will be taken into account any consideration received for such rights, as well as any additional amount payable upon exercise or redemption and (ii) fair market value means the volume weighted average price of common stock as reported during the 10-trading day period ending on the trading day prior to the first date on which the shares of common stock trade on the applicable exchange or in the applicable market, regular way, without the right to receive such rights.</w:t>
      </w:r>
    </w:p>
    <w:p>
      <w:pPr>
        <w:spacing w:after="0" w:line="118" w:lineRule="exact"/>
        <w:rPr>
          <w:sz w:val="20"/>
          <w:szCs w:val="20"/>
          <w:color w:val="auto"/>
        </w:rPr>
      </w:pPr>
    </w:p>
    <w:p>
      <w:pPr>
        <w:ind w:left="1260" w:right="479" w:firstLine="360"/>
        <w:spacing w:after="0" w:line="236" w:lineRule="auto"/>
        <w:rPr>
          <w:sz w:val="20"/>
          <w:szCs w:val="20"/>
          <w:color w:val="auto"/>
        </w:rPr>
      </w:pPr>
      <w:r>
        <w:rPr>
          <w:rFonts w:ascii="Arial" w:cs="Arial" w:eastAsia="Arial" w:hAnsi="Arial"/>
          <w:sz w:val="18"/>
          <w:szCs w:val="18"/>
          <w:color w:val="auto"/>
        </w:rPr>
        <w:t>In addition, if we, at any time while the warrants are outstanding and unexpired, pay a dividend or make a distribution in cash, securities or other assets to the holders of common stock on account of such shares of common stock (or other shares of our capital stock into which the warrants are convertible), other than (a) as described above, (b) certain ordinary cash dividends, (c) to satisfy the redemption rights of the holders of common stock in connection with a proposed initial business combination, (d) to satisfy the redemption rights of the holders of common stock in connection with a stockholder vote to amend our amended and restated certificate of incorporation (i) to modify the substance or timing of our obligation to allow redemption in connection with our initial business combination or to redeem 100% of our common stock if we do not complete our initial business combination within 12 months (or up to 18 months, as applicable) from the closing of this offering or (ii) with respect to any other provision relating to stockholders’ rights or pre- initial business combination activity,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33"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will be decreased in proportion to such decrease in outstanding shares of common stock.</w:t>
      </w:r>
    </w:p>
    <w:p>
      <w:pPr>
        <w:spacing w:after="0" w:line="108"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122" w:lineRule="exact"/>
        <w:rPr>
          <w:sz w:val="20"/>
          <w:szCs w:val="20"/>
          <w:color w:val="auto"/>
        </w:rPr>
      </w:pPr>
    </w:p>
    <w:p>
      <w:pPr>
        <w:jc w:val="both"/>
        <w:ind w:left="1260" w:right="459" w:firstLine="360"/>
        <w:spacing w:after="0" w:line="257" w:lineRule="auto"/>
        <w:rPr>
          <w:sz w:val="20"/>
          <w:szCs w:val="20"/>
          <w:color w:val="auto"/>
        </w:rPr>
      </w:pPr>
      <w:r>
        <w:rPr>
          <w:rFonts w:ascii="Arial" w:cs="Arial" w:eastAsia="Arial" w:hAnsi="Arial"/>
          <w:sz w:val="17"/>
          <w:szCs w:val="17"/>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w:t>
      </w:r>
    </w:p>
    <w:p>
      <w:pPr>
        <w:spacing w:after="0" w:line="35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0" w:lineRule="auto"/>
        <w:rPr>
          <w:sz w:val="20"/>
          <w:szCs w:val="20"/>
          <w:color w:val="auto"/>
        </w:rPr>
      </w:pPr>
      <w:r>
        <w:rPr>
          <w:rFonts w:ascii="Arial" w:cs="Arial" w:eastAsia="Arial" w:hAnsi="Arial"/>
          <w:sz w:val="17"/>
          <w:szCs w:val="17"/>
          <w:color w:val="auto"/>
        </w:rPr>
        <w:t>in connection with which we are dissolved, the holders of the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 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 This formula is to compensate the warrant holder for the loss of the option value portion of the warrant due to the requirement that the warrant holder exercise the warrant within 30 days of the event. The Black- Scholes model is an accepted pricing model for estimating fair market value where no quoted market price for an instrument is available.</w:t>
      </w:r>
    </w:p>
    <w:p>
      <w:pPr>
        <w:spacing w:after="0" w:line="113" w:lineRule="exact"/>
        <w:rPr>
          <w:sz w:val="20"/>
          <w:szCs w:val="20"/>
          <w:color w:val="auto"/>
        </w:rPr>
      </w:pPr>
    </w:p>
    <w:p>
      <w:pPr>
        <w:ind w:left="1260" w:right="639" w:firstLine="360"/>
        <w:spacing w:after="0" w:line="238" w:lineRule="auto"/>
        <w:rPr>
          <w:sz w:val="20"/>
          <w:szCs w:val="20"/>
          <w:color w:val="auto"/>
        </w:rPr>
      </w:pPr>
      <w:r>
        <w:rPr>
          <w:rFonts w:ascii="Arial" w:cs="Arial" w:eastAsia="Arial" w:hAnsi="Arial"/>
          <w:sz w:val="18"/>
          <w:szCs w:val="18"/>
          <w:color w:val="auto"/>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of public warrants.</w:t>
      </w:r>
    </w:p>
    <w:p>
      <w:pPr>
        <w:spacing w:after="0" w:line="126"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In addition, if (x) 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 Newly Issued Price of less than $9.20 per share (as adjusted for stock splits, stock dividends, rights issuances, subdivisions, reorganizations, recapitalizations and the like), (y) the aggregate gross proceeds from such issuances represent more than 60% of the total equity proceeds, and interest thereon, available for the funding of our initial business combination on the date of the consummation of our initial business combination (net of redemptions), and the Market Value is below $9.20 per share (as adjusted for stock splits, stock dividends, rights issuances, subdivisions, reorganizations, recapitalizations and the like), then the exercise price of each warrant will be adjusted (to the nearest cent) such that the effective exercise price per full share will be equal to 115% of the higher of the Market Value and the Newly Issued Price, and the $16.00 per share redemption trigger price described above will be adjusted (to the nearest cent) to be equal to 160% of the higher of the Market Value and the Newly Issued Price. This may make it more difficult for us to consummate an initial business combination with a target business.</w:t>
      </w:r>
    </w:p>
    <w:p>
      <w:pPr>
        <w:spacing w:after="0" w:line="117" w:lineRule="exact"/>
        <w:rPr>
          <w:sz w:val="20"/>
          <w:szCs w:val="20"/>
          <w:color w:val="auto"/>
        </w:rPr>
      </w:pPr>
    </w:p>
    <w:p>
      <w:pPr>
        <w:ind w:left="1260" w:right="559" w:firstLine="360"/>
        <w:spacing w:after="0" w:line="271"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97"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7"/>
          <w:szCs w:val="17"/>
          <w:color w:val="auto"/>
        </w:rPr>
        <w:t>No fractional shares will be issued upon exercise of the warrants. If, upon exercise of the warrants, a holder would be entitled to receive a fractional interest in a share, we will, upon exercise, round down to the nearest whole number of shares of common stock to be issued to the warrant holder.</w:t>
      </w: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We have agreed that, subject to applicable law, any action, proceeding or claim against us arising out of or relating in any way to the warrant agreement will be brought and enforced in the courts of the State of New York in the Borough of Manhattan or the United States District Court for the Southern District of New York, and we irrevocably submit to such jurisdiction, which jurisdiction will be the exclusive forum for any such action, proceeding or claim. See “Risk Factors — Our warrant agreement will designate the courts of the State of New York located in the in the Borough of Manhattan or the United States District Court for the Southern District of New York as the exclusive forums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Private Warrants</w:t>
      </w:r>
    </w:p>
    <w:p>
      <w:pPr>
        <w:spacing w:after="0" w:line="144"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7"/>
          <w:szCs w:val="17"/>
          <w:color w:val="auto"/>
        </w:rPr>
        <w:t>The private warrants (including the common stock issuable upon exercise of the private warrants) will not be transferable, assignable or salable until 30 days after the completion of our initial business combination (except, among other limited exceptions as described under the section of this prospectus entitled “</w:t>
      </w:r>
      <w:r>
        <w:rPr>
          <w:rFonts w:ascii="Arial" w:cs="Arial" w:eastAsia="Arial" w:hAnsi="Arial"/>
          <w:sz w:val="17"/>
          <w:szCs w:val="17"/>
          <w:i w:val="1"/>
          <w:iCs w:val="1"/>
          <w:color w:val="auto"/>
        </w:rPr>
        <w:t>Principal Stockholders — Restrictions on Transfers of Founder Shares and Private Warrants</w:t>
      </w:r>
      <w:r>
        <w:rPr>
          <w:rFonts w:ascii="Arial" w:cs="Arial" w:eastAsia="Arial" w:hAnsi="Arial"/>
          <w:sz w:val="17"/>
          <w:szCs w:val="17"/>
          <w:color w:val="auto"/>
        </w:rPr>
        <w:t>” to our officers and directors and other persons or entities affiliated with our sponsor) and they will not be redeemable by us so long as they are held by our sponsor or its permitted transferees. Our sponsor, or its permitted transferees, has the option to exercise the private warrants on a cashless basis. Except as described below, the private warrants have terms and provisions that are identical to those of the warrants being sold as part of the units in this offering, including as to exercise price, exercisability and exercise period. If the private warrants are held by holders other than our sponsor or its permitted transferees, the private warrants will be redeemable by us and exercisable by the holders on the same basis as the warrants included in the units being sold in this offering.</w:t>
      </w:r>
    </w:p>
    <w:p>
      <w:pPr>
        <w:spacing w:after="0" w:line="116"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If holders of the private warrants 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 The reason that we have agreed that these warrants will be exercisable on a cashless basis so long as they are held by our sponsor or its permitted transferees is because it is not known at this time whether they will be affiliated with us following an initial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common stock issuable upon exercise of the warrants freely in the open market, the insiders could be significantly restricted from doing so. As a result, we believe that allowing the holders to exercise such warrants on a cashless basis is appropriate.</w:t>
      </w:r>
    </w:p>
    <w:p>
      <w:pPr>
        <w:spacing w:after="0" w:line="124"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In addition, holders of our private warrants are entitled to certain registration rights and any private warrants purchased by Chardan NexTech 2 Warrant Holdings LLC will not be exercisable more than five years from the effective date of the registration statement, of which this prospectus forms a part, in accordance with FINRA Rule 5110(g), as long as Chardan or any of its related persons beneficially own these private warrants.</w:t>
      </w:r>
    </w:p>
    <w:p>
      <w:pPr>
        <w:spacing w:after="0" w:line="107"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Pursuant to the letter agreement, the private warrants (including the common stock issuable upon exercise of any of the private warrants) are not transferable or salable until 30 days after the completion of our initial business combination, except (a) to our officers or directors, any affiliates or family members of any of our officers or directors, any members of Chardan NexTech 2 Warrant Holdings LLC, our sponsor, or any of their respective affiliates; (b) in the case of an individual, by gift to a member of the individual’s immediate family or to a trust, the beneficiary of which is a member of the individual’s immediate family, an</w:t>
      </w:r>
    </w:p>
    <w:p>
      <w:pPr>
        <w:sectPr>
          <w:pgSz w:w="11900" w:h="16838" w:orient="portrait"/>
          <w:cols w:equalWidth="0" w:num="1">
            <w:col w:w="9879"/>
          </w:cols>
          <w:pgMar w:left="580" w:top="131" w:right="1440" w:bottom="1440" w:gutter="0" w:footer="0" w:header="0"/>
        </w:sectPr>
      </w:pP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3" w:name="page144"/>
    <w:bookmarkEnd w:id="14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9" w:lineRule="auto"/>
        <w:rPr>
          <w:sz w:val="20"/>
          <w:szCs w:val="20"/>
          <w:color w:val="auto"/>
        </w:rPr>
      </w:pPr>
      <w:r>
        <w:rPr>
          <w:rFonts w:ascii="Arial" w:cs="Arial" w:eastAsia="Arial" w:hAnsi="Arial"/>
          <w:sz w:val="17"/>
          <w:szCs w:val="17"/>
          <w:color w:val="auto"/>
        </w:rPr>
        <w:t>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 or (g) by virtue of the laws of Delaware or the applicable limited liability company agreement upon dissolution of Chardan NexTech 2 Warrant Holdings LLC,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Chardan NexTech 2 Warrant Holdings LLC, our sponsor, officers, and directors of the Company, as the case may be, with respect to such securities (including provisions relating to voting, the trust account and liquidation distributions described elsewhere in this prospectus).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62" w:lineRule="exact"/>
        <w:rPr>
          <w:sz w:val="20"/>
          <w:szCs w:val="20"/>
          <w:color w:val="auto"/>
        </w:rPr>
      </w:pPr>
    </w:p>
    <w:p>
      <w:pPr>
        <w:ind w:left="1260" w:right="599" w:firstLine="360"/>
        <w:spacing w:after="0" w:line="255" w:lineRule="auto"/>
        <w:rPr>
          <w:sz w:val="20"/>
          <w:szCs w:val="20"/>
          <w:color w:val="auto"/>
        </w:rPr>
      </w:pPr>
      <w:r>
        <w:rPr>
          <w:rFonts w:ascii="Arial" w:cs="Arial" w:eastAsia="Arial" w:hAnsi="Arial"/>
          <w:sz w:val="18"/>
          <w:szCs w:val="18"/>
          <w:color w:val="auto"/>
        </w:rPr>
        <w:t>The transfer agent for our shares of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Amended and Restated Certificate of Incorporation</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Our amended and restated certificate of incorporation will contain certain requirements and restrictions relating to this offering that will apply to us until the completion of our initial business combination. These provisions cannot be amended without the approval of the holders of at least a majority of our common stock. Our initial stockholders, who will collectively beneficially own 20% of our common stock upon the closing of this offering (assuming they do not purchase any units in this offering), will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84" w:lineRule="exact"/>
        <w:rPr>
          <w:sz w:val="20"/>
          <w:szCs w:val="20"/>
          <w:color w:val="auto"/>
        </w:rPr>
      </w:pPr>
    </w:p>
    <w:p>
      <w:pPr>
        <w:ind w:left="1800" w:right="419" w:hanging="180"/>
        <w:spacing w:after="0" w:line="268" w:lineRule="auto"/>
        <w:tabs>
          <w:tab w:leader="none" w:pos="18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12 months (or up to 18 months, as applicable) from the closing of this offering,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19" w:hanging="180"/>
        <w:spacing w:after="0" w:line="263"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75" w:lineRule="exact"/>
        <w:rPr>
          <w:rFonts w:ascii="Arial" w:cs="Arial" w:eastAsia="Arial" w:hAnsi="Arial"/>
          <w:sz w:val="18"/>
          <w:szCs w:val="18"/>
          <w:color w:val="auto"/>
        </w:rPr>
      </w:pPr>
    </w:p>
    <w:p>
      <w:pPr>
        <w:ind w:left="1800" w:right="439" w:hanging="180"/>
        <w:spacing w:after="0" w:line="255"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Although we do not intend to enter into an initial business combination with a target business that is affiliated with our sponsor, our directors or our officers, we are not prohibited from doing so. In the event we enter into such a transaction, we, or a committee of independent directors, will obtain an opinion from an independent investment banking firm or another independent firm that commonly renders valuation opinions that such an initial business combination is fair to our stockholders from a financial point of view;</w:t>
      </w:r>
    </w:p>
    <w:p>
      <w:pPr>
        <w:spacing w:after="0" w:line="70" w:lineRule="exact"/>
        <w:rPr>
          <w:rFonts w:ascii="Arial" w:cs="Arial" w:eastAsia="Arial" w:hAnsi="Arial"/>
          <w:sz w:val="18"/>
          <w:szCs w:val="18"/>
          <w:color w:val="auto"/>
        </w:rPr>
      </w:pPr>
    </w:p>
    <w:p>
      <w:pPr>
        <w:ind w:left="1800" w:right="479" w:hanging="180"/>
        <w:spacing w:after="0" w:line="253"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our Exchange Act or our listing on Nasdaq, we will provide our public stockholders with the opportunity to redeem their public shares by one of the two methods listed above;</w:t>
      </w:r>
    </w:p>
    <w:p>
      <w:pPr>
        <w:spacing w:after="0" w:line="88" w:lineRule="exact"/>
        <w:rPr>
          <w:rFonts w:ascii="Arial" w:cs="Arial" w:eastAsia="Arial" w:hAnsi="Arial"/>
          <w:sz w:val="18"/>
          <w:szCs w:val="18"/>
          <w:color w:val="auto"/>
        </w:rPr>
      </w:pPr>
    </w:p>
    <w:p>
      <w:pPr>
        <w:ind w:left="1800" w:right="519" w:hanging="180"/>
        <w:spacing w:after="0" w:line="257"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w:t>
      </w:r>
    </w:p>
    <w:p>
      <w:pPr>
        <w:spacing w:after="0" w:line="79" w:lineRule="exact"/>
        <w:rPr>
          <w:rFonts w:ascii="Arial" w:cs="Arial" w:eastAsia="Arial" w:hAnsi="Arial"/>
          <w:sz w:val="18"/>
          <w:szCs w:val="18"/>
          <w:color w:val="auto"/>
        </w:rPr>
      </w:pPr>
    </w:p>
    <w:p>
      <w:pPr>
        <w:ind w:left="1800" w:hanging="180"/>
        <w:spacing w:after="0"/>
        <w:tabs>
          <w:tab w:leader="none" w:pos="18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our stockholders approve an amendment to our amended and restated certificate of incorporation</w:t>
      </w:r>
    </w:p>
    <w:p>
      <w:pPr>
        <w:spacing w:after="0" w:line="34" w:lineRule="exact"/>
        <w:rPr>
          <w:rFonts w:ascii="Arial" w:cs="Arial" w:eastAsia="Arial" w:hAnsi="Arial"/>
          <w:sz w:val="17"/>
          <w:szCs w:val="17"/>
          <w:color w:val="auto"/>
        </w:rPr>
      </w:pPr>
    </w:p>
    <w:p>
      <w:pPr>
        <w:ind w:left="1800" w:right="439"/>
        <w:spacing w:after="0" w:line="251" w:lineRule="auto"/>
        <w:rPr>
          <w:rFonts w:ascii="Arial" w:cs="Arial" w:eastAsia="Arial" w:hAnsi="Arial"/>
          <w:sz w:val="17"/>
          <w:szCs w:val="17"/>
          <w:color w:val="auto"/>
        </w:rPr>
      </w:pPr>
      <w:r>
        <w:rPr>
          <w:rFonts w:ascii="Arial" w:cs="Arial" w:eastAsia="Arial" w:hAnsi="Arial"/>
          <w:sz w:val="18"/>
          <w:szCs w:val="18"/>
          <w:color w:val="auto"/>
        </w:rPr>
        <w:t>(i) to modify the substance or timing of our obligation to allow redemption in connection with our initial business combination or to redeem 100% of our public shares if we do not complete our initial business combination within 12 months (or up to 18 months, as applicable) from the closing of this offering or (ii) with respect to any other provision relating to stockholders’ rights or pre-business combination activity, we will provide our public stockholders with the opportunity to redeem all or a portion of their shares of common stock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w:t>
      </w:r>
    </w:p>
    <w:p>
      <w:pPr>
        <w:spacing w:after="0" w:line="89" w:lineRule="exact"/>
        <w:rPr>
          <w:rFonts w:ascii="Arial" w:cs="Arial" w:eastAsia="Arial" w:hAnsi="Arial"/>
          <w:sz w:val="17"/>
          <w:szCs w:val="17"/>
          <w:color w:val="auto"/>
        </w:rPr>
      </w:pPr>
    </w:p>
    <w:p>
      <w:pPr>
        <w:ind w:left="1800" w:right="939" w:hanging="180"/>
        <w:spacing w:after="0" w:line="277"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with another blank check company or a similar company with nominal operations;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We will not effect our initial business combination unless our sponsor approves of such transaction.</w:t>
      </w:r>
    </w:p>
    <w:p>
      <w:pPr>
        <w:spacing w:after="0" w:line="169"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In addition, our amended and restated certificate of incorporation will provide that we may only redeem our public shares so long as our net tangible assets are at least $5,000,001 either immediately prior to or upon consummation of our initial business combination and after payment of underwriters’ fees and commissions.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Certain Anti-Takeover Provisions of Delaware Law and our Certificate of Incorporation and By-Laws</w:t>
      </w:r>
    </w:p>
    <w:p>
      <w:pPr>
        <w:spacing w:after="0" w:line="169" w:lineRule="exact"/>
        <w:rPr>
          <w:sz w:val="20"/>
          <w:szCs w:val="20"/>
          <w:color w:val="auto"/>
        </w:rPr>
      </w:pPr>
    </w:p>
    <w:p>
      <w:pPr>
        <w:jc w:val="both"/>
        <w:ind w:left="1260" w:right="559" w:firstLine="360"/>
        <w:spacing w:after="0" w:line="286" w:lineRule="auto"/>
        <w:rPr>
          <w:sz w:val="20"/>
          <w:szCs w:val="20"/>
          <w:color w:val="auto"/>
        </w:rPr>
      </w:pPr>
      <w:r>
        <w:rPr>
          <w:rFonts w:ascii="Arial" w:cs="Arial" w:eastAsia="Arial" w:hAnsi="Arial"/>
          <w:sz w:val="17"/>
          <w:szCs w:val="17"/>
          <w:color w:val="auto"/>
        </w:rPr>
        <w:t>Our amended and restated certificate of incorporation will provide that our board of directors will be classified into two classes of directors. As a result, in most circumstances, a person can gain control of our board only by successfully engaging in a proxy contest at two or more annual meetings.</w:t>
      </w:r>
    </w:p>
    <w:p>
      <w:pPr>
        <w:spacing w:after="0" w:line="84"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79" w:lineRule="exact"/>
        <w:rPr>
          <w:sz w:val="20"/>
          <w:szCs w:val="20"/>
          <w:color w:val="auto"/>
        </w:rPr>
      </w:pPr>
    </w:p>
    <w:p>
      <w:pPr>
        <w:ind w:left="1800" w:right="459" w:hanging="180"/>
        <w:spacing w:after="0" w:line="277"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5" w:name="page146"/>
    <w:bookmarkEnd w:id="14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79" w:hanging="180"/>
        <w:spacing w:after="0" w:line="263" w:lineRule="auto"/>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48" w:lineRule="exact"/>
        <w:rPr>
          <w:rFonts w:ascii="Arial" w:cs="Arial" w:eastAsia="Arial" w:hAnsi="Arial"/>
          <w:sz w:val="18"/>
          <w:szCs w:val="18"/>
          <w:color w:val="auto"/>
        </w:rPr>
      </w:pPr>
    </w:p>
    <w:p>
      <w:pPr>
        <w:jc w:val="both"/>
        <w:ind w:left="1800" w:right="539" w:hanging="180"/>
        <w:spacing w:after="0" w:line="263" w:lineRule="auto"/>
        <w:tabs>
          <w:tab w:leader="none" w:pos="1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116"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20% or more of our voting stock.</w:t>
      </w:r>
    </w:p>
    <w:p>
      <w:pPr>
        <w:spacing w:after="0" w:line="107"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26"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Our amended and restated certificate of incorporation provides that our sponsor and its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58"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4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90th day nor earlier than the opening of business on the 120th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58"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Subsequent to the consummation of the offering, any action required or permitted to be taken by our common stockholders must be effected by a duly called annual or special meeting of such stockholders and may not be effected by written consent of the stockholders.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5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144"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color w:val="auto"/>
        </w:rPr>
        <w:t>Our amended and restated certificate of incorporation will require, subject to certain exceptions and unless we consent in writing to the selection of an alternative forum, the sole and exclusive forum for (a) any</w:t>
      </w:r>
    </w:p>
    <w:p>
      <w:pPr>
        <w:sectPr>
          <w:pgSz w:w="11900" w:h="16838" w:orient="portrait"/>
          <w:cols w:equalWidth="0" w:num="1">
            <w:col w:w="9879"/>
          </w:cols>
          <w:pgMar w:left="580" w:top="131" w:right="1440" w:bottom="1440" w:gutter="0" w:footer="0" w:header="0"/>
        </w:sectPr>
      </w:pP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6" w:name="page147"/>
    <w:bookmarkEnd w:id="14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58" w:lineRule="auto"/>
        <w:rPr>
          <w:sz w:val="20"/>
          <w:szCs w:val="20"/>
          <w:color w:val="auto"/>
        </w:rPr>
      </w:pPr>
      <w:r>
        <w:rPr>
          <w:rFonts w:ascii="Arial" w:cs="Arial" w:eastAsia="Arial" w:hAnsi="Arial"/>
          <w:sz w:val="17"/>
          <w:szCs w:val="17"/>
          <w:color w:val="auto"/>
        </w:rPr>
        <w:t>derivative action or proceeding brought on our behalf, (b) any action asserting a claim of breach of a fiduciary duty owed by any current or former director, officer, employee, agent to us or out stockholders,</w:t>
      </w:r>
    </w:p>
    <w:p>
      <w:pPr>
        <w:spacing w:after="0" w:line="1" w:lineRule="exact"/>
        <w:rPr>
          <w:sz w:val="20"/>
          <w:szCs w:val="20"/>
          <w:color w:val="auto"/>
        </w:rPr>
      </w:pPr>
    </w:p>
    <w:p>
      <w:pPr>
        <w:ind w:left="1260" w:right="419"/>
        <w:spacing w:after="0" w:line="237" w:lineRule="auto"/>
        <w:tabs>
          <w:tab w:leader="none" w:pos="1519"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the amended and restated certificate of incorporation or bylaws, or (d) any action asserting a claim governed by the internal affairs doctrine shall be the Court of Chancery of the State of Delaware (or, if the Court of Chancery of the State of Delaware lacks jurisdiction over such action or proceeding, then another court of the State of Delaware or, if no court of the State of Delaware has jurisdiction, then the United States District Court for the District of Delaware).</w:t>
      </w:r>
    </w:p>
    <w:p>
      <w:pPr>
        <w:spacing w:after="0" w:line="108"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Although we believe this forum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 If any action, the subject matter of which is within the scope the forum provisions of our amended and restated certificate of incorporation, is filed in a court other than a court of the State of Delaware, such action we refer to as a foreign action, in the name of any stockholder, such stockholder shall be deemed to have consented to (i) the personal jurisdiction of the state and federal courts located within the State of Delaware in connection with any action brought in such court to enforce the forum provisions, such action we refer to as an enforcement action, and (ii) having service of process made upon such stockholder in any such enforcement action by service upon such stockholder’s counsel in the foreign action as agent for such stockholder.</w:t>
      </w:r>
    </w:p>
    <w:p>
      <w:pPr>
        <w:spacing w:after="0" w:line="124"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In addition, our amended and restated certificate of incorporationwill state that unless we consent in writing to the selection of an alternative forum, the federal district courts of the United States of America shall be the exclusive forum for resolution of any complaint asserting a cause of action arising under the Securities Act. Section 22 of the Securities Act creates a concurrent jurisdiction for federal and state courts over all suits brought to enforce any duty or liability created by the Securities Act or the rules and regulations thereunder.</w:t>
      </w:r>
    </w:p>
    <w:p>
      <w:pPr>
        <w:spacing w:after="0" w:line="122"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However, our amended and restated certificate of incorporation does not purport to require suits brought to enforce a duty or liability created by the Exchange Act to be brought in the Court of Chancery of the State of Delaware or another court of the State of Delaware. Section 27 of the Exchange Act creates exclusive federal jurisdiction over all claims brought to enforce any duty or liability created by the Exchange Act or the rules and regulations thereunder.</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 xml:space="preserve">Immediately after this consummation of this offering, we will have 12,500,000 shares of common stock issued and outstanding, or 14,375,000 shares of common stock if the over-allotment option is exercised in full. Of these shares, the 10,000,000 shares sold in this offering, or 11,500,000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2,500,000 (or 2,875,000 if the underwriters’ over-allotment is exercised in full) shares are restricted securities under Rule 144, in that they were issued in private transactions not involving a public offering. All of those shares will not be transferable except in limited circumstances described elsewhere in this prospectus, but these restricted securities will be entitled to registration rights as more fully described below under “— </w:t>
      </w:r>
      <w:r>
        <w:rPr>
          <w:rFonts w:ascii="Arial" w:cs="Arial" w:eastAsia="Arial" w:hAnsi="Arial"/>
          <w:sz w:val="17"/>
          <w:szCs w:val="17"/>
          <w:i w:val="1"/>
          <w:iCs w:val="1"/>
          <w:color w:val="auto"/>
        </w:rPr>
        <w:t>Registration Rights</w:t>
      </w:r>
      <w:r>
        <w:rPr>
          <w:rFonts w:ascii="Arial" w:cs="Arial" w:eastAsia="Arial" w:hAnsi="Arial"/>
          <w:sz w:val="17"/>
          <w:szCs w:val="17"/>
          <w:color w:val="auto"/>
        </w:rPr>
        <w: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Rule 144</w:t>
      </w:r>
    </w:p>
    <w:p>
      <w:pPr>
        <w:spacing w:after="0" w:line="158"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Pursuant to Rule 144, a person who has beneficially owned restricted shares of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common stock for at least</w:t>
      </w:r>
    </w:p>
    <w:p>
      <w:pPr>
        <w:spacing w:after="0" w:line="2" w:lineRule="exact"/>
        <w:rPr>
          <w:sz w:val="20"/>
          <w:szCs w:val="20"/>
          <w:color w:val="auto"/>
        </w:rPr>
      </w:pPr>
    </w:p>
    <w:p>
      <w:pPr>
        <w:ind w:left="1260" w:right="519"/>
        <w:spacing w:after="0" w:line="239" w:lineRule="auto"/>
        <w:rPr>
          <w:sz w:val="20"/>
          <w:szCs w:val="20"/>
          <w:color w:val="auto"/>
        </w:rPr>
      </w:pPr>
      <w:r>
        <w:rPr>
          <w:rFonts w:ascii="Arial" w:cs="Arial" w:eastAsia="Arial" w:hAnsi="Arial"/>
          <w:sz w:val="18"/>
          <w:szCs w:val="18"/>
          <w:color w:val="auto"/>
        </w:rPr>
        <w:t>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99" w:hanging="180"/>
        <w:spacing w:after="0" w:line="263" w:lineRule="auto"/>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1% of the number of shares of common stock then issued and outstanding, which will equal 125,000 shares immediately after this offering (or 143,750 if the over-allotment option is exercised in full); and</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03"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us.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158" w:lineRule="exact"/>
        <w:rPr>
          <w:sz w:val="20"/>
          <w:szCs w:val="20"/>
          <w:color w:val="auto"/>
        </w:rPr>
      </w:pPr>
    </w:p>
    <w:p>
      <w:pPr>
        <w:ind w:left="1260" w:right="859" w:firstLine="360"/>
        <w:spacing w:after="0" w:line="24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0" w:lineRule="exact"/>
        <w:rPr>
          <w:sz w:val="20"/>
          <w:szCs w:val="20"/>
          <w:color w:val="auto"/>
        </w:rPr>
      </w:pPr>
    </w:p>
    <w:p>
      <w:pPr>
        <w:ind w:left="1800" w:hanging="180"/>
        <w:spacing w:after="0"/>
        <w:tabs>
          <w:tab w:leader="none" w:pos="18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115" w:lineRule="exact"/>
        <w:rPr>
          <w:rFonts w:ascii="Arial" w:cs="Arial" w:eastAsia="Arial" w:hAnsi="Arial"/>
          <w:sz w:val="17"/>
          <w:szCs w:val="17"/>
          <w:color w:val="auto"/>
        </w:rPr>
      </w:pPr>
    </w:p>
    <w:p>
      <w:pPr>
        <w:ind w:left="1800" w:right="899" w:hanging="180"/>
        <w:spacing w:after="0" w:line="277"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62"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75"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jc w:val="both"/>
        <w:ind w:left="1260" w:right="659" w:firstLine="360"/>
        <w:spacing w:after="0" w:line="248" w:lineRule="auto"/>
        <w:rPr>
          <w:sz w:val="20"/>
          <w:szCs w:val="20"/>
          <w:color w:val="auto"/>
        </w:rPr>
      </w:pPr>
      <w:r>
        <w:rPr>
          <w:rFonts w:ascii="Arial" w:cs="Arial" w:eastAsia="Arial" w:hAnsi="Arial"/>
          <w:sz w:val="18"/>
          <w:szCs w:val="18"/>
          <w:color w:val="auto"/>
        </w:rPr>
        <w:t>As a result, our initial stockholders will be able to sell their founder shares and private warrants, and the securities underlying the foregoing, as applicable, pursuant to Rule 144 without registration one year after we have completed our initial business combination.</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44"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The holders of our founder shares issued and outstanding on the date of this prospectus, as well as the holders of the private warrants (and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 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Chardan NexTech 2 Warrant Holdings LLC,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 of Securities</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We have applied to list our units, common stock and warrants on Nasdaq under the symbols “CNTQU,” “CNTQ” and “CNTQW,” respectively. We expect that our units will be listed on Nasdaq on or promptly after the effective date of the registration statement. Following the date the shares of our common stock and warrants are eligible to trade separately, we anticipate that the shares of our common stock and warrants will be listed separately and as a unit on Nasdaq.</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48" w:lineRule="exact"/>
        <w:rPr>
          <w:sz w:val="20"/>
          <w:szCs w:val="20"/>
          <w:color w:val="auto"/>
        </w:rPr>
      </w:pPr>
    </w:p>
    <w:p>
      <w:pPr>
        <w:ind w:left="1260" w:right="499" w:firstLine="360"/>
        <w:spacing w:after="0" w:line="267" w:lineRule="auto"/>
        <w:rPr>
          <w:sz w:val="20"/>
          <w:szCs w:val="20"/>
          <w:color w:val="auto"/>
        </w:rPr>
      </w:pPr>
      <w:r>
        <w:rPr>
          <w:rFonts w:ascii="Arial" w:cs="Arial" w:eastAsia="Arial" w:hAnsi="Arial"/>
          <w:sz w:val="17"/>
          <w:szCs w:val="17"/>
          <w:color w:val="auto"/>
        </w:rPr>
        <w:t>The following is a discussion of the material U.S. federal income tax considerations generally applicable to the acquisition, ownership and disposition of our units, shares of common stock and warrants, which we refer to collectively as our securities. Because once the shares of common stock and warrants commence separate trading, the components of a unit are separable at the option of the holder, the holder of a unit generally should be treated, for U.S. federal income tax purposes, as the owner of the underlying common stock and one-half of one redeemable warrant components of the unit, as the case may be. As a result, the discussion below with respect to actual holders of common stock and warrants should also apply to holders of units (as the deemed owners of the underlying common stock and warrants that comprise</w:t>
      </w:r>
    </w:p>
    <w:p>
      <w:pPr>
        <w:spacing w:after="0" w:line="3" w:lineRule="exact"/>
        <w:rPr>
          <w:sz w:val="20"/>
          <w:szCs w:val="20"/>
          <w:color w:val="auto"/>
        </w:rPr>
      </w:pPr>
    </w:p>
    <w:p>
      <w:pPr>
        <w:ind w:left="1260" w:right="659"/>
        <w:spacing w:after="0" w:line="260" w:lineRule="auto"/>
        <w:rPr>
          <w:sz w:val="20"/>
          <w:szCs w:val="20"/>
          <w:color w:val="auto"/>
        </w:rPr>
      </w:pPr>
      <w:r>
        <w:rPr>
          <w:rFonts w:ascii="Arial" w:cs="Arial" w:eastAsia="Arial" w:hAnsi="Arial"/>
          <w:sz w:val="18"/>
          <w:szCs w:val="18"/>
          <w:color w:val="auto"/>
        </w:rPr>
        <w:t>the units). This discussion applies only to securities that are held as capital assets for U.S. federal income tax purposes and is applicable only to holders who purchased units in this offering.</w:t>
      </w:r>
    </w:p>
    <w:p>
      <w:pPr>
        <w:spacing w:after="0" w:line="118"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including but not limited to:</w:t>
      </w:r>
    </w:p>
    <w:p>
      <w:pPr>
        <w:spacing w:after="0" w:line="63" w:lineRule="exact"/>
        <w:rPr>
          <w:sz w:val="20"/>
          <w:szCs w:val="20"/>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sponsor, officers or directors;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shares by vote or value;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dealers or traders subject to a mark-to-market method of accounting with respect to the securities;</w:t>
      </w:r>
    </w:p>
    <w:p>
      <w:pPr>
        <w:spacing w:after="0" w:line="128" w:lineRule="exact"/>
        <w:rPr>
          <w:rFonts w:ascii="Arial" w:cs="Arial" w:eastAsia="Arial" w:hAnsi="Arial"/>
          <w:sz w:val="17"/>
          <w:szCs w:val="17"/>
          <w:color w:val="auto"/>
        </w:rPr>
      </w:pPr>
    </w:p>
    <w:p>
      <w:pPr>
        <w:ind w:left="1800" w:right="1079" w:hanging="180"/>
        <w:spacing w:after="0" w:line="277" w:lineRule="auto"/>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persons holding the securities as part of a “straddle,” hedge, integrated transaction or similar transaction;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17"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and any beneficial owners of such entities;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58" w:lineRule="exact"/>
        <w:rPr>
          <w:sz w:val="20"/>
          <w:szCs w:val="20"/>
          <w:color w:val="auto"/>
        </w:rPr>
      </w:pPr>
    </w:p>
    <w:p>
      <w:pPr>
        <w:jc w:val="both"/>
        <w:ind w:left="1260" w:right="559" w:firstLine="360"/>
        <w:spacing w:after="0" w:line="263" w:lineRule="auto"/>
        <w:rPr>
          <w:sz w:val="20"/>
          <w:szCs w:val="20"/>
          <w:color w:val="auto"/>
        </w:rPr>
      </w:pPr>
      <w:r>
        <w:rPr>
          <w:rFonts w:ascii="Arial" w:cs="Arial" w:eastAsia="Arial" w:hAnsi="Arial"/>
          <w:sz w:val="18"/>
          <w:szCs w:val="18"/>
          <w:color w:val="auto"/>
        </w:rPr>
        <w:t>If you are a partnership or other entity or arrangement treated as a partnership for U.S. federal income tax purposes, the U.S. federal income tax treatment of your partners will generally depend on the status of the partners and your activities.</w:t>
      </w:r>
    </w:p>
    <w:p>
      <w:pPr>
        <w:spacing w:after="0" w:line="103" w:lineRule="exact"/>
        <w:rPr>
          <w:sz w:val="20"/>
          <w:szCs w:val="20"/>
          <w:color w:val="auto"/>
        </w:rPr>
      </w:pPr>
    </w:p>
    <w:p>
      <w:pPr>
        <w:ind w:left="1260" w:right="599" w:firstLine="360"/>
        <w:spacing w:after="0" w:line="255" w:lineRule="auto"/>
        <w:rPr>
          <w:sz w:val="20"/>
          <w:szCs w:val="20"/>
          <w:color w:val="auto"/>
        </w:rPr>
      </w:pPr>
      <w:r>
        <w:rPr>
          <w:rFonts w:ascii="Arial" w:cs="Arial" w:eastAsia="Arial" w:hAnsi="Arial"/>
          <w:sz w:val="18"/>
          <w:szCs w:val="18"/>
          <w:color w:val="auto"/>
        </w:rPr>
        <w:t>This discussion is based on the Internal Revenue Code of 1986, as amended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25"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We have not sought, and will not seek, a ruling from the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w:t>
      </w:r>
    </w:p>
    <w:p>
      <w:pPr>
        <w:sectPr>
          <w:pgSz w:w="11900" w:h="16838" w:orient="portrait"/>
          <w:cols w:equalWidth="0" w:num="1">
            <w:col w:w="9879"/>
          </w:cols>
          <w:pgMar w:left="580" w:top="131" w:right="1440" w:bottom="1440" w:gutter="0" w:footer="0" w:header="0"/>
        </w:sectPr>
      </w:pP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9" w:name="page150"/>
    <w:bookmarkEnd w:id="14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color w:val="auto"/>
        </w:rPr>
        <w:t>tax laws to your particular situation, as well as any tax consequences arising under the laws of any state, local or foreign jurisdiction.</w:t>
      </w:r>
    </w:p>
    <w:p>
      <w:pPr>
        <w:spacing w:after="0" w:line="90"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THIS DISCUSSION OF U.S. FEDERAL INCOME TAX CONSIDERATIONS IS FOR GENERAL INFORMATION PURPOSES ONLY AND IS NOT TAX ADVICE. WE URGE PROSPECTIVE HOLDERS TO CONSULT THEIR TAX ADVISORS CONCERNING THE U.S. FEDERAL INCOME TAX CONSEQUENCES TO THEM OF ACQUIRING, OWNING AND DISPOSING OF OUR SECURITIES, AS WELL AS THE APPLICATION OF ANY, STATE, LOCAL AND NON-U.S. INCOME, ESTATE AND OTHER TAX CONSIDERATIONS.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Personal Holding Company Status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We would be subject to a second level of U.S. federal income tax on a portion of our income if we are determined to be a personal holding company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113"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Depending on the date and size of our initial business combination, it is possible that at least 60% of our adjusted ordinary gross income may consist of PHC income. In addition, depending on the concentration of our stock in the hands of individuals, including the members of our sponsor and certain tax-exempt organizations, pension funds and charitable trusts, it is possible that more than 50% of our stock may be owned or deemed owned (pursuant to the constructive ownership rules) by five or fewer such persons during the last half of a taxable year. Thus, no assurance can be given that we will not be a PHC following this offering or in the future. If we are or were to become a PHC in a given taxable year, we would be subject to an additional PHC tax, currently 20%, on our undistributed PHC income, which generally includes our taxable income, subject to certain adjustments.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Allocation of Purchase Price and Characterization of a Unit</w:t>
      </w:r>
    </w:p>
    <w:p>
      <w:pPr>
        <w:spacing w:after="0" w:line="14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No statutory, administrative or judicial authority directly addresses the treatment of the unit or instruments similar to the unit for U.S. federal income tax purposes and, therefore, that treatment is not entirely clear. The acquisition of a unit should be treated for U.S. federal income tax purposes as the acquisition of one share of our common stock and one-half of one warrant to acquire one share of our common stock. We intend to treat the acquisition of a unit in this manner and, by purchasing a unit, you agree to adopt such treatment for tax purposes. For U.S. federal income tax purposes, each holder of a unit must allocate the purchase price paid by such holder for such unit between the one share of common stock and the one -half of one warrant based on the relative fair market value of each at the time of issuance. Under U.S. federal income tax law, each investor must make its own determination of such value based on all the relevant facts and circumstances. Therefore, we strongly urge each investor to consult its tax advisor regarding the determination of value for these purposes. The price allocated to each share of common stock and the one -half of one warrant should be the holder’s initial tax basis in such share or one-half of one warrant, as the case may be. Any disposition of a unit should be treated for U.S. federal income tax purposes as a disposition of the share of common stock and one-half of one warrant comprising the unit, and the amount realized on the disposition should be allocated between the common stock and the one -half of one warrant based on their respective relative fair market values (as determined by each such unit holder on all the relevant facts and circumstances) at the time of disposition. The separation of shares of common stock and warrants comprising units should not be a taxable event for U.S. federal income tax purposes.</w:t>
      </w:r>
    </w:p>
    <w:p>
      <w:pPr>
        <w:spacing w:after="0" w:line="114"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The foregoing treatment of the units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own tax</w:t>
      </w:r>
    </w:p>
    <w:p>
      <w:pPr>
        <w:spacing w:after="0" w:line="34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99"/>
        <w:spacing w:after="0" w:line="248" w:lineRule="auto"/>
        <w:rPr>
          <w:sz w:val="20"/>
          <w:szCs w:val="20"/>
          <w:color w:val="auto"/>
        </w:rPr>
      </w:pPr>
      <w:r>
        <w:rPr>
          <w:rFonts w:ascii="Arial" w:cs="Arial" w:eastAsia="Arial" w:hAnsi="Arial"/>
          <w:sz w:val="18"/>
          <w:szCs w:val="18"/>
          <w:color w:val="auto"/>
        </w:rPr>
        <w:t>advisors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 Holders</w:t>
      </w:r>
    </w:p>
    <w:p>
      <w:pPr>
        <w:spacing w:after="0" w:line="148"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This section applies to you if you are a “U.S. holder.” A U.S. holder is a beneficial owner of our units, shares of common stock or warrants who or that is, for U.S. federal income tax purposes:</w:t>
      </w:r>
    </w:p>
    <w:p>
      <w:pPr>
        <w:spacing w:after="0" w:line="63" w:lineRule="exact"/>
        <w:rPr>
          <w:sz w:val="20"/>
          <w:szCs w:val="20"/>
          <w:color w:val="auto"/>
        </w:rPr>
      </w:pPr>
    </w:p>
    <w:p>
      <w:pPr>
        <w:ind w:left="1800" w:hanging="180"/>
        <w:spacing w:after="0"/>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62" w:lineRule="exact"/>
        <w:rPr>
          <w:rFonts w:ascii="Arial" w:cs="Arial" w:eastAsia="Arial" w:hAnsi="Arial"/>
          <w:sz w:val="18"/>
          <w:szCs w:val="18"/>
          <w:color w:val="auto"/>
        </w:rPr>
      </w:pPr>
    </w:p>
    <w:p>
      <w:pPr>
        <w:ind w:left="1800" w:right="639" w:hanging="180"/>
        <w:spacing w:after="0" w:line="259" w:lineRule="auto"/>
        <w:tabs>
          <w:tab w:leader="none" w:pos="1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4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If we pay distributions in cash or other property (other than certain distributions of our stock or rights to acquire our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“U.S. Holders — Gain or Loss on Sale, Taxable Exchange or Other Taxable Disposition of Common Stock and Warrants” below.</w:t>
      </w:r>
    </w:p>
    <w:p>
      <w:pPr>
        <w:spacing w:after="0" w:line="124"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preferential tax rate accorded to long-term capital gains. It is unclear whether the redemption rights with respect to the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Common Stock and Warrants.</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Upon a sale or other taxable disposition of our common stock or warrants which, in general, would include a redemption of common stock or warrants that is treated as a sale of such securities as described below, and including as a result of a dissolution and liquidation in the event we do not consummate an initial business combination within the required time period, a U.S. holder generally will recognize capital gain or loss in an amount equal to the difference between the amount realized and the U.S. holder’s adjusted tax basis in the common stock or warrants so disposed of. Any such capital gain or loss generally will be long-term capital gain or loss if the U.S. holder’s holding period for the common stock or warrants so disposed of exceeds one year. It is unclear, however, whether the redemption rights with respect to the common stock described in this prospectus may suspend the running of the applicable holding period for this purpose. If the running of the holding period for the common stock is suspended, then non-corporate U.S. holders may</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51" w:name="page152"/>
    <w:bookmarkEnd w:id="15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color w:val="auto"/>
        </w:rPr>
        <w:t>not be able to satisfy the one-year holding period requirement for long -term capital gain treatment, in which case any gain on a sale or taxable disposition of the shares or warrants would be subject to short-term capital gain treatment and would be taxed at regular ordinary income tax rates. Long-term capital gains recognized by non-corporate U.S. holders are currently eligible to be taxed at reduced rates. The deductibility of capital losses is subject to limitations.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Generally, the amount of gain or loss recognized by a U.S. holder is equal to the difference between</w:t>
      </w:r>
    </w:p>
    <w:p>
      <w:pPr>
        <w:spacing w:after="0" w:line="23" w:lineRule="exact"/>
        <w:rPr>
          <w:sz w:val="20"/>
          <w:szCs w:val="20"/>
          <w:color w:val="auto"/>
        </w:rPr>
      </w:pPr>
    </w:p>
    <w:p>
      <w:pPr>
        <w:ind w:left="1260" w:right="439"/>
        <w:spacing w:after="0" w:line="236" w:lineRule="auto"/>
        <w:tabs>
          <w:tab w:leader="none" w:pos="1489"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sum of the amount of cash and the fair market value of any property received in such disposition (or, if the common stock or warrants are held as part of units at the time of the disposition, the portion of the amount realized on such disposition that is allocated to the common stock or the warrants based upon the then fair market values of the common stock and the warrants included in the units) and (ii) the U.S. holder’s adjusted tax basis in its common stock or warrants so disposed of. A U.S. holder’s adjusted tax basis in its common stock or warrants generally will equal the U.S. holder’s acquisition cost (that is, as discussed above, the portion of the purchase price of a unit allocated to a share of common stock or one-half of one warrant or, as discussed below, the U.S. holder’s initial basis for common stock received upon exercise of warrants) less, in the case of a share of common stock, any prior distributions treated as a return of capital.</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158"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In the event that a U.S. holder’s common stock is redeemed pursuant to the redemption provisions described under the section of this prospectus entitled “Description of Securities — Common Stock” or if we purchase a U.S. holder’s common stock in an open market transaction (each of which we refer to as a “redemption”), the treatment of the transaction for U.S. federal income tax purposes will depend on whether the redemption qualifies as a sale or exchange of the common stock under Section 302 of the Code. If the redemption qualifies as a sale or exchange of common stock, the U.S. holder will be treated as described under “U.S. Holders — Gain or Loss on Sale, Taxable Exchange or Other Taxable Disposition of Common Stock and Warrants” above. If the redemption does not qualify as a sale or exchange of common stock, the U.S. holder will be treated as receiving a corporate distribution with the tax consequences described above under “U.S. Holders — Taxation of Distributions”. Whether a redemption qualifies for sale or exchange treatment will depend largely on the total number of shares of our stock treated as owned by the U.S. holder (including any stock constructively owned by the U.S. holder described in the following paragraph) relative to all of our shares outstanding both before and after the redemption. The redemption of common stock generally will be treated as a sale of the common stock (rather than as a corporate distribution) if the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16" w:lineRule="exact"/>
        <w:rPr>
          <w:sz w:val="20"/>
          <w:szCs w:val="20"/>
          <w:color w:val="auto"/>
        </w:rPr>
      </w:pPr>
    </w:p>
    <w:p>
      <w:pPr>
        <w:ind w:left="1260" w:right="539" w:firstLine="360"/>
        <w:spacing w:after="0" w:line="250" w:lineRule="auto"/>
        <w:rPr>
          <w:sz w:val="20"/>
          <w:szCs w:val="20"/>
          <w:color w:val="auto"/>
        </w:rPr>
      </w:pPr>
      <w:r>
        <w:rPr>
          <w:rFonts w:ascii="Arial" w:cs="Arial" w:eastAsia="Arial" w:hAnsi="Arial"/>
          <w:sz w:val="17"/>
          <w:szCs w:val="17"/>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common stock which could be acquired pursuant to the exercise of the warrants. In order to meet the substantially disproportionate test, the percentage of our outstanding voting stock actually and constructively owned by the U.S. holder immediately following the redemption of common stock must, among other requirements, be less than 80% of the percentage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(including any stock constructively owned by the U.S. holder as a result of owning warrants). The redemption of the common stock will not be essentially equivalent to a dividend with respect to a U.S. holder if the redemption results in a “meaningful reduction” of the U.S. holder’s proportionate interest in us. Whether the redemption will result in a meaningful reduction in a U.S. holder’s proportionate interest in us will depend on the particular facts and circumstances. However, the IRS has</w:t>
      </w:r>
    </w:p>
    <w:p>
      <w:pPr>
        <w:spacing w:after="0" w:line="36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59" w:lineRule="auto"/>
        <w:rPr>
          <w:sz w:val="20"/>
          <w:szCs w:val="20"/>
          <w:color w:val="auto"/>
        </w:rPr>
      </w:pPr>
      <w:r>
        <w:rPr>
          <w:rFonts w:ascii="Arial" w:cs="Arial" w:eastAsia="Arial" w:hAnsi="Arial"/>
          <w:sz w:val="18"/>
          <w:szCs w:val="18"/>
          <w:color w:val="auto"/>
        </w:rPr>
        <w:t>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106"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If none of the foregoing tests is satisfied, then the redemption will be treated as a corporate distribution and the tax effects will be as described under “U.S. Holders — Taxation of Distributions,” above. After the application of those rules, any remaining tax basis of the U.S. holder in the redeemed common stock will be added to the U.S. holder’s adjusted tax basis in its remaining shares, or, if it has none, to the U.S. holder’s adjusted tax basis in its warrants or possibly in other stock constructively owned by it.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Exercise or Lapse of a Warrant</w:t>
      </w:r>
    </w:p>
    <w:p>
      <w:pPr>
        <w:spacing w:after="0" w:line="15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Except as discussed below with respect to the cashless exercise of a warrant, a U.S. holder generally will not recognize taxable gain or loss on the acquisition of common stock upon exercise of a warrant for cash. The U.S. holder’s tax basis in the share of our common stock received upon exercise of the warrant generally will be an amount equal to the sum of the U.S. holder’s initial investment in the warrant (i.e., the portion of the U.S. holder’s purchase price for the units that is allocated to the warrant, as described above under “— Allocation of Purchase Price and Characterization of a Unit”) and the exercise price of such warrant. It is unclear whether the U.S. holder’s holding period for the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2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tax basis in the common stock received generally should equal the holder’s tax basis in the warrants exercised therefor. If the cashless exercise were treated as not being a realization event (and not a recapitalization), it is unclear whether a U.S. holder’s holding period for the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common stock would include the holding period of the warrants exercised therefor.</w:t>
      </w:r>
    </w:p>
    <w:p>
      <w:pPr>
        <w:spacing w:after="0" w:line="104"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It is also possible that a cashless exercise could be treated in part as a taxable exchange in which gain or loss would be recognized. In such event, a U.S. holder could be deemed to have surrendered a number of warrants having an aggregate fair market value equal to the exercise price for the total number of warrants to be exercised. The U.S. holder would recognize capital gain or loss in an amount equal to the difference between the fair market value of the common stock received in respect of the warrants deemed surrendered and the U.S. holder’s adjusted tax basis in such warrants. Such gain or loss would be long-term or short-term, depending on the U.S. holder’s holding period in the warrants deemed surrendered. In this case, a U.S. holder’s tax basis in the common stock received would equal the sum of the U.S. holder’s tax basis in the warrants exercised (i.e., the portion of the U.S. holder’s purchase price for the units that is allocated to the warrants, as described above under “— Allocation of Purchase Price and Characterization of a Unit”) and the exercise price of such warrants. It is unclear whether a U.S. holder’s holding period for the common stock would commence on the date following the date of exercise or on the date of exercise of the warrants; in either case, the holding period would not include the period during which the U.S. holder held the warrants.</w:t>
      </w:r>
    </w:p>
    <w:p>
      <w:pPr>
        <w:spacing w:after="0" w:line="130"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common stock received,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If we redeem warrants for cash or if we purchase warrants in an open market transaction, such redemption or purchase generally will be treated as a taxable disposition to the U.S. holder, taxed as described above under “— Gain or Loss on Sale, Taxable Exchange or Other Taxable Disposition of Common Stock and Warrants.” The tax consequences of an exercise of a warrant occurring after our giving notice of an intention to redeem the warrant for $0.01 as described in the section of this prospectus entitled “Description of Securities — Redeemable Warrants — Public Warrants” are unclear under current law. In the case of a cashless exercise, the exercise may be treated either as if we redeemed such warrant for common stock or as an exercise of the warrant. If the cashless exercise of a warrant for common stock is treated as a redemption, then such redemption generally should be treated as a tax-deferred recapitalization for U.S. federal income tax purposes, in which case a U.S. holder should not recognize any gain or loss on such redemption, and accordingly, a U.S. holder’s basis in the common stock received should equal the U.S. holder’s basis in the warrant and the holding period of the shares of common stock would include the holding period of the warrant. If the cashless exercise of a warrant is treated as such, the tax consequences generally should be as described under the heading “U.S. Holders — Exercise, Lapse or Redemption of a Warrant.” In the case of an exercise of a warrant for cash, the tax treatment generally should be as described above under the heading “U.S. Holders — Exercise, Lapse or Redemption of a Warrant.” Due to the lack of clarity under current law regarding the treatment of an exercise of a warrant after our giving notice of an intention to redeem the warrant for $0.01, there can be no assurance as to which, if any, of the alternative tax consequences described above would be adopted by the IRS or a court of law. Accordingly, U.S. holders should consult their tax advisors regarding the tax consequences of the exercise of a warrant occurring after our giving notice of an intention to redeem the warrant as described above.</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44" w:lineRule="exact"/>
        <w:rPr>
          <w:sz w:val="20"/>
          <w:szCs w:val="20"/>
          <w:color w:val="auto"/>
        </w:rPr>
      </w:pPr>
    </w:p>
    <w:p>
      <w:pPr>
        <w:ind w:left="1260" w:right="499" w:firstLine="360"/>
        <w:spacing w:after="0" w:line="286" w:lineRule="auto"/>
        <w:rPr>
          <w:sz w:val="20"/>
          <w:szCs w:val="20"/>
          <w:color w:val="auto"/>
        </w:rPr>
      </w:pPr>
      <w:r>
        <w:rPr>
          <w:rFonts w:ascii="Arial" w:cs="Arial" w:eastAsia="Arial" w:hAnsi="Arial"/>
          <w:sz w:val="16"/>
          <w:szCs w:val="16"/>
          <w:color w:val="auto"/>
        </w:rPr>
        <w:t>The terms of each warrant provide for an adjustment to the number of shares of common stock for which the warrant may be exercised or to the exercise price of the warrant in certain events, as discussed in the section of this prospectus entitled “Description of Securities — Redeemable Warrants — Public Warrants.” An adjustment which has the effect of preventing dilution generally is not taxable. The U.S. holders of the warrants would, however, be treated as receiving a constructive distribution from us if, for example, the adjustment to the number of such shares or to such exercise price increases the warrant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U.S. holders of such shares as a distribution (as described under “U.S. Holders — Taxation of Distributions” above). Such constructive distribution would be subject to tax as described under that section in the same manner as if the U.S. holders of the warrants received a cash distribution from us equal to the fair market value of such increased interest.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58"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7"/>
          <w:szCs w:val="17"/>
          <w:color w:val="auto"/>
        </w:rPr>
        <w:t>In general, information reporting requirements may apply to dividends paid to a U.S. holder and to the proceeds of the sale or other disposition of our units,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09"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refund or a credit against a U.S. holder’s U.S. federal income tax liability provided the required information is timely furnished to the IRS. All U.S. holders should consult their tax advisors regarding the application of information reporting and backup withholding to them.</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Non-U.S. Holders</w:t>
      </w:r>
    </w:p>
    <w:p>
      <w:pPr>
        <w:spacing w:after="0" w:line="148" w:lineRule="exact"/>
        <w:rPr>
          <w:sz w:val="20"/>
          <w:szCs w:val="20"/>
          <w:color w:val="auto"/>
        </w:rPr>
      </w:pPr>
    </w:p>
    <w:p>
      <w:pPr>
        <w:jc w:val="both"/>
        <w:ind w:left="1260" w:right="479" w:firstLine="360"/>
        <w:spacing w:after="0" w:line="286" w:lineRule="auto"/>
        <w:rPr>
          <w:sz w:val="20"/>
          <w:szCs w:val="20"/>
          <w:color w:val="auto"/>
        </w:rPr>
      </w:pPr>
      <w:r>
        <w:rPr>
          <w:rFonts w:ascii="Arial" w:cs="Arial" w:eastAsia="Arial" w:hAnsi="Arial"/>
          <w:sz w:val="17"/>
          <w:szCs w:val="17"/>
          <w:color w:val="auto"/>
        </w:rPr>
        <w:t>This section applies to you if you are a “Non-U.S. holder.” As used herein, the term “Non-U.S. holder” means a beneficial owner of our units, common stock or warrants who or that is for U.S. federal income tax purposes a non-resident alien individual (other than certain former citizens and residents of the</w:t>
      </w: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1" w:lineRule="auto"/>
        <w:rPr>
          <w:sz w:val="20"/>
          <w:szCs w:val="20"/>
          <w:color w:val="auto"/>
        </w:rPr>
      </w:pPr>
      <w:r>
        <w:rPr>
          <w:rFonts w:ascii="Arial" w:cs="Arial" w:eastAsia="Arial" w:hAnsi="Arial"/>
          <w:sz w:val="18"/>
          <w:szCs w:val="18"/>
          <w:color w:val="auto"/>
        </w:rPr>
        <w:t>United States subject to U.S. federal income tax as expatriates), a foreign corporation, or an estate or trust that is not a U.S. holder, but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44" w:lineRule="exact"/>
        <w:rPr>
          <w:sz w:val="20"/>
          <w:szCs w:val="20"/>
          <w:color w:val="auto"/>
        </w:rPr>
      </w:pPr>
    </w:p>
    <w:p>
      <w:pPr>
        <w:ind w:left="1260" w:right="459" w:firstLine="360"/>
        <w:spacing w:after="0" w:line="250" w:lineRule="auto"/>
        <w:rPr>
          <w:sz w:val="20"/>
          <w:szCs w:val="20"/>
          <w:color w:val="auto"/>
        </w:rPr>
      </w:pPr>
      <w:r>
        <w:rPr>
          <w:rFonts w:ascii="Arial" w:cs="Arial" w:eastAsia="Arial" w:hAnsi="Arial"/>
          <w:sz w:val="17"/>
          <w:szCs w:val="17"/>
          <w:color w:val="auto"/>
        </w:rPr>
        <w:t>In general, any distributions (including constructive distributions) we make to a Non- 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(and are not attributable to a U.S. permanent establishment under an applicable treaty),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 -U.S.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 — Gain on Sale, Taxable Exchange or Other Taxable Disposition of Common Stock and Warrants” below. In addition, if we determine that we are likely to be classified as a “U.S. real property holding corporation” (see “Non-U.S. Holders — Gain on Sale, Taxable Exchange or Other Taxable Disposition of Common Stock and Warrants” below), we will withhold 15% of any distribution that exceeds our current and accumulated earnings and profits, including a distribution in redemption of shares of our common stock. See also “Non -U.S. Holders — Possible Constructive Distributions” for potential U.S. federal tax consequences with respect to constructive distributions.</w:t>
      </w:r>
    </w:p>
    <w:p>
      <w:pPr>
        <w:spacing w:after="0" w:line="12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The withholding tax does not apply to dividends paid to a Non-U.S. holder who provides a Form W-8ECI, certifying that the dividends are effectively connected with such Non -U.S. holder’s conduct of a trade or business within the United States (or, if an income tax treaty applies, are attributable to a U.S. permanent establishment or fixed base maintained by the non-U.S. holder). Instead, the effectively connected dividends will generally be subject to regular U.S. federal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Gain on Sale, Taxable Exchange or Other Taxable Disposition of Common Stock and Warrants</w:t>
      </w:r>
    </w:p>
    <w:p>
      <w:pPr>
        <w:spacing w:after="0" w:line="158" w:lineRule="exact"/>
        <w:rPr>
          <w:sz w:val="20"/>
          <w:szCs w:val="20"/>
          <w:color w:val="auto"/>
        </w:rPr>
      </w:pPr>
    </w:p>
    <w:p>
      <w:pPr>
        <w:ind w:left="1260" w:right="619" w:firstLine="360"/>
        <w:spacing w:after="0"/>
        <w:rPr>
          <w:sz w:val="20"/>
          <w:szCs w:val="20"/>
          <w:color w:val="auto"/>
        </w:rPr>
      </w:pPr>
      <w:r>
        <w:rPr>
          <w:rFonts w:ascii="Arial" w:cs="Arial" w:eastAsia="Arial" w:hAnsi="Arial"/>
          <w:sz w:val="18"/>
          <w:szCs w:val="18"/>
          <w:color w:val="auto"/>
        </w:rPr>
        <w:t>Subject to the discussion of FATCA and backup withholding below, a Non-U.S. holder generally will not be subject to U.S. federal income or withholding tax in respect of gain recognized on a sale, taxable exchange or other taxable disposition of our common stock, which would include a dissolution and liquidation in the event we do not complete an initial business combination within the required period of time, or warrants (including an expiration or redemption of our warrants), in each case without regard to whether those securities were held as part of a unit, unless:</w:t>
      </w:r>
    </w:p>
    <w:p>
      <w:pPr>
        <w:spacing w:after="0" w:line="68" w:lineRule="exact"/>
        <w:rPr>
          <w:sz w:val="20"/>
          <w:szCs w:val="20"/>
          <w:color w:val="auto"/>
        </w:rPr>
      </w:pPr>
    </w:p>
    <w:p>
      <w:pPr>
        <w:ind w:left="1800" w:right="799" w:hanging="180"/>
        <w:spacing w:after="0" w:line="286" w:lineRule="auto"/>
        <w:tabs>
          <w:tab w:leader="none" w:pos="18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57" w:lineRule="exact"/>
        <w:rPr>
          <w:rFonts w:ascii="Arial" w:cs="Arial" w:eastAsia="Arial" w:hAnsi="Arial"/>
          <w:sz w:val="17"/>
          <w:szCs w:val="17"/>
          <w:color w:val="auto"/>
        </w:rPr>
      </w:pPr>
    </w:p>
    <w:p>
      <w:pPr>
        <w:ind w:left="1800" w:right="459" w:hanging="180"/>
        <w:spacing w:after="0" w:line="296" w:lineRule="auto"/>
        <w:tabs>
          <w:tab w:leader="none" w:pos="18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(including through ownership of warrants), more than 5% of our common stock</w:t>
      </w:r>
    </w:p>
    <w:p>
      <w:pPr>
        <w:spacing w:after="0" w:line="3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39"/>
        <w:spacing w:after="0" w:line="270" w:lineRule="auto"/>
        <w:rPr>
          <w:sz w:val="20"/>
          <w:szCs w:val="20"/>
          <w:color w:val="auto"/>
        </w:rPr>
      </w:pPr>
      <w:r>
        <w:rPr>
          <w:rFonts w:ascii="Arial" w:cs="Arial" w:eastAsia="Arial" w:hAnsi="Arial"/>
          <w:sz w:val="17"/>
          <w:szCs w:val="17"/>
          <w:color w:val="auto"/>
        </w:rPr>
        <w:t>at any time within the shorter of the five -year period preceding the disposition or such Non- U.S. holder’s holding period for the shares of our common stock. There can be no assurance that our common stock will be treated as regularly traded on an established securities market for this purpose.</w:t>
      </w:r>
    </w:p>
    <w:p>
      <w:pPr>
        <w:spacing w:after="0" w:line="83"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Unless an applicable income tax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05" w:lineRule="exact"/>
        <w:rPr>
          <w:sz w:val="20"/>
          <w:szCs w:val="20"/>
          <w:color w:val="auto"/>
        </w:rPr>
      </w:pPr>
    </w:p>
    <w:p>
      <w:pPr>
        <w:ind w:left="1260" w:right="659" w:firstLine="360"/>
        <w:spacing w:after="0" w:line="251" w:lineRule="auto"/>
        <w:rPr>
          <w:sz w:val="20"/>
          <w:szCs w:val="20"/>
          <w:color w:val="auto"/>
        </w:rPr>
      </w:pPr>
      <w:r>
        <w:rPr>
          <w:rFonts w:ascii="Arial" w:cs="Arial" w:eastAsia="Arial" w:hAnsi="Arial"/>
          <w:sz w:val="17"/>
          <w:szCs w:val="17"/>
          <w:color w:val="auto"/>
        </w:rPr>
        <w:t>If the second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federal income tax at a rate of 15% of the amount realized upon such disposition. We cannot determine whether we will be a U.S. real property holding corporation in the future until we complete an initial business combination. We will be classified as a U.S. real property holding corporation if the fair market value of our “U.S. real property interests” equals or exceeds</w:t>
      </w:r>
    </w:p>
    <w:p>
      <w:pPr>
        <w:spacing w:after="0" w:line="2" w:lineRule="exact"/>
        <w:rPr>
          <w:sz w:val="20"/>
          <w:szCs w:val="20"/>
          <w:color w:val="auto"/>
        </w:rPr>
      </w:pPr>
    </w:p>
    <w:p>
      <w:pPr>
        <w:ind w:left="1260" w:right="519"/>
        <w:spacing w:after="0" w:line="271" w:lineRule="auto"/>
        <w:rPr>
          <w:sz w:val="20"/>
          <w:szCs w:val="20"/>
          <w:color w:val="auto"/>
        </w:rPr>
      </w:pPr>
      <w:r>
        <w:rPr>
          <w:rFonts w:ascii="Arial" w:cs="Arial" w:eastAsia="Arial" w:hAnsi="Arial"/>
          <w:sz w:val="17"/>
          <w:szCs w:val="17"/>
          <w:color w:val="auto"/>
        </w:rPr>
        <w:t>50 percent of the sum of the fair market value of our worldwide real property interests plus our other assets used or held for use in a trade or business, as determined for U.S. federal income tax purposes.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158" w:lineRule="exact"/>
        <w:rPr>
          <w:sz w:val="20"/>
          <w:szCs w:val="20"/>
          <w:color w:val="auto"/>
        </w:rPr>
      </w:pPr>
    </w:p>
    <w:p>
      <w:pPr>
        <w:ind w:left="1260" w:right="639" w:firstLine="360"/>
        <w:spacing w:after="0" w:line="253" w:lineRule="auto"/>
        <w:rPr>
          <w:sz w:val="20"/>
          <w:szCs w:val="20"/>
          <w:color w:val="auto"/>
        </w:rPr>
      </w:pPr>
      <w:r>
        <w:rPr>
          <w:rFonts w:ascii="Arial" w:cs="Arial" w:eastAsia="Arial" w:hAnsi="Arial"/>
          <w:sz w:val="17"/>
          <w:szCs w:val="17"/>
          <w:color w:val="auto"/>
        </w:rPr>
        <w:t>The characterization for U.S. federal income tax purposes of the redemption of a Non-U.S. holder’s common stock pursuant to the redemption provisions described in the section of this prospectus entitled “Description of Securities — Common Stock” generally will correspond to the U.S. federal income tax characterization of such a redemption of a U.S. holder’s common stock, as described under “U.S. Holders</w:t>
      </w:r>
    </w:p>
    <w:p>
      <w:pPr>
        <w:spacing w:after="0" w:line="2" w:lineRule="exact"/>
        <w:rPr>
          <w:sz w:val="20"/>
          <w:szCs w:val="20"/>
          <w:color w:val="auto"/>
        </w:rPr>
      </w:pPr>
    </w:p>
    <w:p>
      <w:pPr>
        <w:jc w:val="both"/>
        <w:ind w:left="1260" w:right="599"/>
        <w:spacing w:after="0" w:line="248" w:lineRule="auto"/>
        <w:rPr>
          <w:sz w:val="20"/>
          <w:szCs w:val="20"/>
          <w:color w:val="auto"/>
        </w:rPr>
      </w:pPr>
      <w:r>
        <w:rPr>
          <w:rFonts w:ascii="Arial" w:cs="Arial" w:eastAsia="Arial" w:hAnsi="Arial"/>
          <w:sz w:val="17"/>
          <w:szCs w:val="17"/>
          <w:color w:val="auto"/>
        </w:rPr>
        <w:t>— Redemption of Common Stock” above, and the consequences of the redemption to the Non-U.S. holder will be as described above under “Non-U.S. Holders — Taxation of Distributions” and “Non-U.S. Holders</w:t>
      </w:r>
    </w:p>
    <w:p>
      <w:pPr>
        <w:spacing w:after="0" w:line="1" w:lineRule="exact"/>
        <w:rPr>
          <w:sz w:val="20"/>
          <w:szCs w:val="20"/>
          <w:color w:val="auto"/>
        </w:rPr>
      </w:pPr>
    </w:p>
    <w:p>
      <w:pPr>
        <w:ind w:left="1260" w:right="899"/>
        <w:spacing w:after="0" w:line="243" w:lineRule="auto"/>
        <w:rPr>
          <w:sz w:val="20"/>
          <w:szCs w:val="20"/>
          <w:color w:val="auto"/>
        </w:rPr>
      </w:pPr>
      <w:r>
        <w:rPr>
          <w:rFonts w:ascii="Arial" w:cs="Arial" w:eastAsia="Arial" w:hAnsi="Arial"/>
          <w:sz w:val="18"/>
          <w:szCs w:val="18"/>
          <w:color w:val="auto"/>
        </w:rPr>
        <w:t>— Gain on Sale, Taxable Exchange or Other Taxable Disposition of Common Stock and Warrants,” as applicable.</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Exercise, Lapse or Redemption of a Warrant</w:t>
      </w:r>
    </w:p>
    <w:p>
      <w:pPr>
        <w:spacing w:after="0" w:line="144"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“U.S. holders — Exercise, Lapse or Redemption of a Warrant” above, although to the extent a cashless exercise results in a taxable exchange, the consequences would be similar to those described above in “Non-U.S. Holders — Gain on Sale, Taxable Exchange or Other Taxable Disposition of Common Stock and Warrants.” The U.S. federal income tax treatment for a Non-U.S. holder of a redemption of warrants for common stock will correspond to the U.S. federal income tax treatment for a U.S. holder of a redemption of warrants for common stock, as described above in “U.S. Holders — Exercise, Lapse or Redemption of a Warrant.” The U.S. federal income tax treatment for a Non -U.S. holder of a redemption of warrants for cash (or if we purchase warrants in an open market transaction) would be similar to that described above in “Non-U.S. Holders — Gain on Sale, Taxable Exchange or Other Taxable Disposition of Common Stock and Warrants.”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The terms of each warrant provide for an adjustment to the number of shares of common stock for which the warrant may be exercised or to the exercise price of the warrant in certain events, as discussed in the section of this prospectus entitled “Description of Securities — Redeemable Warrants — Public Warrants.” An adjustment which has the effect of preventing dilution generally is not taxable. Nevertheless, the Non-U.S. holders of the warrants would be treated as receiving a constructive distribution from us if, for example, the adjustment to the number of such shares or to such exercise price increases the warrant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holders of such shares as a distribution (as</w:t>
      </w: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86" w:lineRule="auto"/>
        <w:rPr>
          <w:sz w:val="20"/>
          <w:szCs w:val="20"/>
          <w:color w:val="auto"/>
        </w:rPr>
      </w:pPr>
      <w:r>
        <w:rPr>
          <w:rFonts w:ascii="Arial" w:cs="Arial" w:eastAsia="Arial" w:hAnsi="Arial"/>
          <w:sz w:val="17"/>
          <w:szCs w:val="17"/>
          <w:color w:val="auto"/>
        </w:rPr>
        <w:t>described under “Non-U.S. Holders — Taxation of Distributions” above). Such constructive distribution would be subject to tax in the same manner as if the Non-U.S. holders of the warrants received a cash distribution from us equal to the fair market value of such increased interest resulting from the adjustment.</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44"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Information returns will be filed with the IRS in connection with payments of dividends and the proceeds from a sale or other disposition of our units, shares of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w:t>
      </w:r>
    </w:p>
    <w:p>
      <w:pPr>
        <w:spacing w:after="0" w:line="125"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 All Non-U.S. holders should consult their tax advisors regarding the application of information reporting and backup withholding to them.</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FATCA Withholding Taxes</w:t>
      </w:r>
    </w:p>
    <w:p>
      <w:pPr>
        <w:spacing w:after="0" w:line="158"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Provisions commonly referred to as “FATCA” impose withholding of 30% on payments of dividends (including constructive dividends) on our common stock or warrants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The IRS has issued proposed regulations (on which taxpayers may rely until final regulations are issued) that would generally not apply these withholding requirements to gross proceeds from sales or other disposition proceeds from our securities.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w:t>
      </w:r>
    </w:p>
    <w:p>
      <w:pPr>
        <w:spacing w:after="0" w:line="103" w:lineRule="exact"/>
        <w:rPr>
          <w:sz w:val="20"/>
          <w:szCs w:val="20"/>
          <w:color w:val="auto"/>
        </w:rPr>
      </w:pPr>
    </w:p>
    <w:p>
      <w:pPr>
        <w:ind w:left="1260" w:right="559" w:firstLine="360"/>
        <w:spacing w:after="0" w:line="272" w:lineRule="auto"/>
        <w:rPr>
          <w:sz w:val="20"/>
          <w:szCs w:val="20"/>
          <w:color w:val="auto"/>
        </w:rPr>
      </w:pPr>
      <w:r>
        <w:rPr>
          <w:rFonts w:ascii="Arial" w:cs="Arial" w:eastAsia="Arial" w:hAnsi="Arial"/>
          <w:sz w:val="17"/>
          <w:szCs w:val="17"/>
          <w:color w:val="auto"/>
        </w:rPr>
        <w:t>THE U.S. FEDERAL INCOME TAX DISCUSSION SET FORTH ABOVE IS INCLUDED FOR GENERAL INFORMATION ONLY AND MAY NOT BE APPLICABLE DEPENDING UPON A HOLDER’S PARTICULAR SITUATION. HOLDERS ARE URGED TO CONSULT THEIR OWN TAX ADVISORS WITH RESPECT TO THE TAX CONSEQUENCES TO THEM OF THE ACQUISITION, OWNERSHIP AND DISPOSITION OF OUR COMMON STOCK AND WARRANTS, INCLUDING THE TAX CONSEQUENCES UNDER STATE, LOCAL, ESTATE, NON-U.S. AND OTHER TAX LAWS AND TAX TREATIES AND THE POSSIBLE EFFECTS OF CHANGES IN U.S. OR OTHER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 (CONFLICTS OF INTEREST)</w:t>
      </w:r>
    </w:p>
    <w:p>
      <w:pPr>
        <w:spacing w:after="0" w:line="148" w:lineRule="exact"/>
        <w:rPr>
          <w:sz w:val="20"/>
          <w:szCs w:val="20"/>
          <w:color w:val="auto"/>
        </w:rPr>
      </w:pPr>
    </w:p>
    <w:p>
      <w:pPr>
        <w:ind w:left="1260" w:right="1280" w:firstLine="360"/>
        <w:spacing w:after="0" w:line="279" w:lineRule="auto"/>
        <w:rPr>
          <w:sz w:val="20"/>
          <w:szCs w:val="20"/>
          <w:color w:val="auto"/>
        </w:rPr>
      </w:pPr>
      <w:r>
        <w:rPr>
          <w:rFonts w:ascii="Arial" w:cs="Arial" w:eastAsia="Arial" w:hAnsi="Arial"/>
          <w:sz w:val="17"/>
          <w:szCs w:val="17"/>
          <w:color w:val="auto"/>
        </w:rPr>
        <w:t>We intend to offer our securities described in this prospectus through the underwriters named below. Chardan is the representative for the underwriters. We have entered into an underwriting agreement with the representative. Subject to the terms and conditions of the underwriting agreement, each of the underwriters has severally agreed to purchase from us the number of units listed next to its name in the following table:</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r>
      <w:tr>
        <w:trPr>
          <w:trHeight w:val="186"/>
        </w:trPr>
        <w:tc>
          <w:tcPr>
            <w:tcW w:w="666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Units</w:t>
            </w:r>
          </w:p>
        </w:tc>
      </w:tr>
      <w:tr>
        <w:trPr>
          <w:trHeight w:val="26"/>
        </w:trPr>
        <w:tc>
          <w:tcPr>
            <w:tcW w:w="6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Chardan Capital Markets, LLC</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r>
      <w:tr>
        <w:trPr>
          <w:trHeight w:val="270"/>
        </w:trPr>
        <w:tc>
          <w:tcPr>
            <w:tcW w:w="6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10,000,000</w:t>
            </w:r>
          </w:p>
        </w:tc>
      </w:tr>
      <w:tr>
        <w:trPr>
          <w:trHeight w:val="20"/>
        </w:trPr>
        <w:tc>
          <w:tcPr>
            <w:tcW w:w="6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-393700</wp:posOffset>
            </wp:positionV>
            <wp:extent cx="1371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260" w:right="1760" w:firstLine="360"/>
        <w:spacing w:after="0" w:line="277" w:lineRule="auto"/>
        <w:rPr>
          <w:sz w:val="20"/>
          <w:szCs w:val="20"/>
          <w:color w:val="auto"/>
        </w:rPr>
      </w:pPr>
      <w:r>
        <w:rPr>
          <w:rFonts w:ascii="Arial" w:cs="Arial" w:eastAsia="Arial" w:hAnsi="Arial"/>
          <w:sz w:val="18"/>
          <w:szCs w:val="18"/>
          <w:color w:val="auto"/>
        </w:rPr>
        <w:t>A copy of the underwriting agreement has been filed as an exhibit to the registration statement of which this prospectus forms a part.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 of our Securities</w:t>
      </w:r>
    </w:p>
    <w:p>
      <w:pPr>
        <w:spacing w:after="0" w:line="162" w:lineRule="exact"/>
        <w:rPr>
          <w:sz w:val="20"/>
          <w:szCs w:val="20"/>
          <w:color w:val="auto"/>
        </w:rPr>
      </w:pPr>
    </w:p>
    <w:p>
      <w:pPr>
        <w:ind w:left="1260" w:right="1260" w:firstLine="360"/>
        <w:spacing w:after="0" w:line="257" w:lineRule="auto"/>
        <w:rPr>
          <w:sz w:val="20"/>
          <w:szCs w:val="20"/>
          <w:color w:val="auto"/>
        </w:rPr>
      </w:pPr>
      <w:r>
        <w:rPr>
          <w:rFonts w:ascii="Arial" w:cs="Arial" w:eastAsia="Arial" w:hAnsi="Arial"/>
          <w:sz w:val="18"/>
          <w:szCs w:val="18"/>
          <w:color w:val="auto"/>
        </w:rPr>
        <w:t>We have applied to list our units, common stock and warrants on Nasdaq under the symbols “CNTQU,” “CNTQ” and “CNTQW,” respectively. We expect that our units will be listed on Nasdaq on or promptly after the effective date of the registration statement. Following the date the shares of our common stock and warrants are eligible to trade separately, we anticipate that the shares of our common stock and warrants will be listed separately and as a unit on Nasdaq.</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Over-allotment Option</w:t>
      </w:r>
    </w:p>
    <w:p>
      <w:pPr>
        <w:spacing w:after="0" w:line="162" w:lineRule="exact"/>
        <w:rPr>
          <w:sz w:val="20"/>
          <w:szCs w:val="20"/>
          <w:color w:val="auto"/>
        </w:rPr>
      </w:pPr>
    </w:p>
    <w:p>
      <w:pPr>
        <w:ind w:left="1260" w:right="1320" w:firstLine="360"/>
        <w:spacing w:after="0" w:line="257" w:lineRule="auto"/>
        <w:rPr>
          <w:sz w:val="20"/>
          <w:szCs w:val="20"/>
          <w:color w:val="auto"/>
        </w:rPr>
      </w:pPr>
      <w:r>
        <w:rPr>
          <w:rFonts w:ascii="Arial" w:cs="Arial" w:eastAsia="Arial" w:hAnsi="Arial"/>
          <w:sz w:val="18"/>
          <w:szCs w:val="18"/>
          <w:color w:val="auto"/>
        </w:rPr>
        <w:t>We have granted the underwriters an option to buy up to 1,500,000 additional units. The underwriters may exercise this option solely for the purpose of covering over-allotments, if any, made in connection with this offering. The underwriters have 45 days from the date of this prospectus to exercise this option. If the underwriters exercise this option, they will each purchase additional units approximately in proportion to the amounts specified in the table above.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Commissions and Discounts</w:t>
      </w:r>
    </w:p>
    <w:p>
      <w:pPr>
        <w:spacing w:after="0" w:line="148" w:lineRule="exact"/>
        <w:rPr>
          <w:sz w:val="20"/>
          <w:szCs w:val="20"/>
          <w:color w:val="auto"/>
        </w:rPr>
      </w:pPr>
    </w:p>
    <w:p>
      <w:pPr>
        <w:ind w:left="1260" w:right="1280" w:firstLine="360"/>
        <w:spacing w:after="0" w:line="268" w:lineRule="auto"/>
        <w:rPr>
          <w:sz w:val="20"/>
          <w:szCs w:val="20"/>
          <w:color w:val="auto"/>
        </w:rPr>
      </w:pPr>
      <w:r>
        <w:rPr>
          <w:rFonts w:ascii="Arial" w:cs="Arial" w:eastAsia="Arial" w:hAnsi="Arial"/>
          <w:sz w:val="17"/>
          <w:szCs w:val="17"/>
          <w:color w:val="auto"/>
        </w:rPr>
        <w:t>Units sold by the underwriters to the public will initially be offered at the offering price set forth on the cover of this prospectus. The underwriters will be entitled to a cash underwriting discount of $500,000. The aggregate amount of the fee paid to the underwriters will remain constant at $500,000, even if the over-allotment option is exercised. B. Riley Securities, Inc. will receive $100,000 from the total underwriting discount for acting as a qualified independent underwriter. Any units sold by the underwriters to securities</w:t>
      </w:r>
    </w:p>
    <w:p>
      <w:pPr>
        <w:spacing w:after="0" w:line="3" w:lineRule="exact"/>
        <w:rPr>
          <w:sz w:val="20"/>
          <w:szCs w:val="20"/>
          <w:color w:val="auto"/>
        </w:rPr>
      </w:pPr>
    </w:p>
    <w:p>
      <w:pPr>
        <w:ind w:left="1260" w:right="1700"/>
        <w:spacing w:after="0" w:line="265" w:lineRule="auto"/>
        <w:rPr>
          <w:sz w:val="20"/>
          <w:szCs w:val="20"/>
          <w:color w:val="auto"/>
        </w:rPr>
      </w:pPr>
      <w:r>
        <w:rPr>
          <w:rFonts w:ascii="Arial" w:cs="Arial" w:eastAsia="Arial" w:hAnsi="Arial"/>
          <w:sz w:val="17"/>
          <w:szCs w:val="17"/>
          <w:color w:val="auto"/>
        </w:rPr>
        <w:t>dealers may be sold at a discount of up to $ per unit from the public offering price. Any of these securities dealers may resell any units purchased from the underwriters to other brokers or dealers at a</w:t>
      </w:r>
    </w:p>
    <w:p>
      <w:pPr>
        <w:ind w:left="1260" w:right="1360"/>
        <w:spacing w:after="0" w:line="250" w:lineRule="auto"/>
        <w:rPr>
          <w:sz w:val="20"/>
          <w:szCs w:val="20"/>
          <w:color w:val="auto"/>
        </w:rPr>
      </w:pPr>
      <w:r>
        <w:rPr>
          <w:rFonts w:ascii="Arial" w:cs="Arial" w:eastAsia="Arial" w:hAnsi="Arial"/>
          <w:sz w:val="18"/>
          <w:szCs w:val="18"/>
          <w:color w:val="auto"/>
        </w:rPr>
        <w:t>discount of up to $ per unit from the public offering price. If all of the units are not sold at the initial public offering price, the representative may change the offering price and the other selling terms.</w:t>
      </w:r>
    </w:p>
    <w:p>
      <w:pPr>
        <w:spacing w:after="0" w:line="1" w:lineRule="exact"/>
        <w:rPr>
          <w:sz w:val="20"/>
          <w:szCs w:val="20"/>
          <w:color w:val="auto"/>
        </w:rPr>
      </w:pPr>
    </w:p>
    <w:p>
      <w:pPr>
        <w:jc w:val="both"/>
        <w:ind w:left="1260" w:right="1500"/>
        <w:spacing w:after="0" w:line="255" w:lineRule="auto"/>
        <w:rPr>
          <w:sz w:val="20"/>
          <w:szCs w:val="20"/>
          <w:color w:val="auto"/>
        </w:rPr>
      </w:pPr>
      <w:r>
        <w:rPr>
          <w:rFonts w:ascii="Arial" w:cs="Arial" w:eastAsia="Arial" w:hAnsi="Arial"/>
          <w:sz w:val="18"/>
          <w:szCs w:val="18"/>
          <w:color w:val="auto"/>
        </w:rPr>
        <w:t>Upon execution of the underwriting agreement, the underwriters will be obligated to purchase the units at the prices and upon the terms stated therein, and, as a result, will thereafter bear any risk associated with changing the offering price to the public or other selling terms.</w:t>
      </w:r>
    </w:p>
    <w:p>
      <w:pPr>
        <w:spacing w:after="0" w:line="122" w:lineRule="exact"/>
        <w:rPr>
          <w:sz w:val="20"/>
          <w:szCs w:val="20"/>
          <w:color w:val="auto"/>
        </w:rPr>
      </w:pPr>
    </w:p>
    <w:p>
      <w:pPr>
        <w:ind w:left="1260" w:right="1260" w:firstLine="360"/>
        <w:spacing w:after="0" w:line="263" w:lineRule="auto"/>
        <w:rPr>
          <w:sz w:val="20"/>
          <w:szCs w:val="20"/>
          <w:color w:val="auto"/>
        </w:rPr>
      </w:pPr>
      <w:r>
        <w:rPr>
          <w:rFonts w:ascii="Arial" w:cs="Arial" w:eastAsia="Arial" w:hAnsi="Arial"/>
          <w:sz w:val="18"/>
          <w:szCs w:val="18"/>
          <w:color w:val="auto"/>
        </w:rPr>
        <w:t>The following table shows the per unit and total underwriting discounts and commissions we will pay to the underwriters assuming both no exercise and full exercise of the underwriters’ over-allotment option to purchase up to an additional 1,500,000 units.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Without</w:t>
            </w:r>
          </w:p>
        </w:tc>
        <w:tc>
          <w:tcPr>
            <w:tcW w:w="100" w:type="dxa"/>
            <w:vAlign w:val="bottom"/>
          </w:tcPr>
          <w:p>
            <w:pPr>
              <w:spacing w:after="0"/>
              <w:rPr>
                <w:sz w:val="14"/>
                <w:szCs w:val="14"/>
                <w:color w:val="auto"/>
              </w:rPr>
            </w:pPr>
          </w:p>
        </w:tc>
        <w:tc>
          <w:tcPr>
            <w:tcW w:w="2160" w:type="dxa"/>
            <w:vAlign w:val="bottom"/>
            <w:gridSpan w:val="2"/>
          </w:tcPr>
          <w:p>
            <w:pPr>
              <w:jc w:val="right"/>
              <w:ind w:right="1620"/>
              <w:spacing w:after="0"/>
              <w:rPr>
                <w:sz w:val="20"/>
                <w:szCs w:val="20"/>
                <w:color w:val="auto"/>
              </w:rPr>
            </w:pPr>
            <w:r>
              <w:rPr>
                <w:rFonts w:ascii="Arial" w:cs="Arial" w:eastAsia="Arial" w:hAnsi="Arial"/>
                <w:sz w:val="14"/>
                <w:szCs w:val="14"/>
                <w:b w:val="1"/>
                <w:bCs w:val="1"/>
                <w:color w:val="auto"/>
              </w:rPr>
              <w:t>With</w:t>
            </w:r>
          </w:p>
        </w:tc>
      </w:tr>
      <w:tr>
        <w:trPr>
          <w:trHeight w:val="186"/>
        </w:trPr>
        <w:tc>
          <w:tcPr>
            <w:tcW w:w="126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Unit</w:t>
            </w: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Over-allotment</w:t>
            </w:r>
          </w:p>
        </w:tc>
        <w:tc>
          <w:tcPr>
            <w:tcW w:w="2260" w:type="dxa"/>
            <w:vAlign w:val="bottom"/>
            <w:gridSpan w:val="3"/>
          </w:tcPr>
          <w:p>
            <w:pPr>
              <w:jc w:val="right"/>
              <w:ind w:right="1300"/>
              <w:spacing w:after="0"/>
              <w:rPr>
                <w:sz w:val="20"/>
                <w:szCs w:val="20"/>
                <w:color w:val="auto"/>
              </w:rPr>
            </w:pPr>
            <w:r>
              <w:rPr>
                <w:rFonts w:ascii="Arial" w:cs="Arial" w:eastAsia="Arial" w:hAnsi="Arial"/>
                <w:sz w:val="14"/>
                <w:szCs w:val="14"/>
                <w:b w:val="1"/>
                <w:bCs w:val="1"/>
                <w:color w:val="auto"/>
                <w:w w:val="95"/>
              </w:rPr>
              <w:t>Over-allotment</w:t>
            </w:r>
          </w:p>
        </w:tc>
      </w:tr>
      <w:tr>
        <w:trPr>
          <w:trHeight w:val="25"/>
        </w:trPr>
        <w:tc>
          <w:tcPr>
            <w:tcW w:w="1260" w:type="dxa"/>
            <w:vAlign w:val="bottom"/>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1260" w:type="dxa"/>
            <w:vAlign w:val="bottom"/>
          </w:tcPr>
          <w:p>
            <w:pPr>
              <w:spacing w:after="0"/>
              <w:rPr>
                <w:sz w:val="20"/>
                <w:szCs w:val="20"/>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$10.00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100,000,000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115,000,000</w:t>
            </w:r>
          </w:p>
        </w:tc>
        <w:tc>
          <w:tcPr>
            <w:tcW w:w="1260" w:type="dxa"/>
            <w:vAlign w:val="bottom"/>
          </w:tcPr>
          <w:p>
            <w:pPr>
              <w:spacing w:after="0"/>
              <w:rPr>
                <w:sz w:val="20"/>
                <w:szCs w:val="20"/>
                <w:color w:val="auto"/>
              </w:rPr>
            </w:pPr>
          </w:p>
        </w:tc>
      </w:tr>
      <w:tr>
        <w:trPr>
          <w:trHeight w:val="243"/>
        </w:trPr>
        <w:tc>
          <w:tcPr>
            <w:tcW w:w="1260" w:type="dxa"/>
            <w:vAlign w:val="bottom"/>
          </w:tcPr>
          <w:p>
            <w:pPr>
              <w:spacing w:after="0"/>
              <w:rPr>
                <w:sz w:val="21"/>
                <w:szCs w:val="21"/>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Discount and qualified independent underwriter fees</w:t>
            </w:r>
          </w:p>
        </w:tc>
        <w:tc>
          <w:tcPr>
            <w:tcW w:w="740" w:type="dxa"/>
            <w:vAlign w:val="bottom"/>
            <w:gridSpan w:val="2"/>
          </w:tcPr>
          <w:p>
            <w:pPr>
              <w:ind w:left="20"/>
              <w:spacing w:after="0" w:line="243" w:lineRule="exact"/>
              <w:rPr>
                <w:sz w:val="20"/>
                <w:szCs w:val="20"/>
                <w:color w:val="auto"/>
              </w:rPr>
            </w:pPr>
            <w:r>
              <w:rPr>
                <w:rFonts w:ascii="Arial" w:cs="Arial" w:eastAsia="Arial" w:hAnsi="Arial"/>
                <w:sz w:val="18"/>
                <w:szCs w:val="18"/>
                <w:color w:val="auto"/>
                <w:w w:val="91"/>
              </w:rPr>
              <w:t>$0.005</w:t>
            </w:r>
            <w:r>
              <w:rPr>
                <w:rFonts w:ascii="Arial" w:cs="Arial" w:eastAsia="Arial" w:hAnsi="Arial"/>
                <w:sz w:val="26"/>
                <w:szCs w:val="26"/>
                <w:color w:val="auto"/>
                <w:w w:val="91"/>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60" w:type="dxa"/>
            <w:vAlign w:val="bottom"/>
            <w:gridSpan w:val="2"/>
          </w:tcPr>
          <w:p>
            <w:pPr>
              <w:jc w:val="right"/>
              <w:ind w:right="1260"/>
              <w:spacing w:after="0"/>
              <w:rPr>
                <w:sz w:val="20"/>
                <w:szCs w:val="20"/>
                <w:color w:val="auto"/>
              </w:rPr>
            </w:pPr>
            <w:r>
              <w:rPr>
                <w:rFonts w:ascii="Arial" w:cs="Arial" w:eastAsia="Arial" w:hAnsi="Arial"/>
                <w:sz w:val="18"/>
                <w:szCs w:val="18"/>
                <w:color w:val="auto"/>
              </w:rPr>
              <w:t>500,000</w:t>
            </w:r>
          </w:p>
        </w:tc>
      </w:tr>
      <w:tr>
        <w:trPr>
          <w:trHeight w:val="256"/>
        </w:trPr>
        <w:tc>
          <w:tcPr>
            <w:tcW w:w="1260" w:type="dxa"/>
            <w:vAlign w:val="bottom"/>
          </w:tcPr>
          <w:p>
            <w:pPr>
              <w:spacing w:after="0"/>
              <w:rPr>
                <w:sz w:val="22"/>
                <w:szCs w:val="22"/>
                <w:color w:val="auto"/>
              </w:rPr>
            </w:pPr>
          </w:p>
        </w:tc>
        <w:tc>
          <w:tcPr>
            <w:tcW w:w="52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Proceeds before expenses</w:t>
            </w:r>
            <w:r>
              <w:rPr>
                <w:rFonts w:ascii="Arial" w:cs="Arial" w:eastAsia="Arial" w:hAnsi="Arial"/>
                <w:sz w:val="26"/>
                <w:szCs w:val="26"/>
                <w:color w:val="auto"/>
                <w:vertAlign w:val="superscript"/>
              </w:rPr>
              <w:t>(2)</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$9.995</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99,500,000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114,500,000</w:t>
            </w:r>
          </w:p>
        </w:tc>
        <w:tc>
          <w:tcPr>
            <w:tcW w:w="1260" w:type="dxa"/>
            <w:vAlign w:val="bottom"/>
          </w:tcPr>
          <w:p>
            <w:pPr>
              <w:spacing w:after="0"/>
              <w:rPr>
                <w:sz w:val="22"/>
                <w:szCs w:val="22"/>
                <w:color w:val="auto"/>
              </w:rPr>
            </w:pPr>
          </w:p>
        </w:tc>
      </w:tr>
      <w:tr>
        <w:trPr>
          <w:trHeight w:val="621"/>
        </w:trPr>
        <w:tc>
          <w:tcPr>
            <w:tcW w:w="1260" w:type="dxa"/>
            <w:vAlign w:val="bottom"/>
          </w:tcPr>
          <w:p>
            <w:pPr>
              <w:spacing w:after="0"/>
              <w:rPr>
                <w:sz w:val="24"/>
                <w:szCs w:val="24"/>
                <w:color w:val="auto"/>
              </w:rPr>
            </w:pPr>
          </w:p>
        </w:tc>
        <w:tc>
          <w:tcPr>
            <w:tcW w:w="5220" w:type="dxa"/>
            <w:vAlign w:val="bottom"/>
          </w:tcPr>
          <w:p>
            <w:pPr>
              <w:jc w:val="right"/>
              <w:ind w:right="910"/>
              <w:spacing w:after="0"/>
              <w:rPr>
                <w:sz w:val="20"/>
                <w:szCs w:val="20"/>
                <w:color w:val="auto"/>
              </w:rPr>
            </w:pPr>
            <w:r>
              <w:rPr>
                <w:rFonts w:ascii="Arial" w:cs="Arial" w:eastAsia="Arial" w:hAnsi="Arial"/>
                <w:sz w:val="18"/>
                <w:szCs w:val="18"/>
                <w:color w:val="auto"/>
              </w:rPr>
              <w:t>153</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-1139190</wp:posOffset>
            </wp:positionV>
            <wp:extent cx="45688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58" w:name="page159"/>
    <w:bookmarkEnd w:id="15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528955</wp:posOffset>
            </wp:positionV>
            <wp:extent cx="123444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620" w:right="419" w:hanging="360"/>
        <w:spacing w:after="0" w:line="308" w:lineRule="auto"/>
        <w:tabs>
          <w:tab w:leader="none" w:pos="16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aggregate amount of the fee paid to the underwriters (including the amount payable to the qualified independent underwriter) remains constant at $500,000, even if the over-allotment option is exercised.</w:t>
      </w:r>
    </w:p>
    <w:p>
      <w:pPr>
        <w:spacing w:after="0" w:line="65" w:lineRule="exact"/>
        <w:rPr>
          <w:rFonts w:ascii="Arial" w:cs="Arial" w:eastAsia="Arial" w:hAnsi="Arial"/>
          <w:sz w:val="17"/>
          <w:szCs w:val="17"/>
          <w:color w:val="auto"/>
        </w:rPr>
      </w:pPr>
    </w:p>
    <w:p>
      <w:pPr>
        <w:ind w:left="1620" w:hanging="360"/>
        <w:spacing w:after="0"/>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offering expenses are estimated at $575,000.</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Pricing of Securities</w:t>
      </w:r>
    </w:p>
    <w:p>
      <w:pPr>
        <w:spacing w:after="0" w:line="162"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color w:val="auto"/>
        </w:rPr>
        <w:t>We have been advised by the representative that the underwriters propose to offer the units to the public at the offering price set forth on the cover page of this prospectus.</w:t>
      </w:r>
    </w:p>
    <w:p>
      <w:pPr>
        <w:spacing w:after="0" w:line="90"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representative.</w:t>
      </w:r>
    </w:p>
    <w:p>
      <w:pPr>
        <w:ind w:left="1260" w:right="619"/>
        <w:spacing w:after="0" w:line="243" w:lineRule="auto"/>
        <w:rPr>
          <w:sz w:val="20"/>
          <w:szCs w:val="20"/>
          <w:color w:val="auto"/>
        </w:rPr>
      </w:pPr>
      <w:r>
        <w:rPr>
          <w:rFonts w:ascii="Arial" w:cs="Arial" w:eastAsia="Arial" w:hAnsi="Arial"/>
          <w:sz w:val="18"/>
          <w:szCs w:val="18"/>
          <w:color w:val="auto"/>
        </w:rPr>
        <w:t>Factors considered in determining the prices and terms of the units, including the shares of common stock and warrants underlying the units, include:</w:t>
      </w:r>
    </w:p>
    <w:p>
      <w:pPr>
        <w:spacing w:after="0" w:line="78" w:lineRule="exact"/>
        <w:rPr>
          <w:sz w:val="20"/>
          <w:szCs w:val="20"/>
          <w:color w:val="auto"/>
        </w:rPr>
      </w:pPr>
    </w:p>
    <w:p>
      <w:pPr>
        <w:ind w:left="1800" w:right="1239" w:hanging="180"/>
        <w:spacing w:after="0" w:line="277" w:lineRule="auto"/>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per share amount of net proceeds being placed into the trust account;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58" w:lineRule="exact"/>
        <w:rPr>
          <w:sz w:val="20"/>
          <w:szCs w:val="20"/>
          <w:color w:val="auto"/>
        </w:rPr>
      </w:pPr>
    </w:p>
    <w:p>
      <w:pPr>
        <w:ind w:left="1260" w:right="919" w:firstLine="360"/>
        <w:spacing w:after="0" w:line="243"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Regulatory Restrictions on Purchase of Securities</w:t>
      </w:r>
    </w:p>
    <w:p>
      <w:pPr>
        <w:spacing w:after="0" w:line="148" w:lineRule="exact"/>
        <w:rPr>
          <w:sz w:val="20"/>
          <w:szCs w:val="20"/>
          <w:color w:val="auto"/>
        </w:rPr>
      </w:pPr>
    </w:p>
    <w:p>
      <w:pPr>
        <w:jc w:val="both"/>
        <w:ind w:left="1260" w:right="599" w:firstLine="360"/>
        <w:spacing w:after="0" w:line="248" w:lineRule="auto"/>
        <w:rPr>
          <w:sz w:val="20"/>
          <w:szCs w:val="20"/>
          <w:color w:val="auto"/>
        </w:rPr>
      </w:pPr>
      <w:r>
        <w:rPr>
          <w:rFonts w:ascii="Arial" w:cs="Arial" w:eastAsia="Arial" w:hAnsi="Arial"/>
          <w:sz w:val="18"/>
          <w:szCs w:val="18"/>
          <w:color w:val="auto"/>
        </w:rPr>
        <w:t>Rules of the SEC may limit the ability of the underwriters to bid for or purchase our units before the distribution of the units is completed. However, the underwriters may engage in the following activities in accordance with the rules:</w:t>
      </w:r>
    </w:p>
    <w:p>
      <w:pPr>
        <w:spacing w:after="0" w:line="70" w:lineRule="exact"/>
        <w:rPr>
          <w:sz w:val="20"/>
          <w:szCs w:val="20"/>
          <w:color w:val="auto"/>
        </w:rPr>
      </w:pPr>
    </w:p>
    <w:p>
      <w:pPr>
        <w:ind w:left="1800" w:right="659" w:hanging="180"/>
        <w:spacing w:after="0" w:line="289" w:lineRule="auto"/>
        <w:tabs>
          <w:tab w:leader="none" w:pos="180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Stabilizing Transactions</w:t>
      </w:r>
      <w:r>
        <w:rPr>
          <w:rFonts w:ascii="Arial" w:cs="Arial" w:eastAsia="Arial" w:hAnsi="Arial"/>
          <w:sz w:val="17"/>
          <w:szCs w:val="17"/>
          <w:color w:val="auto"/>
        </w:rPr>
        <w:t>. The underwriters may make bids or purchases for the purpose of</w:t>
      </w:r>
      <w:r>
        <w:rPr>
          <w:rFonts w:ascii="Arial" w:cs="Arial" w:eastAsia="Arial" w:hAnsi="Arial"/>
          <w:sz w:val="17"/>
          <w:szCs w:val="17"/>
          <w:b w:val="1"/>
          <w:bCs w:val="1"/>
          <w:color w:val="auto"/>
        </w:rPr>
        <w:t xml:space="preserve"> </w:t>
      </w:r>
      <w:r>
        <w:rPr>
          <w:rFonts w:ascii="Arial" w:cs="Arial" w:eastAsia="Arial" w:hAnsi="Arial"/>
          <w:sz w:val="17"/>
          <w:szCs w:val="17"/>
          <w:color w:val="auto"/>
        </w:rPr>
        <w:t>preventing or retarding a decline in the price of our units, as long as stabilizing bids do not exceed the offering price of $10.00 and the underwriters comply with all other applicable rules.</w:t>
      </w:r>
    </w:p>
    <w:p>
      <w:pPr>
        <w:spacing w:after="0" w:line="49" w:lineRule="exact"/>
        <w:rPr>
          <w:rFonts w:ascii="Arial" w:cs="Arial" w:eastAsia="Arial" w:hAnsi="Arial"/>
          <w:sz w:val="17"/>
          <w:szCs w:val="17"/>
          <w:color w:val="auto"/>
        </w:rPr>
      </w:pPr>
    </w:p>
    <w:p>
      <w:pPr>
        <w:ind w:left="1800" w:right="419" w:hanging="180"/>
        <w:spacing w:after="0" w:line="268" w:lineRule="auto"/>
        <w:tabs>
          <w:tab w:leader="none" w:pos="180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Over-Allotments and Syndicate Coverage Transactions</w:t>
      </w:r>
      <w:r>
        <w:rPr>
          <w:rFonts w:ascii="Arial" w:cs="Arial" w:eastAsia="Arial" w:hAnsi="Arial"/>
          <w:sz w:val="17"/>
          <w:szCs w:val="17"/>
          <w:color w:val="auto"/>
        </w:rPr>
        <w:t>. The underwriters may create a short position</w:t>
      </w:r>
      <w:r>
        <w:rPr>
          <w:rFonts w:ascii="Arial" w:cs="Arial" w:eastAsia="Arial" w:hAnsi="Arial"/>
          <w:sz w:val="17"/>
          <w:szCs w:val="17"/>
          <w:b w:val="1"/>
          <w:bCs w:val="1"/>
          <w:color w:val="auto"/>
        </w:rPr>
        <w:t xml:space="preserve"> </w:t>
      </w:r>
      <w:r>
        <w:rPr>
          <w:rFonts w:ascii="Arial" w:cs="Arial" w:eastAsia="Arial" w:hAnsi="Arial"/>
          <w:sz w:val="17"/>
          <w:szCs w:val="17"/>
          <w:color w:val="auto"/>
        </w:rPr>
        <w:t>in our units by selling more of our units than are set forth on the cover page of this prospectus up to the amount of the over-allotment option. This is known as a covered short position. The underwriters may also create a short position in our units by selling more of our units than are set forth on the cover page of this prospectus and the units allowed by the over-allotment option. This is known as a naked short position. If the underwriters create a short position during the offering, the representative may engage in syndicate covering transactions by purchasing our units in the open market. The representative may also elect to reduce any short position by exercising all or part of the over-allotment option. Determining what method to use in reducing the short position depends on how the units trade in the aftermarket following the offering. If the unit price drops following the offering, the short position is usually covered with shares purchased by the underwriters in the aftermarket. However, the underwriters may cover a short position by exercising the over-allotment option even if the unit price drops following the offering. If the unit price rises after the offering, then the over-allotment option is used to cover the short position. If the short position is</w:t>
      </w: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319"/>
        <w:spacing w:after="0" w:line="261" w:lineRule="auto"/>
        <w:rPr>
          <w:sz w:val="20"/>
          <w:szCs w:val="20"/>
          <w:color w:val="auto"/>
        </w:rPr>
      </w:pPr>
      <w:r>
        <w:rPr>
          <w:rFonts w:ascii="Arial" w:cs="Arial" w:eastAsia="Arial" w:hAnsi="Arial"/>
          <w:sz w:val="18"/>
          <w:szCs w:val="18"/>
          <w:color w:val="auto"/>
        </w:rPr>
        <w:t>more than the over-allotment option, the naked short must be covered by purchases in the aftermarket, which could be at prices above the offering price.</w:t>
      </w:r>
    </w:p>
    <w:p>
      <w:pPr>
        <w:spacing w:after="0" w:line="45" w:lineRule="exact"/>
        <w:rPr>
          <w:sz w:val="20"/>
          <w:szCs w:val="20"/>
          <w:color w:val="auto"/>
        </w:rPr>
      </w:pPr>
    </w:p>
    <w:p>
      <w:pPr>
        <w:ind w:left="1800" w:right="419" w:hanging="180"/>
        <w:spacing w:after="0" w:line="266" w:lineRule="auto"/>
        <w:tabs>
          <w:tab w:leader="none" w:pos="180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Penalty Bids</w:t>
      </w:r>
      <w:r>
        <w:rPr>
          <w:rFonts w:ascii="Arial" w:cs="Arial" w:eastAsia="Arial" w:hAnsi="Arial"/>
          <w:sz w:val="18"/>
          <w:szCs w:val="18"/>
          <w:color w:val="auto"/>
        </w:rPr>
        <w:t>. The representative may reclaim a selling concession from a syndicate member when</w:t>
      </w:r>
      <w:r>
        <w:rPr>
          <w:rFonts w:ascii="Arial" w:cs="Arial" w:eastAsia="Arial" w:hAnsi="Arial"/>
          <w:sz w:val="18"/>
          <w:szCs w:val="18"/>
          <w:b w:val="1"/>
          <w:bCs w:val="1"/>
          <w:color w:val="auto"/>
        </w:rPr>
        <w:t xml:space="preserve"> </w:t>
      </w:r>
      <w:r>
        <w:rPr>
          <w:rFonts w:ascii="Arial" w:cs="Arial" w:eastAsia="Arial" w:hAnsi="Arial"/>
          <w:sz w:val="18"/>
          <w:szCs w:val="18"/>
          <w:color w:val="auto"/>
        </w:rPr>
        <w:t>the units originally sold by the syndicate member are purchased in a stabilizing or syndicate covering transaction to cover syndicate short positions.</w:t>
      </w:r>
    </w:p>
    <w:p>
      <w:pPr>
        <w:spacing w:after="0" w:line="112" w:lineRule="exact"/>
        <w:rPr>
          <w:sz w:val="20"/>
          <w:szCs w:val="20"/>
          <w:color w:val="auto"/>
        </w:rPr>
      </w:pPr>
    </w:p>
    <w:p>
      <w:pPr>
        <w:jc w:val="both"/>
        <w:ind w:left="1260" w:right="419" w:firstLine="360"/>
        <w:spacing w:after="0" w:line="248" w:lineRule="auto"/>
        <w:rPr>
          <w:sz w:val="20"/>
          <w:szCs w:val="20"/>
          <w:color w:val="auto"/>
        </w:rPr>
      </w:pPr>
      <w:r>
        <w:rPr>
          <w:rFonts w:ascii="Arial" w:cs="Arial" w:eastAsia="Arial" w:hAnsi="Arial"/>
          <w:sz w:val="18"/>
          <w:szCs w:val="18"/>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14" w:lineRule="exact"/>
        <w:rPr>
          <w:sz w:val="20"/>
          <w:szCs w:val="20"/>
          <w:color w:val="auto"/>
        </w:rPr>
      </w:pPr>
    </w:p>
    <w:p>
      <w:pPr>
        <w:jc w:val="both"/>
        <w:ind w:left="1260" w:right="439" w:firstLine="360"/>
        <w:spacing w:after="0" w:line="261" w:lineRule="auto"/>
        <w:rPr>
          <w:sz w:val="20"/>
          <w:szCs w:val="20"/>
          <w:color w:val="auto"/>
        </w:rPr>
      </w:pPr>
      <w:r>
        <w:rPr>
          <w:rFonts w:ascii="Arial" w:cs="Arial" w:eastAsia="Arial" w:hAnsi="Arial"/>
          <w:sz w:val="18"/>
          <w:szCs w:val="18"/>
          <w:color w:val="auto"/>
        </w:rPr>
        <w:t>We have been advised by the representative of the underwriters that it does not intend to make a market in our public units.</w:t>
      </w:r>
    </w:p>
    <w:p>
      <w:pPr>
        <w:spacing w:after="0" w:line="90"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our securities. These transactions may occur on the Nasdaq, in the over-the-counter market or on any trading market. If any of these transactions are commenced, they may be discontinued without notice at any time.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Private Placement</w:t>
      </w:r>
    </w:p>
    <w:p>
      <w:pPr>
        <w:spacing w:after="0" w:line="16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Chardan NexTech 2 Warrant Holdings LLC, an affiliate of our sponsor, has committed, pursuant to a written agreement, to purchase an aggregate of 4,200,000 (or up to 4,442,183 warrants depending on the extent to which the underwriters’ over-allotment option is exercised) at a price of approximately $0.93 per warrant ( $3,902,000 (or up to $4,127,000 depending on the extent to which the underwriters’ over-allotment option is exercised)) in a private placement that will occur simultaneously with the closing of this offering. The private warrants have terms and provisions that are identical to the public warrants sold in this offering except as described under “</w:t>
      </w:r>
      <w:r>
        <w:rPr>
          <w:rFonts w:ascii="Arial" w:cs="Arial" w:eastAsia="Arial" w:hAnsi="Arial"/>
          <w:sz w:val="17"/>
          <w:szCs w:val="17"/>
          <w:i w:val="1"/>
          <w:iCs w:val="1"/>
          <w:color w:val="auto"/>
        </w:rPr>
        <w:t>Description of Securities — Redeemable Warrants — Private Warrants</w:t>
      </w:r>
      <w:r>
        <w:rPr>
          <w:rFonts w:ascii="Arial" w:cs="Arial" w:eastAsia="Arial" w:hAnsi="Arial"/>
          <w:sz w:val="17"/>
          <w:szCs w:val="17"/>
          <w:color w:val="auto"/>
        </w:rPr>
        <w:t>.” The private warrants will be considered underwriting compensation in connection with this offering. Such private warrants will be subject to lock-up restrictions, as required by FINRA Rule 5110(e)(1) and may not be sold during the offering, or sold, transferred, assigned, pledged, or hypothecated, or be the subject of any hedging, short sale, derivative, put, or call transaction that would result in the effective economic disposition of such securities by any person for a period of 180 days immediately following the date of effectiveness of the registration statement of which this prospectus forms a part or commencement of sales of the offering, except as provided in FINRA Rule 5110(e)(2). We have granted our sponsor the registration rights as described under the section “</w:t>
      </w:r>
      <w:r>
        <w:rPr>
          <w:rFonts w:ascii="Arial" w:cs="Arial" w:eastAsia="Arial" w:hAnsi="Arial"/>
          <w:sz w:val="17"/>
          <w:szCs w:val="17"/>
          <w:i w:val="1"/>
          <w:iCs w:val="1"/>
          <w:color w:val="auto"/>
        </w:rPr>
        <w:t>Description of our</w:t>
      </w:r>
      <w:r>
        <w:rPr>
          <w:rFonts w:ascii="Arial" w:cs="Arial" w:eastAsia="Arial" w:hAnsi="Arial"/>
          <w:sz w:val="17"/>
          <w:szCs w:val="17"/>
          <w:color w:val="auto"/>
        </w:rPr>
        <w:t xml:space="preserve"> Securities — </w:t>
      </w:r>
      <w:r>
        <w:rPr>
          <w:rFonts w:ascii="Arial" w:cs="Arial" w:eastAsia="Arial" w:hAnsi="Arial"/>
          <w:sz w:val="17"/>
          <w:szCs w:val="17"/>
          <w:i w:val="1"/>
          <w:iCs w:val="1"/>
          <w:color w:val="auto"/>
        </w:rPr>
        <w:t>Registration Rights</w:t>
      </w:r>
      <w:r>
        <w:rPr>
          <w:rFonts w:ascii="Arial" w:cs="Arial" w:eastAsia="Arial" w:hAnsi="Arial"/>
          <w:sz w:val="17"/>
          <w:szCs w:val="17"/>
          <w:color w:val="auto"/>
        </w:rPr>
        <w:t xml:space="preserve"> .” The demand and piggyback registration rights being granted to our sponsor are subject to FINRA Rule 5110(g) and will be in compliance with FINRA Rule 5110.05.</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162"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We have engaged Chardan as an advisor in connection with our business combination to assist us in holding meetings with our stockholders to discuss the potential business combination and the target business’ attributes, introduce us to potential investors that are interested in purchasing our securities, assist us in obtaining stockholder approval for the business combination and assist us with our press releases and public filings in connection with the business combination.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of Interest</w:t>
      </w:r>
    </w:p>
    <w:p>
      <w:pPr>
        <w:spacing w:after="0" w:line="148"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Our sponsor is an affiliate of Chardan, the representative of the underwriters in this offering, and certain of our officers and directors are affiliated with Chardan. As a result, Chardan is deemed to have a “conflict of interest” within the meaning of FINRA Rule 5121.</w:t>
      </w:r>
    </w:p>
    <w:p>
      <w:pPr>
        <w:spacing w:after="0" w:line="114"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Accordingly, this offering is being made in compliance with the applicable requirements of Rule 5121. Rule 5121 requires that a “qualified independent underwriter,” as defined in Rule 5121, participate in the preparation of the registration statement and prospectus and exercise the usual standards of due diligence</w:t>
      </w: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4" w:lineRule="auto"/>
        <w:rPr>
          <w:sz w:val="20"/>
          <w:szCs w:val="20"/>
          <w:color w:val="auto"/>
        </w:rPr>
      </w:pPr>
      <w:r>
        <w:rPr>
          <w:rFonts w:ascii="Arial" w:cs="Arial" w:eastAsia="Arial" w:hAnsi="Arial"/>
          <w:sz w:val="18"/>
          <w:szCs w:val="18"/>
          <w:color w:val="auto"/>
        </w:rPr>
        <w:t>with respect thereto. B. Riley Securities, Inc. has agreed to act as a “qualified independent underwriter” for this offering. B. Riley Securities, Inc. will receive $100,000 from the total underwriting discount for acting as a qualified independent underwriter. We have agreed to indemnify B. Riley Securities, Inc. against certain liabilities incurred in connection with acting as a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Terms</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Except as set forth above,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w:t>
      </w:r>
    </w:p>
    <w:p>
      <w:pPr>
        <w:spacing w:after="0" w:line="162" w:lineRule="exact"/>
        <w:rPr>
          <w:sz w:val="20"/>
          <w:szCs w:val="20"/>
          <w:color w:val="auto"/>
        </w:rPr>
      </w:pPr>
    </w:p>
    <w:p>
      <w:pPr>
        <w:ind w:left="1260" w:right="559" w:firstLine="360"/>
        <w:spacing w:after="0" w:line="308" w:lineRule="auto"/>
        <w:rPr>
          <w:sz w:val="20"/>
          <w:szCs w:val="20"/>
          <w:color w:val="auto"/>
        </w:rPr>
      </w:pPr>
      <w:r>
        <w:rPr>
          <w:rFonts w:ascii="Arial" w:cs="Arial" w:eastAsia="Arial" w:hAnsi="Arial"/>
          <w:sz w:val="17"/>
          <w:szCs w:val="17"/>
          <w:color w:val="auto"/>
        </w:rPr>
        <w:t>We have agreed to indemnify the underwriters against some liabilities, including civil liabilities under the Securities Act, or to contribute to payments the underwriters may be required to make in this respect.</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Resale Restrictions</w:t>
      </w:r>
    </w:p>
    <w:p>
      <w:pPr>
        <w:spacing w:after="0" w:line="162"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7"/>
          <w:szCs w:val="17"/>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44"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76" w:lineRule="exact"/>
        <w:rPr>
          <w:sz w:val="20"/>
          <w:szCs w:val="20"/>
          <w:color w:val="auto"/>
        </w:rPr>
      </w:pPr>
    </w:p>
    <w:p>
      <w:pPr>
        <w:ind w:left="1800" w:right="1039" w:hanging="180"/>
        <w:spacing w:after="0" w:line="277" w:lineRule="auto"/>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130" w:lineRule="exact"/>
        <w:rPr>
          <w:rFonts w:ascii="Arial" w:cs="Arial" w:eastAsia="Arial" w:hAnsi="Arial"/>
          <w:sz w:val="18"/>
          <w:szCs w:val="18"/>
          <w:color w:val="auto"/>
        </w:rPr>
      </w:pPr>
    </w:p>
    <w:p>
      <w:pPr>
        <w:ind w:left="1800" w:right="419" w:hanging="180"/>
        <w:spacing w:after="0" w:line="308" w:lineRule="auto"/>
        <w:tabs>
          <w:tab w:leader="none" w:pos="18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purchaser acknowledges and consents to the provision of specified information concerning its purchase of our securities to the regulatory authority that by law is entitled to collect the information.</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Rights of Action — Ontario Purchasers Only</w:t>
      </w:r>
    </w:p>
    <w:p>
      <w:pPr>
        <w:spacing w:after="0" w:line="14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58" w:lineRule="exact"/>
        <w:rPr>
          <w:sz w:val="20"/>
          <w:szCs w:val="20"/>
          <w:color w:val="auto"/>
        </w:rPr>
      </w:pPr>
    </w:p>
    <w:p>
      <w:pPr>
        <w:ind w:left="1260" w:right="499" w:firstLine="360"/>
        <w:spacing w:after="0" w:line="275" w:lineRule="auto"/>
        <w:rPr>
          <w:sz w:val="20"/>
          <w:szCs w:val="20"/>
          <w:color w:val="auto"/>
        </w:rPr>
      </w:pPr>
      <w:r>
        <w:rPr>
          <w:rFonts w:ascii="Arial" w:cs="Arial" w:eastAsia="Arial" w:hAnsi="Arial"/>
          <w:sz w:val="17"/>
          <w:szCs w:val="17"/>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Collection of Personal Information</w:t>
      </w:r>
    </w:p>
    <w:p>
      <w:pPr>
        <w:spacing w:after="0" w:line="158" w:lineRule="exact"/>
        <w:rPr>
          <w:sz w:val="20"/>
          <w:szCs w:val="20"/>
          <w:color w:val="auto"/>
        </w:rPr>
      </w:pPr>
    </w:p>
    <w:p>
      <w:pPr>
        <w:ind w:left="1260" w:right="459" w:firstLine="360"/>
        <w:spacing w:after="0" w:line="266" w:lineRule="auto"/>
        <w:rPr>
          <w:sz w:val="20"/>
          <w:szCs w:val="20"/>
          <w:color w:val="auto"/>
        </w:rPr>
      </w:pPr>
      <w:r>
        <w:rPr>
          <w:rFonts w:ascii="Arial" w:cs="Arial" w:eastAsia="Arial" w:hAnsi="Arial"/>
          <w:sz w:val="17"/>
          <w:szCs w:val="17"/>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Suite 1903, Box 5520, Queen Street West, Toronto, Ontario, M5H 3S8, Telephone: (416) 593-8086,</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Facsimile: (416) 593-8252.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539" w:firstLine="360"/>
        <w:spacing w:after="0" w:line="286" w:lineRule="auto"/>
        <w:rPr>
          <w:sz w:val="20"/>
          <w:szCs w:val="20"/>
          <w:color w:val="auto"/>
        </w:rPr>
      </w:pPr>
      <w:r>
        <w:rPr>
          <w:rFonts w:ascii="Arial" w:cs="Arial" w:eastAsia="Arial" w:hAnsi="Arial"/>
          <w:sz w:val="17"/>
          <w:szCs w:val="17"/>
          <w:color w:val="auto"/>
        </w:rPr>
        <w:t>Reed Smith LLP, is acting as United States counsel in connection with the registration of the offer and sale of our securities under the Securities Act and will pass on the validity of the securities offered in the prospectus. Greenberg Traurig, LLP, is acting as counsel for the underwriters in this offering.</w:t>
      </w:r>
    </w:p>
    <w:p>
      <w:pPr>
        <w:spacing w:after="0" w:line="16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 financial statements of Chardan NexTech Acquisition 2 Corp. as of December 31, 2020, and for the period from June 23, 2020 (inception) through December 31,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8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2" w:lineRule="exact"/>
        <w:rPr>
          <w:sz w:val="20"/>
          <w:szCs w:val="20"/>
          <w:color w:val="auto"/>
        </w:rPr>
      </w:pPr>
    </w:p>
    <w:p>
      <w:pPr>
        <w:ind w:left="1260" w:right="539" w:firstLine="360"/>
        <w:spacing w:after="0" w:line="269" w:lineRule="auto"/>
        <w:rPr>
          <w:sz w:val="20"/>
          <w:szCs w:val="20"/>
          <w:color w:val="auto"/>
        </w:rPr>
      </w:pPr>
      <w:r>
        <w:rPr>
          <w:rFonts w:ascii="Arial" w:cs="Arial" w:eastAsia="Arial" w:hAnsi="Arial"/>
          <w:sz w:val="17"/>
          <w:szCs w:val="17"/>
          <w:color w:val="auto"/>
        </w:rPr>
        <w:t xml:space="preserve">We have filed with the SEC a registration statement on Form S-1, which includes exhibits, schedules and amendments, under the Securities Act, with respect to this offering of our securities. Although this prospectus, which forms a part of the registration statement, contains all material information included in the registration statement, parts of the registration statement have been omitted as permitted by rules and regulations of the SEC. We refer you to the registration statement and its exhibits for further information about us, our securities and this offering. The registration statement and its exhibits, as well as our other reports filed with the SEC, can be inspected and copied at the SEC’s public reference room at 100 F Street, N.E., Washington, D.C. 20549. The public may obtain information about the operation of the public reference room by calling the SEC at 1-800-SEC-0330. In addition, the SEC maintains a web site at </w:t>
      </w:r>
      <w:r>
        <w:rPr>
          <w:rFonts w:ascii="Arial" w:cs="Arial" w:eastAsia="Arial" w:hAnsi="Arial"/>
          <w:sz w:val="17"/>
          <w:szCs w:val="17"/>
          <w:i w:val="1"/>
          <w:iCs w:val="1"/>
          <w:color w:val="auto"/>
        </w:rPr>
        <w:t xml:space="preserve">http://www.sec.gov </w:t>
      </w:r>
      <w:r>
        <w:rPr>
          <w:rFonts w:ascii="Arial" w:cs="Arial" w:eastAsia="Arial" w:hAnsi="Arial"/>
          <w:sz w:val="17"/>
          <w:szCs w:val="17"/>
          <w:color w:val="auto"/>
        </w:rPr>
        <w:t>which contains the Form S-1 and other reports, proxy and information statements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7460" w:type="dxa"/>
            <w:vAlign w:val="bottom"/>
            <w:gridSpan w:val="8"/>
          </w:tcPr>
          <w:p>
            <w:pPr>
              <w:jc w:val="center"/>
              <w:ind w:left="290"/>
              <w:spacing w:after="0"/>
              <w:rPr>
                <w:sz w:val="20"/>
                <w:szCs w:val="20"/>
                <w:color w:val="auto"/>
              </w:rPr>
            </w:pPr>
            <w:r>
              <w:rPr>
                <w:rFonts w:ascii="Arial" w:cs="Arial" w:eastAsia="Arial" w:hAnsi="Arial"/>
                <w:sz w:val="18"/>
                <w:szCs w:val="18"/>
                <w:b w:val="1"/>
                <w:bCs w:val="1"/>
                <w:color w:val="auto"/>
                <w:w w:val="97"/>
              </w:rPr>
              <w:t>CHARDAN NEXTECH ACQUISITION 2 CORP.</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24"/>
        </w:trPr>
        <w:tc>
          <w:tcPr>
            <w:tcW w:w="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380" w:type="dxa"/>
            <w:vAlign w:val="bottom"/>
            <w:gridSpan w:val="7"/>
          </w:tcPr>
          <w:p>
            <w:pPr>
              <w:jc w:val="center"/>
              <w:ind w:right="1680"/>
              <w:spacing w:after="0"/>
              <w:rPr>
                <w:sz w:val="20"/>
                <w:szCs w:val="20"/>
                <w:color w:val="auto"/>
              </w:rPr>
            </w:pPr>
            <w:r>
              <w:rPr>
                <w:rFonts w:ascii="Arial" w:cs="Arial" w:eastAsia="Arial" w:hAnsi="Arial"/>
                <w:sz w:val="18"/>
                <w:szCs w:val="18"/>
                <w:b w:val="1"/>
                <w:bCs w:val="1"/>
                <w:color w:val="auto"/>
                <w:w w:val="98"/>
              </w:rPr>
              <w:t>INDEX TO FINANCIAL STATEMENTS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5"/>
        </w:trPr>
        <w:tc>
          <w:tcPr>
            <w:tcW w:w="1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69"/>
        </w:trPr>
        <w:tc>
          <w:tcPr>
            <w:tcW w:w="4420" w:type="dxa"/>
            <w:vAlign w:val="bottom"/>
            <w:tcBorders>
              <w:bottom w:val="single" w:sz="8" w:color="0000EE"/>
            </w:tcBorders>
            <w:gridSpan w:val="3"/>
            <w:shd w:val="clear" w:color="auto" w:fill="CCEEFF"/>
          </w:tcPr>
          <w:p>
            <w:pPr>
              <w:spacing w:after="0" w:line="162" w:lineRule="exact"/>
              <w:rPr>
                <w:rFonts w:ascii="Arial" w:cs="Arial" w:eastAsia="Arial" w:hAnsi="Arial"/>
                <w:sz w:val="18"/>
                <w:szCs w:val="18"/>
                <w:color w:val="0000EE"/>
                <w:w w:val="95"/>
              </w:rPr>
            </w:pPr>
            <w:hyperlink w:anchor="page164">
              <w:r>
                <w:rPr>
                  <w:rFonts w:ascii="Arial" w:cs="Arial" w:eastAsia="Arial" w:hAnsi="Arial"/>
                  <w:sz w:val="18"/>
                  <w:szCs w:val="18"/>
                  <w:color w:val="0000EE"/>
                  <w:w w:val="95"/>
                </w:rPr>
                <w:t>Report of Independent Registered Public Accounting Firm</w:t>
              </w:r>
            </w:hyperlink>
          </w:p>
        </w:tc>
        <w:tc>
          <w:tcPr>
            <w:tcW w:w="3220" w:type="dxa"/>
            <w:vAlign w:val="bottom"/>
            <w:tcBorders>
              <w:bottom w:val="single" w:sz="8" w:color="CCEEFF"/>
            </w:tcBorders>
            <w:gridSpan w:val="6"/>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0000EE"/>
            </w:tcBorders>
            <w:shd w:val="clear" w:color="auto" w:fill="CCEEFF"/>
          </w:tcPr>
          <w:p>
            <w:pPr>
              <w:spacing w:after="0" w:line="162" w:lineRule="exact"/>
              <w:rPr>
                <w:rFonts w:ascii="Arial" w:cs="Arial" w:eastAsia="Arial" w:hAnsi="Arial"/>
                <w:sz w:val="18"/>
                <w:szCs w:val="18"/>
                <w:color w:val="0000EE"/>
                <w:w w:val="88"/>
              </w:rPr>
            </w:pPr>
            <w:hyperlink w:anchor="page164">
              <w:r>
                <w:rPr>
                  <w:rFonts w:ascii="Arial" w:cs="Arial" w:eastAsia="Arial" w:hAnsi="Arial"/>
                  <w:sz w:val="18"/>
                  <w:szCs w:val="18"/>
                  <w:color w:val="0000EE"/>
                  <w:w w:val="88"/>
                </w:rPr>
                <w:t>F-2</w:t>
              </w:r>
            </w:hyperlink>
          </w:p>
        </w:tc>
      </w:tr>
      <w:tr>
        <w:trPr>
          <w:trHeight w:val="230"/>
        </w:trPr>
        <w:tc>
          <w:tcPr>
            <w:tcW w:w="7640" w:type="dxa"/>
            <w:vAlign w:val="bottom"/>
            <w:gridSpan w:val="9"/>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Balance Sheets as of March 31, 2021 (unaudited) and December 31, 2020</w:t>
              </w:r>
            </w:hyperlink>
          </w:p>
        </w:tc>
        <w:tc>
          <w:tcPr>
            <w:tcW w:w="560" w:type="dxa"/>
            <w:vAlign w:val="bottom"/>
            <w:gridSpan w:val="2"/>
          </w:tcPr>
          <w:p>
            <w:pPr>
              <w:ind w:left="300"/>
              <w:spacing w:after="0"/>
              <w:rPr>
                <w:rFonts w:ascii="Arial" w:cs="Arial" w:eastAsia="Arial" w:hAnsi="Arial"/>
                <w:sz w:val="18"/>
                <w:szCs w:val="18"/>
                <w:color w:val="0000EE"/>
                <w:w w:val="88"/>
              </w:rPr>
            </w:pPr>
            <w:hyperlink w:anchor="page165">
              <w:r>
                <w:rPr>
                  <w:rFonts w:ascii="Arial" w:cs="Arial" w:eastAsia="Arial" w:hAnsi="Arial"/>
                  <w:sz w:val="18"/>
                  <w:szCs w:val="18"/>
                  <w:color w:val="0000EE"/>
                  <w:w w:val="88"/>
                </w:rPr>
                <w:t>F-3</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r>
      <w:tr>
        <w:trPr>
          <w:trHeight w:val="216"/>
        </w:trPr>
        <w:tc>
          <w:tcPr>
            <w:tcW w:w="7580" w:type="dxa"/>
            <w:vAlign w:val="bottom"/>
            <w:tcBorders>
              <w:bottom w:val="single" w:sz="8" w:color="0000EE"/>
            </w:tcBorders>
            <w:gridSpan w:val="8"/>
            <w:shd w:val="clear" w:color="auto" w:fill="CCEEFF"/>
          </w:tcPr>
          <w:p>
            <w:pPr>
              <w:spacing w:after="0"/>
              <w:rPr>
                <w:rFonts w:ascii="Arial" w:cs="Arial" w:eastAsia="Arial" w:hAnsi="Arial"/>
                <w:sz w:val="18"/>
                <w:szCs w:val="18"/>
                <w:color w:val="0000EE"/>
                <w:w w:val="94"/>
              </w:rPr>
            </w:pPr>
            <w:hyperlink w:anchor="page166">
              <w:r>
                <w:rPr>
                  <w:rFonts w:ascii="Arial" w:cs="Arial" w:eastAsia="Arial" w:hAnsi="Arial"/>
                  <w:sz w:val="18"/>
                  <w:szCs w:val="18"/>
                  <w:color w:val="0000EE"/>
                  <w:w w:val="94"/>
                </w:rPr>
                <w:t>Statements of Operations for the three months ended March 31, 2021 (unaudited) and for the period</w:t>
              </w:r>
            </w:hyperlink>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4"/>
              </w:rPr>
            </w:pPr>
            <w:hyperlink w:anchor="page166">
              <w:r>
                <w:rPr>
                  <w:rFonts w:ascii="Arial" w:cs="Arial" w:eastAsia="Arial" w:hAnsi="Arial"/>
                  <w:sz w:val="18"/>
                  <w:szCs w:val="18"/>
                  <w:color w:val="0000EE"/>
                  <w:w w:val="94"/>
                </w:rPr>
                <w:t>from June 23, 2020 (inception) through December 31, 2020</w:t>
              </w:r>
            </w:hyperlink>
          </w:p>
        </w:tc>
        <w:tc>
          <w:tcPr>
            <w:tcW w:w="2960" w:type="dxa"/>
            <w:vAlign w:val="bottom"/>
            <w:tcBorders>
              <w:bottom w:val="single" w:sz="8" w:color="CCEEFF"/>
            </w:tcBorders>
            <w:gridSpan w:val="5"/>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w:anchor="page166">
              <w:r>
                <w:rPr>
                  <w:rFonts w:ascii="Arial" w:cs="Arial" w:eastAsia="Arial" w:hAnsi="Arial"/>
                  <w:sz w:val="18"/>
                  <w:szCs w:val="18"/>
                  <w:color w:val="0000EE"/>
                  <w:w w:val="88"/>
                </w:rPr>
                <w:t>F-4</w:t>
              </w:r>
            </w:hyperlink>
          </w:p>
        </w:tc>
      </w:tr>
      <w:tr>
        <w:trPr>
          <w:trHeight w:val="216"/>
        </w:trPr>
        <w:tc>
          <w:tcPr>
            <w:tcW w:w="688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167">
              <w:r>
                <w:rPr>
                  <w:rFonts w:ascii="Arial" w:cs="Arial" w:eastAsia="Arial" w:hAnsi="Arial"/>
                  <w:sz w:val="18"/>
                  <w:szCs w:val="18"/>
                  <w:color w:val="0000EE"/>
                  <w:w w:val="94"/>
                </w:rPr>
                <w:t>Statements of Changes in Stockholder’s Equity for the three months ended March 31, 2021</w:t>
              </w:r>
            </w:hyperlink>
          </w:p>
        </w:tc>
        <w:tc>
          <w:tcPr>
            <w:tcW w:w="76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460" w:type="dxa"/>
            <w:vAlign w:val="bottom"/>
            <w:gridSpan w:val="8"/>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(unaudited) and for the period from June 23, 2020 (inception) through December 31, 2020</w:t>
              </w:r>
            </w:hyperlink>
          </w:p>
        </w:tc>
        <w:tc>
          <w:tcPr>
            <w:tcW w:w="560" w:type="dxa"/>
            <w:vAlign w:val="bottom"/>
            <w:gridSpan w:val="2"/>
          </w:tcPr>
          <w:p>
            <w:pPr>
              <w:ind w:left="300"/>
              <w:spacing w:after="0" w:line="196" w:lineRule="exact"/>
              <w:rPr>
                <w:rFonts w:ascii="Arial" w:cs="Arial" w:eastAsia="Arial" w:hAnsi="Arial"/>
                <w:sz w:val="18"/>
                <w:szCs w:val="18"/>
                <w:color w:val="0000EE"/>
                <w:w w:val="88"/>
              </w:rPr>
            </w:pPr>
            <w:hyperlink w:anchor="page167">
              <w:r>
                <w:rPr>
                  <w:rFonts w:ascii="Arial" w:cs="Arial" w:eastAsia="Arial" w:hAnsi="Arial"/>
                  <w:sz w:val="18"/>
                  <w:szCs w:val="18"/>
                  <w:color w:val="0000EE"/>
                  <w:w w:val="88"/>
                </w:rPr>
                <w:t>F-5</w:t>
              </w:r>
            </w:hyperlink>
          </w:p>
        </w:tc>
      </w:tr>
      <w:tr>
        <w:trPr>
          <w:trHeight w:val="34"/>
        </w:trPr>
        <w:tc>
          <w:tcPr>
            <w:tcW w:w="180" w:type="dxa"/>
            <w:vAlign w:val="bottom"/>
          </w:tcPr>
          <w:p>
            <w:pPr>
              <w:spacing w:after="0"/>
              <w:rPr>
                <w:sz w:val="2"/>
                <w:szCs w:val="2"/>
                <w:color w:val="auto"/>
              </w:rPr>
            </w:pPr>
          </w:p>
        </w:tc>
        <w:tc>
          <w:tcPr>
            <w:tcW w:w="2080" w:type="dxa"/>
            <w:vAlign w:val="bottom"/>
            <w:tcBorders>
              <w:top w:val="single" w:sz="8" w:color="0000EE"/>
            </w:tcBorders>
          </w:tcPr>
          <w:p>
            <w:pPr>
              <w:spacing w:after="0"/>
              <w:rPr>
                <w:sz w:val="2"/>
                <w:szCs w:val="2"/>
                <w:color w:val="auto"/>
              </w:rPr>
            </w:pPr>
          </w:p>
        </w:tc>
        <w:tc>
          <w:tcPr>
            <w:tcW w:w="2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r>
      <w:tr>
        <w:trPr>
          <w:trHeight w:val="216"/>
        </w:trPr>
        <w:tc>
          <w:tcPr>
            <w:tcW w:w="7640" w:type="dxa"/>
            <w:vAlign w:val="bottom"/>
            <w:tcBorders>
              <w:bottom w:val="single" w:sz="8" w:color="0000EE"/>
            </w:tcBorders>
            <w:gridSpan w:val="9"/>
            <w:shd w:val="clear" w:color="auto" w:fill="CCEEFF"/>
          </w:tcPr>
          <w:p>
            <w:pPr>
              <w:spacing w:after="0"/>
              <w:rPr>
                <w:rFonts w:ascii="Arial" w:cs="Arial" w:eastAsia="Arial" w:hAnsi="Arial"/>
                <w:sz w:val="18"/>
                <w:szCs w:val="18"/>
                <w:color w:val="0000EE"/>
                <w:w w:val="94"/>
              </w:rPr>
            </w:pPr>
            <w:hyperlink w:anchor="page168">
              <w:r>
                <w:rPr>
                  <w:rFonts w:ascii="Arial" w:cs="Arial" w:eastAsia="Arial" w:hAnsi="Arial"/>
                  <w:sz w:val="18"/>
                  <w:szCs w:val="18"/>
                  <w:color w:val="0000EE"/>
                  <w:w w:val="94"/>
                </w:rPr>
                <w:t>Statements of Cash Flows for the three months ended March 31, 2021 (unaudited) and for the period</w:t>
              </w:r>
            </w:hyperlink>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4"/>
              </w:rPr>
            </w:pPr>
            <w:hyperlink w:anchor="page168">
              <w:r>
                <w:rPr>
                  <w:rFonts w:ascii="Arial" w:cs="Arial" w:eastAsia="Arial" w:hAnsi="Arial"/>
                  <w:sz w:val="18"/>
                  <w:szCs w:val="18"/>
                  <w:color w:val="0000EE"/>
                  <w:w w:val="94"/>
                </w:rPr>
                <w:t>from June 23, 2020 (inception) through December 31, 2020</w:t>
              </w:r>
            </w:hyperlink>
          </w:p>
        </w:tc>
        <w:tc>
          <w:tcPr>
            <w:tcW w:w="2960" w:type="dxa"/>
            <w:vAlign w:val="bottom"/>
            <w:tcBorders>
              <w:bottom w:val="single" w:sz="8" w:color="CCEEFF"/>
            </w:tcBorders>
            <w:gridSpan w:val="5"/>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8"/>
              </w:rPr>
            </w:pPr>
            <w:hyperlink w:anchor="page168">
              <w:r>
                <w:rPr>
                  <w:rFonts w:ascii="Arial" w:cs="Arial" w:eastAsia="Arial" w:hAnsi="Arial"/>
                  <w:sz w:val="18"/>
                  <w:szCs w:val="18"/>
                  <w:color w:val="0000EE"/>
                  <w:w w:val="88"/>
                </w:rPr>
                <w:t>F-6</w:t>
              </w:r>
            </w:hyperlink>
          </w:p>
        </w:tc>
      </w:tr>
      <w:tr>
        <w:trPr>
          <w:trHeight w:val="229"/>
        </w:trPr>
        <w:tc>
          <w:tcPr>
            <w:tcW w:w="226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169">
              <w:r>
                <w:rPr>
                  <w:rFonts w:ascii="Arial" w:cs="Arial" w:eastAsia="Arial" w:hAnsi="Arial"/>
                  <w:sz w:val="18"/>
                  <w:szCs w:val="18"/>
                  <w:color w:val="0000EE"/>
                  <w:w w:val="93"/>
                </w:rPr>
                <w:t>Notes to Financial Statements</w:t>
              </w:r>
            </w:hyperlink>
          </w:p>
        </w:tc>
        <w:tc>
          <w:tcPr>
            <w:tcW w:w="5380" w:type="dxa"/>
            <w:vAlign w:val="bottom"/>
            <w:gridSpan w:val="7"/>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169">
              <w:r>
                <w:rPr>
                  <w:rFonts w:ascii="Arial" w:cs="Arial" w:eastAsia="Arial" w:hAnsi="Arial"/>
                  <w:sz w:val="18"/>
                  <w:szCs w:val="18"/>
                  <w:color w:val="0000EE"/>
                  <w:w w:val="88"/>
                </w:rPr>
                <w:t>F-7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Stockholder and the Board of Directors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Chardan NexTech Acquisition 2 Corp.</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We have audited the accompanying balance sheet of Chardan NexTech Acquisition 2 Corp. (the “Company”) as of December 31, 2020, the related statements of operations, changes in stockholder’s equity and cash flows for the period from June 23,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June 23, 2020 (inception) through December 31, 2020, in conformity with accounting principles generally accepted in the United States of America.</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1260" w:right="459" w:firstLine="360"/>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WithumSmith+Brown, PC</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2021.</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June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BALANCE SHEETS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rPr>
              <w:t>March 31, 2021</w:t>
            </w:r>
          </w:p>
        </w:tc>
        <w:tc>
          <w:tcPr>
            <w:tcW w:w="8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5"/>
              </w:rPr>
              <w:t>December 31,</w:t>
            </w:r>
          </w:p>
        </w:tc>
      </w:tr>
      <w:tr>
        <w:trPr>
          <w:trHeight w:val="186"/>
        </w:trPr>
        <w:tc>
          <w:tcPr>
            <w:tcW w:w="19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r>
      <w:tr>
        <w:trPr>
          <w:trHeight w:val="26"/>
        </w:trPr>
        <w:tc>
          <w:tcPr>
            <w:tcW w:w="19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0"/>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56"/>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Current assets – cash</w:t>
            </w:r>
          </w:p>
        </w:tc>
        <w:tc>
          <w:tcPr>
            <w:tcW w:w="460" w:type="dxa"/>
            <w:vAlign w:val="bottom"/>
            <w:gridSpan w:val="3"/>
          </w:tcPr>
          <w:p>
            <w:pPr>
              <w:ind w:left="3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72,882</w:t>
            </w:r>
          </w:p>
        </w:tc>
        <w:tc>
          <w:tcPr>
            <w:tcW w:w="2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25,000</w:t>
            </w:r>
          </w:p>
        </w:tc>
      </w:tr>
      <w:tr>
        <w:trPr>
          <w:trHeight w:val="263"/>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offering costs</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77,118</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70"/>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gridSpan w:val="2"/>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6"/>
              </w:rPr>
              <w:t>150,000</w:t>
            </w:r>
          </w:p>
        </w:tc>
        <w:tc>
          <w:tcPr>
            <w:tcW w:w="2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25,000</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210"/>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7"/>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7"/>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57"/>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460" w:type="dxa"/>
            <w:vAlign w:val="bottom"/>
            <w:gridSpan w:val="3"/>
          </w:tcPr>
          <w:p>
            <w:pPr>
              <w:ind w:left="3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r>
      <w:tr>
        <w:trPr>
          <w:trHeight w:val="263"/>
        </w:trPr>
        <w:tc>
          <w:tcPr>
            <w:tcW w:w="5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Promissory note – related party</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125,000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57"/>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6"/>
              </w:rPr>
              <w:t>126,000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1,000</w:t>
            </w:r>
          </w:p>
        </w:tc>
      </w:tr>
      <w:tr>
        <w:trPr>
          <w:trHeight w:val="257"/>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56"/>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92"/>
        </w:trPr>
        <w:tc>
          <w:tcPr>
            <w:tcW w:w="5960" w:type="dxa"/>
            <w:vAlign w:val="bottom"/>
            <w:gridSpan w:val="2"/>
            <w:shd w:val="clear" w:color="auto" w:fill="CCEEFF"/>
          </w:tcPr>
          <w:p>
            <w:pPr>
              <w:ind w:left="180"/>
              <w:spacing w:after="0" w:line="192" w:lineRule="exact"/>
              <w:rPr>
                <w:sz w:val="20"/>
                <w:szCs w:val="20"/>
                <w:color w:val="auto"/>
              </w:rPr>
            </w:pPr>
            <w:r>
              <w:rPr>
                <w:rFonts w:ascii="Arial" w:cs="Arial" w:eastAsia="Arial" w:hAnsi="Arial"/>
                <w:sz w:val="18"/>
                <w:szCs w:val="18"/>
                <w:color w:val="auto"/>
                <w:w w:val="95"/>
              </w:rPr>
              <w:t>Common stock, $0.0001 par value; 5,000,000 shares authorized; 2,875,000</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94"/>
        </w:trPr>
        <w:tc>
          <w:tcPr>
            <w:tcW w:w="5960" w:type="dxa"/>
            <w:vAlign w:val="bottom"/>
            <w:gridSpan w:val="2"/>
            <w:shd w:val="clear" w:color="auto" w:fill="CCEEFF"/>
          </w:tcPr>
          <w:p>
            <w:pPr>
              <w:ind w:left="360"/>
              <w:spacing w:after="0" w:line="295" w:lineRule="exact"/>
              <w:rPr>
                <w:sz w:val="20"/>
                <w:szCs w:val="20"/>
                <w:color w:val="auto"/>
              </w:rPr>
            </w:pPr>
            <w:r>
              <w:rPr>
                <w:rFonts w:ascii="Arial" w:cs="Arial" w:eastAsia="Arial" w:hAnsi="Arial"/>
                <w:sz w:val="18"/>
                <w:szCs w:val="18"/>
                <w:color w:val="auto"/>
              </w:rPr>
              <w:t>issued and outstanding</w:t>
            </w:r>
            <w:r>
              <w:rPr>
                <w:rFonts w:ascii="Arial" w:cs="Arial" w:eastAsia="Arial" w:hAnsi="Arial"/>
                <w:sz w:val="26"/>
                <w:szCs w:val="26"/>
                <w:color w:val="auto"/>
                <w:vertAlign w:val="superscript"/>
              </w:rPr>
              <w:t>(1)</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w:t>
            </w:r>
          </w:p>
        </w:tc>
      </w:tr>
      <w:tr>
        <w:trPr>
          <w:trHeight w:val="257"/>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24,712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24,712</w:t>
            </w:r>
          </w:p>
        </w:tc>
      </w:tr>
      <w:tr>
        <w:trPr>
          <w:trHeight w:val="263"/>
        </w:trPr>
        <w:tc>
          <w:tcPr>
            <w:tcW w:w="5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0"/>
        </w:trPr>
        <w:tc>
          <w:tcPr>
            <w:tcW w:w="1940" w:type="dxa"/>
            <w:vAlign w:val="bottom"/>
            <w:shd w:val="clear" w:color="auto" w:fill="CCEEFF"/>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77"/>
        </w:trPr>
        <w:tc>
          <w:tcPr>
            <w:tcW w:w="59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24,000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24,000</w:t>
            </w:r>
          </w:p>
        </w:tc>
      </w:tr>
      <w:tr>
        <w:trPr>
          <w:trHeight w:val="20"/>
        </w:trPr>
        <w:tc>
          <w:tcPr>
            <w:tcW w:w="1940" w:type="dxa"/>
            <w:vAlign w:val="bottom"/>
            <w:shd w:val="clear" w:color="auto" w:fill="CCEEFF"/>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303"/>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gridSpan w:val="2"/>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150,000</w:t>
            </w:r>
          </w:p>
        </w:tc>
        <w:tc>
          <w:tcPr>
            <w:tcW w:w="2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25,000</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4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-299720</wp:posOffset>
            </wp:positionV>
            <wp:extent cx="52120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-3145155</wp:posOffset>
            </wp:positionV>
            <wp:extent cx="467169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101" w:lineRule="exact"/>
        <w:rPr>
          <w:sz w:val="20"/>
          <w:szCs w:val="20"/>
          <w:color w:val="auto"/>
        </w:rPr>
      </w:pPr>
    </w:p>
    <w:p>
      <w:pPr>
        <w:ind w:left="1620" w:right="519" w:hanging="360"/>
        <w:spacing w:after="0" w:line="279" w:lineRule="auto"/>
        <w:tabs>
          <w:tab w:leader="none" w:pos="16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Includes up to 375,000 shares of common stock subject to forfeiture if the over-allotment option is not exercised in full or in part by the underwriter (see Note 5). On March 4, 2021, the Company effected a 2.875-for-1 stock split, resulting in 2,875,000 shares of common stock outstanding (see Note 5). All share and per-share amounts have been retroactively restated to reflect the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STATEMENTS OF OPERATIONS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For the</w:t>
            </w:r>
          </w:p>
        </w:tc>
      </w:tr>
      <w:tr>
        <w:trPr>
          <w:trHeight w:val="162"/>
        </w:trPr>
        <w:tc>
          <w:tcPr>
            <w:tcW w:w="19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For the three</w:t>
            </w:r>
          </w:p>
        </w:tc>
        <w:tc>
          <w:tcPr>
            <w:tcW w:w="180" w:type="dxa"/>
            <w:vAlign w:val="bottom"/>
          </w:tcPr>
          <w:p>
            <w:pPr>
              <w:spacing w:after="0"/>
              <w:rPr>
                <w:sz w:val="14"/>
                <w:szCs w:val="1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Period from</w:t>
            </w:r>
          </w:p>
        </w:tc>
      </w:tr>
      <w:tr>
        <w:trPr>
          <w:trHeight w:val="162"/>
        </w:trPr>
        <w:tc>
          <w:tcPr>
            <w:tcW w:w="19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months ended</w:t>
            </w:r>
          </w:p>
        </w:tc>
        <w:tc>
          <w:tcPr>
            <w:tcW w:w="18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23, 2020</w:t>
            </w:r>
          </w:p>
        </w:tc>
      </w:tr>
      <w:tr>
        <w:trPr>
          <w:trHeight w:val="162"/>
        </w:trPr>
        <w:tc>
          <w:tcPr>
            <w:tcW w:w="19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8"/>
          </w:tcPr>
          <w:p>
            <w:pPr>
              <w:jc w:val="right"/>
              <w:ind w:right="20"/>
              <w:spacing w:after="0"/>
              <w:rPr>
                <w:sz w:val="20"/>
                <w:szCs w:val="20"/>
                <w:color w:val="auto"/>
              </w:rPr>
            </w:pPr>
            <w:r>
              <w:rPr>
                <w:rFonts w:ascii="Arial" w:cs="Arial" w:eastAsia="Arial" w:hAnsi="Arial"/>
                <w:sz w:val="14"/>
                <w:szCs w:val="14"/>
                <w:b w:val="1"/>
                <w:bCs w:val="1"/>
                <w:color w:val="auto"/>
                <w:w w:val="95"/>
              </w:rPr>
              <w:t>March 31, 2021    (inception) Through</w:t>
            </w:r>
          </w:p>
        </w:tc>
      </w:tr>
      <w:tr>
        <w:trPr>
          <w:trHeight w:val="186"/>
        </w:trPr>
        <w:tc>
          <w:tcPr>
            <w:tcW w:w="19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(unaudited)</w:t>
            </w: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December 31, 2020</w:t>
            </w:r>
          </w:p>
        </w:tc>
      </w:tr>
      <w:tr>
        <w:trPr>
          <w:trHeight w:val="26"/>
        </w:trPr>
        <w:tc>
          <w:tcPr>
            <w:tcW w:w="194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7"/>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r>
      <w:tr>
        <w:trPr>
          <w:trHeight w:val="20"/>
        </w:trPr>
        <w:tc>
          <w:tcPr>
            <w:tcW w:w="1940" w:type="dxa"/>
            <w:vAlign w:val="bottom"/>
            <w:shd w:val="clear" w:color="auto" w:fill="CCEEFF"/>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70"/>
        </w:trPr>
        <w:tc>
          <w:tcPr>
            <w:tcW w:w="558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loss</w:t>
            </w:r>
          </w:p>
        </w:tc>
        <w:tc>
          <w:tcPr>
            <w:tcW w:w="400" w:type="dxa"/>
            <w:vAlign w:val="bottom"/>
            <w:gridSpan w:val="3"/>
          </w:tcPr>
          <w:p>
            <w:pPr>
              <w:ind w:left="30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(1,000)</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71"/>
        </w:trPr>
        <w:tc>
          <w:tcPr>
            <w:tcW w:w="5580" w:type="dxa"/>
            <w:vAlign w:val="bottom"/>
            <w:gridSpan w:val="2"/>
            <w:shd w:val="clear" w:color="auto" w:fill="CCEEFF"/>
          </w:tcPr>
          <w:p>
            <w:pPr>
              <w:spacing w:after="0" w:line="251" w:lineRule="exact"/>
              <w:rPr>
                <w:sz w:val="20"/>
                <w:szCs w:val="20"/>
                <w:color w:val="auto"/>
              </w:rPr>
            </w:pPr>
            <w:r>
              <w:rPr>
                <w:rFonts w:ascii="Arial" w:cs="Arial" w:eastAsia="Arial" w:hAnsi="Arial"/>
                <w:sz w:val="18"/>
                <w:szCs w:val="18"/>
                <w:color w:val="auto"/>
              </w:rPr>
              <w:t>Weighted average common shares outstanding, basic and diluted</w:t>
            </w:r>
            <w:r>
              <w:rPr>
                <w:rFonts w:ascii="Arial" w:cs="Arial" w:eastAsia="Arial" w:hAnsi="Arial"/>
                <w:sz w:val="26"/>
                <w:szCs w:val="26"/>
                <w:color w:val="auto"/>
                <w:vertAlign w:val="superscript"/>
              </w:rPr>
              <w:t>(1)</w:t>
            </w: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2,500,000</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2,500,000</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400" w:type="dxa"/>
            <w:vAlign w:val="bottom"/>
            <w:gridSpan w:val="3"/>
          </w:tcPr>
          <w:p>
            <w:pPr>
              <w:ind w:left="30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(0.00)</w:t>
            </w:r>
          </w:p>
        </w:tc>
      </w:tr>
      <w:tr>
        <w:trPr>
          <w:trHeight w:val="21"/>
        </w:trPr>
        <w:tc>
          <w:tcPr>
            <w:tcW w:w="19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94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-864870</wp:posOffset>
            </wp:positionV>
            <wp:extent cx="443166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101" w:lineRule="exact"/>
        <w:rPr>
          <w:sz w:val="20"/>
          <w:szCs w:val="20"/>
          <w:color w:val="auto"/>
        </w:rPr>
      </w:pPr>
    </w:p>
    <w:p>
      <w:pPr>
        <w:ind w:left="1620" w:right="479" w:hanging="360"/>
        <w:spacing w:after="0" w:line="279" w:lineRule="auto"/>
        <w:tabs>
          <w:tab w:leader="none" w:pos="16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Excludes up to 375,000 shares of common stock subject to forfeiture if the over-allotment option is not exercised in full or in part by the underwriter (see Note 5). On March 4, 2021, the Company effected a 2.875-for-1 stock split, resulting in 2,875,000 shares of common stock outstanding (see Note 5). All share and per-share amounts have been retroactively restated to reflect the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FOR THE THREE MONTHS ENDED MARCH 31, 2021 (UNAUDITED) AND FOR THE PERIOD</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FROM JUNE 23, 2020 (INCEPTION) THROUGH DECEMBER 31, 2020</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6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2"/>
        </w:trPr>
        <w:tc>
          <w:tcPr>
            <w:tcW w:w="19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Paid-in</w:t>
            </w:r>
          </w:p>
        </w:tc>
        <w:tc>
          <w:tcPr>
            <w:tcW w:w="104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88"/>
              </w:rPr>
              <w:t>Accumulated</w:t>
            </w:r>
          </w:p>
        </w:tc>
        <w:tc>
          <w:tcPr>
            <w:tcW w:w="84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1040" w:type="dxa"/>
            <w:vAlign w:val="bottom"/>
            <w:gridSpan w:val="5"/>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1040" w:type="dxa"/>
            <w:vAlign w:val="bottom"/>
            <w:gridSpan w:val="5"/>
            <w:vMerge w:val="continue"/>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5"/>
              </w:rPr>
              <w:t>Amount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Deficit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6"/>
        </w:trPr>
        <w:tc>
          <w:tcPr>
            <w:tcW w:w="19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23, 2020 (inception)</w:t>
            </w:r>
          </w:p>
        </w:tc>
        <w:tc>
          <w:tcPr>
            <w:tcW w:w="10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3760" w:type="dxa"/>
            <w:vAlign w:val="bottom"/>
            <w:gridSpan w:val="2"/>
          </w:tcPr>
          <w:p>
            <w:pPr>
              <w:spacing w:after="0" w:line="192" w:lineRule="exact"/>
              <w:rPr>
                <w:sz w:val="20"/>
                <w:szCs w:val="20"/>
                <w:color w:val="auto"/>
              </w:rPr>
            </w:pPr>
            <w:r>
              <w:rPr>
                <w:rFonts w:ascii="Arial" w:cs="Arial" w:eastAsia="Arial" w:hAnsi="Arial"/>
                <w:sz w:val="18"/>
                <w:szCs w:val="18"/>
                <w:color w:val="auto"/>
              </w:rPr>
              <w:t>Issuance of common stock to</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3760" w:type="dxa"/>
            <w:vAlign w:val="bottom"/>
            <w:gridSpan w:val="2"/>
          </w:tcPr>
          <w:p>
            <w:pPr>
              <w:ind w:left="180"/>
              <w:spacing w:after="0" w:line="295" w:lineRule="exact"/>
              <w:rPr>
                <w:sz w:val="20"/>
                <w:szCs w:val="20"/>
                <w:color w:val="auto"/>
              </w:rPr>
            </w:pPr>
            <w:r>
              <w:rPr>
                <w:rFonts w:ascii="Arial" w:cs="Arial" w:eastAsia="Arial" w:hAnsi="Arial"/>
                <w:sz w:val="18"/>
                <w:szCs w:val="18"/>
                <w:color w:val="auto"/>
              </w:rPr>
              <w:t>Sponsor</w:t>
            </w:r>
            <w:r>
              <w:rPr>
                <w:rFonts w:ascii="Arial" w:cs="Arial" w:eastAsia="Arial" w:hAnsi="Arial"/>
                <w:sz w:val="26"/>
                <w:szCs w:val="26"/>
                <w:color w:val="auto"/>
                <w:vertAlign w:val="superscript"/>
              </w:rPr>
              <w:t>(1)</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2,875,000</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24,712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22"/>
                <w:szCs w:val="2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2020</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2,875,000</w:t>
            </w:r>
          </w:p>
        </w:tc>
        <w:tc>
          <w:tcPr>
            <w:tcW w:w="280" w:type="dxa"/>
            <w:vAlign w:val="bottom"/>
          </w:tcPr>
          <w:p>
            <w:pPr>
              <w:spacing w:after="0"/>
              <w:rPr>
                <w:sz w:val="23"/>
                <w:szCs w:val="2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4"/>
              </w:rPr>
              <w:t>$288</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0"/>
              </w:rPr>
              <w:t>24,712</w:t>
            </w:r>
          </w:p>
        </w:tc>
        <w:tc>
          <w:tcPr>
            <w:tcW w:w="2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7"/>
              </w:rPr>
              <w:t>(1,000)</w:t>
            </w:r>
          </w:p>
        </w:tc>
        <w:tc>
          <w:tcPr>
            <w:tcW w:w="2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24,000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21"/>
                <w:szCs w:val="2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2021</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9"/>
              </w:rPr>
              <w:t>2,875,000</w:t>
            </w:r>
          </w:p>
        </w:tc>
        <w:tc>
          <w:tcPr>
            <w:tcW w:w="280" w:type="dxa"/>
            <w:vAlign w:val="bottom"/>
            <w:vMerge w:val="restart"/>
          </w:tcPr>
          <w:p>
            <w:pPr>
              <w:spacing w:after="0"/>
              <w:rPr>
                <w:sz w:val="19"/>
                <w:szCs w:val="19"/>
                <w:color w:val="auto"/>
              </w:rPr>
            </w:pP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w w:val="84"/>
              </w:rPr>
              <w:t>$288</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24,712</w:t>
            </w:r>
          </w:p>
        </w:tc>
        <w:tc>
          <w:tcPr>
            <w:tcW w:w="220" w:type="dxa"/>
            <w:vAlign w:val="bottom"/>
          </w:tcPr>
          <w:p>
            <w:pPr>
              <w:spacing w:after="0"/>
              <w:rPr>
                <w:sz w:val="19"/>
                <w:szCs w:val="19"/>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w w:val="87"/>
              </w:rPr>
              <w:t>(1,000)</w:t>
            </w:r>
          </w:p>
        </w:tc>
        <w:tc>
          <w:tcPr>
            <w:tcW w:w="220" w:type="dxa"/>
            <w:vAlign w:val="bottom"/>
          </w:tcPr>
          <w:p>
            <w:pPr>
              <w:spacing w:after="0"/>
              <w:rPr>
                <w:sz w:val="19"/>
                <w:szCs w:val="19"/>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7"/>
              </w:rPr>
              <w:t>24,000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60" w:type="dxa"/>
            <w:vAlign w:val="bottom"/>
            <w:gridSpan w:val="2"/>
          </w:tcPr>
          <w:p>
            <w:pPr>
              <w:ind w:left="180"/>
              <w:spacing w:after="0"/>
              <w:rPr>
                <w:sz w:val="20"/>
                <w:szCs w:val="20"/>
                <w:color w:val="auto"/>
              </w:rPr>
            </w:pPr>
            <w:r>
              <w:rPr>
                <w:rFonts w:ascii="Arial" w:cs="Arial" w:eastAsia="Arial" w:hAnsi="Arial"/>
                <w:sz w:val="18"/>
                <w:szCs w:val="18"/>
                <w:b w:val="1"/>
                <w:bCs w:val="1"/>
                <w:color w:val="auto"/>
              </w:rPr>
              <w:t>(unaudited)</w:t>
            </w:r>
          </w:p>
        </w:tc>
        <w:tc>
          <w:tcPr>
            <w:tcW w:w="7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94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-1447800</wp:posOffset>
            </wp:positionV>
            <wp:extent cx="467169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101" w:lineRule="exact"/>
        <w:rPr>
          <w:sz w:val="20"/>
          <w:szCs w:val="20"/>
          <w:color w:val="auto"/>
        </w:rPr>
      </w:pPr>
    </w:p>
    <w:p>
      <w:pPr>
        <w:ind w:left="1620" w:right="519" w:hanging="360"/>
        <w:spacing w:after="0" w:line="279" w:lineRule="auto"/>
        <w:tabs>
          <w:tab w:leader="none" w:pos="16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Includes up to 375,000 shares of common stock subject to forfeiture if the over-allotment option is not exercised in full or in part by the underwriter (see Note 5). On March 4, 2021, the Company effected a 2.875-for-1 stock split, resulting in 2,875,000 shares of common stock outstanding (see Note 5). All share and per-share amounts have been retroactively restated to reflect the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STATEMENTS OF CASH FLOWS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For the Period</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from June 23,</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For the three</w:t>
            </w: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2020 (inception)</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months ended</w:t>
            </w:r>
          </w:p>
        </w:tc>
        <w:tc>
          <w:tcPr>
            <w:tcW w:w="2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Through</w:t>
            </w: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March 31, 2021</w:t>
            </w: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86"/>
        </w:trPr>
        <w:tc>
          <w:tcPr>
            <w:tcW w:w="5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(unaudited)</w:t>
            </w:r>
          </w:p>
        </w:tc>
        <w:tc>
          <w:tcPr>
            <w:tcW w:w="800" w:type="dxa"/>
            <w:vAlign w:val="bottom"/>
            <w:gridSpan w:val="2"/>
          </w:tcPr>
          <w:p>
            <w:pPr>
              <w:jc w:val="center"/>
              <w:ind w:left="120"/>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40" w:type="dxa"/>
            <w:vAlign w:val="bottom"/>
          </w:tcPr>
          <w:p>
            <w:pPr>
              <w:spacing w:after="0"/>
              <w:rPr>
                <w:sz w:val="20"/>
                <w:szCs w:val="20"/>
                <w:color w:val="auto"/>
              </w:rPr>
            </w:pPr>
            <w:r>
              <w:rPr>
                <w:rFonts w:ascii="Arial" w:cs="Arial" w:eastAsia="Arial" w:hAnsi="Arial"/>
                <w:sz w:val="18"/>
                <w:szCs w:val="18"/>
                <w:color w:val="auto"/>
              </w:rPr>
              <w:t>Net loss</w:t>
            </w: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 (1,000)</w:t>
            </w:r>
          </w:p>
        </w:tc>
        <w:tc>
          <w:tcPr>
            <w:tcW w:w="0" w:type="dxa"/>
            <w:vAlign w:val="bottom"/>
          </w:tcPr>
          <w:p>
            <w:pPr>
              <w:spacing w:after="0"/>
              <w:rPr>
                <w:sz w:val="1"/>
                <w:szCs w:val="1"/>
                <w:color w:val="auto"/>
              </w:rPr>
            </w:pPr>
          </w:p>
        </w:tc>
      </w:tr>
      <w:tr>
        <w:trPr>
          <w:trHeight w:val="257"/>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40" w:type="dxa"/>
            <w:vAlign w:val="bottom"/>
          </w:tcPr>
          <w:p>
            <w:pPr>
              <w:ind w:left="180"/>
              <w:spacing w:after="0"/>
              <w:rPr>
                <w:sz w:val="20"/>
                <w:szCs w:val="20"/>
                <w:color w:val="auto"/>
              </w:rPr>
            </w:pPr>
            <w:r>
              <w:rPr>
                <w:rFonts w:ascii="Arial" w:cs="Arial" w:eastAsia="Arial" w:hAnsi="Arial"/>
                <w:sz w:val="18"/>
                <w:szCs w:val="18"/>
                <w:color w:val="auto"/>
              </w:rPr>
              <w:t>Deferred offering costs</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(77,118)</w:t>
            </w:r>
          </w:p>
        </w:tc>
        <w:tc>
          <w:tcPr>
            <w:tcW w:w="2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(77,118)</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125,000</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Proceeds from issuance of common stock to Sponsor</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gridSpan w:val="2"/>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5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125,000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4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47,882</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25,000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8"/>
                <w:szCs w:val="18"/>
                <w:b w:val="1"/>
                <w:bCs w:val="1"/>
                <w:color w:val="auto"/>
              </w:rPr>
              <w:t>Cash – End of period</w:t>
            </w:r>
          </w:p>
        </w:tc>
        <w:tc>
          <w:tcPr>
            <w:tcW w:w="340" w:type="dxa"/>
            <w:vAlign w:val="bottom"/>
            <w:gridSpan w:val="2"/>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72,882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$25,000</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-753745</wp:posOffset>
            </wp:positionV>
            <wp:extent cx="52120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-1439545</wp:posOffset>
            </wp:positionV>
            <wp:extent cx="52120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-2108200</wp:posOffset>
            </wp:positionV>
            <wp:extent cx="45859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4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Chardan NexTech Acquisition 2 Corp (the “Company”) is a blank check company incorporated in Delaware on June 23, 2020. The Company was formed for the purpose of effectuating a merger, capital stock exchange, asset acquisition, stock purchase, reorganization or other similar business combination with one or more businesses (the “Business Combination”). The Company is an emerging growth company and, as such, the Company is subject to all of the risks associated with emerging growth companies.</w:t>
      </w:r>
    </w:p>
    <w:p>
      <w:pPr>
        <w:spacing w:after="0" w:line="106"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As of March 31, 2021, the Company had not commenced any operations. All activity for the period from June 23, 2020 (inception) through March 31, 2021 relates to the Company’s formation and the proposed initial public offering (“Proposed Public Offering”). The Company will not generate any operating revenues until after the completion of a Business Combination, at the earliest. The Company will generate non-operating income in the form of interest income from the proceeds derived from the Proposed Public Offering.</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Company’s ability to commence operations is contingent upon obtaining adequate financial</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resources through a Proposed Public Offering of 10,000,000 units (the “Units” and, with respect to the</w:t>
      </w:r>
    </w:p>
    <w:p>
      <w:pPr>
        <w:ind w:left="1260"/>
        <w:spacing w:after="0" w:line="234" w:lineRule="auto"/>
        <w:rPr>
          <w:sz w:val="20"/>
          <w:szCs w:val="20"/>
          <w:color w:val="auto"/>
        </w:rPr>
      </w:pPr>
      <w:r>
        <w:rPr>
          <w:rFonts w:ascii="Arial" w:cs="Arial" w:eastAsia="Arial" w:hAnsi="Arial"/>
          <w:sz w:val="18"/>
          <w:szCs w:val="18"/>
          <w:color w:val="auto"/>
        </w:rPr>
        <w:t>shares of common stock included in the Units being offered, the “Public Shares”) at $10.00 per Unit (or</w:t>
      </w:r>
    </w:p>
    <w:p>
      <w:pPr>
        <w:ind w:left="1260"/>
        <w:spacing w:after="0" w:line="235" w:lineRule="auto"/>
        <w:rPr>
          <w:sz w:val="20"/>
          <w:szCs w:val="20"/>
          <w:color w:val="auto"/>
        </w:rPr>
      </w:pPr>
      <w:r>
        <w:rPr>
          <w:rFonts w:ascii="Arial" w:cs="Arial" w:eastAsia="Arial" w:hAnsi="Arial"/>
          <w:sz w:val="18"/>
          <w:szCs w:val="18"/>
          <w:color w:val="auto"/>
        </w:rPr>
        <w:t>11,500,000 Units if the underwriters’ over-allotment option is exercised in full), which is discussed in</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Note 3, and the sale of 4,200,000 warrants (or 4,442,183 warrants if the underwriters’ over-allotment option</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is exercised in full) (the “Private Warrants”), at a price of approximately $0.93 per Private Warrant, in a</w:t>
      </w:r>
    </w:p>
    <w:p>
      <w:pPr>
        <w:ind w:left="1260"/>
        <w:spacing w:after="0" w:line="234" w:lineRule="auto"/>
        <w:rPr>
          <w:sz w:val="20"/>
          <w:szCs w:val="20"/>
          <w:color w:val="auto"/>
        </w:rPr>
      </w:pPr>
      <w:r>
        <w:rPr>
          <w:rFonts w:ascii="Arial" w:cs="Arial" w:eastAsia="Arial" w:hAnsi="Arial"/>
          <w:sz w:val="18"/>
          <w:szCs w:val="18"/>
          <w:color w:val="auto"/>
        </w:rPr>
        <w:t>private placement to Chardan NexTech 2 Warrant Holdings LLC, an affiliate of Chardan NexTech</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Investments 2 LLC (the “Sponsor”), that will close simultaneously with the Proposed Public Offering.</w:t>
      </w:r>
    </w:p>
    <w:p>
      <w:pPr>
        <w:spacing w:after="0" w:line="115"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the Private Warrants, although substantially all of the net proceeds are intended to be applied generally toward consummating a Business Combination. There is no assurance that the Company will be able to complete a Business Combination successfully. Nasdaq rules provide that the Business Combination must be with one or more target businesses that together have a fair market value equal to at least 80% of the value of the Trust Account (as defined below) (excluding taxes payable on the income earned on the Trust Account) at the time of the signing of a definitive agreement to enter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 Upon the closing of the Proposed Public Offering, management has agreed that $10.15 per Unit sold in the Proposed Public Offering, including the proceeds from the sale of the Private Warrants, will be held in a trust account (“Trust Account”) and invested in U.S. government securities, within the meaning set forth in Section 2(a)(16) of the Investment Company Act, with a maturity of 185 days or less, or in any open -ended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to the Company’s stockholders, as described below.</w:t>
      </w:r>
    </w:p>
    <w:p>
      <w:pPr>
        <w:spacing w:after="0" w:line="126"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$10.15 per Public Share, plus any pro rata interest earned on the funds held in the Trust Account and not previously released to the Company to pay its tax obligations). The Public Shares subject to redemption will be recorded at redemption value and classified as temporary equity upon the completion of the Proposed Public Offering in accordance with the Financial</w:t>
      </w:r>
    </w:p>
    <w:p>
      <w:pPr>
        <w:sectPr>
          <w:pgSz w:w="11900" w:h="16838" w:orient="portrait"/>
          <w:cols w:equalWidth="0" w:num="1">
            <w:col w:w="9879"/>
          </w:cols>
          <w:pgMar w:left="580" w:top="132" w:right="1440" w:bottom="1440" w:gutter="0" w:footer="0" w:header="0"/>
        </w:sectPr>
      </w:pPr>
    </w:p>
    <w:p>
      <w:pPr>
        <w:spacing w:after="0" w:line="371"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0" w:name="page171"/>
    <w:bookmarkEnd w:id="170"/>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1260" w:right="1259"/>
        <w:spacing w:after="0" w:line="261" w:lineRule="auto"/>
        <w:rPr>
          <w:sz w:val="20"/>
          <w:szCs w:val="20"/>
          <w:color w:val="auto"/>
        </w:rPr>
      </w:pPr>
      <w:r>
        <w:rPr>
          <w:rFonts w:ascii="Arial" w:cs="Arial" w:eastAsia="Arial" w:hAnsi="Arial"/>
          <w:sz w:val="18"/>
          <w:szCs w:val="18"/>
          <w:color w:val="auto"/>
        </w:rPr>
        <w:t xml:space="preserve">Accounting Standards Board’s (“FASB”) Accounting Standards Codification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w:t>
      </w:r>
    </w:p>
    <w:p>
      <w:pPr>
        <w:spacing w:after="0" w:line="90"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 5) and any Public Shares purchased during or after the Proposed Public Offering in favor of approving a Business Combination. Additionally, each public stockholder may elect to redeem their Public Shares irrespective of whether they vote for or against the proposed transaction.</w:t>
      </w:r>
    </w:p>
    <w:p>
      <w:pPr>
        <w:spacing w:after="0" w:line="120"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2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The Company will have 12 months from the closing of the initial public offering to consummate an initial business combination. However, if the Company anticipates that it may not be able to consummate an initial business combination within 12 months, the Company’s insiders or their affiliates may, but are not obligated to, extend the period of time to consummate a business combination up to two times by an additional three months each time (for a total of up to 18 months to complete a business combination). If the Company is unable to consummate an initial business combination within the above time period, the Company will distribute the aggregate amount then on deposit in the trust account, pro rata to the Company’s public stockholders, by way of the redemption of their shares and thereafter cease all operations except for the purposes of winding up of the Company’s affairs. In such event, the warrants will expire and be worthless.</w:t>
      </w:r>
    </w:p>
    <w:p>
      <w:pPr>
        <w:spacing w:after="0" w:line="107" w:lineRule="exact"/>
        <w:rPr>
          <w:sz w:val="20"/>
          <w:szCs w:val="20"/>
          <w:color w:val="auto"/>
        </w:rPr>
      </w:pPr>
    </w:p>
    <w:p>
      <w:pPr>
        <w:ind w:left="1260" w:right="579" w:firstLine="360"/>
        <w:spacing w:after="0" w:line="253" w:lineRule="auto"/>
        <w:rPr>
          <w:sz w:val="20"/>
          <w:szCs w:val="20"/>
          <w:color w:val="auto"/>
        </w:rPr>
      </w:pPr>
      <w:r>
        <w:rPr>
          <w:rFonts w:ascii="Arial" w:cs="Arial" w:eastAsia="Arial" w:hAnsi="Arial"/>
          <w:sz w:val="18"/>
          <w:szCs w:val="18"/>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18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12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 (1) $10.15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1" w:name="page172"/>
    <w:bookmarkEnd w:id="171"/>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16" w:lineRule="exact"/>
        <w:rPr>
          <w:sz w:val="20"/>
          <w:szCs w:val="20"/>
          <w:color w:val="auto"/>
        </w:rPr>
      </w:pPr>
    </w:p>
    <w:p>
      <w:pPr>
        <w:ind w:left="1260" w:right="479"/>
        <w:spacing w:after="0" w:line="237" w:lineRule="auto"/>
        <w:rPr>
          <w:sz w:val="20"/>
          <w:szCs w:val="20"/>
          <w:color w:val="auto"/>
        </w:rPr>
      </w:pPr>
      <w:r>
        <w:rPr>
          <w:rFonts w:ascii="Arial" w:cs="Arial" w:eastAsia="Arial" w:hAnsi="Arial"/>
          <w:sz w:val="17"/>
          <w:szCs w:val="17"/>
          <w:color w:val="auto"/>
        </w:rPr>
        <w:t>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of Presentation</w:t>
      </w:r>
    </w:p>
    <w:p>
      <w:pPr>
        <w:spacing w:after="0" w:line="135" w:lineRule="exact"/>
        <w:rPr>
          <w:sz w:val="20"/>
          <w:szCs w:val="20"/>
          <w:color w:val="auto"/>
        </w:rPr>
      </w:pPr>
    </w:p>
    <w:p>
      <w:pPr>
        <w:ind w:left="1260" w:right="619" w:firstLine="360"/>
        <w:spacing w:after="0" w:line="235"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07" w:lineRule="exact"/>
        <w:rPr>
          <w:sz w:val="20"/>
          <w:szCs w:val="20"/>
          <w:color w:val="auto"/>
        </w:rPr>
      </w:pPr>
    </w:p>
    <w:p>
      <w:pPr>
        <w:ind w:left="1260" w:right="419" w:firstLine="360"/>
        <w:spacing w:after="0" w:line="225" w:lineRule="auto"/>
        <w:rPr>
          <w:sz w:val="20"/>
          <w:szCs w:val="20"/>
          <w:color w:val="auto"/>
        </w:rPr>
      </w:pPr>
      <w:r>
        <w:rPr>
          <w:rFonts w:ascii="Arial" w:cs="Arial" w:eastAsia="Arial" w:hAnsi="Arial"/>
          <w:sz w:val="18"/>
          <w:szCs w:val="18"/>
          <w:color w:val="auto"/>
        </w:rPr>
        <w:t xml:space="preserve">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w:t>
      </w:r>
      <w:r>
        <w:rPr>
          <w:rFonts w:ascii="Arial" w:cs="Arial" w:eastAsia="Arial" w:hAnsi="Arial"/>
          <w:sz w:val="18"/>
          <w:szCs w:val="18"/>
          <w:i w:val="1"/>
          <w:iCs w:val="1"/>
          <w:color w:val="auto"/>
        </w:rPr>
        <w:t>Disclosures of Uncertainties about an Entity’s Ability to Continue as a Going Concern</w:t>
      </w:r>
      <w:r>
        <w:rPr>
          <w:rFonts w:ascii="Arial" w:cs="Arial" w:eastAsia="Arial" w:hAnsi="Arial"/>
          <w:sz w:val="18"/>
          <w:szCs w:val="18"/>
          <w:color w:val="auto"/>
        </w:rPr>
        <w:t>, management has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that the Company has access to funds from the Sponsor, and the Sponsor has the financial wherewithal to fund the Company, that are sufficient to fund the working capital needs of the Company until the earlier of the consummation of the Proposed Public Offering or one year from the issuance of these financial statements.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Emerging Growth Company</w:t>
      </w:r>
    </w:p>
    <w:p>
      <w:pPr>
        <w:spacing w:after="0" w:line="148" w:lineRule="exact"/>
        <w:rPr>
          <w:sz w:val="20"/>
          <w:szCs w:val="20"/>
          <w:color w:val="auto"/>
        </w:rPr>
      </w:pPr>
    </w:p>
    <w:p>
      <w:pPr>
        <w:ind w:left="1260" w:right="439" w:firstLine="360"/>
        <w:spacing w:after="0" w:line="22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97" w:lineRule="exact"/>
        <w:rPr>
          <w:sz w:val="20"/>
          <w:szCs w:val="20"/>
          <w:color w:val="auto"/>
        </w:rPr>
      </w:pPr>
    </w:p>
    <w:p>
      <w:pPr>
        <w:ind w:left="1260" w:right="419" w:firstLine="360"/>
        <w:spacing w:after="0" w:line="235"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 -emerging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left="1260" w:right="979" w:firstLine="360"/>
        <w:spacing w:after="0" w:line="29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w:t>
      </w:r>
    </w:p>
    <w:p>
      <w:pPr>
        <w:spacing w:after="0" w:line="32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color w:val="auto"/>
        </w:rPr>
        <w:t>contingent assets and liabilities at the date of the financial statements and the reported amounts of expenses during the reporting periods.</w:t>
      </w:r>
    </w:p>
    <w:p>
      <w:pPr>
        <w:spacing w:after="0" w:line="90"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jc w:val="both"/>
        <w:ind w:left="1260" w:right="719" w:firstLine="360"/>
        <w:spacing w:after="0" w:line="248"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Deferred Offering Costs</w:t>
      </w:r>
    </w:p>
    <w:p>
      <w:pPr>
        <w:spacing w:after="0" w:line="16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Deferred offering costs consist of legal, accounting and other expenses incurred through the balance sheet date that are directly related to the Proposed Public Offering. The offering costs directly attributable to the issuance of an equity contract to be classified in equity are recorded as a reduction in equity at the time of the Proposed Public Offering. Offering costs for equity contracts that are classified as assets and liabilities are expensed at the time of the Proposed Public Offering. Should the Proposed Public Offering prove to be unsuccessful, all deferred costs, as well as additional expenses incurred, will be charged to operations. The Company had $77,118 and $0 of deferred offering costs at March 31, 2021 and December 31, 2020, respectively.</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 Deferred tax assets were deemed to be de minimis as of March 31, 2021 and December 31, 2020.</w:t>
      </w:r>
    </w:p>
    <w:p>
      <w:pPr>
        <w:spacing w:after="0" w:line="126"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13" w:lineRule="exact"/>
        <w:rPr>
          <w:sz w:val="20"/>
          <w:szCs w:val="20"/>
          <w:color w:val="auto"/>
        </w:rPr>
      </w:pPr>
    </w:p>
    <w:p>
      <w:pPr>
        <w:ind w:left="1260" w:right="1039" w:firstLine="360"/>
        <w:spacing w:after="0" w:line="261" w:lineRule="auto"/>
        <w:rPr>
          <w:sz w:val="20"/>
          <w:szCs w:val="20"/>
          <w:color w:val="auto"/>
        </w:rPr>
      </w:pPr>
      <w:r>
        <w:rPr>
          <w:rFonts w:ascii="Arial" w:cs="Arial" w:eastAsia="Arial" w:hAnsi="Arial"/>
          <w:sz w:val="18"/>
          <w:szCs w:val="18"/>
          <w:color w:val="auto"/>
        </w:rPr>
        <w:t>The provision for income taxes was deemed to be de minimis for the period from June 23, 2020 (inception) through December 31, 2020, and for the three months ended March 31, 2021.</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Net Loss Per Common Share</w:t>
      </w:r>
    </w:p>
    <w:p>
      <w:pPr>
        <w:spacing w:after="0" w:line="148"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Net loss per share of common stock is computed by dividing net loss by the weighted average number of common shares outstanding during the period, excluding shares of common stock subject to forfeiture. Weighted average shares were reduced for the effect of an aggregate of 375,000 shares of common stock that are subject to forfeiture if the over-allotment option is not exercised by the underwriter (see Note 5). At March 31, 2021 and December 31, 2020, the Company did not have any dilutive securities and other contracts</w:t>
      </w:r>
    </w:p>
    <w:p>
      <w:pPr>
        <w:sectPr>
          <w:pgSz w:w="11900" w:h="16838" w:orient="portrait"/>
          <w:cols w:equalWidth="0" w:num="1">
            <w:col w:w="9879"/>
          </w:cols>
          <w:pgMar w:left="580" w:top="132" w:right="1440" w:bottom="1440" w:gutter="0" w:footer="0" w:header="0"/>
        </w:sectPr>
      </w:pPr>
    </w:p>
    <w:p>
      <w:pPr>
        <w:spacing w:after="0" w:line="37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3" w:name="page174"/>
    <w:bookmarkEnd w:id="173"/>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jc w:val="both"/>
        <w:ind w:left="1260" w:right="679"/>
        <w:spacing w:after="0" w:line="248" w:lineRule="auto"/>
        <w:rPr>
          <w:sz w:val="20"/>
          <w:szCs w:val="20"/>
          <w:color w:val="auto"/>
        </w:rPr>
      </w:pPr>
      <w:r>
        <w:rPr>
          <w:rFonts w:ascii="Arial" w:cs="Arial" w:eastAsia="Arial" w:hAnsi="Arial"/>
          <w:sz w:val="18"/>
          <w:szCs w:val="18"/>
          <w:color w:val="auto"/>
        </w:rPr>
        <w:t>that could, potentially, be exercised or converted into common stock and then share in the earnings of the Company. As a result, diluted loss per common share is the same as basic loss per common share for the periods presented.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and Uncertainties</w:t>
      </w:r>
    </w:p>
    <w:p>
      <w:pPr>
        <w:spacing w:after="0" w:line="148"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7"/>
          <w:szCs w:val="17"/>
          <w:color w:val="auto"/>
        </w:rPr>
        <w:t>Management continues to evaluate the impact of the COVID-19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Depository Insurance Corporation coverage limit of $250,000. At March 31, 2021 and December 31, 2020, the Company had not experienced losses on this account and management believes the Company is not exposed to significant risks on such account.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color w:val="auto"/>
        </w:rPr>
        <w:t xml:space="preserve">The fair value of the Company’s assets and liabilities, which qualify as financial instruments under FASB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approximates the carrying amounts represented in the accompanying balance sheet, primarily due to their short-term nature.</w:t>
      </w:r>
    </w:p>
    <w:p>
      <w:pPr>
        <w:spacing w:after="0" w:line="101" w:lineRule="exact"/>
        <w:rPr>
          <w:sz w:val="20"/>
          <w:szCs w:val="20"/>
          <w:color w:val="auto"/>
        </w:rPr>
      </w:pPr>
    </w:p>
    <w:p>
      <w:pPr>
        <w:ind w:left="1260" w:right="539" w:firstLine="360"/>
        <w:spacing w:after="0" w:line="237" w:lineRule="auto"/>
        <w:rPr>
          <w:sz w:val="20"/>
          <w:szCs w:val="20"/>
          <w:color w:val="auto"/>
        </w:rPr>
      </w:pPr>
      <w:r>
        <w:rPr>
          <w:rFonts w:ascii="Arial" w:cs="Arial" w:eastAsia="Arial" w:hAnsi="Arial"/>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28" w:lineRule="exact"/>
        <w:rPr>
          <w:sz w:val="20"/>
          <w:szCs w:val="20"/>
          <w:color w:val="auto"/>
        </w:rPr>
      </w:pPr>
    </w:p>
    <w:p>
      <w:pPr>
        <w:jc w:val="both"/>
        <w:ind w:left="1260" w:right="879" w:firstLine="360"/>
        <w:spacing w:after="0" w:line="263" w:lineRule="auto"/>
        <w:rPr>
          <w:sz w:val="20"/>
          <w:szCs w:val="20"/>
          <w:color w:val="auto"/>
        </w:rPr>
      </w:pPr>
      <w:r>
        <w:rPr>
          <w:rFonts w:ascii="Arial" w:cs="Arial" w:eastAsia="Arial" w:hAnsi="Arial"/>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16" w:lineRule="exact"/>
        <w:rPr>
          <w:sz w:val="20"/>
          <w:szCs w:val="20"/>
          <w:color w:val="auto"/>
        </w:rPr>
      </w:pPr>
    </w:p>
    <w:p>
      <w:pPr>
        <w:jc w:val="both"/>
        <w:ind w:left="1260" w:right="539" w:firstLine="360"/>
        <w:spacing w:after="0" w:line="263" w:lineRule="auto"/>
        <w:rPr>
          <w:sz w:val="20"/>
          <w:szCs w:val="20"/>
          <w:color w:val="auto"/>
        </w:rPr>
      </w:pPr>
      <w:r>
        <w:rPr>
          <w:rFonts w:ascii="Arial" w:cs="Arial" w:eastAsia="Arial" w:hAnsi="Arial"/>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03" w:lineRule="exact"/>
        <w:rPr>
          <w:sz w:val="20"/>
          <w:szCs w:val="20"/>
          <w:color w:val="auto"/>
        </w:rPr>
      </w:pPr>
    </w:p>
    <w:p>
      <w:pPr>
        <w:ind w:left="1260" w:right="959" w:firstLine="360"/>
        <w:spacing w:after="0" w:line="308" w:lineRule="auto"/>
        <w:rPr>
          <w:sz w:val="20"/>
          <w:szCs w:val="20"/>
          <w:color w:val="auto"/>
        </w:rPr>
      </w:pPr>
      <w:r>
        <w:rPr>
          <w:rFonts w:ascii="Arial" w:cs="Arial" w:eastAsia="Arial" w:hAnsi="Arial"/>
          <w:sz w:val="17"/>
          <w:szCs w:val="17"/>
          <w:color w:val="auto"/>
        </w:rPr>
        <w:t>Level 3 — Inputs to the fair value measurement are unobservable inputs, such as estimates, assumptions, and valuation techniques when little or no market data exists for the assets or liabilities.</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 Liabilities</w:t>
      </w:r>
    </w:p>
    <w:p>
      <w:pPr>
        <w:spacing w:after="0" w:line="162" w:lineRule="exact"/>
        <w:rPr>
          <w:sz w:val="20"/>
          <w:szCs w:val="20"/>
          <w:color w:val="auto"/>
        </w:rPr>
      </w:pPr>
    </w:p>
    <w:p>
      <w:pPr>
        <w:ind w:left="1260" w:right="519" w:firstLine="360"/>
        <w:spacing w:after="0" w:line="274"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ASC 480,</w:t>
      </w:r>
    </w:p>
    <w:p>
      <w:pPr>
        <w:ind w:left="1260" w:right="479"/>
        <w:spacing w:after="0" w:line="290" w:lineRule="auto"/>
        <w:rPr>
          <w:sz w:val="20"/>
          <w:szCs w:val="20"/>
          <w:color w:val="auto"/>
        </w:rPr>
      </w:pPr>
      <w:r>
        <w:rPr>
          <w:rFonts w:ascii="Arial" w:cs="Arial" w:eastAsia="Arial" w:hAnsi="Arial"/>
          <w:sz w:val="17"/>
          <w:szCs w:val="17"/>
          <w:i w:val="1"/>
          <w:iCs w:val="1"/>
          <w:color w:val="auto"/>
        </w:rPr>
        <w:t xml:space="preserve">Distinguishing Liabilities from Equity </w:t>
      </w:r>
      <w:r>
        <w:rPr>
          <w:rFonts w:ascii="Arial" w:cs="Arial" w:eastAsia="Arial" w:hAnsi="Arial"/>
          <w:sz w:val="17"/>
          <w:szCs w:val="17"/>
          <w:color w:val="auto"/>
        </w:rPr>
        <w:t>(“ASC 480”) and ASC 815,</w:t>
      </w:r>
      <w:r>
        <w:rPr>
          <w:rFonts w:ascii="Arial" w:cs="Arial" w:eastAsia="Arial" w:hAnsi="Arial"/>
          <w:sz w:val="17"/>
          <w:szCs w:val="17"/>
          <w:i w:val="1"/>
          <w:iCs w:val="1"/>
          <w:color w:val="auto"/>
        </w:rPr>
        <w:t xml:space="preserve"> Derivatives and Hedging </w:t>
      </w:r>
      <w:r>
        <w:rPr>
          <w:rFonts w:ascii="Arial" w:cs="Arial" w:eastAsia="Arial" w:hAnsi="Arial"/>
          <w:sz w:val="17"/>
          <w:szCs w:val="17"/>
          <w:color w:val="auto"/>
        </w:rPr>
        <w:t>(“ASC 815”).</w:t>
      </w:r>
      <w:r>
        <w:rPr>
          <w:rFonts w:ascii="Arial" w:cs="Arial" w:eastAsia="Arial" w:hAnsi="Arial"/>
          <w:sz w:val="17"/>
          <w:szCs w:val="17"/>
          <w:i w:val="1"/>
          <w:iCs w:val="1"/>
          <w:color w:val="auto"/>
        </w:rPr>
        <w:t xml:space="preserve"> </w:t>
      </w:r>
      <w:r>
        <w:rPr>
          <w:rFonts w:ascii="Arial" w:cs="Arial" w:eastAsia="Arial" w:hAnsi="Arial"/>
          <w:sz w:val="17"/>
          <w:szCs w:val="17"/>
          <w:color w:val="auto"/>
        </w:rPr>
        <w:t>The assessment considers whether the warrants are freestanding financial instruments pursuant to ASC 480,</w:t>
      </w:r>
    </w:p>
    <w:p>
      <w:pPr>
        <w:spacing w:after="0" w:line="33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1260" w:right="419"/>
        <w:spacing w:after="0" w:line="241" w:lineRule="auto"/>
        <w:rPr>
          <w:sz w:val="20"/>
          <w:szCs w:val="20"/>
          <w:color w:val="auto"/>
        </w:rPr>
      </w:pPr>
      <w:r>
        <w:rPr>
          <w:rFonts w:ascii="Arial" w:cs="Arial" w:eastAsia="Arial" w:hAnsi="Arial"/>
          <w:sz w:val="18"/>
          <w:szCs w:val="18"/>
          <w:color w:val="auto"/>
        </w:rPr>
        <w:t>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08"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statements of operations.</w:t>
      </w:r>
    </w:p>
    <w:p>
      <w:pPr>
        <w:spacing w:after="0" w:line="122"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 xml:space="preserve">The Company will account for the Private Placement Warrants issued concurrently in connection with the Initial Public Offering in accordance with Accounting Standards Codification (“ASC”) 815-40, </w:t>
      </w:r>
      <w:r>
        <w:rPr>
          <w:rFonts w:ascii="Arial" w:cs="Arial" w:eastAsia="Arial" w:hAnsi="Arial"/>
          <w:sz w:val="18"/>
          <w:szCs w:val="18"/>
          <w:i w:val="1"/>
          <w:iCs w:val="1"/>
          <w:color w:val="auto"/>
        </w:rPr>
        <w:t xml:space="preserve">Derivatives and Hedging — Contracts in Entity’s Own Equity </w:t>
      </w:r>
      <w:r>
        <w:rPr>
          <w:rFonts w:ascii="Arial" w:cs="Arial" w:eastAsia="Arial" w:hAnsi="Arial"/>
          <w:sz w:val="18"/>
          <w:szCs w:val="18"/>
          <w:color w:val="auto"/>
        </w:rPr>
        <w:t>(“ASC 815”), under which the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Placement Warrants will not meet the criteria for equity classification and must be recorded as liabilities. As the Private Placement Warrants meet the definition of a derivative as contemplated in ASC 815, the Private Placement Warrants will be measured at fair value at inception and at each reporting date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with changes in fair value recognized in the statements of operations in the period of change.</w:t>
      </w:r>
    </w:p>
    <w:p>
      <w:pPr>
        <w:spacing w:after="0" w:line="126"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The Public Warrants are not precluded from equity classification, and will be accounted for as such on the date of issuance, and each balance sheet date thereafter.</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Standards</w:t>
      </w:r>
    </w:p>
    <w:p>
      <w:pPr>
        <w:spacing w:after="0" w:line="148"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7"/>
          <w:szCs w:val="17"/>
          <w:color w:val="auto"/>
        </w:rPr>
        <w:t>Management does not believe that any recently issued, but not yet effective, accounting standards, if currently adopted, would have a material effect on the Company’s financial statements.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PROPOSED PUBLIC OFFERING</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Pursuant to the Proposed Public Offering, the Company will offer for sale up to 10,000,000 Units (or</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11,500,000 Units if the underwriters’ over-allotment option is exercised in full) at a purchase price of</w:t>
      </w:r>
    </w:p>
    <w:p>
      <w:pPr>
        <w:ind w:left="1260"/>
        <w:spacing w:after="0"/>
        <w:rPr>
          <w:sz w:val="20"/>
          <w:szCs w:val="20"/>
          <w:color w:val="auto"/>
        </w:rPr>
      </w:pPr>
      <w:r>
        <w:rPr>
          <w:rFonts w:ascii="Arial" w:cs="Arial" w:eastAsia="Arial" w:hAnsi="Arial"/>
          <w:sz w:val="17"/>
          <w:szCs w:val="17"/>
          <w:color w:val="auto"/>
        </w:rPr>
        <w:t>$10.00 per Unit. Each Unit will consist of one share of common stock, $0.0001 par value, and one-half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one redeemable warrant (“Public Warrant”). Each whole Public Warrant will entitle the holder to purchase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one share of common stock at an exercise price of $11.50 per whole share (see Note 7).</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PRIVATE PLACEMENT</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Chardan NexTech 2 Warrant Holdings LLC has agreed to purchase an aggregate of 4,200,000 (or up to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4,442,183 depending on the extent to which the underwriters’ over-allotment option is exercised) Private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Warrants at a price of approximately $0.93 per Private Warrant, for an aggregate purchase price of</w:t>
      </w:r>
    </w:p>
    <w:p>
      <w:pPr>
        <w:ind w:left="1260"/>
        <w:spacing w:after="0"/>
        <w:rPr>
          <w:sz w:val="20"/>
          <w:szCs w:val="20"/>
          <w:color w:val="auto"/>
        </w:rPr>
      </w:pPr>
      <w:r>
        <w:rPr>
          <w:rFonts w:ascii="Arial" w:cs="Arial" w:eastAsia="Arial" w:hAnsi="Arial"/>
          <w:sz w:val="17"/>
          <w:szCs w:val="17"/>
          <w:color w:val="auto"/>
        </w:rPr>
        <w:t>$3,902,000, (or up to $4,127,000 if the underwrites) in a private placement that will occur simultaneously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with the closing of the Proposed Public Offering. Each of the Private Warrants is exercisable to purchase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one share of common stock at a price of $11.50 per share, subject to adjustment (see Note 7). The proceeds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from the sale of the Private Warrants will be added to the net proceeds from the Proposed Public Offering to</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 held in the Trust Account. If the Company does not complete a Business Combination within the</w:t>
      </w:r>
    </w:p>
    <w:p>
      <w:pPr>
        <w:ind w:left="1260"/>
        <w:spacing w:after="0"/>
        <w:rPr>
          <w:sz w:val="20"/>
          <w:szCs w:val="20"/>
          <w:color w:val="auto"/>
        </w:rPr>
      </w:pPr>
      <w:r>
        <w:rPr>
          <w:rFonts w:ascii="Arial" w:cs="Arial" w:eastAsia="Arial" w:hAnsi="Arial"/>
          <w:sz w:val="17"/>
          <w:szCs w:val="17"/>
          <w:color w:val="auto"/>
        </w:rPr>
        <w:t>Combination Period, the proceeds from the sale of the Private Warrants will be used to fund the redemption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the Public Shares (subject to the requirements of applicable law) and the Private Warrants will expire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worthless. The Company classifies the outstanding Private Placement Warrants as warrant liabilities on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Balance Sheet in accordance with the guidance contained in ASC 815-40.</w:t>
      </w:r>
    </w:p>
    <w:p>
      <w:pPr>
        <w:spacing w:after="0" w:line="115" w:lineRule="exact"/>
        <w:rPr>
          <w:sz w:val="20"/>
          <w:szCs w:val="20"/>
          <w:color w:val="auto"/>
        </w:rPr>
      </w:pPr>
    </w:p>
    <w:p>
      <w:pPr>
        <w:ind w:left="1260" w:right="739" w:firstLine="360"/>
        <w:spacing w:after="0" w:line="248" w:lineRule="auto"/>
        <w:rPr>
          <w:sz w:val="20"/>
          <w:szCs w:val="20"/>
          <w:color w:val="auto"/>
        </w:rPr>
      </w:pPr>
      <w:r>
        <w:rPr>
          <w:rFonts w:ascii="Arial" w:cs="Arial" w:eastAsia="Arial" w:hAnsi="Arial"/>
          <w:sz w:val="18"/>
          <w:szCs w:val="18"/>
          <w:color w:val="auto"/>
        </w:rPr>
        <w:t>The warrant liability will be initially measured at fair value upon the closing of the Initial Public Offering and subsequently re-measured at each reporting period using a Monte Carlo Simulation Pricing model.</w:t>
      </w: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Founder Shares</w:t>
      </w:r>
    </w:p>
    <w:p>
      <w:pPr>
        <w:spacing w:after="0" w:line="148"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On June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(see Note 8). Shares and the associated amounts have been retroactively restated in these financial statements to reflect the stock split. The Founder Shares include an aggregate of up to 375,000 shares of common stock subject to forfeiture by the Sponsor to the extent that the underwriters’ over-allotment is not exercised in full or in part, so that the initial stockholders will collectively own, on an as -converted basis, 20% of the Company’s issued and outstanding shares after the Proposed Public Offering (assuming the Sponsor does not purchase any Public Shares in the Proposed Public Offering).</w:t>
      </w:r>
    </w:p>
    <w:p>
      <w:pPr>
        <w:spacing w:after="0" w:line="121"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With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6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Promissory Note — Related Party</w:t>
      </w:r>
    </w:p>
    <w:p>
      <w:pPr>
        <w:spacing w:after="0" w:line="162"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7"/>
          <w:szCs w:val="17"/>
          <w:color w:val="auto"/>
        </w:rPr>
        <w:t>On July 23, 2020, the Sponsor agreed to loan the Company an aggregate of up to $250,000 to cover expenses related to the Proposed Public Offering pursuant to a promissory note (the “Promissory Note”). The Promissory note is non-interest bearing and payable on the earlier of (i) June 30, 2021 or (ii) the consummation of the Proposed Public Offering. As of March 31, 2021 and December 31, 2020, there were $125,000 and $0 of borrowings outstanding under the Promissory Note, respectively.</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Administrative Support Agreement</w:t>
      </w:r>
    </w:p>
    <w:p>
      <w:pPr>
        <w:spacing w:after="0" w:line="148"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The Company intends to enter into an agreement to the Sponsor, a total of $10,000 per month for office space, administrative, and shared personnel support services. Upon the completion of an initial Business Combination, the Company will cease paying these monthly fees.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Party Loans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March 31, 2021 and December 31, 2020, the Company had no working capital loans outstanding.</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COMMITMENTS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and Stockholder Rights Agreement</w:t>
      </w:r>
    </w:p>
    <w:p>
      <w:pPr>
        <w:spacing w:after="0" w:line="162" w:lineRule="exact"/>
        <w:rPr>
          <w:sz w:val="20"/>
          <w:szCs w:val="20"/>
          <w:color w:val="auto"/>
        </w:rPr>
      </w:pPr>
    </w:p>
    <w:p>
      <w:pPr>
        <w:ind w:left="1260" w:right="539" w:firstLine="360"/>
        <w:spacing w:after="0" w:line="291" w:lineRule="auto"/>
        <w:rPr>
          <w:sz w:val="20"/>
          <w:szCs w:val="20"/>
          <w:color w:val="auto"/>
        </w:rPr>
      </w:pPr>
      <w:r>
        <w:rPr>
          <w:rFonts w:ascii="Arial" w:cs="Arial" w:eastAsia="Arial" w:hAnsi="Arial"/>
          <w:sz w:val="17"/>
          <w:szCs w:val="17"/>
          <w:color w:val="auto"/>
        </w:rPr>
        <w:t>The holders of the Founder Shares and Private Warrants (and any shares of common stock issuable upon the exercise of the Private Warrants) will be entitled to registration rights pursuant to an agreement to</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6" w:name="page177"/>
    <w:bookmarkEnd w:id="176"/>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1260" w:right="519"/>
        <w:spacing w:after="0" w:line="253" w:lineRule="auto"/>
        <w:rPr>
          <w:sz w:val="20"/>
          <w:szCs w:val="20"/>
          <w:color w:val="auto"/>
        </w:rPr>
      </w:pPr>
      <w:r>
        <w:rPr>
          <w:rFonts w:ascii="Arial" w:cs="Arial" w:eastAsia="Arial" w:hAnsi="Arial"/>
          <w:sz w:val="17"/>
          <w:szCs w:val="17"/>
          <w:color w:val="auto"/>
        </w:rPr>
        <w:t>be signed prior to or on the effective date of the Proposed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Underwriting Agreement</w:t>
      </w:r>
    </w:p>
    <w:p>
      <w:pPr>
        <w:spacing w:after="0" w:line="148"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The Company will grant the underwriter a 45-day option to purchase up to 1,500,000 additional Units to cover over-allotments at the Proposed Public Offering price, less the underwriting discounts and commissions.</w:t>
      </w:r>
    </w:p>
    <w:p>
      <w:pPr>
        <w:spacing w:after="0" w:line="114"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The underwriters will be entitled to a cash underwriting discount and qualified independent underwriter fees in the aggregate of $500,000.</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162"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Proposed Public Offering. As a result, Chardan Capital Markets, LLC will not be entitled to such fee unless the Company consummates the initial Business Combination.</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WARRANTS</w:t>
      </w:r>
    </w:p>
    <w:p>
      <w:pPr>
        <w:spacing w:after="0" w:line="14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As of March 31, 2021 and December 31, 2020, there are no warrants outstanding. Each whole Public Warrant will entitle the holder to purchase one share of common stock at an exercise price of $11.50 per whole share. The Sponsor, Chardan NexTech Investments 2 LLC, has agreed to purchase an aggregate of 4,200,000 (or up to 4,442,183 depending on the extent to which the underwriters’ over-allotment option is exercised) Private Warrants at a price of approximately $0.93 per Private Warrant, for an aggregate purchase price of $3,902,000 (or up to $4,127,000 depending on the extent to which the underwriters’ over-allotment option is exercised), in a private placement that will occur simultaneously with the closing of the Proposed Public Offering. Each of the Private Warrants is exercisable to purchase one share of common stock at a price of $11.50 per share, subject to adjustment. The proceeds from the sale of the Private Warrants will be added to the net proceeds from the Proposed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118" w:lineRule="exact"/>
        <w:rPr>
          <w:sz w:val="20"/>
          <w:szCs w:val="20"/>
          <w:color w:val="auto"/>
        </w:rPr>
      </w:pPr>
    </w:p>
    <w:p>
      <w:pPr>
        <w:ind w:left="1260" w:right="1039" w:firstLine="360"/>
        <w:spacing w:after="0" w:line="243" w:lineRule="auto"/>
        <w:rPr>
          <w:sz w:val="20"/>
          <w:szCs w:val="20"/>
          <w:color w:val="auto"/>
        </w:rPr>
      </w:pPr>
      <w:r>
        <w:rPr>
          <w:rFonts w:ascii="Arial" w:cs="Arial" w:eastAsia="Arial" w:hAnsi="Arial"/>
          <w:sz w:val="18"/>
          <w:szCs w:val="18"/>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(“Expiration Date”) .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11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26"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7"/>
          <w:szCs w:val="17"/>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116"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 Price”), for any ten (10)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For avoidance of doubt, if and when the warrants become redeemable by the Company, the Company may exercise its redemption right, even if it is unable to register or qualify the Warrant Shares for sale under all applicable state securities laws.</w:t>
      </w:r>
    </w:p>
    <w:p>
      <w:pPr>
        <w:spacing w:after="0" w:line="112"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The Company will account for the 4,200,000 (or up to 4,442,183 depending on the extent to which the underwriters’ over-allotment option is exercised) private placement warrants to be issued in connection with the Proposed Public Offering (assuming the underwriters’ over-allotment option is not exercised) in accordance with the guidance contained in ASC 815-40. Such guidance provides that because the private placement warrants do not meet the criteria for equity treatment thereunder, each private placement warrant must be recorded as a liability.</w:t>
      </w:r>
    </w:p>
    <w:p>
      <w:pPr>
        <w:spacing w:after="0" w:line="37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CHARDAN NEXTECH ACQUISITION 2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The Public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103"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The accounting treatment of derivative financial instruments requires that the Company record the private placement warrants as derivative liabilities at fair value upon the closing of the Proposed Public Offering. This liability is subject to re-measurement at each balance sheet date. With each such re-measurement, the warrant liability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STOCKHOLDER’S EQUITY</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b w:val="1"/>
          <w:bCs w:val="1"/>
          <w:i w:val="1"/>
          <w:iCs w:val="1"/>
          <w:color w:val="auto"/>
        </w:rPr>
        <w:t xml:space="preserve">Common stock — </w:t>
      </w:r>
      <w:r>
        <w:rPr>
          <w:rFonts w:ascii="Arial" w:cs="Arial" w:eastAsia="Arial" w:hAnsi="Arial"/>
          <w:sz w:val="18"/>
          <w:szCs w:val="18"/>
          <w:color w:val="auto"/>
        </w:rPr>
        <w:t>The Company is authorized to issue 5,000,000 shares of common stock with a par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of $0.0001 per share. On March 31, 2021 and December 31, 2020, there were 2,875,000 shares of common stock issued and outstanding. Of the 2,875,000 shares of common stock outstanding, up to 375,000 shares are subject to forfeiture to the Company by the Sponsor for no consideration to the extent that the underwriters’ over-allotment option is not exercised in full or in part, so that the initial stockholders will collectively own 20% of the Company’s issued and outstanding common stock after a planned public offering.</w:t>
      </w:r>
    </w:p>
    <w:p>
      <w:pPr>
        <w:spacing w:after="0" w:line="127"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The Company intends to file an Amended and Restated Certificate of Incorporation prior to the closing date of the Proposed Public Offering such that the Company will be authorized to issue 50,000,000 shares of common stock with a par value of $0.0001 per share and 1,000,000 shares of preferred stock with a par value of $0.0001.</w:t>
      </w:r>
    </w:p>
    <w:p>
      <w:pPr>
        <w:spacing w:after="0" w:line="106"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SUBSEQUENT EVENTS</w:t>
      </w:r>
    </w:p>
    <w:p>
      <w:pPr>
        <w:spacing w:after="0" w:line="162"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dates up to June 4, 2021, the date that the financial statements were available to be issued. Based on this review, other than as described below, the Company did not identify any subsequent events that would have required adjustment or disclosure in the financial statements.</w:t>
      </w:r>
    </w:p>
    <w:p>
      <w:pPr>
        <w:spacing w:after="0" w:line="119"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On March 4, 2021, the Company effected a 2.875-for-1 stock split, resulting in 2,875,000 shares of common stock outstanding (see Note 5). All share and per-share amounts have been retroactively restated to reflect the stock split.</w:t>
      </w:r>
    </w:p>
    <w:p>
      <w:pPr>
        <w:spacing w:after="0" w:line="103"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On April 12, 2021, the Staff of the SEC issued a statement with respect to the accounting for warrants issued by special purchase acquisition companies. In light of this statement, the Company has determined that the fair value of the private placement warrants should be classified as a warrant liability on the Company’s balance sheet as of the closing of the Proposed Offering that will be filed on Form 8-K. Subsequent changes to the fair value of the warrants will be recorded in the Company’s statement of operations.</w:t>
      </w:r>
    </w:p>
    <w:p>
      <w:pPr>
        <w:spacing w:after="0" w:line="125" w:lineRule="exact"/>
        <w:rPr>
          <w:sz w:val="20"/>
          <w:szCs w:val="20"/>
          <w:color w:val="auto"/>
        </w:rPr>
      </w:pPr>
    </w:p>
    <w:p>
      <w:pPr>
        <w:jc w:val="both"/>
        <w:ind w:left="1260" w:right="479" w:firstLine="360"/>
        <w:spacing w:after="0" w:line="342" w:lineRule="auto"/>
        <w:rPr>
          <w:sz w:val="20"/>
          <w:szCs w:val="20"/>
          <w:color w:val="auto"/>
        </w:rPr>
      </w:pPr>
      <w:r>
        <w:rPr>
          <w:rFonts w:ascii="Arial" w:cs="Arial" w:eastAsia="Arial" w:hAnsi="Arial"/>
          <w:sz w:val="16"/>
          <w:szCs w:val="16"/>
          <w:color w:val="auto"/>
        </w:rPr>
        <w:t>In May and June 2021, our sponsor transferred 20,000 Founder Shares to each of Messrs. Biele, Boyle, Hardamon, Thakrar and Thomson and Ms. Jardins, for an aggregate of 120,000 Founder Shares transferred.</w:t>
      </w:r>
    </w:p>
    <w:p>
      <w:pPr>
        <w:spacing w:after="0" w:line="5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Subsequent to December 31, 2020, the Company borrowed $125,000 under the Promissory Note.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9" w:name="page180"/>
    <w:bookmarkEnd w:id="179"/>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306070</wp:posOffset>
            </wp:positionV>
            <wp:extent cx="5212080"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365760</wp:posOffset>
            </wp:positionV>
            <wp:extent cx="52120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700"/>
        <w:spacing w:after="0"/>
        <w:rPr>
          <w:sz w:val="20"/>
          <w:szCs w:val="20"/>
          <w:color w:val="auto"/>
        </w:rPr>
      </w:pPr>
      <w:r>
        <w:rPr>
          <w:rFonts w:ascii="Arial" w:cs="Arial" w:eastAsia="Arial" w:hAnsi="Arial"/>
          <w:sz w:val="25"/>
          <w:szCs w:val="25"/>
          <w:b w:val="1"/>
          <w:bCs w:val="1"/>
          <w:color w:val="auto"/>
        </w:rPr>
        <w:t>$100,000,000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820"/>
        <w:spacing w:after="0"/>
        <w:rPr>
          <w:sz w:val="20"/>
          <w:szCs w:val="20"/>
          <w:color w:val="auto"/>
        </w:rPr>
      </w:pPr>
      <w:r>
        <w:rPr>
          <w:rFonts w:ascii="Arial" w:cs="Arial" w:eastAsia="Arial" w:hAnsi="Arial"/>
          <w:sz w:val="28"/>
          <w:szCs w:val="28"/>
          <w:b w:val="1"/>
          <w:bCs w:val="1"/>
          <w:color w:val="auto"/>
        </w:rPr>
        <w:t>Chardan NexTech Acquisition 2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520"/>
        <w:spacing w:after="0"/>
        <w:rPr>
          <w:sz w:val="20"/>
          <w:szCs w:val="20"/>
          <w:color w:val="auto"/>
        </w:rPr>
      </w:pPr>
      <w:r>
        <w:rPr>
          <w:rFonts w:ascii="Arial" w:cs="Arial" w:eastAsia="Arial" w:hAnsi="Arial"/>
          <w:sz w:val="25"/>
          <w:szCs w:val="25"/>
          <w:b w:val="1"/>
          <w:bCs w:val="1"/>
          <w:color w:val="auto"/>
        </w:rPr>
        <w:t>10,000,000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688975</wp:posOffset>
            </wp:positionV>
            <wp:extent cx="123444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214630</wp:posOffset>
            </wp:positionV>
            <wp:extent cx="123444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198" w:lineRule="exact"/>
        <w:rPr>
          <w:sz w:val="20"/>
          <w:szCs w:val="20"/>
          <w:color w:val="auto"/>
        </w:rPr>
      </w:pPr>
    </w:p>
    <w:p>
      <w:pPr>
        <w:ind w:left="4760"/>
        <w:spacing w:after="0"/>
        <w:rPr>
          <w:sz w:val="20"/>
          <w:szCs w:val="20"/>
          <w:color w:val="auto"/>
        </w:rPr>
      </w:pPr>
      <w:r>
        <w:rPr>
          <w:rFonts w:ascii="Arial" w:cs="Arial" w:eastAsia="Arial" w:hAnsi="Arial"/>
          <w:sz w:val="32"/>
          <w:szCs w:val="32"/>
          <w:b w:val="1"/>
          <w:bCs w:val="1"/>
          <w:color w:val="auto"/>
        </w:rPr>
        <w:t>Chardan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1285875</wp:posOffset>
            </wp:positionV>
            <wp:extent cx="52120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1329055</wp:posOffset>
            </wp:positionV>
            <wp:extent cx="521208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1581785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0" w:name="page181"/>
    <w:bookmarkEnd w:id="180"/>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48" w:lineRule="exact"/>
        <w:rPr>
          <w:sz w:val="20"/>
          <w:szCs w:val="20"/>
          <w:color w:val="auto"/>
        </w:rPr>
      </w:pPr>
    </w:p>
    <w:p>
      <w:pPr>
        <w:ind w:left="1260" w:right="799" w:firstLine="360"/>
        <w:spacing w:after="0" w:line="261"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40"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Initial Trustees’ fee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SEC Registration Fee</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19,761</w:t>
            </w:r>
          </w:p>
        </w:tc>
      </w:tr>
      <w:tr>
        <w:trPr>
          <w:trHeight w:val="25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27,669</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57"/>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and filing fees (excluding deferred fees)</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5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250,000</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Transfer agent</w:t>
            </w: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77"/>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96,570</w:t>
            </w:r>
          </w:p>
        </w:tc>
      </w:tr>
      <w:tr>
        <w:trPr>
          <w:trHeight w:val="283"/>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575,000</w:t>
            </w:r>
          </w:p>
        </w:tc>
      </w:tr>
      <w:tr>
        <w:trPr>
          <w:trHeight w:val="20"/>
        </w:trPr>
        <w:tc>
          <w:tcPr>
            <w:tcW w:w="6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62" w:lineRule="exact"/>
        <w:rPr>
          <w:sz w:val="20"/>
          <w:szCs w:val="20"/>
          <w:color w:val="auto"/>
        </w:rPr>
      </w:pPr>
    </w:p>
    <w:p>
      <w:pPr>
        <w:ind w:left="1260" w:right="879" w:firstLine="360"/>
        <w:spacing w:after="0" w:line="248" w:lineRule="auto"/>
        <w:rPr>
          <w:sz w:val="20"/>
          <w:szCs w:val="20"/>
          <w:color w:val="auto"/>
        </w:rPr>
      </w:pPr>
      <w:r>
        <w:rPr>
          <w:rFonts w:ascii="Arial" w:cs="Arial" w:eastAsia="Arial" w:hAnsi="Arial"/>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w:t>
      </w:r>
    </w:p>
    <w:p>
      <w:pPr>
        <w:spacing w:after="0" w:line="101" w:lineRule="exact"/>
        <w:rPr>
          <w:sz w:val="20"/>
          <w:szCs w:val="20"/>
          <w:color w:val="auto"/>
        </w:rPr>
      </w:pPr>
    </w:p>
    <w:p>
      <w:pPr>
        <w:ind w:left="1260" w:right="1139" w:firstLine="360"/>
        <w:spacing w:after="0" w:line="261" w:lineRule="auto"/>
        <w:rPr>
          <w:sz w:val="20"/>
          <w:szCs w:val="20"/>
          <w:color w:val="auto"/>
        </w:rPr>
      </w:pPr>
      <w:r>
        <w:rPr>
          <w:rFonts w:ascii="Arial" w:cs="Arial" w:eastAsia="Arial" w:hAnsi="Arial"/>
          <w:sz w:val="18"/>
          <w:szCs w:val="18"/>
          <w:color w:val="auto"/>
        </w:rPr>
        <w:t>Section 145 of the Delaware General Corporation Law concerning indemnification of officers, directors, employees and agents is set forth below.</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117" w:lineRule="exact"/>
        <w:rPr>
          <w:sz w:val="20"/>
          <w:szCs w:val="20"/>
          <w:color w:val="auto"/>
        </w:rPr>
      </w:pPr>
    </w:p>
    <w:p>
      <w:pPr>
        <w:ind w:left="1980" w:right="479" w:hanging="360"/>
        <w:spacing w:after="0" w:line="268" w:lineRule="auto"/>
        <w:tabs>
          <w:tab w:leader="none" w:pos="19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58" w:lineRule="exact"/>
        <w:rPr>
          <w:rFonts w:ascii="Arial" w:cs="Arial" w:eastAsia="Arial" w:hAnsi="Arial"/>
          <w:sz w:val="17"/>
          <w:szCs w:val="17"/>
          <w:color w:val="auto"/>
        </w:rPr>
      </w:pPr>
    </w:p>
    <w:p>
      <w:pPr>
        <w:ind w:left="1980" w:right="419" w:hanging="360"/>
        <w:spacing w:after="0" w:line="253" w:lineRule="auto"/>
        <w:tabs>
          <w:tab w:leader="none" w:pos="1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w:t>
      </w:r>
    </w:p>
    <w:p>
      <w:pPr>
        <w:sectPr>
          <w:pgSz w:w="11900" w:h="16838" w:orient="portrait"/>
          <w:cols w:equalWidth="0" w:num="1">
            <w:col w:w="9879"/>
          </w:cols>
          <w:pgMar w:left="580" w:top="132" w:right="1440" w:bottom="1440" w:gutter="0" w:footer="0" w:header="0"/>
        </w:sectPr>
      </w:pPr>
    </w:p>
    <w:p>
      <w:pPr>
        <w:spacing w:after="0" w:line="3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1" w:name="page182"/>
    <w:bookmarkEnd w:id="181"/>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99"/>
        <w:spacing w:after="0" w:line="239" w:lineRule="auto"/>
        <w:rPr>
          <w:sz w:val="20"/>
          <w:szCs w:val="20"/>
          <w:color w:val="auto"/>
        </w:rPr>
      </w:pPr>
      <w:r>
        <w:rPr>
          <w:rFonts w:ascii="Arial" w:cs="Arial" w:eastAsia="Arial" w:hAnsi="Arial"/>
          <w:sz w:val="18"/>
          <w:szCs w:val="18"/>
          <w:color w:val="auto"/>
        </w:rPr>
        <w:t>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69" w:lineRule="exact"/>
        <w:rPr>
          <w:sz w:val="20"/>
          <w:szCs w:val="20"/>
          <w:color w:val="auto"/>
        </w:rPr>
      </w:pPr>
    </w:p>
    <w:p>
      <w:pPr>
        <w:ind w:left="1980" w:right="679" w:hanging="360"/>
        <w:spacing w:after="0" w:line="274" w:lineRule="auto"/>
        <w:tabs>
          <w:tab w:leader="none" w:pos="19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To the extent that a present or former director or officer of a corporation has been successful on the merits or otherwise in defense of any action, suit or proceeding referred to in subsections</w:t>
      </w:r>
    </w:p>
    <w:p>
      <w:pPr>
        <w:jc w:val="both"/>
        <w:ind w:left="1980" w:right="499"/>
        <w:spacing w:after="0" w:line="255" w:lineRule="auto"/>
        <w:rPr>
          <w:rFonts w:ascii="Arial" w:cs="Arial" w:eastAsia="Arial" w:hAnsi="Arial"/>
          <w:sz w:val="17"/>
          <w:szCs w:val="17"/>
          <w:color w:val="auto"/>
        </w:rPr>
      </w:pPr>
      <w:r>
        <w:rPr>
          <w:rFonts w:ascii="Arial" w:cs="Arial" w:eastAsia="Arial" w:hAnsi="Arial"/>
          <w:sz w:val="18"/>
          <w:szCs w:val="18"/>
          <w:color w:val="auto"/>
        </w:rPr>
        <w:t>(a) and (b) of this section, or in defense of any claim, issue or matter therein, such person shall be indemnified against expenses (including attorneys’ fees) actually and reasonably incurred by such person in connection therewith.</w:t>
      </w:r>
    </w:p>
    <w:p>
      <w:pPr>
        <w:spacing w:after="0" w:line="81" w:lineRule="exact"/>
        <w:rPr>
          <w:rFonts w:ascii="Arial" w:cs="Arial" w:eastAsia="Arial" w:hAnsi="Arial"/>
          <w:sz w:val="17"/>
          <w:szCs w:val="17"/>
          <w:color w:val="auto"/>
        </w:rPr>
      </w:pPr>
    </w:p>
    <w:p>
      <w:pPr>
        <w:ind w:left="1980" w:right="439" w:hanging="360"/>
        <w:spacing w:after="0" w:line="267" w:lineRule="auto"/>
        <w:tabs>
          <w:tab w:leader="none" w:pos="19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w:t>
      </w:r>
    </w:p>
    <w:p>
      <w:pPr>
        <w:spacing w:after="0" w:line="4" w:lineRule="exact"/>
        <w:rPr>
          <w:rFonts w:ascii="Arial" w:cs="Arial" w:eastAsia="Arial" w:hAnsi="Arial"/>
          <w:sz w:val="17"/>
          <w:szCs w:val="17"/>
          <w:color w:val="auto"/>
        </w:rPr>
      </w:pPr>
    </w:p>
    <w:p>
      <w:pPr>
        <w:ind w:left="1980" w:right="679"/>
        <w:spacing w:after="0" w:line="255" w:lineRule="auto"/>
        <w:rPr>
          <w:rFonts w:ascii="Arial" w:cs="Arial" w:eastAsia="Arial" w:hAnsi="Arial"/>
          <w:sz w:val="17"/>
          <w:szCs w:val="17"/>
          <w:color w:val="auto"/>
        </w:rPr>
      </w:pPr>
      <w:r>
        <w:rPr>
          <w:rFonts w:ascii="Arial" w:cs="Arial" w:eastAsia="Arial" w:hAnsi="Arial"/>
          <w:sz w:val="18"/>
          <w:szCs w:val="18"/>
          <w:color w:val="auto"/>
        </w:rPr>
        <w:t>(2)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81" w:lineRule="exact"/>
        <w:rPr>
          <w:rFonts w:ascii="Arial" w:cs="Arial" w:eastAsia="Arial" w:hAnsi="Arial"/>
          <w:sz w:val="17"/>
          <w:szCs w:val="17"/>
          <w:color w:val="auto"/>
        </w:rPr>
      </w:pPr>
    </w:p>
    <w:p>
      <w:pPr>
        <w:ind w:left="1980" w:right="419" w:hanging="360"/>
        <w:spacing w:after="0" w:line="254" w:lineRule="auto"/>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83" w:lineRule="exact"/>
        <w:rPr>
          <w:rFonts w:ascii="Arial" w:cs="Arial" w:eastAsia="Arial" w:hAnsi="Arial"/>
          <w:sz w:val="18"/>
          <w:szCs w:val="18"/>
          <w:color w:val="auto"/>
        </w:rPr>
      </w:pPr>
    </w:p>
    <w:p>
      <w:pPr>
        <w:ind w:left="1980" w:right="479" w:hanging="360"/>
        <w:spacing w:after="0" w:line="269" w:lineRule="auto"/>
        <w:tabs>
          <w:tab w:leader="none" w:pos="19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73" w:lineRule="exact"/>
        <w:rPr>
          <w:rFonts w:ascii="Arial" w:cs="Arial" w:eastAsia="Arial" w:hAnsi="Arial"/>
          <w:sz w:val="17"/>
          <w:szCs w:val="17"/>
          <w:color w:val="auto"/>
        </w:rPr>
      </w:pPr>
    </w:p>
    <w:p>
      <w:pPr>
        <w:ind w:left="1980" w:right="439" w:hanging="360"/>
        <w:spacing w:after="0" w:line="254" w:lineRule="auto"/>
        <w:tabs>
          <w:tab w:leader="none" w:pos="1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86" w:lineRule="exact"/>
        <w:rPr>
          <w:rFonts w:ascii="Arial" w:cs="Arial" w:eastAsia="Arial" w:hAnsi="Arial"/>
          <w:sz w:val="18"/>
          <w:szCs w:val="18"/>
          <w:color w:val="auto"/>
        </w:rPr>
      </w:pPr>
    </w:p>
    <w:p>
      <w:pPr>
        <w:ind w:left="1980" w:right="559" w:hanging="360"/>
        <w:spacing w:after="0" w:line="275" w:lineRule="auto"/>
        <w:tabs>
          <w:tab w:leader="none" w:pos="19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w:t>
      </w:r>
    </w:p>
    <w:p>
      <w:pPr>
        <w:sectPr>
          <w:pgSz w:w="11900" w:h="16838" w:orient="portrait"/>
          <w:cols w:equalWidth="0" w:num="1">
            <w:col w:w="9879"/>
          </w:cols>
          <w:pgMar w:left="580" w:top="132" w:right="1440" w:bottom="1440" w:gutter="0" w:footer="0" w:header="0"/>
        </w:sectPr>
      </w:pP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2" w:name="page183"/>
    <w:bookmarkEnd w:id="182"/>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99"/>
        <w:spacing w:after="0" w:line="257" w:lineRule="auto"/>
        <w:rPr>
          <w:sz w:val="20"/>
          <w:szCs w:val="20"/>
          <w:color w:val="auto"/>
        </w:rPr>
      </w:pPr>
      <w:r>
        <w:rPr>
          <w:rFonts w:ascii="Arial" w:cs="Arial" w:eastAsia="Arial" w:hAnsi="Arial"/>
          <w:sz w:val="18"/>
          <w:szCs w:val="18"/>
          <w:color w:val="auto"/>
        </w:rPr>
        <w:t>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80" w:lineRule="exact"/>
        <w:rPr>
          <w:sz w:val="20"/>
          <w:szCs w:val="20"/>
          <w:color w:val="auto"/>
        </w:rPr>
      </w:pPr>
    </w:p>
    <w:p>
      <w:pPr>
        <w:ind w:left="1980" w:right="419" w:hanging="360"/>
        <w:spacing w:after="0" w:line="253" w:lineRule="auto"/>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88" w:lineRule="exact"/>
        <w:rPr>
          <w:rFonts w:ascii="Arial" w:cs="Arial" w:eastAsia="Arial" w:hAnsi="Arial"/>
          <w:sz w:val="18"/>
          <w:szCs w:val="18"/>
          <w:color w:val="auto"/>
        </w:rPr>
      </w:pPr>
    </w:p>
    <w:p>
      <w:pPr>
        <w:ind w:left="1980" w:right="419" w:hanging="360"/>
        <w:spacing w:after="0" w:line="259" w:lineRule="auto"/>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92" w:lineRule="exact"/>
        <w:rPr>
          <w:rFonts w:ascii="Arial" w:cs="Arial" w:eastAsia="Arial" w:hAnsi="Arial"/>
          <w:sz w:val="18"/>
          <w:szCs w:val="18"/>
          <w:color w:val="auto"/>
        </w:rPr>
      </w:pPr>
    </w:p>
    <w:p>
      <w:pPr>
        <w:ind w:left="1980" w:right="659" w:hanging="360"/>
        <w:spacing w:after="0" w:line="257" w:lineRule="auto"/>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07"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1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In accordance with Section 102(b)(7) of the DGCL, our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unless they violated their duty of loyalty to the Company or its stockholders, acted in bad faith, knowingly or intentionally violated the law, authorized unlawful payments of dividends, unlawful stock purchases or unlawful redemptions, or derived improper personal benefit from their actions as directors.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31"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 Any repeal or amendment of provisions of our certificate of incorporation limiting or eliminating the liability of directors, whether by our stockholders or by changes in law, or the adoption of any other provisions</w:t>
      </w: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3" w:name="page184"/>
    <w:bookmarkEnd w:id="183"/>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48" w:lineRule="auto"/>
        <w:rPr>
          <w:sz w:val="20"/>
          <w:szCs w:val="20"/>
          <w:color w:val="auto"/>
        </w:rPr>
      </w:pPr>
      <w:r>
        <w:rPr>
          <w:rFonts w:ascii="Arial" w:cs="Arial" w:eastAsia="Arial" w:hAnsi="Arial"/>
          <w:sz w:val="18"/>
          <w:szCs w:val="18"/>
          <w:color w:val="auto"/>
        </w:rPr>
        <w:t>inconsistent therewith, will (unless otherwise required by law) be prospective only, except to the extent such amendment or change in law permits us to further limit or eliminate the liability of directors on a retroactive basis.</w:t>
      </w:r>
    </w:p>
    <w:p>
      <w:pPr>
        <w:spacing w:after="0" w:line="101" w:lineRule="exact"/>
        <w:rPr>
          <w:sz w:val="20"/>
          <w:szCs w:val="20"/>
          <w:color w:val="auto"/>
        </w:rPr>
      </w:pPr>
    </w:p>
    <w:p>
      <w:pPr>
        <w:ind w:left="1260" w:right="539" w:firstLine="360"/>
        <w:spacing w:after="0" w:line="237" w:lineRule="auto"/>
        <w:rPr>
          <w:sz w:val="20"/>
          <w:szCs w:val="20"/>
          <w:color w:val="auto"/>
        </w:rPr>
      </w:pPr>
      <w:r>
        <w:rPr>
          <w:rFonts w:ascii="Arial" w:cs="Arial" w:eastAsia="Arial" w:hAnsi="Arial"/>
          <w:sz w:val="18"/>
          <w:szCs w:val="18"/>
          <w:color w:val="auto"/>
        </w:rPr>
        <w:t>Our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126"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12"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07"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1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24"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97"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We will enter into indemnity agreements with each of our officers and directors a form of which is filed as Exhibit 10.5 to this Registration Statement. These agreements will require us to indemnify these individuals</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4" w:name="page185"/>
    <w:bookmarkEnd w:id="184"/>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19"/>
        <w:spacing w:after="0" w:line="277" w:lineRule="auto"/>
        <w:rPr>
          <w:sz w:val="20"/>
          <w:szCs w:val="20"/>
          <w:color w:val="auto"/>
        </w:rPr>
      </w:pPr>
      <w:r>
        <w:rPr>
          <w:rFonts w:ascii="Arial" w:cs="Arial" w:eastAsia="Arial" w:hAnsi="Arial"/>
          <w:sz w:val="18"/>
          <w:szCs w:val="18"/>
          <w:color w:val="auto"/>
        </w:rPr>
        <w:t>to the fullest extent permitted under Delaware law and to advance expenses incurred as a result of any proceeding against them as to which they could be indemnified.</w:t>
      </w:r>
    </w:p>
    <w:p>
      <w:pPr>
        <w:spacing w:after="0" w:line="89"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shares include an aggregate of up to 375,000 founder shares that are subject to forfeiture to the extent that the underwriters’ over-allotment option is not exercised in full or in part. Because these offers and sales were made to a single purchaser in a transaction not involving a public offering, the shares were issued in reliance on the exemption from registration contained in Section 4(a)(2) of the Securities Act.</w:t>
      </w:r>
    </w:p>
    <w:p>
      <w:pPr>
        <w:spacing w:after="0" w:line="127"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In addition, Chardan NexTech 2 Warrant Holdings LLC, an affiliate of our sponsor, has committed to purchase from us an aggregate of 4,200,000 warrants (or up to 4,442,183 warrants depending on the extent to which the underwriters’ over-allotment option is exercised) at a price of approximately $0.93 per warrant ($3,902,000 (or up to $4,127,000 depending on the extent to which the underwriters’ over-allotment option is exercised)), with each warrant exercisable for one share of common stock at an exercise price of $11.50 per share. These purchases will take place on a private placement basis simultaneously with the consummation of this offering. Because this offer and sale is being made to a single purchaser, the sale does not involve a public offering and is being made in reliance on the exemption from registration contained in Section 4(a)(2) of the Securities Act.</w:t>
      </w:r>
    </w:p>
    <w:p>
      <w:pPr>
        <w:spacing w:after="0" w:line="1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1620"/>
        <w:spacing w:after="0"/>
        <w:tabs>
          <w:tab w:leader="none" w:pos="1960" w:val="left"/>
          <w:tab w:leader="none" w:pos="27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i w:val="1"/>
          <w:iCs w:val="1"/>
          <w:color w:val="auto"/>
        </w:rPr>
        <w:t>Exhibits.</w:t>
      </w:r>
      <w:r>
        <w:rPr>
          <w:sz w:val="20"/>
          <w:szCs w:val="20"/>
          <w:color w:val="auto"/>
        </w:rPr>
        <w:tab/>
      </w:r>
      <w:r>
        <w:rPr>
          <w:rFonts w:ascii="Arial" w:cs="Arial" w:eastAsia="Arial" w:hAnsi="Arial"/>
          <w:sz w:val="17"/>
          <w:szCs w:val="17"/>
          <w:color w:val="auto"/>
        </w:rPr>
        <w:t>The following exhibits are filed as part of this registration statement:</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7300" w:type="dxa"/>
            <w:vAlign w:val="bottom"/>
            <w:gridSpan w:val="17"/>
          </w:tcPr>
          <w:p>
            <w:pPr>
              <w:spacing w:after="0"/>
              <w:rPr>
                <w:sz w:val="20"/>
                <w:szCs w:val="20"/>
                <w:color w:val="auto"/>
              </w:rPr>
            </w:pPr>
            <w:r>
              <w:rPr>
                <w:rFonts w:ascii="Arial" w:cs="Arial" w:eastAsia="Arial" w:hAnsi="Arial"/>
                <w:sz w:val="14"/>
                <w:szCs w:val="14"/>
                <w:b w:val="1"/>
                <w:bCs w:val="1"/>
                <w:color w:val="auto"/>
              </w:rPr>
              <w:t>Description</w:t>
            </w:r>
          </w:p>
        </w:tc>
      </w:tr>
      <w:tr>
        <w:trPr>
          <w:trHeight w:val="25"/>
        </w:trPr>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10"/>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260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189">
              <w:r>
                <w:rPr>
                  <w:rFonts w:ascii="Arial" w:cs="Arial" w:eastAsia="Arial" w:hAnsi="Arial"/>
                  <w:sz w:val="18"/>
                  <w:szCs w:val="18"/>
                  <w:color w:val="0000EE"/>
                  <w:w w:val="96"/>
                </w:rPr>
                <w:t>Form of Underwriting Agreement.</w:t>
              </w:r>
            </w:hyperlink>
          </w:p>
        </w:tc>
        <w:tc>
          <w:tcPr>
            <w:tcW w:w="4700" w:type="dxa"/>
            <w:vAlign w:val="bottom"/>
            <w:gridSpan w:val="9"/>
          </w:tcPr>
          <w:p>
            <w:pPr>
              <w:spacing w:after="0"/>
              <w:rPr>
                <w:sz w:val="18"/>
                <w:szCs w:val="18"/>
                <w:color w:val="auto"/>
              </w:rPr>
            </w:pPr>
          </w:p>
        </w:tc>
      </w:tr>
      <w:tr>
        <w:trPr>
          <w:trHeight w:val="223"/>
        </w:trPr>
        <w:tc>
          <w:tcPr>
            <w:tcW w:w="680" w:type="dxa"/>
            <w:vAlign w:val="bottom"/>
          </w:tcPr>
          <w:p>
            <w:pPr>
              <w:jc w:val="right"/>
              <w:ind w:right="171"/>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7300" w:type="dxa"/>
            <w:vAlign w:val="bottom"/>
            <w:gridSpan w:val="17"/>
          </w:tcPr>
          <w:p>
            <w:pPr>
              <w:spacing w:after="0"/>
              <w:rPr>
                <w:rFonts w:ascii="Arial" w:cs="Arial" w:eastAsia="Arial" w:hAnsi="Arial"/>
                <w:sz w:val="18"/>
                <w:szCs w:val="18"/>
                <w:color w:val="0000EE"/>
              </w:rPr>
            </w:pPr>
            <w:hyperlink r:id="rId297">
              <w:r>
                <w:rPr>
                  <w:rFonts w:ascii="Arial" w:cs="Arial" w:eastAsia="Arial" w:hAnsi="Arial"/>
                  <w:sz w:val="18"/>
                  <w:szCs w:val="18"/>
                  <w:color w:val="0000EE"/>
                </w:rPr>
                <w:t>Form of Business Combination Marketing Agreement by and between the Registrant and</w:t>
              </w:r>
            </w:hyperlink>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5"/>
              </w:rPr>
            </w:pPr>
            <w:hyperlink r:id="rId297">
              <w:r>
                <w:rPr>
                  <w:rFonts w:ascii="Arial" w:cs="Arial" w:eastAsia="Arial" w:hAnsi="Arial"/>
                  <w:sz w:val="18"/>
                  <w:szCs w:val="18"/>
                  <w:color w:val="0000EE"/>
                  <w:w w:val="95"/>
                </w:rPr>
                <w:t>Chardan Capital Markets LLC.</w:t>
              </w:r>
            </w:hyperlink>
          </w:p>
        </w:tc>
        <w:tc>
          <w:tcPr>
            <w:tcW w:w="4360" w:type="dxa"/>
            <w:vAlign w:val="bottom"/>
            <w:tcBorders>
              <w:top w:val="single" w:sz="8" w:color="0000EE"/>
            </w:tcBorders>
            <w:gridSpan w:val="6"/>
          </w:tcPr>
          <w:p>
            <w:pPr>
              <w:spacing w:after="0"/>
              <w:rPr>
                <w:sz w:val="17"/>
                <w:szCs w:val="17"/>
                <w:color w:val="auto"/>
              </w:rPr>
            </w:pPr>
          </w:p>
        </w:tc>
        <w:tc>
          <w:tcPr>
            <w:tcW w:w="600" w:type="dxa"/>
            <w:vAlign w:val="bottom"/>
            <w:gridSpan w:val="4"/>
          </w:tcPr>
          <w:p>
            <w:pPr>
              <w:spacing w:after="0"/>
              <w:rPr>
                <w:sz w:val="17"/>
                <w:szCs w:val="17"/>
                <w:color w:val="auto"/>
              </w:rPr>
            </w:pPr>
          </w:p>
        </w:tc>
      </w:tr>
      <w:tr>
        <w:trPr>
          <w:trHeight w:val="250"/>
        </w:trPr>
        <w:tc>
          <w:tcPr>
            <w:tcW w:w="680" w:type="dxa"/>
            <w:vAlign w:val="bottom"/>
          </w:tcPr>
          <w:p>
            <w:pPr>
              <w:jc w:val="right"/>
              <w:ind w:right="171"/>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2180" w:type="dxa"/>
            <w:vAlign w:val="bottom"/>
            <w:tcBorders>
              <w:bottom w:val="single" w:sz="8" w:color="0000EE"/>
            </w:tcBorders>
            <w:gridSpan w:val="5"/>
          </w:tcPr>
          <w:p>
            <w:pPr>
              <w:spacing w:after="0"/>
              <w:rPr>
                <w:rFonts w:ascii="Arial" w:cs="Arial" w:eastAsia="Arial" w:hAnsi="Arial"/>
                <w:sz w:val="18"/>
                <w:szCs w:val="18"/>
                <w:color w:val="0000EE"/>
                <w:w w:val="99"/>
              </w:rPr>
            </w:pPr>
            <w:hyperlink r:id="rId298">
              <w:r>
                <w:rPr>
                  <w:rFonts w:ascii="Arial" w:cs="Arial" w:eastAsia="Arial" w:hAnsi="Arial"/>
                  <w:sz w:val="18"/>
                  <w:szCs w:val="18"/>
                  <w:color w:val="0000EE"/>
                  <w:w w:val="99"/>
                </w:rPr>
                <w:t>Certificate of Incorporation.</w:t>
              </w:r>
            </w:hyperlink>
          </w:p>
        </w:tc>
        <w:tc>
          <w:tcPr>
            <w:tcW w:w="5120" w:type="dxa"/>
            <w:vAlign w:val="bottom"/>
            <w:gridSpan w:val="12"/>
          </w:tcPr>
          <w:p>
            <w:pPr>
              <w:spacing w:after="0"/>
              <w:rPr>
                <w:sz w:val="21"/>
                <w:szCs w:val="21"/>
                <w:color w:val="auto"/>
              </w:rPr>
            </w:pPr>
          </w:p>
        </w:tc>
      </w:tr>
      <w:tr>
        <w:trPr>
          <w:trHeight w:val="237"/>
        </w:trPr>
        <w:tc>
          <w:tcPr>
            <w:tcW w:w="680" w:type="dxa"/>
            <w:vAlign w:val="bottom"/>
          </w:tcPr>
          <w:p>
            <w:pPr>
              <w:jc w:val="right"/>
              <w:ind w:right="171"/>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0"/>
                <w:szCs w:val="20"/>
                <w:color w:val="auto"/>
              </w:rPr>
            </w:pPr>
          </w:p>
        </w:tc>
        <w:tc>
          <w:tcPr>
            <w:tcW w:w="4620" w:type="dxa"/>
            <w:vAlign w:val="bottom"/>
            <w:tcBorders>
              <w:bottom w:val="single" w:sz="8" w:color="0000EE"/>
            </w:tcBorders>
            <w:gridSpan w:val="12"/>
          </w:tcPr>
          <w:p>
            <w:pPr>
              <w:spacing w:after="0"/>
              <w:rPr>
                <w:rFonts w:ascii="Arial" w:cs="Arial" w:eastAsia="Arial" w:hAnsi="Arial"/>
                <w:sz w:val="18"/>
                <w:szCs w:val="18"/>
                <w:color w:val="0000EE"/>
                <w:w w:val="96"/>
              </w:rPr>
            </w:pPr>
            <w:hyperlink r:id="rId299">
              <w:r>
                <w:rPr>
                  <w:rFonts w:ascii="Arial" w:cs="Arial" w:eastAsia="Arial" w:hAnsi="Arial"/>
                  <w:sz w:val="18"/>
                  <w:szCs w:val="18"/>
                  <w:color w:val="0000EE"/>
                  <w:w w:val="96"/>
                </w:rPr>
                <w:t>Certificate of Amendment to the Certificate of Incorporation.</w:t>
              </w:r>
            </w:hyperlink>
          </w:p>
        </w:tc>
        <w:tc>
          <w:tcPr>
            <w:tcW w:w="2680" w:type="dxa"/>
            <w:vAlign w:val="bottom"/>
            <w:gridSpan w:val="5"/>
          </w:tcPr>
          <w:p>
            <w:pPr>
              <w:spacing w:after="0"/>
              <w:rPr>
                <w:sz w:val="20"/>
                <w:szCs w:val="20"/>
                <w:color w:val="auto"/>
              </w:rPr>
            </w:pPr>
          </w:p>
        </w:tc>
      </w:tr>
      <w:tr>
        <w:trPr>
          <w:trHeight w:val="250"/>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1"/>
                <w:szCs w:val="21"/>
                <w:color w:val="auto"/>
              </w:rPr>
            </w:pPr>
          </w:p>
        </w:tc>
        <w:tc>
          <w:tcPr>
            <w:tcW w:w="7300" w:type="dxa"/>
            <w:vAlign w:val="bottom"/>
            <w:gridSpan w:val="17"/>
          </w:tcPr>
          <w:p>
            <w:pPr>
              <w:spacing w:after="0"/>
              <w:rPr>
                <w:rFonts w:ascii="Arial" w:cs="Arial" w:eastAsia="Arial" w:hAnsi="Arial"/>
                <w:sz w:val="18"/>
                <w:szCs w:val="18"/>
                <w:color w:val="0000EE"/>
              </w:rPr>
            </w:pPr>
            <w:hyperlink w:anchor="page230">
              <w:r>
                <w:rPr>
                  <w:rFonts w:ascii="Arial" w:cs="Arial" w:eastAsia="Arial" w:hAnsi="Arial"/>
                  <w:sz w:val="18"/>
                  <w:szCs w:val="18"/>
                  <w:color w:val="0000EE"/>
                </w:rPr>
                <w:t>Form of Amended and Restated Certificate of Incorporation.</w:t>
              </w:r>
            </w:hyperlink>
          </w:p>
        </w:tc>
      </w:tr>
      <w:tr>
        <w:trPr>
          <w:trHeight w:val="250"/>
        </w:trPr>
        <w:tc>
          <w:tcPr>
            <w:tcW w:w="680" w:type="dxa"/>
            <w:vAlign w:val="bottom"/>
          </w:tcPr>
          <w:p>
            <w:pPr>
              <w:jc w:val="right"/>
              <w:ind w:right="171"/>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1"/>
                <w:szCs w:val="21"/>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3"/>
              </w:rPr>
            </w:pPr>
            <w:hyperlink r:id="rId300">
              <w:r>
                <w:rPr>
                  <w:rFonts w:ascii="Arial" w:cs="Arial" w:eastAsia="Arial" w:hAnsi="Arial"/>
                  <w:sz w:val="18"/>
                  <w:szCs w:val="18"/>
                  <w:color w:val="0000EE"/>
                  <w:w w:val="93"/>
                </w:rPr>
                <w:t>Bylaws.</w:t>
              </w:r>
            </w:hyperlink>
          </w:p>
        </w:tc>
        <w:tc>
          <w:tcPr>
            <w:tcW w:w="3960" w:type="dxa"/>
            <w:vAlign w:val="bottom"/>
            <w:tcBorders>
              <w:top w:val="single" w:sz="8" w:color="0000EE"/>
            </w:tcBorders>
            <w:gridSpan w:val="10"/>
          </w:tcPr>
          <w:p>
            <w:pPr>
              <w:spacing w:after="0"/>
              <w:rPr>
                <w:sz w:val="21"/>
                <w:szCs w:val="21"/>
                <w:color w:val="auto"/>
              </w:rPr>
            </w:pPr>
          </w:p>
        </w:tc>
        <w:tc>
          <w:tcPr>
            <w:tcW w:w="2740" w:type="dxa"/>
            <w:vAlign w:val="bottom"/>
            <w:gridSpan w:val="6"/>
          </w:tcPr>
          <w:p>
            <w:pPr>
              <w:spacing w:after="0"/>
              <w:rPr>
                <w:sz w:val="21"/>
                <w:szCs w:val="21"/>
                <w:color w:val="auto"/>
              </w:rPr>
            </w:pPr>
          </w:p>
        </w:tc>
      </w:tr>
      <w:tr>
        <w:trPr>
          <w:trHeight w:val="250"/>
        </w:trPr>
        <w:tc>
          <w:tcPr>
            <w:tcW w:w="680" w:type="dxa"/>
            <w:vAlign w:val="bottom"/>
          </w:tcPr>
          <w:p>
            <w:pPr>
              <w:jc w:val="right"/>
              <w:ind w:right="171"/>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7300" w:type="dxa"/>
            <w:vAlign w:val="bottom"/>
            <w:gridSpan w:val="17"/>
          </w:tcPr>
          <w:p>
            <w:pPr>
              <w:spacing w:after="0"/>
              <w:rPr>
                <w:rFonts w:ascii="Arial" w:cs="Arial" w:eastAsia="Arial" w:hAnsi="Arial"/>
                <w:sz w:val="18"/>
                <w:szCs w:val="18"/>
                <w:color w:val="0000EE"/>
              </w:rPr>
            </w:pPr>
            <w:hyperlink r:id="rId301">
              <w:r>
                <w:rPr>
                  <w:rFonts w:ascii="Arial" w:cs="Arial" w:eastAsia="Arial" w:hAnsi="Arial"/>
                  <w:sz w:val="18"/>
                  <w:szCs w:val="18"/>
                  <w:color w:val="0000EE"/>
                </w:rPr>
                <w:t>Specimen Unit Certificate.</w:t>
              </w:r>
            </w:hyperlink>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680" w:type="dxa"/>
            <w:vAlign w:val="bottom"/>
          </w:tcPr>
          <w:p>
            <w:pPr>
              <w:jc w:val="right"/>
              <w:ind w:right="171"/>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2840" w:type="dxa"/>
            <w:vAlign w:val="bottom"/>
            <w:tcBorders>
              <w:bottom w:val="single" w:sz="8" w:color="0000EE"/>
            </w:tcBorders>
            <w:gridSpan w:val="10"/>
          </w:tcPr>
          <w:p>
            <w:pPr>
              <w:spacing w:after="0"/>
              <w:rPr>
                <w:rFonts w:ascii="Arial" w:cs="Arial" w:eastAsia="Arial" w:hAnsi="Arial"/>
                <w:sz w:val="18"/>
                <w:szCs w:val="18"/>
                <w:color w:val="0000EE"/>
                <w:w w:val="94"/>
              </w:rPr>
            </w:pPr>
            <w:hyperlink r:id="rId302">
              <w:r>
                <w:rPr>
                  <w:rFonts w:ascii="Arial" w:cs="Arial" w:eastAsia="Arial" w:hAnsi="Arial"/>
                  <w:sz w:val="18"/>
                  <w:szCs w:val="18"/>
                  <w:color w:val="0000EE"/>
                  <w:w w:val="94"/>
                </w:rPr>
                <w:t>Specimen Common Stock Certificate.</w:t>
              </w:r>
            </w:hyperlink>
          </w:p>
        </w:tc>
        <w:tc>
          <w:tcPr>
            <w:tcW w:w="4460" w:type="dxa"/>
            <w:vAlign w:val="bottom"/>
            <w:gridSpan w:val="7"/>
          </w:tcPr>
          <w:p>
            <w:pPr>
              <w:spacing w:after="0"/>
              <w:rPr>
                <w:sz w:val="21"/>
                <w:szCs w:val="21"/>
                <w:color w:val="auto"/>
              </w:rPr>
            </w:pPr>
          </w:p>
        </w:tc>
      </w:tr>
      <w:tr>
        <w:trPr>
          <w:trHeight w:val="250"/>
        </w:trPr>
        <w:tc>
          <w:tcPr>
            <w:tcW w:w="680" w:type="dxa"/>
            <w:vAlign w:val="bottom"/>
          </w:tcPr>
          <w:p>
            <w:pPr>
              <w:jc w:val="right"/>
              <w:ind w:right="171"/>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2280" w:type="dxa"/>
            <w:vAlign w:val="bottom"/>
            <w:tcBorders>
              <w:bottom w:val="single" w:sz="8" w:color="0000EE"/>
            </w:tcBorders>
            <w:gridSpan w:val="6"/>
          </w:tcPr>
          <w:p>
            <w:pPr>
              <w:spacing w:after="0"/>
              <w:rPr>
                <w:rFonts w:ascii="Arial" w:cs="Arial" w:eastAsia="Arial" w:hAnsi="Arial"/>
                <w:sz w:val="18"/>
                <w:szCs w:val="18"/>
                <w:color w:val="0000EE"/>
                <w:w w:val="94"/>
              </w:rPr>
            </w:pPr>
            <w:hyperlink r:id="rId303">
              <w:r>
                <w:rPr>
                  <w:rFonts w:ascii="Arial" w:cs="Arial" w:eastAsia="Arial" w:hAnsi="Arial"/>
                  <w:sz w:val="18"/>
                  <w:szCs w:val="18"/>
                  <w:color w:val="0000EE"/>
                  <w:w w:val="94"/>
                </w:rPr>
                <w:t>Specimen Warrant Certificate.</w:t>
              </w:r>
            </w:hyperlink>
          </w:p>
        </w:tc>
        <w:tc>
          <w:tcPr>
            <w:tcW w:w="5020" w:type="dxa"/>
            <w:vAlign w:val="bottom"/>
            <w:gridSpan w:val="11"/>
          </w:tcPr>
          <w:p>
            <w:pPr>
              <w:spacing w:after="0"/>
              <w:rPr>
                <w:sz w:val="21"/>
                <w:szCs w:val="21"/>
                <w:color w:val="auto"/>
              </w:rPr>
            </w:pPr>
          </w:p>
        </w:tc>
      </w:tr>
      <w:tr>
        <w:trPr>
          <w:trHeight w:val="237"/>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0"/>
                <w:szCs w:val="20"/>
                <w:color w:val="auto"/>
              </w:rPr>
            </w:pPr>
          </w:p>
        </w:tc>
        <w:tc>
          <w:tcPr>
            <w:tcW w:w="690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239">
              <w:r>
                <w:rPr>
                  <w:rFonts w:ascii="Arial" w:cs="Arial" w:eastAsia="Arial" w:hAnsi="Arial"/>
                  <w:sz w:val="18"/>
                  <w:szCs w:val="18"/>
                  <w:color w:val="0000EE"/>
                  <w:w w:val="94"/>
                </w:rPr>
                <w:t>Form of Warrant Agreement between Continental Stock Transfer &amp; Trust Company and the</w:t>
              </w:r>
            </w:hyperlink>
          </w:p>
        </w:tc>
        <w:tc>
          <w:tcPr>
            <w:tcW w:w="400" w:type="dxa"/>
            <w:vAlign w:val="bottom"/>
            <w:gridSpan w:val="2"/>
          </w:tcPr>
          <w:p>
            <w:pPr>
              <w:spacing w:after="0"/>
              <w:rPr>
                <w:sz w:val="20"/>
                <w:szCs w:val="20"/>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239">
              <w:r>
                <w:rPr>
                  <w:rFonts w:ascii="Arial" w:cs="Arial" w:eastAsia="Arial" w:hAnsi="Arial"/>
                  <w:sz w:val="18"/>
                  <w:szCs w:val="18"/>
                  <w:color w:val="0000EE"/>
                  <w:w w:val="91"/>
                </w:rPr>
                <w:t>Registrant.</w:t>
              </w:r>
            </w:hyperlink>
          </w:p>
        </w:tc>
        <w:tc>
          <w:tcPr>
            <w:tcW w:w="6480" w:type="dxa"/>
            <w:vAlign w:val="bottom"/>
            <w:gridSpan w:val="15"/>
          </w:tcPr>
          <w:p>
            <w:pPr>
              <w:spacing w:after="0"/>
              <w:rPr>
                <w:sz w:val="17"/>
                <w:szCs w:val="17"/>
                <w:color w:val="auto"/>
              </w:rPr>
            </w:pPr>
          </w:p>
        </w:tc>
      </w:tr>
      <w:tr>
        <w:trPr>
          <w:trHeight w:val="264"/>
        </w:trPr>
        <w:tc>
          <w:tcPr>
            <w:tcW w:w="680" w:type="dxa"/>
            <w:vAlign w:val="bottom"/>
          </w:tcPr>
          <w:p>
            <w:pPr>
              <w:jc w:val="right"/>
              <w:ind w:right="171"/>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2"/>
                <w:szCs w:val="22"/>
                <w:color w:val="auto"/>
              </w:rPr>
            </w:pPr>
          </w:p>
        </w:tc>
        <w:tc>
          <w:tcPr>
            <w:tcW w:w="7300" w:type="dxa"/>
            <w:vAlign w:val="bottom"/>
            <w:gridSpan w:val="17"/>
          </w:tcPr>
          <w:p>
            <w:pPr>
              <w:spacing w:after="0"/>
              <w:rPr>
                <w:rFonts w:ascii="Arial" w:cs="Arial" w:eastAsia="Arial" w:hAnsi="Arial"/>
                <w:sz w:val="18"/>
                <w:szCs w:val="18"/>
                <w:color w:val="0000EE"/>
              </w:rPr>
            </w:pPr>
            <w:hyperlink r:id="rId304">
              <w:r>
                <w:rPr>
                  <w:rFonts w:ascii="Arial" w:cs="Arial" w:eastAsia="Arial" w:hAnsi="Arial"/>
                  <w:sz w:val="18"/>
                  <w:szCs w:val="18"/>
                  <w:color w:val="0000EE"/>
                </w:rPr>
                <w:t>Form of Opinion of Reed Smith LLP.</w:t>
              </w:r>
            </w:hyperlink>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98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680" w:type="dxa"/>
            <w:vAlign w:val="bottom"/>
          </w:tcPr>
          <w:p>
            <w:pPr>
              <w:jc w:val="right"/>
              <w:ind w:right="71"/>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0"/>
                <w:szCs w:val="20"/>
                <w:color w:val="auto"/>
              </w:rPr>
            </w:pPr>
          </w:p>
        </w:tc>
        <w:tc>
          <w:tcPr>
            <w:tcW w:w="684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252">
              <w:r>
                <w:rPr>
                  <w:rFonts w:ascii="Arial" w:cs="Arial" w:eastAsia="Arial" w:hAnsi="Arial"/>
                  <w:sz w:val="18"/>
                  <w:szCs w:val="18"/>
                  <w:color w:val="0000EE"/>
                  <w:w w:val="94"/>
                </w:rPr>
                <w:t>Form of Letter Agreement among the Registrant and the Company’s officers, directors and</w:t>
              </w:r>
            </w:hyperlink>
          </w:p>
        </w:tc>
        <w:tc>
          <w:tcPr>
            <w:tcW w:w="460" w:type="dxa"/>
            <w:vAlign w:val="bottom"/>
            <w:gridSpan w:val="3"/>
          </w:tcPr>
          <w:p>
            <w:pPr>
              <w:spacing w:after="0"/>
              <w:rPr>
                <w:sz w:val="20"/>
                <w:szCs w:val="20"/>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52">
              <w:r>
                <w:rPr>
                  <w:rFonts w:ascii="Arial" w:cs="Arial" w:eastAsia="Arial" w:hAnsi="Arial"/>
                  <w:sz w:val="18"/>
                  <w:szCs w:val="18"/>
                  <w:color w:val="0000EE"/>
                  <w:w w:val="93"/>
                </w:rPr>
                <w:t>securityholders.</w:t>
              </w:r>
            </w:hyperlink>
          </w:p>
        </w:tc>
        <w:tc>
          <w:tcPr>
            <w:tcW w:w="6100" w:type="dxa"/>
            <w:vAlign w:val="bottom"/>
            <w:gridSpan w:val="14"/>
          </w:tcPr>
          <w:p>
            <w:pPr>
              <w:spacing w:after="0"/>
              <w:rPr>
                <w:sz w:val="17"/>
                <w:szCs w:val="17"/>
                <w:color w:val="auto"/>
              </w:rPr>
            </w:pPr>
          </w:p>
        </w:tc>
      </w:tr>
      <w:tr>
        <w:trPr>
          <w:trHeight w:val="250"/>
        </w:trPr>
        <w:tc>
          <w:tcPr>
            <w:tcW w:w="680" w:type="dxa"/>
            <w:vAlign w:val="bottom"/>
          </w:tcPr>
          <w:p>
            <w:pPr>
              <w:jc w:val="right"/>
              <w:ind w:right="71"/>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1"/>
                <w:szCs w:val="21"/>
                <w:color w:val="auto"/>
              </w:rPr>
            </w:pPr>
          </w:p>
        </w:tc>
        <w:tc>
          <w:tcPr>
            <w:tcW w:w="722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259">
              <w:r>
                <w:rPr>
                  <w:rFonts w:ascii="Arial" w:cs="Arial" w:eastAsia="Arial" w:hAnsi="Arial"/>
                  <w:sz w:val="18"/>
                  <w:szCs w:val="18"/>
                  <w:color w:val="0000EE"/>
                  <w:w w:val="94"/>
                </w:rPr>
                <w:t>Form of Investment Management Trust Agreement between Continental Stock Transfer &amp; Trust</w:t>
              </w:r>
            </w:hyperlink>
          </w:p>
        </w:tc>
        <w:tc>
          <w:tcPr>
            <w:tcW w:w="80" w:type="dxa"/>
            <w:vAlign w:val="bottom"/>
          </w:tcPr>
          <w:p>
            <w:pPr>
              <w:spacing w:after="0"/>
              <w:rPr>
                <w:sz w:val="21"/>
                <w:szCs w:val="21"/>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gridSpan w:val="17"/>
          </w:tcPr>
          <w:p>
            <w:pPr>
              <w:spacing w:after="0" w:line="196" w:lineRule="exact"/>
              <w:rPr>
                <w:rFonts w:ascii="Arial" w:cs="Arial" w:eastAsia="Arial" w:hAnsi="Arial"/>
                <w:sz w:val="18"/>
                <w:szCs w:val="18"/>
                <w:color w:val="0000EE"/>
              </w:rPr>
            </w:pPr>
            <w:hyperlink w:anchor="page259">
              <w:r>
                <w:rPr>
                  <w:rFonts w:ascii="Arial" w:cs="Arial" w:eastAsia="Arial" w:hAnsi="Arial"/>
                  <w:sz w:val="18"/>
                  <w:szCs w:val="18"/>
                  <w:color w:val="0000EE"/>
                </w:rPr>
                <w:t>Company and the Registrant.</w:t>
              </w:r>
            </w:hyperlink>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5" w:name="page186"/>
    <w:bookmarkEnd w:id="185"/>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7300" w:type="dxa"/>
            <w:vAlign w:val="bottom"/>
            <w:gridSpan w:val="19"/>
          </w:tcPr>
          <w:p>
            <w:pPr>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220" w:type="dxa"/>
            <w:vAlign w:val="bottom"/>
          </w:tcPr>
          <w:p>
            <w:pPr>
              <w:spacing w:after="0"/>
              <w:rPr>
                <w:sz w:val="17"/>
                <w:szCs w:val="17"/>
                <w:color w:val="auto"/>
              </w:rPr>
            </w:pPr>
          </w:p>
        </w:tc>
        <w:tc>
          <w:tcPr>
            <w:tcW w:w="66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r:id="rId306">
              <w:r>
                <w:rPr>
                  <w:rFonts w:ascii="Arial" w:cs="Arial" w:eastAsia="Arial" w:hAnsi="Arial"/>
                  <w:sz w:val="18"/>
                  <w:szCs w:val="18"/>
                  <w:color w:val="0000EE"/>
                  <w:w w:val="95"/>
                </w:rPr>
                <w:t>Form of Escrow Agreement between the Registrant, Continental Stock Transfer &amp; Trust</w:t>
              </w:r>
            </w:hyperlink>
          </w:p>
        </w:tc>
        <w:tc>
          <w:tcPr>
            <w:tcW w:w="660" w:type="dxa"/>
            <w:vAlign w:val="bottom"/>
            <w:gridSpan w:val="3"/>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r:id="rId306">
              <w:r>
                <w:rPr>
                  <w:rFonts w:ascii="Arial" w:cs="Arial" w:eastAsia="Arial" w:hAnsi="Arial"/>
                  <w:sz w:val="18"/>
                  <w:szCs w:val="18"/>
                  <w:color w:val="0000EE"/>
                  <w:w w:val="94"/>
                </w:rPr>
                <w:t>Company and the Initial Stockholders.</w:t>
              </w:r>
            </w:hyperlink>
          </w:p>
        </w:tc>
        <w:tc>
          <w:tcPr>
            <w:tcW w:w="4400" w:type="dxa"/>
            <w:vAlign w:val="bottom"/>
            <w:gridSpan w:val="8"/>
          </w:tcPr>
          <w:p>
            <w:pPr>
              <w:spacing w:after="0"/>
              <w:rPr>
                <w:sz w:val="17"/>
                <w:szCs w:val="17"/>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1"/>
                <w:szCs w:val="21"/>
                <w:color w:val="auto"/>
              </w:rPr>
            </w:pPr>
          </w:p>
        </w:tc>
        <w:tc>
          <w:tcPr>
            <w:tcW w:w="6840" w:type="dxa"/>
            <w:vAlign w:val="bottom"/>
            <w:tcBorders>
              <w:bottom w:val="single" w:sz="8" w:color="0000EE"/>
            </w:tcBorders>
            <w:gridSpan w:val="18"/>
          </w:tcPr>
          <w:p>
            <w:pPr>
              <w:spacing w:after="0"/>
              <w:rPr>
                <w:rFonts w:ascii="Arial" w:cs="Arial" w:eastAsia="Arial" w:hAnsi="Arial"/>
                <w:sz w:val="18"/>
                <w:szCs w:val="18"/>
                <w:color w:val="0000EE"/>
                <w:w w:val="95"/>
              </w:rPr>
            </w:pPr>
            <w:hyperlink w:anchor="page269">
              <w:r>
                <w:rPr>
                  <w:rFonts w:ascii="Arial" w:cs="Arial" w:eastAsia="Arial" w:hAnsi="Arial"/>
                  <w:sz w:val="18"/>
                  <w:szCs w:val="18"/>
                  <w:color w:val="0000EE"/>
                  <w:w w:val="95"/>
                </w:rPr>
                <w:t>Form of Registration Rights Agreement among the Registrant and the Initial Stockholders.</w:t>
              </w:r>
            </w:hyperlink>
          </w:p>
        </w:tc>
        <w:tc>
          <w:tcPr>
            <w:tcW w:w="460" w:type="dxa"/>
            <w:vAlign w:val="bottom"/>
          </w:tcPr>
          <w:p>
            <w:pPr>
              <w:spacing w:after="0"/>
              <w:rPr>
                <w:sz w:val="21"/>
                <w:szCs w:val="21"/>
                <w:color w:val="auto"/>
              </w:rPr>
            </w:pPr>
          </w:p>
        </w:tc>
      </w:t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0"/>
                <w:szCs w:val="20"/>
                <w:color w:val="auto"/>
              </w:rPr>
            </w:pPr>
          </w:p>
        </w:tc>
        <w:tc>
          <w:tcPr>
            <w:tcW w:w="2360" w:type="dxa"/>
            <w:vAlign w:val="bottom"/>
            <w:tcBorders>
              <w:bottom w:val="single" w:sz="8" w:color="0000EE"/>
            </w:tcBorders>
            <w:gridSpan w:val="7"/>
          </w:tcPr>
          <w:p>
            <w:pPr>
              <w:spacing w:after="0"/>
              <w:rPr>
                <w:rFonts w:ascii="Arial" w:cs="Arial" w:eastAsia="Arial" w:hAnsi="Arial"/>
                <w:sz w:val="18"/>
                <w:szCs w:val="18"/>
                <w:color w:val="0000EE"/>
                <w:w w:val="96"/>
              </w:rPr>
            </w:pPr>
            <w:hyperlink r:id="rId307">
              <w:r>
                <w:rPr>
                  <w:rFonts w:ascii="Arial" w:cs="Arial" w:eastAsia="Arial" w:hAnsi="Arial"/>
                  <w:sz w:val="18"/>
                  <w:szCs w:val="18"/>
                  <w:color w:val="0000EE"/>
                  <w:w w:val="96"/>
                </w:rPr>
                <w:t>Form of Indemnity Agreement.</w:t>
              </w:r>
            </w:hyperlink>
          </w:p>
        </w:tc>
        <w:tc>
          <w:tcPr>
            <w:tcW w:w="4940" w:type="dxa"/>
            <w:vAlign w:val="bottom"/>
            <w:gridSpan w:val="12"/>
          </w:tcPr>
          <w:p>
            <w:pPr>
              <w:spacing w:after="0"/>
              <w:rPr>
                <w:sz w:val="20"/>
                <w:szCs w:val="20"/>
                <w:color w:val="auto"/>
              </w:rPr>
            </w:pPr>
          </w:p>
        </w:tc>
      </w:t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0"/>
                <w:szCs w:val="20"/>
                <w:color w:val="auto"/>
              </w:rPr>
            </w:pPr>
          </w:p>
        </w:tc>
        <w:tc>
          <w:tcPr>
            <w:tcW w:w="6760" w:type="dxa"/>
            <w:vAlign w:val="bottom"/>
            <w:tcBorders>
              <w:bottom w:val="single" w:sz="8" w:color="0000EE"/>
            </w:tcBorders>
            <w:gridSpan w:val="17"/>
          </w:tcPr>
          <w:p>
            <w:pPr>
              <w:spacing w:after="0"/>
              <w:rPr>
                <w:rFonts w:ascii="Arial" w:cs="Arial" w:eastAsia="Arial" w:hAnsi="Arial"/>
                <w:sz w:val="18"/>
                <w:szCs w:val="18"/>
                <w:color w:val="0000EE"/>
                <w:w w:val="93"/>
              </w:rPr>
            </w:pPr>
            <w:hyperlink r:id="rId308">
              <w:r>
                <w:rPr>
                  <w:rFonts w:ascii="Arial" w:cs="Arial" w:eastAsia="Arial" w:hAnsi="Arial"/>
                  <w:sz w:val="18"/>
                  <w:szCs w:val="18"/>
                  <w:color w:val="0000EE"/>
                  <w:w w:val="93"/>
                </w:rPr>
                <w:t>Subscription Agreement dated July 23, 2020, by and between the Registrant and Sponsor.</w:t>
              </w:r>
            </w:hyperlink>
          </w:p>
        </w:tc>
        <w:tc>
          <w:tcPr>
            <w:tcW w:w="540" w:type="dxa"/>
            <w:vAlign w:val="bottom"/>
            <w:gridSpan w:val="2"/>
          </w:tcPr>
          <w:p>
            <w:pPr>
              <w:spacing w:after="0"/>
              <w:rPr>
                <w:sz w:val="20"/>
                <w:szCs w:val="20"/>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1"/>
                <w:szCs w:val="21"/>
                <w:color w:val="auto"/>
              </w:rPr>
            </w:pPr>
          </w:p>
        </w:tc>
        <w:tc>
          <w:tcPr>
            <w:tcW w:w="4300" w:type="dxa"/>
            <w:vAlign w:val="bottom"/>
            <w:tcBorders>
              <w:bottom w:val="single" w:sz="8" w:color="0000EE"/>
            </w:tcBorders>
            <w:gridSpan w:val="13"/>
          </w:tcPr>
          <w:p>
            <w:pPr>
              <w:spacing w:after="0"/>
              <w:rPr>
                <w:rFonts w:ascii="Arial" w:cs="Arial" w:eastAsia="Arial" w:hAnsi="Arial"/>
                <w:sz w:val="18"/>
                <w:szCs w:val="18"/>
                <w:color w:val="0000EE"/>
                <w:w w:val="93"/>
              </w:rPr>
            </w:pPr>
            <w:hyperlink r:id="rId309">
              <w:r>
                <w:rPr>
                  <w:rFonts w:ascii="Arial" w:cs="Arial" w:eastAsia="Arial" w:hAnsi="Arial"/>
                  <w:sz w:val="18"/>
                  <w:szCs w:val="18"/>
                  <w:color w:val="0000EE"/>
                  <w:w w:val="93"/>
                </w:rPr>
                <w:t>Promissory Note, dated July 23, 2020, issued to Sponsor.</w:t>
              </w:r>
            </w:hyperlink>
          </w:p>
        </w:tc>
        <w:tc>
          <w:tcPr>
            <w:tcW w:w="3000" w:type="dxa"/>
            <w:vAlign w:val="bottom"/>
            <w:gridSpan w:val="6"/>
          </w:tcPr>
          <w:p>
            <w:pPr>
              <w:spacing w:after="0"/>
              <w:rPr>
                <w:sz w:val="21"/>
                <w:szCs w:val="21"/>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1"/>
                <w:szCs w:val="21"/>
                <w:color w:val="auto"/>
              </w:rPr>
            </w:pPr>
          </w:p>
        </w:tc>
        <w:tc>
          <w:tcPr>
            <w:tcW w:w="2740" w:type="dxa"/>
            <w:vAlign w:val="bottom"/>
            <w:tcBorders>
              <w:bottom w:val="single" w:sz="8" w:color="0000EE"/>
            </w:tcBorders>
            <w:gridSpan w:val="10"/>
          </w:tcPr>
          <w:p>
            <w:pPr>
              <w:spacing w:after="0"/>
              <w:rPr>
                <w:rFonts w:ascii="Arial" w:cs="Arial" w:eastAsia="Arial" w:hAnsi="Arial"/>
                <w:sz w:val="18"/>
                <w:szCs w:val="18"/>
                <w:color w:val="0000EE"/>
                <w:w w:val="95"/>
              </w:rPr>
            </w:pPr>
            <w:hyperlink r:id="rId310">
              <w:r>
                <w:rPr>
                  <w:rFonts w:ascii="Arial" w:cs="Arial" w:eastAsia="Arial" w:hAnsi="Arial"/>
                  <w:sz w:val="18"/>
                  <w:szCs w:val="18"/>
                  <w:color w:val="0000EE"/>
                  <w:w w:val="95"/>
                </w:rPr>
                <w:t>Administrative Services Agreement.</w:t>
              </w:r>
            </w:hyperlink>
          </w:p>
        </w:tc>
        <w:tc>
          <w:tcPr>
            <w:tcW w:w="4560" w:type="dxa"/>
            <w:vAlign w:val="bottom"/>
            <w:gridSpan w:val="9"/>
          </w:tcPr>
          <w:p>
            <w:pPr>
              <w:spacing w:after="0"/>
              <w:rPr>
                <w:sz w:val="21"/>
                <w:szCs w:val="21"/>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1"/>
                <w:szCs w:val="21"/>
                <w:color w:val="auto"/>
              </w:rPr>
            </w:pPr>
          </w:p>
        </w:tc>
        <w:tc>
          <w:tcPr>
            <w:tcW w:w="432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283">
              <w:r>
                <w:rPr>
                  <w:rFonts w:ascii="Arial" w:cs="Arial" w:eastAsia="Arial" w:hAnsi="Arial"/>
                  <w:sz w:val="18"/>
                  <w:szCs w:val="18"/>
                  <w:color w:val="0000EE"/>
                  <w:w w:val="93"/>
                </w:rPr>
                <w:t>Form of Private Placement Warrant Purchase Agreement.</w:t>
              </w:r>
            </w:hyperlink>
          </w:p>
        </w:tc>
        <w:tc>
          <w:tcPr>
            <w:tcW w:w="2980" w:type="dxa"/>
            <w:vAlign w:val="bottom"/>
            <w:gridSpan w:val="5"/>
          </w:tcPr>
          <w:p>
            <w:pPr>
              <w:spacing w:after="0"/>
              <w:rPr>
                <w:sz w:val="21"/>
                <w:szCs w:val="21"/>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1840" w:type="dxa"/>
            <w:vAlign w:val="bottom"/>
            <w:tcBorders>
              <w:bottom w:val="single" w:sz="8" w:color="0000EE"/>
            </w:tcBorders>
            <w:gridSpan w:val="2"/>
          </w:tcPr>
          <w:p>
            <w:pPr>
              <w:spacing w:after="0"/>
              <w:rPr>
                <w:rFonts w:ascii="Arial" w:cs="Arial" w:eastAsia="Arial" w:hAnsi="Arial"/>
                <w:sz w:val="18"/>
                <w:szCs w:val="18"/>
                <w:color w:val="0000EE"/>
                <w:w w:val="96"/>
              </w:rPr>
            </w:pPr>
            <w:hyperlink r:id="rId311">
              <w:r>
                <w:rPr>
                  <w:rFonts w:ascii="Arial" w:cs="Arial" w:eastAsia="Arial" w:hAnsi="Arial"/>
                  <w:sz w:val="18"/>
                  <w:szCs w:val="18"/>
                  <w:color w:val="0000EE"/>
                  <w:w w:val="96"/>
                </w:rPr>
                <w:t>Form of Code of Ethics.</w:t>
              </w:r>
            </w:hyperlink>
          </w:p>
        </w:tc>
        <w:tc>
          <w:tcPr>
            <w:tcW w:w="5460" w:type="dxa"/>
            <w:vAlign w:val="bottom"/>
            <w:gridSpan w:val="17"/>
          </w:tcPr>
          <w:p>
            <w:pPr>
              <w:spacing w:after="0"/>
              <w:rPr>
                <w:sz w:val="21"/>
                <w:szCs w:val="21"/>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1"/>
                <w:szCs w:val="21"/>
                <w:color w:val="auto"/>
              </w:rPr>
            </w:pPr>
          </w:p>
        </w:tc>
        <w:tc>
          <w:tcPr>
            <w:tcW w:w="290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286">
              <w:r>
                <w:rPr>
                  <w:rFonts w:ascii="Arial" w:cs="Arial" w:eastAsia="Arial" w:hAnsi="Arial"/>
                  <w:sz w:val="18"/>
                  <w:szCs w:val="18"/>
                  <w:color w:val="0000EE"/>
                  <w:w w:val="95"/>
                </w:rPr>
                <w:t>Consent of WithumSmith+Brown, PC.</w:t>
              </w:r>
            </w:hyperlink>
          </w:p>
        </w:tc>
        <w:tc>
          <w:tcPr>
            <w:tcW w:w="4400" w:type="dxa"/>
            <w:vAlign w:val="bottom"/>
            <w:gridSpan w:val="8"/>
          </w:tcPr>
          <w:p>
            <w:pPr>
              <w:spacing w:after="0"/>
              <w:rPr>
                <w:sz w:val="21"/>
                <w:szCs w:val="21"/>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1"/>
                <w:szCs w:val="21"/>
                <w:color w:val="auto"/>
              </w:rPr>
            </w:pPr>
          </w:p>
        </w:tc>
        <w:tc>
          <w:tcPr>
            <w:tcW w:w="4080" w:type="dxa"/>
            <w:vAlign w:val="bottom"/>
            <w:tcBorders>
              <w:bottom w:val="single" w:sz="8" w:color="0000EE"/>
            </w:tcBorders>
            <w:gridSpan w:val="12"/>
          </w:tcPr>
          <w:p>
            <w:pPr>
              <w:spacing w:after="0"/>
              <w:rPr>
                <w:rFonts w:ascii="Arial" w:cs="Arial" w:eastAsia="Arial" w:hAnsi="Arial"/>
                <w:sz w:val="18"/>
                <w:szCs w:val="18"/>
                <w:color w:val="0000EE"/>
                <w:w w:val="96"/>
              </w:rPr>
            </w:pPr>
            <w:hyperlink r:id="rId304">
              <w:r>
                <w:rPr>
                  <w:rFonts w:ascii="Arial" w:cs="Arial" w:eastAsia="Arial" w:hAnsi="Arial"/>
                  <w:sz w:val="18"/>
                  <w:szCs w:val="18"/>
                  <w:color w:val="0000EE"/>
                  <w:w w:val="96"/>
                </w:rPr>
                <w:t>Consent of Reed Smith LLP (included in Exhibit 5.1).</w:t>
              </w:r>
            </w:hyperlink>
          </w:p>
        </w:tc>
        <w:tc>
          <w:tcPr>
            <w:tcW w:w="3220" w:type="dxa"/>
            <w:vAlign w:val="bottom"/>
            <w:gridSpan w:val="7"/>
          </w:tcPr>
          <w:p>
            <w:pPr>
              <w:spacing w:after="0"/>
              <w:rPr>
                <w:sz w:val="21"/>
                <w:szCs w:val="21"/>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6040" w:type="dxa"/>
            <w:vAlign w:val="bottom"/>
            <w:tcBorders>
              <w:bottom w:val="single" w:sz="8" w:color="0000EE"/>
            </w:tcBorders>
            <w:gridSpan w:val="15"/>
          </w:tcPr>
          <w:p>
            <w:pPr>
              <w:spacing w:after="0"/>
              <w:rPr>
                <w:rFonts w:ascii="Arial" w:cs="Arial" w:eastAsia="Arial" w:hAnsi="Arial"/>
                <w:sz w:val="18"/>
                <w:szCs w:val="18"/>
                <w:color w:val="0000EE"/>
                <w:w w:val="96"/>
              </w:rPr>
            </w:pPr>
            <w:hyperlink r:id="rId312">
              <w:r>
                <w:rPr>
                  <w:rFonts w:ascii="Arial" w:cs="Arial" w:eastAsia="Arial" w:hAnsi="Arial"/>
                  <w:sz w:val="18"/>
                  <w:szCs w:val="18"/>
                  <w:color w:val="0000EE"/>
                  <w:w w:val="96"/>
                </w:rPr>
                <w:t>Power of Attorney (included on the signature page of the original filing hereof).</w:t>
              </w:r>
            </w:hyperlink>
          </w:p>
        </w:tc>
        <w:tc>
          <w:tcPr>
            <w:tcW w:w="1260" w:type="dxa"/>
            <w:vAlign w:val="bottom"/>
            <w:gridSpan w:val="4"/>
          </w:tcPr>
          <w:p>
            <w:pPr>
              <w:spacing w:after="0"/>
              <w:rPr>
                <w:sz w:val="21"/>
                <w:szCs w:val="21"/>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1"/>
                <w:szCs w:val="21"/>
                <w:color w:val="auto"/>
              </w:rPr>
            </w:pPr>
          </w:p>
        </w:tc>
        <w:tc>
          <w:tcPr>
            <w:tcW w:w="1960" w:type="dxa"/>
            <w:vAlign w:val="bottom"/>
            <w:tcBorders>
              <w:bottom w:val="single" w:sz="8" w:color="0000EE"/>
            </w:tcBorders>
            <w:gridSpan w:val="3"/>
          </w:tcPr>
          <w:p>
            <w:pPr>
              <w:spacing w:after="0"/>
              <w:rPr>
                <w:rFonts w:ascii="Arial" w:cs="Arial" w:eastAsia="Arial" w:hAnsi="Arial"/>
                <w:sz w:val="18"/>
                <w:szCs w:val="18"/>
                <w:color w:val="0000EE"/>
                <w:w w:val="95"/>
              </w:rPr>
            </w:pPr>
            <w:hyperlink r:id="rId313">
              <w:r>
                <w:rPr>
                  <w:rFonts w:ascii="Arial" w:cs="Arial" w:eastAsia="Arial" w:hAnsi="Arial"/>
                  <w:sz w:val="18"/>
                  <w:szCs w:val="18"/>
                  <w:color w:val="0000EE"/>
                  <w:w w:val="95"/>
                </w:rPr>
                <w:t>Audit Committee Charter.</w:t>
              </w:r>
            </w:hyperlink>
          </w:p>
        </w:tc>
        <w:tc>
          <w:tcPr>
            <w:tcW w:w="5340" w:type="dxa"/>
            <w:vAlign w:val="bottom"/>
            <w:gridSpan w:val="16"/>
          </w:tcPr>
          <w:p>
            <w:pPr>
              <w:spacing w:after="0"/>
              <w:rPr>
                <w:sz w:val="21"/>
                <w:szCs w:val="21"/>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21"/>
                <w:szCs w:val="21"/>
                <w:color w:val="auto"/>
              </w:rPr>
            </w:pPr>
          </w:p>
        </w:tc>
        <w:tc>
          <w:tcPr>
            <w:tcW w:w="7300" w:type="dxa"/>
            <w:vAlign w:val="bottom"/>
            <w:gridSpan w:val="19"/>
          </w:tcPr>
          <w:p>
            <w:pPr>
              <w:spacing w:after="0"/>
              <w:rPr>
                <w:rFonts w:ascii="Arial" w:cs="Arial" w:eastAsia="Arial" w:hAnsi="Arial"/>
                <w:sz w:val="18"/>
                <w:szCs w:val="18"/>
                <w:color w:val="0000EE"/>
              </w:rPr>
            </w:pPr>
            <w:hyperlink r:id="rId314">
              <w:r>
                <w:rPr>
                  <w:rFonts w:ascii="Arial" w:cs="Arial" w:eastAsia="Arial" w:hAnsi="Arial"/>
                  <w:sz w:val="18"/>
                  <w:szCs w:val="18"/>
                  <w:color w:val="0000EE"/>
                </w:rPr>
                <w:t>Compensation Committee Charter.</w:t>
              </w:r>
            </w:hyperlink>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99.3*</w:t>
            </w:r>
          </w:p>
        </w:tc>
        <w:tc>
          <w:tcPr>
            <w:tcW w:w="220" w:type="dxa"/>
            <w:vAlign w:val="bottom"/>
          </w:tcPr>
          <w:p>
            <w:pPr>
              <w:spacing w:after="0"/>
              <w:rPr>
                <w:sz w:val="21"/>
                <w:szCs w:val="21"/>
                <w:color w:val="auto"/>
              </w:rPr>
            </w:pPr>
          </w:p>
        </w:tc>
        <w:tc>
          <w:tcPr>
            <w:tcW w:w="2600" w:type="dxa"/>
            <w:vAlign w:val="bottom"/>
            <w:tcBorders>
              <w:top w:val="single" w:sz="8" w:color="0000EE"/>
            </w:tcBorders>
            <w:gridSpan w:val="9"/>
          </w:tcPr>
          <w:p>
            <w:pPr>
              <w:spacing w:after="0"/>
              <w:rPr>
                <w:rFonts w:ascii="Arial" w:cs="Arial" w:eastAsia="Arial" w:hAnsi="Arial"/>
                <w:sz w:val="18"/>
                <w:szCs w:val="18"/>
                <w:color w:val="0000EE"/>
              </w:rPr>
            </w:pPr>
            <w:hyperlink r:id="rId315">
              <w:r>
                <w:rPr>
                  <w:rFonts w:ascii="Arial" w:cs="Arial" w:eastAsia="Arial" w:hAnsi="Arial"/>
                  <w:sz w:val="18"/>
                  <w:szCs w:val="18"/>
                  <w:color w:val="0000EE"/>
                </w:rPr>
                <w:t>Consent of Jonathan Biele.</w:t>
              </w:r>
            </w:hyperlink>
          </w:p>
        </w:tc>
        <w:tc>
          <w:tcPr>
            <w:tcW w:w="4700" w:type="dxa"/>
            <w:vAlign w:val="bottom"/>
            <w:gridSpan w:val="10"/>
          </w:tcPr>
          <w:p>
            <w:pPr>
              <w:spacing w:after="0"/>
              <w:rPr>
                <w:sz w:val="21"/>
                <w:szCs w:val="21"/>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99.4*</w:t>
            </w:r>
          </w:p>
        </w:tc>
        <w:tc>
          <w:tcPr>
            <w:tcW w:w="220" w:type="dxa"/>
            <w:vAlign w:val="bottom"/>
          </w:tcPr>
          <w:p>
            <w:pPr>
              <w:spacing w:after="0"/>
              <w:rPr>
                <w:sz w:val="21"/>
                <w:szCs w:val="21"/>
                <w:color w:val="auto"/>
              </w:rPr>
            </w:pPr>
          </w:p>
        </w:tc>
        <w:tc>
          <w:tcPr>
            <w:tcW w:w="1820" w:type="dxa"/>
            <w:vAlign w:val="bottom"/>
            <w:tcBorders>
              <w:top w:val="single" w:sz="8" w:color="0000EE"/>
              <w:bottom w:val="single" w:sz="8" w:color="0000EE"/>
            </w:tcBorders>
          </w:tcPr>
          <w:p>
            <w:pPr>
              <w:spacing w:after="0"/>
              <w:rPr>
                <w:rFonts w:ascii="Arial" w:cs="Arial" w:eastAsia="Arial" w:hAnsi="Arial"/>
                <w:sz w:val="18"/>
                <w:szCs w:val="18"/>
                <w:color w:val="0000EE"/>
                <w:w w:val="94"/>
              </w:rPr>
            </w:pPr>
            <w:hyperlink r:id="rId316">
              <w:r>
                <w:rPr>
                  <w:rFonts w:ascii="Arial" w:cs="Arial" w:eastAsia="Arial" w:hAnsi="Arial"/>
                  <w:sz w:val="18"/>
                  <w:szCs w:val="18"/>
                  <w:color w:val="0000EE"/>
                  <w:w w:val="94"/>
                </w:rPr>
                <w:t>Consent of Perry Boyle.</w:t>
              </w:r>
            </w:hyperlink>
          </w:p>
        </w:tc>
        <w:tc>
          <w:tcPr>
            <w:tcW w:w="200" w:type="dxa"/>
            <w:vAlign w:val="bottom"/>
            <w:tcBorders>
              <w:top w:val="single" w:sz="8" w:color="0000EE"/>
            </w:tcBorders>
            <w:gridSpan w:val="3"/>
          </w:tcPr>
          <w:p>
            <w:pPr>
              <w:spacing w:after="0"/>
              <w:rPr>
                <w:sz w:val="21"/>
                <w:szCs w:val="21"/>
                <w:color w:val="auto"/>
              </w:rPr>
            </w:pPr>
          </w:p>
        </w:tc>
        <w:tc>
          <w:tcPr>
            <w:tcW w:w="5280" w:type="dxa"/>
            <w:vAlign w:val="bottom"/>
            <w:gridSpan w:val="15"/>
          </w:tcPr>
          <w:p>
            <w:pPr>
              <w:spacing w:after="0"/>
              <w:rPr>
                <w:sz w:val="21"/>
                <w:szCs w:val="21"/>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99.5*</w:t>
            </w:r>
          </w:p>
        </w:tc>
        <w:tc>
          <w:tcPr>
            <w:tcW w:w="220" w:type="dxa"/>
            <w:vAlign w:val="bottom"/>
          </w:tcPr>
          <w:p>
            <w:pPr>
              <w:spacing w:after="0"/>
              <w:rPr>
                <w:sz w:val="21"/>
                <w:szCs w:val="21"/>
                <w:color w:val="auto"/>
              </w:rPr>
            </w:pPr>
          </w:p>
        </w:tc>
        <w:tc>
          <w:tcPr>
            <w:tcW w:w="2440" w:type="dxa"/>
            <w:vAlign w:val="bottom"/>
            <w:tcBorders>
              <w:bottom w:val="single" w:sz="8" w:color="0000EE"/>
            </w:tcBorders>
            <w:gridSpan w:val="8"/>
          </w:tcPr>
          <w:p>
            <w:pPr>
              <w:spacing w:after="0"/>
              <w:rPr>
                <w:rFonts w:ascii="Arial" w:cs="Arial" w:eastAsia="Arial" w:hAnsi="Arial"/>
                <w:sz w:val="18"/>
                <w:szCs w:val="18"/>
                <w:color w:val="0000EE"/>
                <w:w w:val="94"/>
              </w:rPr>
            </w:pPr>
            <w:hyperlink r:id="rId317">
              <w:r>
                <w:rPr>
                  <w:rFonts w:ascii="Arial" w:cs="Arial" w:eastAsia="Arial" w:hAnsi="Arial"/>
                  <w:sz w:val="18"/>
                  <w:szCs w:val="18"/>
                  <w:color w:val="0000EE"/>
                  <w:w w:val="94"/>
                </w:rPr>
                <w:t>Consent of Roderick Hardamon.</w:t>
              </w:r>
            </w:hyperlink>
          </w:p>
        </w:tc>
        <w:tc>
          <w:tcPr>
            <w:tcW w:w="4860" w:type="dxa"/>
            <w:vAlign w:val="bottom"/>
            <w:gridSpan w:val="11"/>
          </w:tcPr>
          <w:p>
            <w:pPr>
              <w:spacing w:after="0"/>
              <w:rPr>
                <w:sz w:val="21"/>
                <w:szCs w:val="21"/>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99.6*</w:t>
            </w:r>
          </w:p>
        </w:tc>
        <w:tc>
          <w:tcPr>
            <w:tcW w:w="220" w:type="dxa"/>
            <w:vAlign w:val="bottom"/>
          </w:tcPr>
          <w:p>
            <w:pPr>
              <w:spacing w:after="0"/>
              <w:rPr>
                <w:sz w:val="21"/>
                <w:szCs w:val="21"/>
                <w:color w:val="auto"/>
              </w:rPr>
            </w:pPr>
          </w:p>
        </w:tc>
        <w:tc>
          <w:tcPr>
            <w:tcW w:w="2160" w:type="dxa"/>
            <w:vAlign w:val="bottom"/>
            <w:tcBorders>
              <w:bottom w:val="single" w:sz="8" w:color="0000EE"/>
            </w:tcBorders>
            <w:gridSpan w:val="6"/>
          </w:tcPr>
          <w:p>
            <w:pPr>
              <w:spacing w:after="0"/>
              <w:rPr>
                <w:rFonts w:ascii="Arial" w:cs="Arial" w:eastAsia="Arial" w:hAnsi="Arial"/>
                <w:sz w:val="18"/>
                <w:szCs w:val="18"/>
                <w:color w:val="0000EE"/>
                <w:w w:val="92"/>
              </w:rPr>
            </w:pPr>
            <w:hyperlink r:id="rId318">
              <w:r>
                <w:rPr>
                  <w:rFonts w:ascii="Arial" w:cs="Arial" w:eastAsia="Arial" w:hAnsi="Arial"/>
                  <w:sz w:val="18"/>
                  <w:szCs w:val="18"/>
                  <w:color w:val="0000EE"/>
                  <w:w w:val="92"/>
                </w:rPr>
                <w:t>Consent of Jory Des Jardins.</w:t>
              </w:r>
            </w:hyperlink>
          </w:p>
        </w:tc>
        <w:tc>
          <w:tcPr>
            <w:tcW w:w="5140" w:type="dxa"/>
            <w:vAlign w:val="bottom"/>
            <w:gridSpan w:val="13"/>
          </w:tcPr>
          <w:p>
            <w:pPr>
              <w:spacing w:after="0"/>
              <w:rPr>
                <w:sz w:val="21"/>
                <w:szCs w:val="21"/>
                <w:color w:val="auto"/>
              </w:rPr>
            </w:pPr>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99.7*</w:t>
            </w:r>
          </w:p>
        </w:tc>
        <w:tc>
          <w:tcPr>
            <w:tcW w:w="220" w:type="dxa"/>
            <w:vAlign w:val="bottom"/>
          </w:tcPr>
          <w:p>
            <w:pPr>
              <w:spacing w:after="0"/>
              <w:rPr>
                <w:sz w:val="21"/>
                <w:szCs w:val="21"/>
                <w:color w:val="auto"/>
              </w:rPr>
            </w:pPr>
          </w:p>
        </w:tc>
        <w:tc>
          <w:tcPr>
            <w:tcW w:w="7300" w:type="dxa"/>
            <w:vAlign w:val="bottom"/>
            <w:gridSpan w:val="19"/>
          </w:tcPr>
          <w:p>
            <w:pPr>
              <w:spacing w:after="0"/>
              <w:rPr>
                <w:rFonts w:ascii="Arial" w:cs="Arial" w:eastAsia="Arial" w:hAnsi="Arial"/>
                <w:sz w:val="18"/>
                <w:szCs w:val="18"/>
                <w:color w:val="0000EE"/>
              </w:rPr>
            </w:pPr>
            <w:hyperlink r:id="rId319">
              <w:r>
                <w:rPr>
                  <w:rFonts w:ascii="Arial" w:cs="Arial" w:eastAsia="Arial" w:hAnsi="Arial"/>
                  <w:sz w:val="18"/>
                  <w:szCs w:val="18"/>
                  <w:color w:val="0000EE"/>
                </w:rPr>
                <w:t>Consent of Todd Thomson.</w:t>
              </w:r>
            </w:hyperlink>
          </w:p>
        </w:tc>
      </w:tr>
      <w:tr>
        <w:trPr>
          <w:trHeight w:val="250"/>
        </w:trPr>
        <w:tc>
          <w:tcPr>
            <w:tcW w:w="680" w:type="dxa"/>
            <w:vAlign w:val="bottom"/>
          </w:tcPr>
          <w:p>
            <w:pPr>
              <w:spacing w:after="0"/>
              <w:rPr>
                <w:sz w:val="20"/>
                <w:szCs w:val="20"/>
                <w:color w:val="auto"/>
              </w:rPr>
            </w:pPr>
            <w:r>
              <w:rPr>
                <w:rFonts w:ascii="Arial" w:cs="Arial" w:eastAsia="Arial" w:hAnsi="Arial"/>
                <w:sz w:val="18"/>
                <w:szCs w:val="18"/>
                <w:color w:val="auto"/>
              </w:rPr>
              <w:t>99.8*</w:t>
            </w:r>
          </w:p>
        </w:tc>
        <w:tc>
          <w:tcPr>
            <w:tcW w:w="220" w:type="dxa"/>
            <w:vAlign w:val="bottom"/>
          </w:tcPr>
          <w:p>
            <w:pPr>
              <w:spacing w:after="0"/>
              <w:rPr>
                <w:sz w:val="21"/>
                <w:szCs w:val="21"/>
                <w:color w:val="auto"/>
              </w:rPr>
            </w:pPr>
          </w:p>
        </w:tc>
        <w:tc>
          <w:tcPr>
            <w:tcW w:w="20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r:id="rId320">
              <w:r>
                <w:rPr>
                  <w:rFonts w:ascii="Arial" w:cs="Arial" w:eastAsia="Arial" w:hAnsi="Arial"/>
                  <w:sz w:val="18"/>
                  <w:szCs w:val="18"/>
                  <w:color w:val="0000EE"/>
                  <w:w w:val="93"/>
                </w:rPr>
                <w:t>Consent of Hitesh Thakrar.</w:t>
              </w:r>
            </w:hyperlink>
          </w:p>
        </w:tc>
        <w:tc>
          <w:tcPr>
            <w:tcW w:w="5260" w:type="dxa"/>
            <w:vAlign w:val="bottom"/>
            <w:gridSpan w:val="14"/>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171450</wp:posOffset>
            </wp:positionV>
            <wp:extent cx="123444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8" w:lineRule="exact"/>
        <w:rPr>
          <w:sz w:val="20"/>
          <w:szCs w:val="20"/>
          <w:color w:val="auto"/>
        </w:rPr>
      </w:pPr>
    </w:p>
    <w:p>
      <w:pPr>
        <w:ind w:left="1260" w:right="7019"/>
        <w:spacing w:after="0" w:line="390" w:lineRule="auto"/>
        <w:tabs>
          <w:tab w:leader="none" w:pos="16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Previously filed. ** Filed herewith.</w:t>
      </w:r>
    </w:p>
    <w:p>
      <w:pPr>
        <w:spacing w:after="0" w:line="12" w:lineRule="exact"/>
        <w:rPr>
          <w:rFonts w:ascii="Arial" w:cs="Arial" w:eastAsia="Arial" w:hAnsi="Arial"/>
          <w:sz w:val="17"/>
          <w:szCs w:val="17"/>
          <w:color w:val="auto"/>
        </w:rPr>
      </w:pPr>
    </w:p>
    <w:p>
      <w:pPr>
        <w:ind w:left="1260" w:right="1039" w:firstLine="360"/>
        <w:spacing w:after="0" w:line="277" w:lineRule="auto"/>
        <w:tabs>
          <w:tab w:leader="none" w:pos="1986" w:val="left"/>
        </w:tabs>
        <w:numPr>
          <w:ilvl w:val="1"/>
          <w:numId w:val="96"/>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See page F-1 for an index to the financial statements and schedules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registration statement.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1980" w:right="439" w:hanging="360"/>
        <w:spacing w:after="0" w:line="263" w:lineRule="auto"/>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75" w:lineRule="exact"/>
        <w:rPr>
          <w:rFonts w:ascii="Arial" w:cs="Arial" w:eastAsia="Arial" w:hAnsi="Arial"/>
          <w:sz w:val="18"/>
          <w:szCs w:val="18"/>
          <w:color w:val="auto"/>
        </w:rPr>
      </w:pPr>
    </w:p>
    <w:p>
      <w:pPr>
        <w:ind w:left="1980" w:right="459" w:hanging="360"/>
        <w:spacing w:after="0" w:line="252" w:lineRule="auto"/>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1" w:lineRule="exact"/>
        <w:rPr>
          <w:rFonts w:ascii="Arial" w:cs="Arial" w:eastAsia="Arial" w:hAnsi="Arial"/>
          <w:sz w:val="18"/>
          <w:szCs w:val="18"/>
          <w:color w:val="auto"/>
        </w:rPr>
      </w:pPr>
    </w:p>
    <w:p>
      <w:pPr>
        <w:ind w:left="1980" w:hanging="360"/>
        <w:spacing w:after="0"/>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2340" w:right="679" w:hanging="360"/>
        <w:spacing w:after="0" w:line="286" w:lineRule="auto"/>
        <w:tabs>
          <w:tab w:leader="none" w:pos="2340" w:val="left"/>
        </w:tabs>
        <w:numPr>
          <w:ilvl w:val="1"/>
          <w:numId w:val="97"/>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6" w:name="page187"/>
    <w:bookmarkEnd w:id="186"/>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340" w:right="759"/>
        <w:spacing w:after="0" w:line="277" w:lineRule="auto"/>
        <w:rPr>
          <w:sz w:val="20"/>
          <w:szCs w:val="20"/>
          <w:color w:val="auto"/>
        </w:rPr>
      </w:pPr>
      <w:r>
        <w:rPr>
          <w:rFonts w:ascii="Arial" w:cs="Arial" w:eastAsia="Arial" w:hAnsi="Arial"/>
          <w:sz w:val="18"/>
          <w:szCs w:val="18"/>
          <w:color w:val="auto"/>
        </w:rPr>
        <w:t>Rule 424(b)(1) or (4) or 497(h) under the Securities Act shall be deemed to be part of this registration statement as of the time it was declared effective.</w:t>
      </w:r>
    </w:p>
    <w:p>
      <w:pPr>
        <w:spacing w:after="0" w:line="62" w:lineRule="exact"/>
        <w:rPr>
          <w:sz w:val="20"/>
          <w:szCs w:val="20"/>
          <w:color w:val="auto"/>
        </w:rPr>
      </w:pPr>
    </w:p>
    <w:p>
      <w:pPr>
        <w:ind w:left="2340" w:right="619" w:hanging="360"/>
        <w:spacing w:after="0" w:line="259" w:lineRule="auto"/>
        <w:tabs>
          <w:tab w:leader="none" w:pos="2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8" w:lineRule="exact"/>
        <w:rPr>
          <w:rFonts w:ascii="Arial" w:cs="Arial" w:eastAsia="Arial" w:hAnsi="Arial"/>
          <w:sz w:val="18"/>
          <w:szCs w:val="18"/>
          <w:color w:val="auto"/>
        </w:rPr>
      </w:pPr>
    </w:p>
    <w:p>
      <w:pPr>
        <w:ind w:left="2340" w:right="559" w:hanging="360"/>
        <w:spacing w:after="0" w:line="269" w:lineRule="auto"/>
        <w:tabs>
          <w:tab w:leader="none" w:pos="23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For the purpose of determining liability under the Securities Act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0" w:lineRule="exact"/>
        <w:rPr>
          <w:rFonts w:ascii="Arial" w:cs="Arial" w:eastAsia="Arial" w:hAnsi="Arial"/>
          <w:sz w:val="17"/>
          <w:szCs w:val="17"/>
          <w:color w:val="auto"/>
        </w:rPr>
      </w:pPr>
    </w:p>
    <w:p>
      <w:pPr>
        <w:ind w:left="2340" w:right="419" w:hanging="360"/>
        <w:spacing w:after="0" w:line="254" w:lineRule="auto"/>
        <w:tabs>
          <w:tab w:leader="none" w:pos="2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the purpose of determining liability of a registrant under the Securities Act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6" w:lineRule="exact"/>
        <w:rPr>
          <w:rFonts w:ascii="Arial" w:cs="Arial" w:eastAsia="Arial" w:hAnsi="Arial"/>
          <w:sz w:val="18"/>
          <w:szCs w:val="18"/>
          <w:color w:val="auto"/>
        </w:rPr>
      </w:pPr>
    </w:p>
    <w:p>
      <w:pPr>
        <w:ind w:left="3060" w:right="619" w:hanging="360"/>
        <w:spacing w:after="0" w:line="277" w:lineRule="auto"/>
        <w:tabs>
          <w:tab w:leader="none" w:pos="30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3060" w:right="559" w:hanging="360"/>
        <w:spacing w:after="0" w:line="277" w:lineRule="auto"/>
        <w:tabs>
          <w:tab w:leader="none" w:pos="30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62" w:lineRule="exact"/>
        <w:rPr>
          <w:rFonts w:ascii="Arial" w:cs="Arial" w:eastAsia="Arial" w:hAnsi="Arial"/>
          <w:sz w:val="18"/>
          <w:szCs w:val="18"/>
          <w:color w:val="auto"/>
        </w:rPr>
      </w:pPr>
    </w:p>
    <w:p>
      <w:pPr>
        <w:ind w:left="3060" w:right="439" w:hanging="360"/>
        <w:spacing w:after="0" w:line="263" w:lineRule="auto"/>
        <w:tabs>
          <w:tab w:leader="none" w:pos="30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3060" w:right="639" w:hanging="360"/>
        <w:spacing w:after="0" w:line="277" w:lineRule="auto"/>
        <w:tabs>
          <w:tab w:leader="none" w:pos="30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7" w:name="page188"/>
    <w:bookmarkEnd w:id="187"/>
    <w:p>
      <w:pPr>
        <w:spacing w:after="0"/>
        <w:rPr>
          <w:rFonts w:ascii="Arial" w:cs="Arial" w:eastAsia="Arial" w:hAnsi="Arial"/>
          <w:sz w:val="14"/>
          <w:szCs w:val="14"/>
          <w:color w:val="003366"/>
        </w:rPr>
      </w:pPr>
      <w:hyperlink w:anchor="page16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1260" w:right="559" w:firstLine="360"/>
        <w:spacing w:after="0" w:line="262"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New York, State of New York, on the 3</w:t>
      </w:r>
      <w:r>
        <w:rPr>
          <w:rFonts w:ascii="Arial" w:cs="Arial" w:eastAsia="Arial" w:hAnsi="Arial"/>
          <w:sz w:val="26"/>
          <w:szCs w:val="26"/>
          <w:color w:val="auto"/>
          <w:vertAlign w:val="superscript"/>
        </w:rPr>
        <w:t>rd</w:t>
      </w:r>
      <w:r>
        <w:rPr>
          <w:rFonts w:ascii="Arial" w:cs="Arial" w:eastAsia="Arial" w:hAnsi="Arial"/>
          <w:sz w:val="18"/>
          <w:szCs w:val="18"/>
          <w:color w:val="auto"/>
        </w:rPr>
        <w:t xml:space="preserve"> of August, 2021.</w:t>
      </w:r>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CHARDAN NEXTECH ACQUISITION 2 CORP.</w:t>
      </w:r>
    </w:p>
    <w:p>
      <w:pPr>
        <w:spacing w:after="0" w:line="256" w:lineRule="exact"/>
        <w:rPr>
          <w:sz w:val="20"/>
          <w:szCs w:val="20"/>
          <w:color w:val="auto"/>
        </w:rPr>
      </w:pPr>
    </w:p>
    <w:tbl>
      <w:tblPr>
        <w:tblLayout w:type="fixed"/>
        <w:tblInd w:w="502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Pr>
          <w:p>
            <w:pPr>
              <w:spacing w:after="0"/>
              <w:rPr>
                <w:sz w:val="20"/>
                <w:szCs w:val="20"/>
                <w:color w:val="auto"/>
              </w:rPr>
            </w:pPr>
            <w:r>
              <w:rPr>
                <w:rFonts w:ascii="Arial" w:cs="Arial" w:eastAsia="Arial" w:hAnsi="Arial"/>
                <w:sz w:val="18"/>
                <w:szCs w:val="18"/>
                <w:i w:val="1"/>
                <w:iCs w:val="1"/>
                <w:color w:val="auto"/>
              </w:rPr>
              <w:t>/s/ Jonas Grossman</w:t>
            </w:r>
          </w:p>
        </w:tc>
        <w:tc>
          <w:tcPr>
            <w:tcW w:w="0" w:type="dxa"/>
            <w:vAlign w:val="bottom"/>
          </w:tcPr>
          <w:p>
            <w:pPr>
              <w:spacing w:after="0"/>
              <w:rPr>
                <w:sz w:val="1"/>
                <w:szCs w:val="1"/>
                <w:color w:val="auto"/>
              </w:rPr>
            </w:pPr>
          </w:p>
        </w:tc>
      </w:tr>
      <w:tr>
        <w:trPr>
          <w:trHeight w:val="68"/>
        </w:trPr>
        <w:tc>
          <w:tcPr>
            <w:tcW w:w="7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780" w:type="dxa"/>
            <w:vAlign w:val="bottom"/>
            <w:vMerge w:val="continue"/>
          </w:tcPr>
          <w:p>
            <w:pPr>
              <w:spacing w:after="0"/>
              <w:rPr>
                <w:sz w:val="11"/>
                <w:szCs w:val="11"/>
                <w:color w:val="auto"/>
              </w:rPr>
            </w:pPr>
          </w:p>
        </w:tc>
        <w:tc>
          <w:tcPr>
            <w:tcW w:w="3660" w:type="dxa"/>
            <w:vAlign w:val="bottom"/>
            <w:vMerge w:val="restart"/>
          </w:tcPr>
          <w:p>
            <w:pPr>
              <w:spacing w:after="0"/>
              <w:rPr>
                <w:sz w:val="20"/>
                <w:szCs w:val="20"/>
                <w:color w:val="auto"/>
              </w:rPr>
            </w:pPr>
            <w:r>
              <w:rPr>
                <w:rFonts w:ascii="Arial" w:cs="Arial" w:eastAsia="Arial" w:hAnsi="Arial"/>
                <w:sz w:val="18"/>
                <w:szCs w:val="18"/>
                <w:color w:val="auto"/>
              </w:rPr>
              <w:t>Jonas Grossman</w:t>
            </w:r>
          </w:p>
        </w:tc>
        <w:tc>
          <w:tcPr>
            <w:tcW w:w="0" w:type="dxa"/>
            <w:vAlign w:val="bottom"/>
          </w:tcPr>
          <w:p>
            <w:pPr>
              <w:spacing w:after="0"/>
              <w:rPr>
                <w:sz w:val="1"/>
                <w:szCs w:val="1"/>
                <w:color w:val="auto"/>
              </w:rPr>
            </w:pPr>
          </w:p>
        </w:tc>
      </w:tr>
      <w:tr>
        <w:trPr>
          <w:trHeight w:val="94"/>
        </w:trPr>
        <w:tc>
          <w:tcPr>
            <w:tcW w:w="78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3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780" w:type="dxa"/>
            <w:vAlign w:val="bottom"/>
            <w:vMerge w:val="continue"/>
          </w:tcPr>
          <w:p>
            <w:pPr>
              <w:spacing w:after="0"/>
              <w:rPr>
                <w:sz w:val="11"/>
                <w:szCs w:val="11"/>
                <w:color w:val="auto"/>
              </w:rPr>
            </w:pPr>
          </w:p>
        </w:tc>
        <w:tc>
          <w:tcPr>
            <w:tcW w:w="3660" w:type="dxa"/>
            <w:vAlign w:val="bottom"/>
            <w:vMerge w:val="restart"/>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95"/>
        </w:trPr>
        <w:tc>
          <w:tcPr>
            <w:tcW w:w="780" w:type="dxa"/>
            <w:vAlign w:val="bottom"/>
          </w:tcPr>
          <w:p>
            <w:pPr>
              <w:spacing w:after="0"/>
              <w:rPr>
                <w:sz w:val="8"/>
                <w:szCs w:val="8"/>
                <w:color w:val="auto"/>
              </w:rPr>
            </w:pPr>
          </w:p>
        </w:tc>
        <w:tc>
          <w:tcPr>
            <w:tcW w:w="3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08" w:lineRule="exact"/>
        <w:rPr>
          <w:sz w:val="20"/>
          <w:szCs w:val="20"/>
          <w:color w:val="auto"/>
        </w:rPr>
      </w:pPr>
    </w:p>
    <w:p>
      <w:pPr>
        <w:ind w:left="2380"/>
        <w:spacing w:after="0"/>
        <w:tabs>
          <w:tab w:leader="none" w:pos="5540" w:val="left"/>
          <w:tab w:leader="none" w:pos="85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Position</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534924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93" w:lineRule="exact"/>
        <w:rPr>
          <w:sz w:val="20"/>
          <w:szCs w:val="20"/>
          <w:color w:val="auto"/>
        </w:rPr>
      </w:pPr>
    </w:p>
    <w:p>
      <w:pPr>
        <w:ind w:left="1260"/>
        <w:spacing w:after="0"/>
        <w:rPr>
          <w:sz w:val="20"/>
          <w:szCs w:val="20"/>
          <w:color w:val="auto"/>
        </w:rPr>
      </w:pPr>
      <w:r>
        <w:rPr>
          <w:rFonts w:ascii="Arial" w:cs="Arial" w:eastAsia="Arial" w:hAnsi="Arial"/>
          <w:sz w:val="16"/>
          <w:szCs w:val="16"/>
          <w:i w:val="1"/>
          <w:iCs w:val="1"/>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63500</wp:posOffset>
            </wp:positionV>
            <wp:extent cx="16459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0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Jonas Grossman</w:t>
      </w:r>
    </w:p>
    <w:p>
      <w:pPr>
        <w:spacing w:after="0" w:line="34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6459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Alex Weil</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Chief Executive Officer, President,</w:t>
      </w:r>
      <w:r>
        <w:rPr>
          <w:sz w:val="20"/>
          <w:szCs w:val="20"/>
          <w:color w:val="auto"/>
        </w:rPr>
        <w:tab/>
      </w:r>
      <w:r>
        <w:rPr>
          <w:rFonts w:ascii="Arial" w:cs="Arial" w:eastAsia="Arial" w:hAnsi="Arial"/>
          <w:sz w:val="16"/>
          <w:szCs w:val="16"/>
          <w:color w:val="auto"/>
        </w:rPr>
        <w:t>August 3,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 Treasurer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Chief Financial Officer</w:t>
      </w:r>
      <w:r>
        <w:rPr>
          <w:sz w:val="20"/>
          <w:szCs w:val="20"/>
          <w:color w:val="auto"/>
        </w:rPr>
        <w:tab/>
      </w:r>
      <w:r>
        <w:rPr>
          <w:rFonts w:ascii="Arial" w:cs="Arial" w:eastAsia="Arial" w:hAnsi="Arial"/>
          <w:sz w:val="16"/>
          <w:szCs w:val="16"/>
          <w:color w:val="auto"/>
        </w:rPr>
        <w:t>August 3,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80" w:lineRule="exact"/>
        <w:rPr>
          <w:sz w:val="20"/>
          <w:szCs w:val="20"/>
          <w:color w:val="auto"/>
        </w:rPr>
      </w:pPr>
    </w:p>
    <w:p>
      <w:pPr>
        <w:sectPr>
          <w:pgSz w:w="11900" w:h="16838" w:orient="portrait"/>
          <w:cols w:equalWidth="0" w:num="2">
            <w:col w:w="3340" w:space="720"/>
            <w:col w:w="581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10,000,000 Units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Suite 2100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Representative of the Underwriters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undersigned, Chardan NexTech Acquisition 2 Corp., a Delaware corporation (“</w:t>
      </w:r>
      <w:r>
        <w:rPr>
          <w:rFonts w:ascii="Arial" w:cs="Arial" w:eastAsia="Arial" w:hAnsi="Arial"/>
          <w:sz w:val="18"/>
          <w:szCs w:val="18"/>
          <w:b w:val="1"/>
          <w:bCs w:val="1"/>
          <w:color w:val="auto"/>
        </w:rPr>
        <w:t>Company</w:t>
      </w:r>
      <w:r>
        <w:rPr>
          <w:rFonts w:ascii="Arial" w:cs="Arial" w:eastAsia="Arial" w:hAnsi="Arial"/>
          <w:sz w:val="18"/>
          <w:szCs w:val="18"/>
          <w:color w:val="auto"/>
        </w:rPr>
        <w:t>”), hereby confirms its agreement with Chardan Capital Markets, LLC (hereinafter referred to as “you”, “</w:t>
      </w:r>
      <w:r>
        <w:rPr>
          <w:rFonts w:ascii="Arial" w:cs="Arial" w:eastAsia="Arial" w:hAnsi="Arial"/>
          <w:sz w:val="18"/>
          <w:szCs w:val="18"/>
          <w:b w:val="1"/>
          <w:bCs w:val="1"/>
          <w:color w:val="auto"/>
        </w:rPr>
        <w:t>Chardan</w:t>
      </w:r>
      <w:r>
        <w:rPr>
          <w:rFonts w:ascii="Arial" w:cs="Arial" w:eastAsia="Arial" w:hAnsi="Arial"/>
          <w:sz w:val="18"/>
          <w:szCs w:val="18"/>
          <w:color w:val="auto"/>
        </w:rPr>
        <w:t>”, or as the “</w:t>
      </w:r>
      <w:r>
        <w:rPr>
          <w:rFonts w:ascii="Arial" w:cs="Arial" w:eastAsia="Arial" w:hAnsi="Arial"/>
          <w:sz w:val="18"/>
          <w:szCs w:val="18"/>
          <w:b w:val="1"/>
          <w:bCs w:val="1"/>
          <w:color w:val="auto"/>
        </w:rPr>
        <w:t>Representative</w:t>
      </w:r>
      <w:r>
        <w:rPr>
          <w:rFonts w:ascii="Arial" w:cs="Arial" w:eastAsia="Arial" w:hAnsi="Arial"/>
          <w:sz w:val="18"/>
          <w:szCs w:val="18"/>
          <w:color w:val="auto"/>
        </w:rPr>
        <w:t xml:space="preserve">”) and with the other underwriters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for which you are acting as representative (the Representative and the other Underwriters being collectively referred to herein as the “</w:t>
      </w:r>
      <w:r>
        <w:rPr>
          <w:rFonts w:ascii="Arial" w:cs="Arial" w:eastAsia="Arial" w:hAnsi="Arial"/>
          <w:sz w:val="18"/>
          <w:szCs w:val="18"/>
          <w:b w:val="1"/>
          <w:bCs w:val="1"/>
          <w:color w:val="auto"/>
        </w:rPr>
        <w:t>Underwriters</w:t>
      </w:r>
      <w:r>
        <w:rPr>
          <w:rFonts w:ascii="Arial" w:cs="Arial" w:eastAsia="Arial" w:hAnsi="Arial"/>
          <w:sz w:val="18"/>
          <w:szCs w:val="18"/>
          <w:color w:val="auto"/>
        </w:rPr>
        <w:t>” or, individually, an “</w:t>
      </w:r>
      <w:r>
        <w:rPr>
          <w:rFonts w:ascii="Arial" w:cs="Arial" w:eastAsia="Arial" w:hAnsi="Arial"/>
          <w:sz w:val="18"/>
          <w:szCs w:val="18"/>
          <w:b w:val="1"/>
          <w:bCs w:val="1"/>
          <w:color w:val="auto"/>
        </w:rPr>
        <w:t>Underwriter</w:t>
      </w:r>
      <w:r>
        <w:rPr>
          <w:rFonts w:ascii="Arial" w:cs="Arial" w:eastAsia="Arial" w:hAnsi="Arial"/>
          <w:sz w:val="18"/>
          <w:szCs w:val="18"/>
          <w:color w:val="auto"/>
        </w:rPr>
        <w:t>”), as follows:</w:t>
      </w:r>
    </w:p>
    <w:p>
      <w:pPr>
        <w:spacing w:after="0" w:line="180" w:lineRule="exact"/>
        <w:rPr>
          <w:sz w:val="20"/>
          <w:szCs w:val="20"/>
          <w:color w:val="auto"/>
        </w:rPr>
      </w:pPr>
    </w:p>
    <w:p>
      <w:pPr>
        <w:ind w:left="960" w:hanging="952"/>
        <w:spacing w:after="0"/>
        <w:tabs>
          <w:tab w:leader="none" w:pos="9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Purchase and Sale of Securities</w:t>
      </w:r>
      <w:r>
        <w:rPr>
          <w:rFonts w:ascii="Arial" w:cs="Arial" w:eastAsia="Arial" w:hAnsi="Arial"/>
          <w:sz w:val="18"/>
          <w:szCs w:val="18"/>
          <w:color w:val="auto"/>
        </w:rPr>
        <w:t>.</w:t>
      </w:r>
    </w:p>
    <w:p>
      <w:pPr>
        <w:spacing w:after="0" w:line="22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Firm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i w:val="1"/>
          <w:iCs w:val="1"/>
          <w:color w:val="auto"/>
        </w:rPr>
        <w:t>1.1.1 Purchase of Firm Units</w:t>
      </w:r>
      <w:r>
        <w:rPr>
          <w:rFonts w:ascii="Arial" w:cs="Arial" w:eastAsia="Arial" w:hAnsi="Arial"/>
          <w:sz w:val="16"/>
          <w:szCs w:val="16"/>
          <w:color w:val="auto"/>
        </w:rPr>
        <w:t>. On the basis of the representations and warranties herein contained, but subject to the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set forth herein, the Company agrees to issue and sell, severally and not jointly, to the several Underwriters, an aggregate of 10,000,000 units (the “</w:t>
      </w:r>
      <w:r>
        <w:rPr>
          <w:rFonts w:ascii="Arial" w:cs="Arial" w:eastAsia="Arial" w:hAnsi="Arial"/>
          <w:sz w:val="16"/>
          <w:szCs w:val="16"/>
          <w:b w:val="1"/>
          <w:bCs w:val="1"/>
          <w:color w:val="auto"/>
        </w:rPr>
        <w:t>Firm Units</w:t>
      </w:r>
      <w:r>
        <w:rPr>
          <w:rFonts w:ascii="Arial" w:cs="Arial" w:eastAsia="Arial" w:hAnsi="Arial"/>
          <w:sz w:val="16"/>
          <w:szCs w:val="16"/>
          <w:color w:val="auto"/>
        </w:rPr>
        <w:t xml:space="preserve">”) of the Company at a purchase price (net of discounts and commissions) of $9.995 per Firm Unit. The Underwriters, severally and not jointly, agree to purchase from the Company the number of Firm Units set forth opposite their respective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 and made a part hereof at a purchase price (net of discounts and commissions) of $9.995 per Firm Unit. The Firm Units (and the Option Units (as hereinafter defined), if any) are to be offered initially to the public (the “</w:t>
      </w:r>
      <w:r>
        <w:rPr>
          <w:rFonts w:ascii="Arial" w:cs="Arial" w:eastAsia="Arial" w:hAnsi="Arial"/>
          <w:sz w:val="16"/>
          <w:szCs w:val="16"/>
          <w:b w:val="1"/>
          <w:bCs w:val="1"/>
          <w:color w:val="auto"/>
        </w:rPr>
        <w:t>Offering</w:t>
      </w:r>
      <w:r>
        <w:rPr>
          <w:rFonts w:ascii="Arial" w:cs="Arial" w:eastAsia="Arial" w:hAnsi="Arial"/>
          <w:sz w:val="16"/>
          <w:szCs w:val="16"/>
          <w:color w:val="auto"/>
        </w:rPr>
        <w:t>”) at the offering price of $10.00 per Firm Unit, it being understood that the offering price is not in excess of the price recommended by the QIU (as hereinafter defined). Each Firm Unit consists of one (1) share of the Company’s common stock,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and one-half of one (1) redeemable warrant (the “</w:t>
      </w:r>
      <w:r>
        <w:rPr>
          <w:rFonts w:ascii="Arial" w:cs="Arial" w:eastAsia="Arial" w:hAnsi="Arial"/>
          <w:sz w:val="16"/>
          <w:szCs w:val="16"/>
          <w:b w:val="1"/>
          <w:bCs w:val="1"/>
          <w:color w:val="auto"/>
        </w:rPr>
        <w:t>Warrant(s)</w:t>
      </w:r>
      <w:r>
        <w:rPr>
          <w:rFonts w:ascii="Arial" w:cs="Arial" w:eastAsia="Arial" w:hAnsi="Arial"/>
          <w:sz w:val="16"/>
          <w:szCs w:val="16"/>
          <w:color w:val="auto"/>
        </w:rPr>
        <w:t>”), each whole Warrant entitling the holder thereof to purchase one share of Common Stock. The shares of Common Stock and the Warrants included in the Firm Units will not be separately</w:t>
      </w:r>
    </w:p>
    <w:p>
      <w:pPr>
        <w:spacing w:after="0" w:line="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transferable until the earlier of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that the Registration Statement (as defined below) becomes effective (the “</w:t>
      </w:r>
      <w:r>
        <w:rPr>
          <w:rFonts w:ascii="Arial" w:cs="Arial" w:eastAsia="Arial" w:hAnsi="Arial"/>
          <w:sz w:val="17"/>
          <w:szCs w:val="17"/>
          <w:b w:val="1"/>
          <w:bCs w:val="1"/>
          <w:color w:val="auto"/>
        </w:rPr>
        <w:t>Effective Date</w:t>
      </w:r>
      <w:r>
        <w:rPr>
          <w:rFonts w:ascii="Arial" w:cs="Arial" w:eastAsia="Arial" w:hAnsi="Arial"/>
          <w:sz w:val="17"/>
          <w:szCs w:val="17"/>
          <w:color w:val="auto"/>
        </w:rPr>
        <w:t>”) or the announcement by the Company of the Representative’s decision to allow earlier trading, subject, however, to the Company filing a Current Report on Form 8-K (“</w:t>
      </w:r>
      <w:r>
        <w:rPr>
          <w:rFonts w:ascii="Arial" w:cs="Arial" w:eastAsia="Arial" w:hAnsi="Arial"/>
          <w:sz w:val="17"/>
          <w:szCs w:val="17"/>
          <w:b w:val="1"/>
          <w:bCs w:val="1"/>
          <w:color w:val="auto"/>
        </w:rPr>
        <w:t>Form 8-K</w:t>
      </w:r>
      <w:r>
        <w:rPr>
          <w:rFonts w:ascii="Arial" w:cs="Arial" w:eastAsia="Arial" w:hAnsi="Arial"/>
          <w:sz w:val="17"/>
          <w:szCs w:val="17"/>
          <w:color w:val="auto"/>
        </w:rPr>
        <w:t>”) with the Commission (as defined below) containing an audited balanced sheet reflecting the Company’s receipt of the gross proceeds of the Offering and issuing a press release announcing when such separate trading will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9" w:name="page190"/>
    <w:bookmarkEnd w:id="189"/>
    <w:p>
      <w:pPr>
        <w:jc w:val="both"/>
        <w:ind w:firstLine="1296"/>
        <w:spacing w:after="0" w:line="286" w:lineRule="auto"/>
        <w:rPr>
          <w:sz w:val="20"/>
          <w:szCs w:val="20"/>
          <w:color w:val="auto"/>
        </w:rPr>
      </w:pPr>
      <w:r>
        <w:rPr>
          <w:rFonts w:ascii="Arial" w:cs="Arial" w:eastAsia="Arial" w:hAnsi="Arial"/>
          <w:sz w:val="16"/>
          <w:szCs w:val="16"/>
          <w:color w:val="auto"/>
        </w:rPr>
        <w:t>In no event will the Company allow separate trading until (i) the preparation of an audited balance sheet of the Company reflecting receipt by the Company of the proceeds of the Offering and the filing of such audited balance sheet with the Commission (as defined below) on a Form 8-K or similar form by the Company which includes such balance sheet and (ii) the issuance of a press release announcing when such separate trading shall begin. Each whole Warrant entitles the holder to purchase one share of Common Stock at a price of $11.50 per share during the period commencing thirty</w:t>
      </w:r>
    </w:p>
    <w:p>
      <w:pPr>
        <w:spacing w:after="0" w:line="1" w:lineRule="exact"/>
        <w:rPr>
          <w:sz w:val="20"/>
          <w:szCs w:val="20"/>
          <w:color w:val="auto"/>
        </w:rPr>
      </w:pPr>
    </w:p>
    <w:p>
      <w:pPr>
        <w:jc w:val="both"/>
        <w:ind w:firstLine="8"/>
        <w:spacing w:after="0" w:line="269" w:lineRule="auto"/>
        <w:tabs>
          <w:tab w:leader="none" w:pos="36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days after the closing of a Business Combination (as defined below) and terminating on the fifth (5th) anniversary of the Effective Date. As used herein, the term “</w:t>
      </w:r>
      <w:r>
        <w:rPr>
          <w:rFonts w:ascii="Arial" w:cs="Arial" w:eastAsia="Arial" w:hAnsi="Arial"/>
          <w:sz w:val="17"/>
          <w:szCs w:val="17"/>
          <w:b w:val="1"/>
          <w:bCs w:val="1"/>
          <w:color w:val="auto"/>
        </w:rPr>
        <w:t>Business Combination</w:t>
      </w:r>
      <w:r>
        <w:rPr>
          <w:rFonts w:ascii="Arial" w:cs="Arial" w:eastAsia="Arial" w:hAnsi="Arial"/>
          <w:sz w:val="17"/>
          <w:szCs w:val="17"/>
          <w:color w:val="auto"/>
        </w:rPr>
        <w:t>” shall mean any merger, share exchange, asset acquisition, stock purchase, recapitalization, reorganization or other similar business combination with one or more businesses or entities by the Company. The Company has the right to redeem the Warrants, upon not less than thirty (30) days written notice at a price of $0.01 per Warrant at any time after the Warrants become exercisable; so long as the last sales price of the Common Stock has been at least $16.00 per share for any twenty (20) trading days within a thirty (30) trading day period ending on the third (3rd) Business Day prior to the day on which notice is given. As used herein, the term “</w:t>
      </w:r>
      <w:r>
        <w:rPr>
          <w:rFonts w:ascii="Arial" w:cs="Arial" w:eastAsia="Arial" w:hAnsi="Arial"/>
          <w:sz w:val="17"/>
          <w:szCs w:val="17"/>
          <w:b w:val="1"/>
          <w:bCs w:val="1"/>
          <w:color w:val="auto"/>
        </w:rPr>
        <w:t>Business D</w:t>
      </w:r>
      <w:r>
        <w:rPr>
          <w:rFonts w:ascii="Arial" w:cs="Arial" w:eastAsia="Arial" w:hAnsi="Arial"/>
          <w:sz w:val="17"/>
          <w:szCs w:val="17"/>
          <w:color w:val="auto"/>
        </w:rPr>
        <w:t>ay” shall mean any day other than a Saturday, Sunday or any day on which national banks in New York, New York are not open for business.</w:t>
      </w:r>
    </w:p>
    <w:p>
      <w:pPr>
        <w:spacing w:after="0" w:line="180"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i w:val="1"/>
          <w:iCs w:val="1"/>
          <w:color w:val="auto"/>
        </w:rPr>
        <w:t>Payment and Delivery. Delivery and payment for the Firm Units shall be made at 10:00 A.M., New York time, on the second</w:t>
      </w:r>
    </w:p>
    <w:p>
      <w:pPr>
        <w:spacing w:after="0" w:line="2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color w:val="auto"/>
        </w:rPr>
        <w:t>(2</w:t>
      </w:r>
      <w:r>
        <w:rPr>
          <w:rFonts w:ascii="Arial" w:cs="Arial" w:eastAsia="Arial" w:hAnsi="Arial"/>
          <w:sz w:val="26"/>
          <w:szCs w:val="26"/>
          <w:i w:val="1"/>
          <w:iCs w:val="1"/>
          <w:color w:val="auto"/>
          <w:vertAlign w:val="superscript"/>
        </w:rPr>
        <w:t>nd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Day following the Effective Date of the Registration Statement (or the third (3</w:t>
      </w:r>
      <w:r>
        <w:rPr>
          <w:rFonts w:ascii="Arial" w:cs="Arial" w:eastAsia="Arial" w:hAnsi="Arial"/>
          <w:sz w:val="26"/>
          <w:szCs w:val="26"/>
          <w:color w:val="auto"/>
          <w:vertAlign w:val="superscript"/>
        </w:rPr>
        <w:t>rd</w:t>
      </w:r>
      <w:r>
        <w:rPr>
          <w:rFonts w:ascii="Arial" w:cs="Arial" w:eastAsia="Arial" w:hAnsi="Arial"/>
          <w:sz w:val="16"/>
          <w:szCs w:val="16"/>
          <w:color w:val="auto"/>
        </w:rPr>
        <w:t>) Business Day following the Effective Date, if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is declared effective on or after 4:00 p.m.) or at such earlier time as shall be agreed upon by the Representative and the Company at the offices of the Representative or at such other place as shall be agreed upon by the Representative and the Company. The closing of the public offering contemplated by this Agreement is referred to herein as the “</w:t>
      </w:r>
      <w:r>
        <w:rPr>
          <w:rFonts w:ascii="Arial" w:cs="Arial" w:eastAsia="Arial" w:hAnsi="Arial"/>
          <w:sz w:val="16"/>
          <w:szCs w:val="16"/>
          <w:b w:val="1"/>
          <w:bCs w:val="1"/>
          <w:color w:val="auto"/>
        </w:rPr>
        <w:t>Closing</w:t>
      </w:r>
      <w:r>
        <w:rPr>
          <w:rFonts w:ascii="Arial" w:cs="Arial" w:eastAsia="Arial" w:hAnsi="Arial"/>
          <w:sz w:val="16"/>
          <w:szCs w:val="16"/>
          <w:color w:val="auto"/>
        </w:rPr>
        <w:t>” and the hour and date of delivery and payment for the Firm Units is referred to herein as the “</w:t>
      </w:r>
      <w:r>
        <w:rPr>
          <w:rFonts w:ascii="Arial" w:cs="Arial" w:eastAsia="Arial" w:hAnsi="Arial"/>
          <w:sz w:val="16"/>
          <w:szCs w:val="16"/>
          <w:b w:val="1"/>
          <w:bCs w:val="1"/>
          <w:color w:val="auto"/>
        </w:rPr>
        <w:t>Closing Date</w:t>
      </w:r>
      <w:r>
        <w:rPr>
          <w:rFonts w:ascii="Arial" w:cs="Arial" w:eastAsia="Arial" w:hAnsi="Arial"/>
          <w:sz w:val="16"/>
          <w:szCs w:val="16"/>
          <w:color w:val="auto"/>
        </w:rPr>
        <w:t>.” Payment for the Firm Units shall be made on the Closing Date at the Representative’s election by wire transfer in Federal (same day) funds or by certified or bank cashier’s check(s) in New York Clearing House funds. $101,500,000 ($116,725,000 if the Over-allotment Option (as defined in Section 1.2) is exercised in full), or $10.15 per Unit, of the proceeds received by the Company for the Firm Units and from the Private Placement (as defined in Section 1.4) shall be deposited in the trust account established by the Company for the benefit of the public stockholders as described in the Registration Statement (the “</w:t>
      </w:r>
      <w:r>
        <w:rPr>
          <w:rFonts w:ascii="Arial" w:cs="Arial" w:eastAsia="Arial" w:hAnsi="Arial"/>
          <w:sz w:val="16"/>
          <w:szCs w:val="16"/>
          <w:b w:val="1"/>
          <w:bCs w:val="1"/>
          <w:color w:val="auto"/>
        </w:rPr>
        <w:t>Trust Account</w:t>
      </w:r>
      <w:r>
        <w:rPr>
          <w:rFonts w:ascii="Arial" w:cs="Arial" w:eastAsia="Arial" w:hAnsi="Arial"/>
          <w:sz w:val="16"/>
          <w:szCs w:val="16"/>
          <w:color w:val="auto"/>
        </w:rPr>
        <w:t>”) pursuant to the terms of an investment management trust agreement (the “</w:t>
      </w:r>
      <w:r>
        <w:rPr>
          <w:rFonts w:ascii="Arial" w:cs="Arial" w:eastAsia="Arial" w:hAnsi="Arial"/>
          <w:sz w:val="16"/>
          <w:szCs w:val="16"/>
          <w:b w:val="1"/>
          <w:bCs w:val="1"/>
          <w:color w:val="auto"/>
        </w:rPr>
        <w:t>Trust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by and between the Company and Continental Stock Transfer &amp; Trust Company. The proceeds (less commissions, expense allowance and</w:t>
      </w:r>
      <w:r>
        <w:rPr>
          <w:rFonts w:ascii="Arial" w:cs="Arial" w:eastAsia="Arial" w:hAnsi="Arial"/>
          <w:sz w:val="16"/>
          <w:szCs w:val="16"/>
          <w:b w:val="1"/>
          <w:bCs w:val="1"/>
          <w:color w:val="auto"/>
        </w:rPr>
        <w:t xml:space="preserve"> </w:t>
      </w:r>
      <w:r>
        <w:rPr>
          <w:rFonts w:ascii="Arial" w:cs="Arial" w:eastAsia="Arial" w:hAnsi="Arial"/>
          <w:sz w:val="16"/>
          <w:szCs w:val="16"/>
          <w:color w:val="auto"/>
        </w:rPr>
        <w:t>actual expense payments or other fees payable pursuant to this Agreement) shall be paid to the order of the Company upon delivery to the Representative of certificates (in form and substance satisfactory to the Underwriters) representing the Firm Units (or through the facilities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for the account of the Underwriters. The Firm Units shall be registered in such name or names and in such authorized denominations as the Representative may request in writing at least two (2) Business Days prior to the Closing Date. The Company will permit the Representative to examine and package the Firm Units for delivery, at least one (1) full Business Day prior to the Closing Date. The Company shall not be obligated to sell or deliver the Firm Units except upon tender of payment by the Representative for all the Firm Units.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0" w:name="page191"/>
    <w:bookmarkEnd w:id="190"/>
    <w:p>
      <w:pPr>
        <w:ind w:left="660"/>
        <w:spacing w:after="0"/>
        <w:tabs>
          <w:tab w:leader="none" w:pos="1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Over-Allotment Option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Option Units</w:t>
      </w:r>
      <w:r>
        <w:rPr>
          <w:rFonts w:ascii="Arial" w:cs="Arial" w:eastAsia="Arial" w:hAnsi="Arial"/>
          <w:sz w:val="18"/>
          <w:szCs w:val="18"/>
          <w:color w:val="auto"/>
        </w:rPr>
        <w:t>. For the purpose of covering any over-allotments in connection with the distribution and sale of the Firm Units, the Underwriters are hereby granted, severally and not jointly, an option to purchase up to an additional 1,500,000 units from the Company (the “</w:t>
      </w:r>
      <w:r>
        <w:rPr>
          <w:rFonts w:ascii="Arial" w:cs="Arial" w:eastAsia="Arial" w:hAnsi="Arial"/>
          <w:sz w:val="18"/>
          <w:szCs w:val="18"/>
          <w:b w:val="1"/>
          <w:bCs w:val="1"/>
          <w:color w:val="auto"/>
        </w:rPr>
        <w:t>Over-allotment Option</w:t>
      </w:r>
      <w:r>
        <w:rPr>
          <w:rFonts w:ascii="Arial" w:cs="Arial" w:eastAsia="Arial" w:hAnsi="Arial"/>
          <w:sz w:val="18"/>
          <w:szCs w:val="18"/>
          <w:color w:val="auto"/>
        </w:rPr>
        <w:t>”). Such additional 1,500,000 units shall be identical in all respects to the Firm Units and are hereinafter referred to as “</w:t>
      </w:r>
      <w:r>
        <w:rPr>
          <w:rFonts w:ascii="Arial" w:cs="Arial" w:eastAsia="Arial" w:hAnsi="Arial"/>
          <w:sz w:val="18"/>
          <w:szCs w:val="18"/>
          <w:b w:val="1"/>
          <w:bCs w:val="1"/>
          <w:color w:val="auto"/>
        </w:rPr>
        <w:t>Option Units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Firm Units and the Option Units are hereinafter collectively referred to as the “</w:t>
      </w:r>
      <w:r>
        <w:rPr>
          <w:rFonts w:ascii="Arial" w:cs="Arial" w:eastAsia="Arial" w:hAnsi="Arial"/>
          <w:sz w:val="18"/>
          <w:szCs w:val="18"/>
          <w:b w:val="1"/>
          <w:bCs w:val="1"/>
          <w:color w:val="auto"/>
        </w:rPr>
        <w:t>Units</w:t>
      </w:r>
      <w:r>
        <w:rPr>
          <w:rFonts w:ascii="Arial" w:cs="Arial" w:eastAsia="Arial" w:hAnsi="Arial"/>
          <w:sz w:val="18"/>
          <w:szCs w:val="18"/>
          <w:color w:val="auto"/>
        </w:rPr>
        <w:t>,” and the Units, the shares of Common Stock and Warrants included in the Units and the shares of Common Stock issuable upon exercise of such Warrants are hereinafter referred to collectively as the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The purchase price to be paid for the Option Units will be $10.00 per Option Unit. The Option Units are to be offered initially to the public at</w:t>
      </w:r>
      <w:r>
        <w:rPr>
          <w:rFonts w:ascii="Arial" w:cs="Arial" w:eastAsia="Arial" w:hAnsi="Arial"/>
          <w:sz w:val="18"/>
          <w:szCs w:val="18"/>
          <w:b w:val="1"/>
          <w:bCs w:val="1"/>
          <w:color w:val="auto"/>
        </w:rPr>
        <w:t xml:space="preserve"> </w:t>
      </w:r>
      <w:r>
        <w:rPr>
          <w:rFonts w:ascii="Arial" w:cs="Arial" w:eastAsia="Arial" w:hAnsi="Arial"/>
          <w:sz w:val="18"/>
          <w:szCs w:val="18"/>
          <w:color w:val="auto"/>
        </w:rPr>
        <w:t>the offering price of $10.00 per Option Unit.</w:t>
      </w:r>
    </w:p>
    <w:p>
      <w:pPr>
        <w:spacing w:after="0" w:line="19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i w:val="1"/>
          <w:iCs w:val="1"/>
          <w:color w:val="auto"/>
        </w:rPr>
        <w:t>Exercise of Option</w:t>
      </w:r>
      <w:r>
        <w:rPr>
          <w:rFonts w:ascii="Arial" w:cs="Arial" w:eastAsia="Arial" w:hAnsi="Arial"/>
          <w:sz w:val="17"/>
          <w:szCs w:val="17"/>
          <w:color w:val="auto"/>
        </w:rPr>
        <w:t xml:space="preserve">. The Over-allotment Option granted pursuant to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hereof may be exercised by the Representative as to all (at any time) or any part (from time to time) of the Option Units within forty-five (45) days after the Effective Date. The Underwriters will not be under any obligation to purchase any Option Units prior to the exercise of the Over-allotment Option. The Over-allotment Option granted hereby may be exercised by the giving of oral notice to the Company from the Representative, which must be confirmed in writing by overnight mail, facsimile transmission or e-mail transmission setting forth the number of Option Units to be purchased and the date and time for delivery of and payment for the Option Units, which will not be later than five (5) Business Days after the date of the notice or such other time as shall be agreed upon by the Company and the Representative, at the offices of the Representative or at such other place or in such other manner as shall be agreed upon by the Company and the Representative. If such delivery and payment for the Option Units does not occur on the Closing Date, the date and time of the closing for such Option Units will be as set forth in the notice (hereinafter the “</w:t>
      </w:r>
      <w:r>
        <w:rPr>
          <w:rFonts w:ascii="Arial" w:cs="Arial" w:eastAsia="Arial" w:hAnsi="Arial"/>
          <w:sz w:val="17"/>
          <w:szCs w:val="17"/>
          <w:b w:val="1"/>
          <w:bCs w:val="1"/>
          <w:color w:val="auto"/>
        </w:rPr>
        <w:t>Option Closing Date</w:t>
      </w:r>
      <w:r>
        <w:rPr>
          <w:rFonts w:ascii="Arial" w:cs="Arial" w:eastAsia="Arial" w:hAnsi="Arial"/>
          <w:sz w:val="17"/>
          <w:szCs w:val="17"/>
          <w:color w:val="auto"/>
        </w:rPr>
        <w:t>”). Upon exercise of the Over-allotment Option, the Company will become obligated to convey to the Underwriters, and, subject to the terms and conditions set forth herein, the Underwriters will become obligated to purchase, the number of Option Units specified in such notice.</w:t>
      </w:r>
    </w:p>
    <w:p>
      <w:pPr>
        <w:spacing w:after="0" w:line="18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i w:val="1"/>
          <w:iCs w:val="1"/>
          <w:color w:val="auto"/>
        </w:rPr>
        <w:t>Payment and Delivery</w:t>
      </w:r>
      <w:r>
        <w:rPr>
          <w:rFonts w:ascii="Arial" w:cs="Arial" w:eastAsia="Arial" w:hAnsi="Arial"/>
          <w:sz w:val="18"/>
          <w:szCs w:val="18"/>
          <w:color w:val="auto"/>
        </w:rPr>
        <w:t>. Delivery and payment for the Option Units shall be made at 10:00 AM, New York time, on the Option Closing Date or at such earlier time as shall be agreed upon by the Representative and the Company at the offices of the Representative or at such other place as shall be agreed upon by the Representative and the Company. Payment for the Option Units shall be made at the Representative’s election by wire transfer in Federal (same day) funds or by certified or bank cashier’s check(s) in New York Clearing House funds, by deposit of the sum of $10.15 per Option Unit in the Trust Account pursuant to the Trust Agreement upon delivery to the Representative of certificates (in form and substance satisfactory to the Underwriters) representing the Option Units (or through the facilities of DTC) for the account of the Underwriters. The Option Units shall be registered in such name or names and in such authorized denominations as the Representative may request not less than two (2) Business Days prior to the Closing Date or the Option Closing Date, as the case may be, and will be made available to the Representative for inspection, checking and packaging at the aforesaid office of the Company’s transfer agent or correspondent not less than one (1) full Business Day prior to such Closing Date or Option Closing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1" w:name="page192"/>
    <w:bookmarkEnd w:id="191"/>
    <w:tbl>
      <w:tblPr>
        <w:tblLayout w:type="fixed"/>
        <w:tblInd w:w="660" w:type="dxa"/>
        <w:tblCellMar>
          <w:top w:w="0" w:type="dxa"/>
          <w:left w:w="0" w:type="dxa"/>
          <w:bottom w:w="0" w:type="dxa"/>
          <w:right w:w="0" w:type="dxa"/>
        </w:tblCellMar>
      </w:tblPr>
      <w:tr>
        <w:trPr>
          <w:trHeight w:val="207"/>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1.3</w:t>
            </w:r>
          </w:p>
        </w:tc>
        <w:tc>
          <w:tcPr>
            <w:tcW w:w="9720" w:type="dxa"/>
            <w:vAlign w:val="bottom"/>
            <w:gridSpan w:val="2"/>
          </w:tcPr>
          <w:p>
            <w:pPr>
              <w:spacing w:after="0"/>
              <w:rPr>
                <w:sz w:val="20"/>
                <w:szCs w:val="20"/>
                <w:color w:val="auto"/>
              </w:rPr>
            </w:pPr>
            <w:r>
              <w:rPr>
                <w:rFonts w:ascii="Arial" w:cs="Arial" w:eastAsia="Arial" w:hAnsi="Arial"/>
                <w:sz w:val="18"/>
                <w:szCs w:val="18"/>
                <w:color w:val="auto"/>
              </w:rPr>
              <w:t>[Reserved.]</w:t>
            </w:r>
          </w:p>
        </w:tc>
      </w:tr>
      <w:tr>
        <w:trPr>
          <w:trHeight w:val="20"/>
        </w:trPr>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r>
      <w:tr>
        <w:trPr>
          <w:trHeight w:val="453"/>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1.4</w:t>
            </w:r>
          </w:p>
        </w:tc>
        <w:tc>
          <w:tcPr>
            <w:tcW w:w="9720" w:type="dxa"/>
            <w:vAlign w:val="bottom"/>
            <w:gridSpan w:val="2"/>
          </w:tcPr>
          <w:p>
            <w:pPr>
              <w:spacing w:after="0"/>
              <w:rPr>
                <w:sz w:val="20"/>
                <w:szCs w:val="20"/>
                <w:color w:val="auto"/>
              </w:rPr>
            </w:pPr>
            <w:r>
              <w:rPr>
                <w:rFonts w:ascii="Arial" w:cs="Arial" w:eastAsia="Arial" w:hAnsi="Arial"/>
                <w:sz w:val="18"/>
                <w:szCs w:val="18"/>
                <w:color w:val="auto"/>
                <w:w w:val="91"/>
              </w:rPr>
              <w:t>Private Placement. Simultaneously with the Closing, Chardan NexTech 2 Warrant Holdings LLC ("Holdings") shall purchase from the</w:t>
            </w:r>
          </w:p>
        </w:tc>
      </w:tr>
    </w:tbl>
    <w:p>
      <w:pPr>
        <w:jc w:val="both"/>
        <w:spacing w:after="0" w:line="266" w:lineRule="auto"/>
        <w:rPr>
          <w:sz w:val="20"/>
          <w:szCs w:val="20"/>
          <w:color w:val="auto"/>
        </w:rPr>
      </w:pPr>
      <w:r>
        <w:rPr>
          <w:rFonts w:ascii="Arial" w:cs="Arial" w:eastAsia="Arial" w:hAnsi="Arial"/>
          <w:sz w:val="17"/>
          <w:szCs w:val="17"/>
          <w:color w:val="auto"/>
        </w:rPr>
        <w:t>Company, pursuant to the Subscription Agreement (as defined in Section 2.24.2 hereof) an aggregate of 4,200,000 warrants (or up to 4,442,183 warrants depending on the extent to which the underwriters’ over-allotment option is exercised) (the “</w:t>
      </w:r>
      <w:r>
        <w:rPr>
          <w:rFonts w:ascii="Arial" w:cs="Arial" w:eastAsia="Arial" w:hAnsi="Arial"/>
          <w:sz w:val="17"/>
          <w:szCs w:val="17"/>
          <w:b w:val="1"/>
          <w:bCs w:val="1"/>
          <w:color w:val="auto"/>
        </w:rPr>
        <w:t>Placement Warrants</w:t>
      </w:r>
      <w:r>
        <w:rPr>
          <w:rFonts w:ascii="Arial" w:cs="Arial" w:eastAsia="Arial" w:hAnsi="Arial"/>
          <w:sz w:val="17"/>
          <w:szCs w:val="17"/>
          <w:color w:val="auto"/>
        </w:rPr>
        <w:t>”) at a purchase price of approximately $0.93 per Placement Warrant in a private placement (the “</w:t>
      </w:r>
      <w:r>
        <w:rPr>
          <w:rFonts w:ascii="Arial" w:cs="Arial" w:eastAsia="Arial" w:hAnsi="Arial"/>
          <w:sz w:val="17"/>
          <w:szCs w:val="17"/>
          <w:b w:val="1"/>
          <w:bCs w:val="1"/>
          <w:color w:val="auto"/>
        </w:rPr>
        <w:t>Private Placement</w:t>
      </w:r>
      <w:r>
        <w:rPr>
          <w:rFonts w:ascii="Arial" w:cs="Arial" w:eastAsia="Arial" w:hAnsi="Arial"/>
          <w:sz w:val="17"/>
          <w:szCs w:val="17"/>
          <w:color w:val="auto"/>
        </w:rPr>
        <w:t>”). The Placement Warrants and the shares of Common Stock underlying the Placement Warrants are hereinafter referred to collectively as the “</w:t>
      </w:r>
      <w:r>
        <w:rPr>
          <w:rFonts w:ascii="Arial" w:cs="Arial" w:eastAsia="Arial" w:hAnsi="Arial"/>
          <w:sz w:val="17"/>
          <w:szCs w:val="17"/>
          <w:b w:val="1"/>
          <w:bCs w:val="1"/>
          <w:color w:val="auto"/>
        </w:rPr>
        <w:t>Placement Securities</w:t>
      </w:r>
      <w:r>
        <w:rPr>
          <w:rFonts w:ascii="Arial" w:cs="Arial" w:eastAsia="Arial" w:hAnsi="Arial"/>
          <w:sz w:val="17"/>
          <w:szCs w:val="17"/>
          <w:color w:val="auto"/>
        </w:rPr>
        <w:t>,” and the Public Securities and the Placement Securities are hereinafter referred to collectively as the “</w:t>
      </w:r>
      <w:r>
        <w:rPr>
          <w:rFonts w:ascii="Arial" w:cs="Arial" w:eastAsia="Arial" w:hAnsi="Arial"/>
          <w:sz w:val="17"/>
          <w:szCs w:val="17"/>
          <w:b w:val="1"/>
          <w:bCs w:val="1"/>
          <w:color w:val="auto"/>
        </w:rPr>
        <w:t>Securities</w:t>
      </w:r>
      <w:r>
        <w:rPr>
          <w:rFonts w:ascii="Arial" w:cs="Arial" w:eastAsia="Arial" w:hAnsi="Arial"/>
          <w:sz w:val="17"/>
          <w:szCs w:val="17"/>
          <w:color w:val="auto"/>
        </w:rPr>
        <w:t>.” Each Placement Warrant shall be identical to the Warrants sold in the Offering except that the Placement Warrants (a) shall be non-redeemable by the Company, (b) may not, subject to certain limited exceptions, be transferred, assigned or sold by the initial purchaser until thirty (30) days after the completion of the Company’s initial business combination and (c) may be exercised for cash or on a cashless basis, as described in the Prospectus, in each case so long as the Placement Warrants continue to be held by the initial purchasers of the Placement Warrants or their permitted transferees (as described in the Subscription Agreements and the Warrant Agreement (as defined in Section 2.22 hereof)). There will be no placement agent in the Private Placement and no party shall be entitled to a placement fee or expense allowance from the sale of the Placement Securities. Pursuant to Rule 5110(g)(1) of FINRA’s (as defined below) Rules, the Placement Warrants are subject to a lock-up for a period of 180 days immediately following the Effective Date of the Registration Statement or the commencement of sales in the Offering and, for that 180 day period following the Effective Date, may not be sold, transferred, assigned, pledged or hypothecated, or be subject of any hedging, short sale, derivative or put or call transaction that would result in the economic disposition of the securities. Pursuant to Rule 5110(g)(8) of FINRA’s Rules, Chardan Capital Markets, LLC and its related persons may not, with respect to the Placement Warrants (and the shares that are issuable upon exercise of the Placement Warrants) purchased by Holdings, (i) have more than one demand registration right at the Company’s expense, (ii) exercise their demand registration rights more than five (5) years from the effective date of the Registration Statement, and (iii) exercise their “piggy-back” registration rights more than seven (7) years from the effective date of the Registration Statement, as long as Chardan Capital Markets, LLC or any of its related persons are beneficial owners of Placement Warrants.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Qualified Independent Underwriter</w:t>
      </w:r>
      <w:r>
        <w:rPr>
          <w:rFonts w:ascii="Arial" w:cs="Arial" w:eastAsia="Arial" w:hAnsi="Arial"/>
          <w:sz w:val="18"/>
          <w:szCs w:val="18"/>
          <w:color w:val="auto"/>
        </w:rPr>
        <w:t>. The Company hereby confirms its engagement of [●] (“</w:t>
      </w:r>
      <w:r>
        <w:rPr>
          <w:rFonts w:ascii="Arial" w:cs="Arial" w:eastAsia="Arial" w:hAnsi="Arial"/>
          <w:sz w:val="18"/>
          <w:szCs w:val="18"/>
          <w:b w:val="1"/>
          <w:bCs w:val="1"/>
          <w:color w:val="auto"/>
        </w:rPr>
        <w:t>[●]</w:t>
      </w:r>
      <w:r>
        <w:rPr>
          <w:rFonts w:ascii="Arial" w:cs="Arial" w:eastAsia="Arial" w:hAnsi="Arial"/>
          <w:sz w:val="18"/>
          <w:szCs w:val="18"/>
          <w:color w:val="auto"/>
        </w:rPr>
        <w:t>”) as, and [●] hereby confirms its agreement with the Company to render services as, the “qualified independent underwriter,” within the meaning of Rule 5121 of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 with respect to the offering and sale of the Public Securities. [●], solely in its capacity as the qualified independent underwriter and not otherwise, is referred to herein as the “</w:t>
      </w:r>
      <w:r>
        <w:rPr>
          <w:rFonts w:ascii="Arial" w:cs="Arial" w:eastAsia="Arial" w:hAnsi="Arial"/>
          <w:sz w:val="18"/>
          <w:szCs w:val="18"/>
          <w:b w:val="1"/>
          <w:bCs w:val="1"/>
          <w:color w:val="auto"/>
        </w:rPr>
        <w:t>QIU</w:t>
      </w:r>
      <w:r>
        <w:rPr>
          <w:rFonts w:ascii="Arial" w:cs="Arial" w:eastAsia="Arial" w:hAnsi="Arial"/>
          <w:sz w:val="18"/>
          <w:szCs w:val="18"/>
          <w:color w:val="auto"/>
        </w:rPr>
        <w:t>.” As compensation for services rendered, on the Closing Date, the Company shall pay to the QIU, by wire transfer of immediately available funds on the Closing Date, a fee of $[100,000] from the total underwriting discount. [●] hereby consents to the reference to it as set forth under the heading “Underwriting (Conflicts of Interest)” in the Preliminary Prospectus and the Prospectus (as defined herein) and any amendment or supplement thereto.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2" w:name="page193"/>
    <w:bookmarkEnd w:id="192"/>
    <w:p>
      <w:pPr>
        <w:ind w:left="960" w:hanging="952"/>
        <w:spacing w:after="0"/>
        <w:tabs>
          <w:tab w:leader="none" w:pos="960"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 of the Company</w:t>
      </w:r>
      <w:r>
        <w:rPr>
          <w:rFonts w:ascii="Arial" w:cs="Arial" w:eastAsia="Arial" w:hAnsi="Arial"/>
          <w:sz w:val="17"/>
          <w:szCs w:val="17"/>
          <w:color w:val="auto"/>
        </w:rPr>
        <w:t>. The Company represents and warrants to the Underwriters and the QIU as follows:</w:t>
      </w:r>
    </w:p>
    <w:p>
      <w:pPr>
        <w:spacing w:after="0" w:line="24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Filing of Registration Statement</w:t>
      </w:r>
      <w:r>
        <w:rPr>
          <w:rFonts w:ascii="Arial" w:cs="Arial" w:eastAsia="Arial" w:hAnsi="Arial"/>
          <w:sz w:val="16"/>
          <w:szCs w:val="16"/>
          <w:color w:val="auto"/>
        </w:rPr>
        <w:t>.</w:t>
      </w:r>
    </w:p>
    <w:p>
      <w:pPr>
        <w:spacing w:after="0" w:line="221"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i w:val="1"/>
          <w:iCs w:val="1"/>
          <w:color w:val="auto"/>
        </w:rPr>
        <w:t>Pursuant to the Act</w:t>
      </w:r>
      <w:r>
        <w:rPr>
          <w:rFonts w:ascii="Arial" w:cs="Arial" w:eastAsia="Arial" w:hAnsi="Arial"/>
          <w:sz w:val="16"/>
          <w:szCs w:val="16"/>
          <w:color w:val="auto"/>
        </w:rPr>
        <w:t>. 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and an amendment or amendments thereto, on Form S-1 (File No. 333-254010), including any related preliminary prospectus (the “</w:t>
      </w:r>
      <w:r>
        <w:rPr>
          <w:rFonts w:ascii="Arial" w:cs="Arial" w:eastAsia="Arial" w:hAnsi="Arial"/>
          <w:sz w:val="16"/>
          <w:szCs w:val="16"/>
          <w:b w:val="1"/>
          <w:bCs w:val="1"/>
          <w:color w:val="auto"/>
        </w:rPr>
        <w:t>Preliminary</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including any prospectus that is included in the Registration Statement immediately prior to the effectiveness of the Registration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registration of the Public Securities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which registration statement and amendment or amendments have been prepared by the Company in conformity in all material respects with the requirements of the Act, and the rules and regulations (the “</w:t>
      </w:r>
      <w:r>
        <w:rPr>
          <w:rFonts w:ascii="Arial" w:cs="Arial" w:eastAsia="Arial" w:hAnsi="Arial"/>
          <w:sz w:val="16"/>
          <w:szCs w:val="16"/>
          <w:b w:val="1"/>
          <w:bCs w:val="1"/>
          <w:color w:val="auto"/>
        </w:rPr>
        <w:t>Regulations</w:t>
      </w:r>
      <w:r>
        <w:rPr>
          <w:rFonts w:ascii="Arial" w:cs="Arial" w:eastAsia="Arial" w:hAnsi="Arial"/>
          <w:sz w:val="16"/>
          <w:szCs w:val="16"/>
          <w:color w:val="auto"/>
        </w:rPr>
        <w:t>”) of the Commission under the Act. The conditions for use of Form S-1 to register the Offering under the Act, as set forth in the General Instructions to such Form, have been satisfied in all material respects. Except as the context may otherwise require, such registration statement, as amended, on file with the Commission at the time the registration statement becomes effective (including the prospectus, financial statements, schedules, exhibits and all other documents filed as a part thereof or incorporated therein and all information deemed to be a part thereof as of such time pursuant to Rule 430A of the Regulations), is hereinafter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form of the final prospectus dated the Effective Date included in the Registration Statement (or, if applicable, the form of final prospectus containing information permitted to be omitted at the time of effectiveness by Rule 430A of the Regulations filed with the Commission pursuant to Rule 424 of the Regulations), is hereinafter called the “</w:t>
      </w:r>
      <w:r>
        <w:rPr>
          <w:rFonts w:ascii="Arial" w:cs="Arial" w:eastAsia="Arial" w:hAnsi="Arial"/>
          <w:sz w:val="16"/>
          <w:szCs w:val="16"/>
          <w:b w:val="1"/>
          <w:bCs w:val="1"/>
          <w:color w:val="auto"/>
        </w:rPr>
        <w:t>Prospectus</w:t>
      </w:r>
      <w:r>
        <w:rPr>
          <w:rFonts w:ascii="Arial" w:cs="Arial" w:eastAsia="Arial" w:hAnsi="Arial"/>
          <w:sz w:val="16"/>
          <w:szCs w:val="16"/>
          <w:color w:val="auto"/>
        </w:rPr>
        <w:t>.” For purposes of this Agreement, “</w:t>
      </w:r>
      <w:r>
        <w:rPr>
          <w:rFonts w:ascii="Arial" w:cs="Arial" w:eastAsia="Arial" w:hAnsi="Arial"/>
          <w:sz w:val="16"/>
          <w:szCs w:val="16"/>
          <w:b w:val="1"/>
          <w:bCs w:val="1"/>
          <w:color w:val="auto"/>
        </w:rPr>
        <w:t>Time of Sale</w:t>
      </w:r>
      <w:r>
        <w:rPr>
          <w:rFonts w:ascii="Arial" w:cs="Arial" w:eastAsia="Arial" w:hAnsi="Arial"/>
          <w:sz w:val="16"/>
          <w:szCs w:val="16"/>
          <w:color w:val="auto"/>
        </w:rPr>
        <w:t>”, as used in the Act, means [●] p.m., New York City time, on the date of this Agreement. If the Company has filed, or is required pursuant to the terms hereof to file, a registration statement pursuant to Rule 462(b) under the Securities Act registering the Public Securities (a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then, unless otherwise specified,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such Rule 462(b) Registration Statement. Other than a Rule 462(b) Registration Statement, which, if filed, becomes effective upon filing, no other document with respect to the Registration Statement has heretofore been filed with the Commission. All of the Public Securities have been registered under the Act pursuant to the Registration Statement or, if any Rule 462(b) Registration Statement is filed, will be duly registered under the Securities Act with the filing of such Rule 462(b) Registration Statement. The Registration Statement has been declared effective by the Commission on the date hereof. If, subsequent to the date of this Agreement, the Company or the Representative has determined that at the Time of Sale the Prospectus included an untrue statement of a material fact or omitted a statement of material fact necessary to make the statements therein, in light of the circumstances under which they were made, not misleading, and have agreed to provide an opportunity to purchasers of the Units to terminate their old purchase contracts and enter into new purchase contracts, the Prospectus will be deemed to include any additional information available to purchasers at the time of entry into the first such new purchase contract.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jc w:val="both"/>
        <w:ind w:firstLine="1296"/>
        <w:spacing w:after="0" w:line="259" w:lineRule="auto"/>
        <w:rPr>
          <w:sz w:val="20"/>
          <w:szCs w:val="20"/>
          <w:color w:val="auto"/>
        </w:rPr>
      </w:pPr>
      <w:r>
        <w:rPr>
          <w:rFonts w:ascii="Arial" w:cs="Arial" w:eastAsia="Arial" w:hAnsi="Arial"/>
          <w:sz w:val="18"/>
          <w:szCs w:val="18"/>
          <w:i w:val="1"/>
          <w:iCs w:val="1"/>
          <w:color w:val="auto"/>
        </w:rPr>
        <w:t>2.1.2 Pursuant to the Exchange Act</w:t>
      </w:r>
      <w:r>
        <w:rPr>
          <w:rFonts w:ascii="Arial" w:cs="Arial" w:eastAsia="Arial" w:hAnsi="Arial"/>
          <w:sz w:val="18"/>
          <w:szCs w:val="18"/>
          <w:color w:val="auto"/>
        </w:rPr>
        <w:t>. The Company has filed with the Commission a Form 8-A (Registration No. 001-[●]),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registration under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of the Units, the Common Stock and the Warrants. The registration of the Units, Common Stock and Warrants under the Exchange Act will be declared effective by the Commission on or prior to the Effective Date.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No Stop Orders, Etc</w:t>
      </w:r>
      <w:r>
        <w:rPr>
          <w:rFonts w:ascii="Arial" w:cs="Arial" w:eastAsia="Arial" w:hAnsi="Arial"/>
          <w:sz w:val="18"/>
          <w:szCs w:val="18"/>
          <w:color w:val="auto"/>
        </w:rPr>
        <w:t>. Neither the Commission nor, to the best of the Company’s knowledge, any state regulatory authority has issued any order or threatened to issue any order preventing or suspending the use of any Preliminary Prospectus or has instituted or, to the best of the Company’s knowledge, threatened to institute any proceedings with respect to such an order.</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Disclosures in Registration Statement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i w:val="1"/>
          <w:iCs w:val="1"/>
          <w:color w:val="auto"/>
        </w:rPr>
        <w:t>10b-5 Representation</w:t>
      </w:r>
      <w:r>
        <w:rPr>
          <w:rFonts w:ascii="Arial" w:cs="Arial" w:eastAsia="Arial" w:hAnsi="Arial"/>
          <w:sz w:val="16"/>
          <w:szCs w:val="16"/>
          <w:color w:val="auto"/>
        </w:rPr>
        <w:t xml:space="preserve">. At the time the Registration Statement became effective, upon the filing or first use (within the meaning of the Regulations) of the Prospectus and at the Closing Date and the Option Closing Date, if any, the Registration Statement and the Prospectus contained or will contain all material statements that are required to be stated therein in accordance with the Act and the Regulations, and did or will in all material respects conform to the requirements of the Act and the Regulations. Neither the Registration Statement nor any Preliminary Prospectus or the Prospectus, nor any amendment or supplement thereto, on their respective dates, did or will contain any untrue statement of a material fact or omit to state any material fact required to be stated therein or necessary to make the statements therein (in the case of the Preliminary Prospectus and the Prospectus, in light of the circumstances under which they were made), not misleading. When any Preliminary Prospectus was first filed with the Commission (whether filed as part of the Registration Statement for the registration of the Public Securities or any amendment thereto or pursuant to Rule 424(a) of the Regulations) or first used (within the meaning of the Regulations) and when any amendment thereof or supplement thereto was first filed with the Commission or first used (within the meaning of the Regulations), such Preliminary Prospectus and any amendments thereof and supplements thereto complied or will have been corrected in the Prospectus to comply in all material respects with the applicable provisions of the Act and the Regulations and did not and will not contain an untrue statement of a material fact or omit to state any material fact required to be stated therein or necessary in order to make the statements therein, in light of the circumstances under which they were made, not misleading. The representation and warranty made in this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does not apply to statements made or statements omitted in reliance upon and in conformity with written information furnished to the Company with respect to the Underwriters by the Representative expressly for use in the Registration Statement or Prospectus or any amendment thereof or supplement thereto. It is understood that the following identified statements set forth in the Prospectus under the heading “Underwriting” constitute, for the purposes of this Agreement, information furnished by the Representative with respect to the Underwriters: (i) the table of underwriters in the first paragraph of “Underwriting”, (ii) the first paragraph of the Underwriting subsection “Pricing of this Offering,” (iii) the Underwriting subsection “Regulatory Restrictions on Purchase of Securities” and (iv) the Underwriting subsection “Resale Restrictions.”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p>
      <w:pPr>
        <w:jc w:val="both"/>
        <w:ind w:firstLine="1296"/>
        <w:spacing w:after="0" w:line="285"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i w:val="1"/>
          <w:iCs w:val="1"/>
          <w:color w:val="auto"/>
        </w:rPr>
        <w:t>Disclosure of Agreements</w:t>
      </w:r>
      <w:r>
        <w:rPr>
          <w:rFonts w:ascii="Arial" w:cs="Arial" w:eastAsia="Arial" w:hAnsi="Arial"/>
          <w:sz w:val="16"/>
          <w:szCs w:val="16"/>
          <w:color w:val="auto"/>
        </w:rPr>
        <w:t>. The agreements and documents described in the Registration Statement, the Preliminary Prospectus and the Prospectus conform to the descriptions thereof contained therein and there are no agreements or other documents required to be described in the Registration Statement, the Preliminary Prospectus or the Prospectus or to be filed with the Commission as exhibits to the Registration Statement, that have not been so described or filed. Each agreement or other instrument (however characterized or described) to which the Company is a party or by which its property or business is or may be bound or affected and (i) that is referred to in the Registration Statement, Preliminary Prospectus or the Prospectus or attached as an exhibit thereto, or (ii) is material to the Company’s business, has been duly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and none of such agreements or instruments has been assigned by the Company, and neither the Company nor, to the Company’s knowledge, any other party is in breach or default thereunder and, to the Company’s knowledge, no event has occurred that, with the lapse of time or the giving of notice, or both, would constitute a breach or default thereunder. To the Company’s knowledge, performance by the Company of the material provisions of such agreements or instruments will not result in a material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17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i w:val="1"/>
          <w:iCs w:val="1"/>
          <w:color w:val="auto"/>
        </w:rPr>
        <w:t>Prior Securities Transactions</w:t>
      </w:r>
      <w:r>
        <w:rPr>
          <w:rFonts w:ascii="Arial" w:cs="Arial" w:eastAsia="Arial" w:hAnsi="Arial"/>
          <w:sz w:val="18"/>
          <w:szCs w:val="18"/>
          <w:color w:val="auto"/>
        </w:rPr>
        <w:t>. No securities of the Company have been sold by the Company or by or on behalf of, or for the benefit of, any person or persons controlling, controlled by, or under common control with the Company since the date of the Company’s formation, except as disclosed in the Registration Statement.</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i w:val="1"/>
          <w:iCs w:val="1"/>
          <w:color w:val="auto"/>
        </w:rPr>
        <w:t>Regulations</w:t>
      </w:r>
      <w:r>
        <w:rPr>
          <w:rFonts w:ascii="Arial" w:cs="Arial" w:eastAsia="Arial" w:hAnsi="Arial"/>
          <w:sz w:val="18"/>
          <w:szCs w:val="18"/>
          <w:color w:val="auto"/>
        </w:rPr>
        <w:t>. The disclosures in the Registration Statement, the Preliminary Prospectus and the Prospectus concerning the effects of Federal, state and local regulation on the Company’s business as currently contemplated fairly summarize, to the best of the Company’s knowledge, such effects and do not omit to state a material fact necessary to make the statements therein, in light of the circumstances in which they were made, not misleading.</w:t>
      </w:r>
    </w:p>
    <w:p>
      <w:pPr>
        <w:spacing w:after="0" w:line="18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Changes After Dates in Registration Statement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i w:val="1"/>
          <w:iCs w:val="1"/>
          <w:color w:val="auto"/>
        </w:rPr>
        <w:t>No Material Adverse Change</w:t>
      </w:r>
      <w:r>
        <w:rPr>
          <w:rFonts w:ascii="Arial" w:cs="Arial" w:eastAsia="Arial" w:hAnsi="Arial"/>
          <w:sz w:val="18"/>
          <w:szCs w:val="18"/>
          <w:color w:val="auto"/>
        </w:rPr>
        <w:t>. Except as contemplated in the Prospectus or specifically stated therein, since the respective dates as of which information is given in the Registration Statement, any Preliminary Prospectus and/or the Prospectus: (i) there has been no material adverse change in the condition, financial or otherwise, or business prospects of the Company; (ii) there have been no material transactions entered into by the Company, other than as contemplated pursuant to this Agreement; (iii) no member of the Company’s board of directors or management has resigned from any position with the Company and (iv) no event or occurrence has taken place which materially impairs, or would likely materially impair, with the passage of time, the ability of the members of the Company’s board of directors or management to act in their capacities with the Company as described in the Registration Statement and the Prospectus.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5" w:name="page196"/>
    <w:bookmarkEnd w:id="195"/>
    <w:p>
      <w:pPr>
        <w:jc w:val="both"/>
        <w:ind w:firstLine="1296"/>
        <w:spacing w:after="0" w:line="259"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i w:val="1"/>
          <w:iCs w:val="1"/>
          <w:color w:val="auto"/>
        </w:rPr>
        <w:t>Recent Securities Transactions, Etc</w:t>
      </w:r>
      <w:r>
        <w:rPr>
          <w:rFonts w:ascii="Arial" w:cs="Arial" w:eastAsia="Arial" w:hAnsi="Arial"/>
          <w:sz w:val="18"/>
          <w:szCs w:val="18"/>
          <w:color w:val="auto"/>
        </w:rPr>
        <w:t>. Except as contemplated in the Prospectus, subsequent to the respective dates as of which information is given in the Registration Statement and the Prospectus, and except as may otherwise be indicated or contemplated herein or therein, the Company has not: (i) issued any securities or incurred any liability or obligation, direct or contingent, for borrowed money; or (ii) declared or paid any dividend or made any other distribution on or in respect to its capital stock.</w:t>
      </w:r>
    </w:p>
    <w:p>
      <w:pPr>
        <w:spacing w:after="0" w:line="1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Independent Accountants</w:t>
      </w:r>
      <w:r>
        <w:rPr>
          <w:rFonts w:ascii="Arial" w:cs="Arial" w:eastAsia="Arial" w:hAnsi="Arial"/>
          <w:sz w:val="17"/>
          <w:szCs w:val="17"/>
          <w:color w:val="auto"/>
        </w:rPr>
        <w:t>. To the best of the Company’s knowledge, WithumSmith+Brown, PC (“</w:t>
      </w:r>
      <w:r>
        <w:rPr>
          <w:rFonts w:ascii="Arial" w:cs="Arial" w:eastAsia="Arial" w:hAnsi="Arial"/>
          <w:sz w:val="17"/>
          <w:szCs w:val="17"/>
          <w:b w:val="1"/>
          <w:bCs w:val="1"/>
          <w:color w:val="auto"/>
        </w:rPr>
        <w:t>Withum</w:t>
      </w:r>
      <w:r>
        <w:rPr>
          <w:rFonts w:ascii="Arial" w:cs="Arial" w:eastAsia="Arial" w:hAnsi="Arial"/>
          <w:sz w:val="17"/>
          <w:szCs w:val="17"/>
          <w:color w:val="auto"/>
        </w:rPr>
        <w:t>”), whose report is filed with the Commission as part of the Registration Statement and included in the Registration Statement, the Preliminary Prospectus and the Prospectus, are independent accountants as required by the Act and the Regulations and the Public Company Accounting Oversight Board (including the rules and regulations promulgated by such entity, the “</w:t>
      </w:r>
      <w:r>
        <w:rPr>
          <w:rFonts w:ascii="Arial" w:cs="Arial" w:eastAsia="Arial" w:hAnsi="Arial"/>
          <w:sz w:val="17"/>
          <w:szCs w:val="17"/>
          <w:b w:val="1"/>
          <w:bCs w:val="1"/>
          <w:color w:val="auto"/>
        </w:rPr>
        <w:t>PCAOB</w:t>
      </w:r>
      <w:r>
        <w:rPr>
          <w:rFonts w:ascii="Arial" w:cs="Arial" w:eastAsia="Arial" w:hAnsi="Arial"/>
          <w:sz w:val="17"/>
          <w:szCs w:val="17"/>
          <w:color w:val="auto"/>
        </w:rPr>
        <w:t>”). To the best of the Company’s knowledge, Withum is duly registered and in good standing with the PCAOB. Withum has not, during the periods covered by the financial statements included in the Registration Statement and the Prospectus, provided to the Company any non-audit services, as such term is used in Section 10A(g) of the Exchange Act.</w:t>
      </w:r>
    </w:p>
    <w:p>
      <w:pPr>
        <w:spacing w:after="0" w:line="17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Financial Statements; Statistical Data</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i w:val="1"/>
          <w:iCs w:val="1"/>
          <w:color w:val="auto"/>
        </w:rPr>
        <w:t>Financial Statements</w:t>
      </w:r>
      <w:r>
        <w:rPr>
          <w:rFonts w:ascii="Arial" w:cs="Arial" w:eastAsia="Arial" w:hAnsi="Arial"/>
          <w:sz w:val="16"/>
          <w:szCs w:val="16"/>
          <w:color w:val="auto"/>
        </w:rPr>
        <w:t>. The financial statements, including the notes thereto and supporting schedules included in the Registration Statement, the Preliminary Prospectus and the Prospectus fairly present the financial position and the results of operations of the Company at the dates and for the periods to which they apply; and such financial statements have been prepared in conformity with generally accepted accounting principles, consistently applied throughout the periods involved; and the supporting schedules included in the Registration Statement present fairly the information required to be stated therein. To the best of the Company’s knowledge, no other financial statements or supporting schedules are required to be included or incorporated by reference in the Registration Statement, the Preliminary Prospectus or the Prospectus. The Registration Statement, the Preliminary Prospectus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To the best of the Company’s knowledge, there are no pro forma or as adjusted financial statements which are required to be included in the Registration Statement and the Prospectus in accordance with Regulation S-X which have not been included as so required.</w:t>
      </w:r>
    </w:p>
    <w:p>
      <w:pPr>
        <w:spacing w:after="0" w:line="17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i w:val="1"/>
          <w:iCs w:val="1"/>
          <w:color w:val="auto"/>
        </w:rPr>
        <w:t>Statistical Data</w:t>
      </w:r>
      <w:r>
        <w:rPr>
          <w:rFonts w:ascii="Arial" w:cs="Arial" w:eastAsia="Arial" w:hAnsi="Arial"/>
          <w:sz w:val="18"/>
          <w:szCs w:val="18"/>
          <w:color w:val="auto"/>
        </w:rPr>
        <w:t>. The statistical, industry-related and market-related data included in the Registration Statement, the Preliminary Prospectus and the Prospectus, if any, are based on or derived from sources which the Company reasonably and in good faith believes are reliable and accurate, and such data agree with the sources from which they are derived.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6" w:name="page197"/>
    <w:bookmarkEnd w:id="196"/>
    <w:p>
      <w:pPr>
        <w:jc w:val="both"/>
        <w:ind w:firstLine="648"/>
        <w:spacing w:after="0" w:line="271"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Authorized Capital; Options, Etc</w:t>
      </w:r>
      <w:r>
        <w:rPr>
          <w:rFonts w:ascii="Arial" w:cs="Arial" w:eastAsia="Arial" w:hAnsi="Arial"/>
          <w:sz w:val="17"/>
          <w:szCs w:val="17"/>
          <w:color w:val="auto"/>
        </w:rPr>
        <w:t>. The Company had at the date or dates indicated in the Registration Statement, the Preliminary Prospectus and the Prospectus, as the case may be, duly authorized, issued and outstanding capitalization as set forth in the Registration Statement, the Preliminary Prospectus and the Prospectus. Based on the assumptions stated in the Registration Statement, the Preliminary Prospectus and the Prospectus, the Company will have on the Closing Date the adjusted stock capitalization set forth therein. Except as set forth in, or contemplated by, the Registration Statement, the Preliminary Prospectus and the Prospectus, on the Effective Date of the Prospectus and on the Closing Date and the Option Closing Date, if any, there will be no options, warrants, or other rights to purchase or otherwise acquire any authorized, but unissued shares of Common Stock of the Company or any security convertible into shares of Common Stock of the Company, or any contracts or commitments to issue or sell shares of Common Stock or any such options, warrants, rights or convertible securities.</w:t>
      </w:r>
    </w:p>
    <w:p>
      <w:pPr>
        <w:spacing w:after="0" w:line="17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Valid Issuance of Securities, Etc</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2.8.1 </w:t>
      </w:r>
      <w:r>
        <w:rPr>
          <w:rFonts w:ascii="Arial" w:cs="Arial" w:eastAsia="Arial" w:hAnsi="Arial"/>
          <w:sz w:val="16"/>
          <w:szCs w:val="16"/>
          <w:i w:val="1"/>
          <w:iCs w:val="1"/>
          <w:color w:val="auto"/>
        </w:rPr>
        <w:t>Outstanding Securities</w:t>
      </w:r>
      <w:r>
        <w:rPr>
          <w:rFonts w:ascii="Arial" w:cs="Arial" w:eastAsia="Arial" w:hAnsi="Arial"/>
          <w:sz w:val="16"/>
          <w:szCs w:val="16"/>
          <w:color w:val="auto"/>
        </w:rPr>
        <w:t>. All issued and outstanding securities of the Company (including, without limitation, the Placement Securities)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Securities conform in all material respects to all statements relating thereto contained in the Registration Statement, the Preliminary Prospectus and the Prospectus. Subject to the disclosure contained in the Registration Statement, the Preliminary Prospectus and the Prospectus with respect to the Placement Securities, the offers and sales of the outstanding shares of Common Stock were at all relevant times either registered under the Act and the applicable state securities or Blue Sky laws or, based in part on the representations and warranties of the purchasers of such shares, exempt from such registration requirements.</w:t>
      </w:r>
    </w:p>
    <w:p>
      <w:pPr>
        <w:spacing w:after="0" w:line="16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2.8.2 </w:t>
      </w:r>
      <w:r>
        <w:rPr>
          <w:rFonts w:ascii="Arial" w:cs="Arial" w:eastAsia="Arial" w:hAnsi="Arial"/>
          <w:sz w:val="18"/>
          <w:szCs w:val="18"/>
          <w:i w:val="1"/>
          <w:iCs w:val="1"/>
          <w:color w:val="auto"/>
        </w:rPr>
        <w:t>Securities Sold</w:t>
      </w:r>
      <w:r>
        <w:rPr>
          <w:rFonts w:ascii="Arial" w:cs="Arial" w:eastAsia="Arial" w:hAnsi="Arial"/>
          <w:sz w:val="18"/>
          <w:szCs w:val="18"/>
          <w:color w:val="auto"/>
        </w:rPr>
        <w:t>. The Securities have been duly authorized and reserved for issuance and when issued and paid for, will be validly issued, fully paid and non-assessable; the holders thereof are not and will not be subject to personal liability by reason of being such holders; the Securities are not and will not be subject to the preemptive rights of any holders of any security of the Company or similar contractual rights granted by the Company; and all corporate actions required to be taken for the authorization, issuance and sale of the Securities have been duly and validly taken. The Securities conform in all material respects to all statements with respect thereto contained in the Registration Statement, the Preliminary Prospectus and the Prospectus, as the case may be.</w:t>
      </w:r>
    </w:p>
    <w:p>
      <w:pPr>
        <w:spacing w:after="0" w:line="19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2.8.3 </w:t>
      </w:r>
      <w:r>
        <w:rPr>
          <w:rFonts w:ascii="Arial" w:cs="Arial" w:eastAsia="Arial" w:hAnsi="Arial"/>
          <w:sz w:val="16"/>
          <w:szCs w:val="16"/>
          <w:i w:val="1"/>
          <w:iCs w:val="1"/>
          <w:color w:val="auto"/>
        </w:rPr>
        <w:t>Placement Securities</w:t>
      </w:r>
      <w:r>
        <w:rPr>
          <w:rFonts w:ascii="Arial" w:cs="Arial" w:eastAsia="Arial" w:hAnsi="Arial"/>
          <w:sz w:val="16"/>
          <w:szCs w:val="16"/>
          <w:color w:val="auto"/>
        </w:rPr>
        <w:t>. The Placement Securities have been duly authorized and reserved for issuance and when issued and paid for, will be validly issued, fully paid and non-assessable; the Placement Securities are not and will not be subject to the preemptive rights of any holders of any security of the Company or similar contractual rights granted by the Company; and all corporate actions required to be taken for the authorization, issuance and sale of the Placement Securities have been duly and validly taken. When issued, the Placement Warrants will constitute valid and binding obligations of the Company to issue and sell, upon exercise thereof and payment of the exercise price therefor, the number and type of securities of the Company called for thereby in accordance with the terms thereof, and such Placement Warrants are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federal and state securities laws; and (iii) that the remedy of specific performance and injunctive and other forms of equitable relief may be subject to the equitable defenses and to the discretion of the court before which any proceeding therefor may be brought. The shares of Common Stock underlying the Placement Warrants have been reserved for issuance upon the exercise of the Placement Warrants and, when issued in accordance with the terms of the Placement Warrants, will be duly and validly authorized, validly issued, fully paid and non-assessable, and the holders thereof are not and will not be subject to personal liability by reason of being such holders.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jc w:val="both"/>
        <w:ind w:firstLine="1296"/>
        <w:spacing w:after="0" w:line="259" w:lineRule="auto"/>
        <w:rPr>
          <w:sz w:val="20"/>
          <w:szCs w:val="20"/>
          <w:color w:val="auto"/>
        </w:rPr>
      </w:pPr>
      <w:r>
        <w:rPr>
          <w:rFonts w:ascii="Arial" w:cs="Arial" w:eastAsia="Arial" w:hAnsi="Arial"/>
          <w:sz w:val="18"/>
          <w:szCs w:val="18"/>
          <w:color w:val="auto"/>
        </w:rPr>
        <w:t xml:space="preserve">2.8.4 </w:t>
      </w:r>
      <w:r>
        <w:rPr>
          <w:rFonts w:ascii="Arial" w:cs="Arial" w:eastAsia="Arial" w:hAnsi="Arial"/>
          <w:sz w:val="18"/>
          <w:szCs w:val="18"/>
          <w:i w:val="1"/>
          <w:iCs w:val="1"/>
          <w:color w:val="auto"/>
        </w:rPr>
        <w:t>No Integration</w:t>
      </w:r>
      <w:r>
        <w:rPr>
          <w:rFonts w:ascii="Arial" w:cs="Arial" w:eastAsia="Arial" w:hAnsi="Arial"/>
          <w:sz w:val="18"/>
          <w:szCs w:val="18"/>
          <w:color w:val="auto"/>
        </w:rPr>
        <w:t>. Subject to the disclosure contained in the Registration Statement, the Preliminary Prospectus and/or the Prospectus with respect to the Placement Securities, neither the Company nor any of its affiliates has, prior to the date hereof, made any offer or sale of any securities which are required to be “integrated” pursuant to the Act or the Regulations with the offer and sale of the Public Securities pursuant to the Registration Statement.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Registration Rights of Third Parties</w:t>
      </w:r>
      <w:r>
        <w:rPr>
          <w:rFonts w:ascii="Arial" w:cs="Arial" w:eastAsia="Arial" w:hAnsi="Arial"/>
          <w:sz w:val="18"/>
          <w:szCs w:val="18"/>
          <w:color w:val="auto"/>
        </w:rPr>
        <w:t>. Except as set forth in the Registration Statement, the Preliminary Prospectus or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Validity and Binding Effect of Agreements</w:t>
      </w:r>
      <w:r>
        <w:rPr>
          <w:rFonts w:ascii="Arial" w:cs="Arial" w:eastAsia="Arial" w:hAnsi="Arial"/>
          <w:sz w:val="16"/>
          <w:szCs w:val="16"/>
          <w:color w:val="auto"/>
        </w:rPr>
        <w:t xml:space="preserve">. This Agreement, the Warrant Agreement (as defined in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hereof), the Trust Agreement, the Services Agreement (as defined in </w:t>
      </w:r>
      <w:r>
        <w:rPr>
          <w:rFonts w:ascii="Arial" w:cs="Arial" w:eastAsia="Arial" w:hAnsi="Arial"/>
          <w:sz w:val="16"/>
          <w:szCs w:val="16"/>
          <w:u w:val="single" w:color="auto"/>
          <w:color w:val="auto"/>
        </w:rPr>
        <w:t>Section 3.5.2</w:t>
      </w:r>
      <w:r>
        <w:rPr>
          <w:rFonts w:ascii="Arial" w:cs="Arial" w:eastAsia="Arial" w:hAnsi="Arial"/>
          <w:sz w:val="16"/>
          <w:szCs w:val="16"/>
          <w:color w:val="auto"/>
        </w:rPr>
        <w:t xml:space="preserve"> hereof), the Subscription Agreements (as defined in </w:t>
      </w:r>
      <w:r>
        <w:rPr>
          <w:rFonts w:ascii="Arial" w:cs="Arial" w:eastAsia="Arial" w:hAnsi="Arial"/>
          <w:sz w:val="16"/>
          <w:szCs w:val="16"/>
          <w:u w:val="single" w:color="auto"/>
          <w:color w:val="auto"/>
        </w:rPr>
        <w:t>Section 2.24.2</w:t>
      </w:r>
      <w:r>
        <w:rPr>
          <w:rFonts w:ascii="Arial" w:cs="Arial" w:eastAsia="Arial" w:hAnsi="Arial"/>
          <w:sz w:val="16"/>
          <w:szCs w:val="16"/>
          <w:color w:val="auto"/>
        </w:rPr>
        <w:t xml:space="preserve"> hereof), the Registration Rights Agreement (as defined in </w:t>
      </w:r>
      <w:r>
        <w:rPr>
          <w:rFonts w:ascii="Arial" w:cs="Arial" w:eastAsia="Arial" w:hAnsi="Arial"/>
          <w:sz w:val="16"/>
          <w:szCs w:val="16"/>
          <w:u w:val="single" w:color="auto"/>
          <w:color w:val="auto"/>
        </w:rPr>
        <w:t>Section 2.24.3</w:t>
      </w:r>
      <w:r>
        <w:rPr>
          <w:rFonts w:ascii="Arial" w:cs="Arial" w:eastAsia="Arial" w:hAnsi="Arial"/>
          <w:sz w:val="16"/>
          <w:szCs w:val="16"/>
          <w:color w:val="auto"/>
        </w:rPr>
        <w:t xml:space="preserve"> hereof), the Business Combination Marketing Agreement (as defined in Section 2.33) and the Escrow Agreement (as defined in </w:t>
      </w:r>
      <w:r>
        <w:rPr>
          <w:rFonts w:ascii="Arial" w:cs="Arial" w:eastAsia="Arial" w:hAnsi="Arial"/>
          <w:sz w:val="16"/>
          <w:szCs w:val="16"/>
          <w:u w:val="single" w:color="auto"/>
          <w:color w:val="auto"/>
        </w:rPr>
        <w:t>Section 2.24.4</w:t>
      </w:r>
      <w:r>
        <w:rPr>
          <w:rFonts w:ascii="Arial" w:cs="Arial" w:eastAsia="Arial" w:hAnsi="Arial"/>
          <w:sz w:val="16"/>
          <w:szCs w:val="16"/>
          <w:color w:val="auto"/>
        </w:rPr>
        <w:t xml:space="preserve"> hereof) have been duly and validly authorized by the Company and constitute valid and binding agreements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No Conflicts, Etc</w:t>
      </w:r>
      <w:r>
        <w:rPr>
          <w:rFonts w:ascii="Arial" w:cs="Arial" w:eastAsia="Arial" w:hAnsi="Arial"/>
          <w:sz w:val="17"/>
          <w:szCs w:val="17"/>
          <w:color w:val="auto"/>
        </w:rPr>
        <w:t>. The execution, delivery, and performance by the Company of this Agreement, the Warrant Agreement, the Business Combination Marketing Agreement, the Trust Agreement, the Services Agreement, the Subscription Agreements, the Registration Rights Agreement and the Escrow Agreement, the consummation by the Company of the transactions herein and therein contemplated and the compliance by the Company with the terms hereof and thereof do not and will not, with or without the giving of notice or the lapse of time or both: (i) result in a material breach of, or conflict with any of the terms and provisions of, or constitute a material default under, or result in the creation, modification, termination or imposition of any material lien, charge or encumbrance upon any property or assets of the Company pursuant to the terms of any agreement or instrument to which the Company is a party; (ii) result in any violation of the provisions of the amended and restated certificate of incorporation of the Company; or (iii) violate any existing applicable law, rule, regulation, judgment, order or decree of any governmental agency or court, domestic or foreign, having jurisdiction over the Company or any of its properties or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jc w:val="both"/>
        <w:ind w:firstLine="648"/>
        <w:spacing w:after="0" w:line="272"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No Defaults; Violations</w:t>
      </w:r>
      <w:r>
        <w:rPr>
          <w:rFonts w:ascii="Arial" w:cs="Arial" w:eastAsia="Arial" w:hAnsi="Arial"/>
          <w:sz w:val="17"/>
          <w:szCs w:val="17"/>
          <w:color w:val="auto"/>
        </w:rPr>
        <w:t>. No material default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in violation of any material agreement, license, permit, applicable law, rule, regulation, judgment or decree of any governmental agency or court, domestic or foreign, having jurisdiction over the Company or any of its properties or businesses, except for such violations which would not reasonably be expected to have a material adverse effect on the Company. The Company is not in violation of any term or provision of its amended and restated certificate of incorporation.</w:t>
      </w:r>
    </w:p>
    <w:p>
      <w:pPr>
        <w:spacing w:after="0" w:line="17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Corporate Power; Licenses; Consents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2.13.1 </w:t>
      </w:r>
      <w:r>
        <w:rPr>
          <w:rFonts w:ascii="Arial" w:cs="Arial" w:eastAsia="Arial" w:hAnsi="Arial"/>
          <w:sz w:val="16"/>
          <w:szCs w:val="16"/>
          <w:i w:val="1"/>
          <w:iCs w:val="1"/>
          <w:color w:val="auto"/>
        </w:rPr>
        <w:t>Conduct of Business</w:t>
      </w:r>
      <w:r>
        <w:rPr>
          <w:rFonts w:ascii="Arial" w:cs="Arial" w:eastAsia="Arial" w:hAnsi="Arial"/>
          <w:sz w:val="16"/>
          <w:szCs w:val="16"/>
          <w:color w:val="auto"/>
        </w:rPr>
        <w:t>. The Company has all requisite corporate power and authority, and has all necessary authorizations, approvals, orders, licenses, certificates and permits of and from all governmental regulatory officials and bodies that it needs as of the date hereof to conduct its business for the purposes described in the Registration Statement, the Preliminary Prospectus and the Prospectus. The disclosures in the Registration Statement and the Prospectus concerning the effects of federal, state and local regulation on the Offering and the Company’s business purpose as currently contemplated are correct in all material respects and do not omit to state a material fact required to be stated therein or necessary in order to make the statements therein (with respect to the Prospectus, in light of the circumstances under which they were made), not misleading. Since its formation, the Company has conducted no business and has incurred no liabilities other than in connection with and in furtherance of the Offering.</w:t>
      </w:r>
    </w:p>
    <w:p>
      <w:pPr>
        <w:spacing w:after="0" w:line="16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2.13.2 </w:t>
      </w:r>
      <w:r>
        <w:rPr>
          <w:rFonts w:ascii="Arial" w:cs="Arial" w:eastAsia="Arial" w:hAnsi="Arial"/>
          <w:sz w:val="18"/>
          <w:szCs w:val="18"/>
          <w:i w:val="1"/>
          <w:iCs w:val="1"/>
          <w:color w:val="auto"/>
        </w:rPr>
        <w:t>Transactions Contemplated Herein</w:t>
      </w:r>
      <w:r>
        <w:rPr>
          <w:rFonts w:ascii="Arial" w:cs="Arial" w:eastAsia="Arial" w:hAnsi="Arial"/>
          <w:sz w:val="18"/>
          <w:szCs w:val="18"/>
          <w:color w:val="auto"/>
        </w:rPr>
        <w:t>. The Company has all corporate power and authority to enter into this Agreement and to carry out the provisions and conditions hereof, and all consents, authorizations, approvals and orders required in connection therewith have been obtained. No consent, authorization or order of, and no filing with, any court, government agency or other body is required for the valid issuance, sale and delivery of the Securities and the consummation of the transactions and agreements contemplated by this Agreement, the Warrant Agreement, the Trust Agreement, the Services Agreement, the Subscription Agreements, the Business Combination Marketing Agreement and the Registration Rights Agreement and the Escrow Agreement and as contemplated by the Prospectus, except with respect to applicable federal and state securities laws and the rules and regulations promulgated by FINRA.</w:t>
      </w:r>
    </w:p>
    <w:p>
      <w:pPr>
        <w:spacing w:after="0" w:line="19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D&amp;O Questionnaires</w:t>
      </w:r>
      <w:r>
        <w:rPr>
          <w:rFonts w:ascii="Arial" w:cs="Arial" w:eastAsia="Arial" w:hAnsi="Arial"/>
          <w:sz w:val="17"/>
          <w:szCs w:val="17"/>
          <w:color w:val="auto"/>
        </w:rPr>
        <w:t>. To the Company’s knowledge, all information contained in the questionnaires (the “</w:t>
      </w:r>
      <w:r>
        <w:rPr>
          <w:rFonts w:ascii="Arial" w:cs="Arial" w:eastAsia="Arial" w:hAnsi="Arial"/>
          <w:sz w:val="17"/>
          <w:szCs w:val="17"/>
          <w:b w:val="1"/>
          <w:bCs w:val="1"/>
          <w:color w:val="auto"/>
        </w:rPr>
        <w:t>Questionnaires</w:t>
      </w:r>
      <w:r>
        <w:rPr>
          <w:rFonts w:ascii="Arial" w:cs="Arial" w:eastAsia="Arial" w:hAnsi="Arial"/>
          <w:sz w:val="17"/>
          <w:szCs w:val="17"/>
          <w:color w:val="auto"/>
        </w:rPr>
        <w:t>”) completed by the Company’s stockholders immediately prior to the Offering (the “</w:t>
      </w:r>
      <w:r>
        <w:rPr>
          <w:rFonts w:ascii="Arial" w:cs="Arial" w:eastAsia="Arial" w:hAnsi="Arial"/>
          <w:sz w:val="17"/>
          <w:szCs w:val="17"/>
          <w:b w:val="1"/>
          <w:bCs w:val="1"/>
          <w:color w:val="auto"/>
        </w:rPr>
        <w:t>Initial Stockholders</w:t>
      </w:r>
      <w:r>
        <w:rPr>
          <w:rFonts w:ascii="Arial" w:cs="Arial" w:eastAsia="Arial" w:hAnsi="Arial"/>
          <w:sz w:val="17"/>
          <w:szCs w:val="17"/>
          <w:color w:val="auto"/>
        </w:rPr>
        <w:t>”) and each of the Company’s officers and directors and provided to the Underwriters is true and correct and the Company has not become aware of any information which would cause the information disclosed in the questionnaires completed by the Initial Shareholders and each officer or director, to become inaccurate and incorrect.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9" w:name="page200"/>
    <w:bookmarkEnd w:id="199"/>
    <w:p>
      <w:pPr>
        <w:jc w:val="both"/>
        <w:ind w:firstLine="648"/>
        <w:spacing w:after="0" w:line="311"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Litigation; Governmental Proceedings</w:t>
      </w:r>
      <w:r>
        <w:rPr>
          <w:rFonts w:ascii="Arial" w:cs="Arial" w:eastAsia="Arial" w:hAnsi="Arial"/>
          <w:sz w:val="16"/>
          <w:szCs w:val="16"/>
          <w:color w:val="auto"/>
        </w:rPr>
        <w:t>. There is no action, suit, proceeding, inquiry, arbitration, investigation, litigation or governmental proceeding pending or, to the best of the Company’s knowledge, threatened against, or involving the Company or, to the best of the Company’s knowledge, the Initial Shareholders, which has not been disclosed in the Registration Statement, the Questionnaires, the Preliminary Prospectus and the Prospectus.</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Good Standing</w:t>
      </w:r>
      <w:r>
        <w:rPr>
          <w:rFonts w:ascii="Arial" w:cs="Arial" w:eastAsia="Arial" w:hAnsi="Arial"/>
          <w:sz w:val="17"/>
          <w:szCs w:val="17"/>
          <w:color w:val="auto"/>
        </w:rPr>
        <w:t>. The Company has been duly organized, is validly existing and is in good standing under the laws of Delaware and is duly qualified to do business and is in good standing as a foreign corporation in each jurisdiction in which its ownership or lease of property or the conduct of business requires such qualification, except where the failure to qualify would not have a material adverse effect on the Company.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No Contemplation of a Business Combination</w:t>
      </w:r>
      <w:r>
        <w:rPr>
          <w:rFonts w:ascii="Arial" w:cs="Arial" w:eastAsia="Arial" w:hAnsi="Arial"/>
          <w:sz w:val="18"/>
          <w:szCs w:val="18"/>
          <w:color w:val="auto"/>
        </w:rPr>
        <w:t>. Prior to the date hereof, neither the Company, its officers and directors nor the Initial Shareholders had, and as of the Closing, the Company and such officers and directors and Initial Shareholders will not have had: (i) any specific Business Combination under consideration or contemplation; or (ii) any substantive interactions or discussions with any target business regarding a possible Business Combination.</w:t>
      </w:r>
    </w:p>
    <w:p>
      <w:pPr>
        <w:spacing w:after="0" w:line="18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u w:val="single" w:color="auto"/>
          <w:color w:val="auto"/>
        </w:rPr>
        <w:t>Transactions Affecting Disclosure to FINRA</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2.18.1 Except as described in the Preliminary Prospectus and/or the Prospectus, there are no claims, payments, arrangements, agreements or understandings relating to the payment of a finder’s, consulting or origination fee by the Company or the Initial Shareholders with respect to the sale of the Securities hereunder or any other arrangements, agreements or understandings of the Company or, to the Company’s knowledge, the Initial Shareholders that may affect the Underwriters’ compensation, as determined by FINRA.</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2.18.2 Except as described in the Preliminary Prospectus and/or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to any FINRA member; or (iii) to any person or entity that has any direct or indirect affiliation or association with any FINRA member, within the twelve (12) months prior to the Effective Date, other than payments to the Representative.</w:t>
      </w:r>
    </w:p>
    <w:p>
      <w:pPr>
        <w:spacing w:after="0" w:line="1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2.18.3 Except as described in the Preliminary Prospectus and/or the Prospectus, no officer, director, or beneficial owner of any class of the Company’s securities (whether debt or equity, registered or unregistered, regardless of the time acquired or the source from which derived) (any such individual or entity, a “</w:t>
      </w:r>
      <w:r>
        <w:rPr>
          <w:rFonts w:ascii="Arial" w:cs="Arial" w:eastAsia="Arial" w:hAnsi="Arial"/>
          <w:sz w:val="17"/>
          <w:szCs w:val="17"/>
          <w:b w:val="1"/>
          <w:bCs w:val="1"/>
          <w:color w:val="auto"/>
        </w:rPr>
        <w:t>Company Affiliate</w:t>
      </w:r>
      <w:r>
        <w:rPr>
          <w:rFonts w:ascii="Arial" w:cs="Arial" w:eastAsia="Arial" w:hAnsi="Arial"/>
          <w:sz w:val="17"/>
          <w:szCs w:val="17"/>
          <w:color w:val="auto"/>
        </w:rPr>
        <w:t>”) is a member, a person associated, or affiliated with a member of FINRA.</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jc w:val="both"/>
        <w:ind w:firstLine="1296"/>
        <w:spacing w:after="0" w:line="277" w:lineRule="auto"/>
        <w:rPr>
          <w:sz w:val="20"/>
          <w:szCs w:val="20"/>
          <w:color w:val="auto"/>
        </w:rPr>
      </w:pPr>
      <w:r>
        <w:rPr>
          <w:rFonts w:ascii="Arial" w:cs="Arial" w:eastAsia="Arial" w:hAnsi="Arial"/>
          <w:sz w:val="18"/>
          <w:szCs w:val="18"/>
          <w:color w:val="auto"/>
        </w:rPr>
        <w:t>2.18.4 Except as described in the Preliminary Prospectus and/or the Prospectus, no Company Affiliate is an owner of stock or other securities of any member of FINRA (other than securities purchased on the open market).</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2.18.5</w:t>
      </w:r>
      <w:r>
        <w:rPr>
          <w:sz w:val="20"/>
          <w:szCs w:val="20"/>
          <w:color w:val="auto"/>
        </w:rPr>
        <w:tab/>
      </w:r>
      <w:r>
        <w:rPr>
          <w:rFonts w:ascii="Arial" w:cs="Arial" w:eastAsia="Arial" w:hAnsi="Arial"/>
          <w:sz w:val="16"/>
          <w:szCs w:val="16"/>
          <w:color w:val="auto"/>
        </w:rPr>
        <w:t>No Company Affiliate has made a subordinated loan to any member of FINRA.</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2.18.6 No proceeds from the sale of the Public Securities (excluding underwriting compensation) or the Placement Securities will be paid to any FINRA member, or any persons associated or affiliated with a member of FINRA, except as specifically authorized herein and in the Subscription Agreements.</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2.18.7 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2.18.8 Except as described in the Preliminary Prospectus and/or the Prospectus, no person to whom securities of the Company have been privately issued within the 180-day period prior to the initial filing date of the Registration Statement has any relationship or affiliation or association with any member of FINRA.</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2.18.9 Except as described in the Preliminary Prospectus and/or the Prospectus, no FINRA member intending to participate in the Offering has a conflict of interest with the Company. For this purpose, a “conflict of interest” exists when a member of FINRA and its associated persons, parent or affiliates in the aggregate beneficially own 10% or more of the Company’s outstanding subordinated debt or common equity, or 10% or more of the Company’s preferred equity. “Members participating in the Offering” include managing agents, syndicate group members and all dealers which are members of FINRA.</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2.18.10 Except with respect to the Representative in connection with the Offering, the Company has not entered into any agreement or arrangement (including, without limitation, any consulting agreement or any other type of agreement) during the 180-day period prior to the initial filing date of the Registration Statement, which arrangement or agreement provides for the receipt of any item of value and/or the transfer of any warrants, options, or other securities from the Company to a FINRA member, any person associated with a member (as defined by FINRA rules), any potential underwriters in the Offering and any related persons.</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Neither the Company nor the Initial Shareholders or any other person acting on behalf of the Company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(ii) if not given in the past, might have had a material adverse effect on the assets, business or operations of the Company as reflected in any of the financial statements contained in the Registration Statement, the Preliminary Prospectus and/or the Prospectus; or (iii) if not continued in the future, might adversely affect the assets, business, operations or prospects of the Company. The Company’s internal accounting controls and procedures are sufficient to cause the Company to comply with the Foreign Corrupt Practices Act of 1977, as amended.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jc w:val="both"/>
        <w:ind w:firstLine="648"/>
        <w:spacing w:after="0" w:line="259"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Patriot Act</w:t>
      </w:r>
      <w:r>
        <w:rPr>
          <w:rFonts w:ascii="Arial" w:cs="Arial" w:eastAsia="Arial" w:hAnsi="Arial"/>
          <w:sz w:val="18"/>
          <w:szCs w:val="18"/>
          <w:color w:val="auto"/>
        </w:rPr>
        <w:t>. Neither the Company nor, to the Company’s knowledge, any officer, director or Initial Shareholder has violated: (i) the Bank Secrecy Act, as amended; (ii) the Money Laundering Control Act of 1986, as amended; or (iii) the Uniting and Strengthening of America by Providing Appropriate Tools Required to Intercept and Obstruct Terrorism (USA PATRIOT ACT) Act of 2001, and/or the rules and regulations promulgated under any such law, or any successor law.</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Any certificate signed by any duly authorized officer of the Company and delivered to the Representative or to the Representative’s counsel shall be deemed a representation and warranty by the Company to the Underwriters and the QIU as to the matters covered thereby.</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Warrant Agreement</w:t>
      </w:r>
      <w:r>
        <w:rPr>
          <w:rFonts w:ascii="Arial" w:cs="Arial" w:eastAsia="Arial" w:hAnsi="Arial"/>
          <w:sz w:val="16"/>
          <w:szCs w:val="16"/>
          <w:color w:val="auto"/>
        </w:rPr>
        <w:t>. The Company has entered into a warrant agreement with respect to the Warrants and the Placement Warrants with Continental Stock Transfer &amp; Trust Company, substantially in the form filed as an exhibit to the Registration Statement (the “</w:t>
      </w:r>
      <w:r>
        <w:rPr>
          <w:rFonts w:ascii="Arial" w:cs="Arial" w:eastAsia="Arial" w:hAnsi="Arial"/>
          <w:sz w:val="16"/>
          <w:szCs w:val="16"/>
          <w:b w:val="1"/>
          <w:bCs w:val="1"/>
          <w:color w:val="auto"/>
        </w:rPr>
        <w:t>Warrant Agreement</w:t>
      </w:r>
      <w:r>
        <w:rPr>
          <w:rFonts w:ascii="Arial" w:cs="Arial" w:eastAsia="Arial" w:hAnsi="Arial"/>
          <w:sz w:val="16"/>
          <w:szCs w:val="16"/>
          <w:color w:val="auto"/>
        </w:rPr>
        <w:t>”).</w:t>
      </w:r>
    </w:p>
    <w:p>
      <w:pPr>
        <w:spacing w:after="0" w:line="12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u w:val="single" w:color="auto"/>
          <w:color w:val="auto"/>
        </w:rPr>
        <w:t>Agreements with Officers, Directors and Initial Shareholders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2.24.1 </w:t>
      </w:r>
      <w:r>
        <w:rPr>
          <w:rFonts w:ascii="Arial" w:cs="Arial" w:eastAsia="Arial" w:hAnsi="Arial"/>
          <w:sz w:val="18"/>
          <w:szCs w:val="18"/>
          <w:i w:val="1"/>
          <w:iCs w:val="1"/>
          <w:color w:val="auto"/>
        </w:rPr>
        <w:t>Insider Letters</w:t>
      </w:r>
      <w:r>
        <w:rPr>
          <w:rFonts w:ascii="Arial" w:cs="Arial" w:eastAsia="Arial" w:hAnsi="Arial"/>
          <w:sz w:val="18"/>
          <w:szCs w:val="18"/>
          <w:color w:val="auto"/>
        </w:rPr>
        <w:t>. The Company has caused to be duly executed legally binding and enforceable agreements (except: (i) as such enforceability may be limited by bankruptcy, insolvency, reorganization or similar laws affecting creditors’ rights generally; (ii) as enforceability of any indemnification, contribution or non-compete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 annexed as exhibits to the Registration Statement (the “</w:t>
      </w:r>
      <w:r>
        <w:rPr>
          <w:rFonts w:ascii="Arial" w:cs="Arial" w:eastAsia="Arial" w:hAnsi="Arial"/>
          <w:sz w:val="18"/>
          <w:szCs w:val="18"/>
          <w:b w:val="1"/>
          <w:bCs w:val="1"/>
          <w:color w:val="auto"/>
        </w:rPr>
        <w:t>Insider Letter</w:t>
      </w:r>
      <w:r>
        <w:rPr>
          <w:rFonts w:ascii="Arial" w:cs="Arial" w:eastAsia="Arial" w:hAnsi="Arial"/>
          <w:sz w:val="18"/>
          <w:szCs w:val="18"/>
          <w:color w:val="auto"/>
        </w:rPr>
        <w:t>”), pursuant to which each of the officers, directors and Initial Shareholders of the Company agree to certain matters.</w:t>
      </w:r>
    </w:p>
    <w:p>
      <w:pPr>
        <w:spacing w:after="0" w:line="19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2.24.2 </w:t>
      </w:r>
      <w:r>
        <w:rPr>
          <w:rFonts w:ascii="Arial" w:cs="Arial" w:eastAsia="Arial" w:hAnsi="Arial"/>
          <w:sz w:val="18"/>
          <w:szCs w:val="18"/>
          <w:i w:val="1"/>
          <w:iCs w:val="1"/>
          <w:color w:val="auto"/>
        </w:rPr>
        <w:t>Subscription Agreements</w:t>
      </w:r>
      <w:r>
        <w:rPr>
          <w:rFonts w:ascii="Arial" w:cs="Arial" w:eastAsia="Arial" w:hAnsi="Arial"/>
          <w:sz w:val="18"/>
          <w:szCs w:val="18"/>
          <w:color w:val="auto"/>
        </w:rPr>
        <w:t>. Holdings has executed and delivered an agreement, the form of which is attached as an exhibit to the Registration Statement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pursuant to which Holdings, among other things, will purchase an aggregate of 4,200,000 (or up to 4,442,183 depending on the extent to which the underwriters’ over-allotment option is exercised) Placement Warrants in the Private Placement. Pursuant to the Subscription Agreement, all of the proceeds from the sale of the Placement Warrants will be deposited by the Company in the Trust Account in accordance with the terms of the Trust Agreement prior to the Closing.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jc w:val="both"/>
        <w:ind w:firstLine="1296"/>
        <w:spacing w:after="0" w:line="259" w:lineRule="auto"/>
        <w:rPr>
          <w:sz w:val="20"/>
          <w:szCs w:val="20"/>
          <w:color w:val="auto"/>
        </w:rPr>
      </w:pPr>
      <w:r>
        <w:rPr>
          <w:rFonts w:ascii="Arial" w:cs="Arial" w:eastAsia="Arial" w:hAnsi="Arial"/>
          <w:sz w:val="18"/>
          <w:szCs w:val="18"/>
          <w:color w:val="auto"/>
        </w:rPr>
        <w:t xml:space="preserve">2.24.3 </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The Company and the Initial Shareholders have entered into a registration rights agreement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substantially in the form annexed as an exhibit to the Registration Statement, whereby the parties will be entitled to certain registration rights with respect to their securities, as set forth in such Registration Rights Agreement and described more fully in the Registration Statement.</w:t>
      </w:r>
    </w:p>
    <w:p>
      <w:pPr>
        <w:spacing w:after="0" w:line="183"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2.24.4 </w:t>
      </w:r>
      <w:r>
        <w:rPr>
          <w:rFonts w:ascii="Arial" w:cs="Arial" w:eastAsia="Arial" w:hAnsi="Arial"/>
          <w:sz w:val="18"/>
          <w:szCs w:val="18"/>
          <w:i w:val="1"/>
          <w:iCs w:val="1"/>
          <w:color w:val="auto"/>
        </w:rPr>
        <w:t>Escrow Agreement</w:t>
      </w:r>
      <w:r>
        <w:rPr>
          <w:rFonts w:ascii="Arial" w:cs="Arial" w:eastAsia="Arial" w:hAnsi="Arial"/>
          <w:sz w:val="18"/>
          <w:szCs w:val="18"/>
          <w:color w:val="auto"/>
        </w:rPr>
        <w:t>. The Company has caused the Initial Shareholders to enter into an escrow agreement (the “</w:t>
      </w:r>
      <w:r>
        <w:rPr>
          <w:rFonts w:ascii="Arial" w:cs="Arial" w:eastAsia="Arial" w:hAnsi="Arial"/>
          <w:sz w:val="18"/>
          <w:szCs w:val="18"/>
          <w:b w:val="1"/>
          <w:bCs w:val="1"/>
          <w:color w:val="auto"/>
        </w:rPr>
        <w:t>Escrow</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with Continental Stock Transfer &amp; Trust Company substantially in the form filed as an exhibit to the Registration Statement, whereby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owned by the Initial Shareholders will be held in escrow during the period in which they are subject to the transfer restrictions as set forth in the Prospectus. During such escrow period, the Initial Shareholders shall be prohibited from selling or otherwise transferring such shares (except as otherwise set forth in the Escrow Agreement) but will retain the right to vote any such shares of Common Stock. To the Company’s knowledge, the Escrow Agreement is enforceable against each of the Initial Shareholders and will not, with or without the giving of notice or the lapse of time or both, result in a breach of, or conflict with any of the terms and provisions of, or constitute a default under, any agreement or instrument to which any of the Initial Shareholders is a party.</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Investment Management Trust Agreement</w:t>
      </w:r>
      <w:r>
        <w:rPr>
          <w:rFonts w:ascii="Arial" w:cs="Arial" w:eastAsia="Arial" w:hAnsi="Arial"/>
          <w:sz w:val="18"/>
          <w:szCs w:val="18"/>
          <w:color w:val="auto"/>
        </w:rPr>
        <w:t>. The Company has entered into the Trust Agreement with respect to certain proceeds of the Offering and the Private Placement substantially in the form filed as an exhibit to the Registration Statement.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Covenants Not to Compete</w:t>
      </w:r>
      <w:r>
        <w:rPr>
          <w:rFonts w:ascii="Arial" w:cs="Arial" w:eastAsia="Arial" w:hAnsi="Arial"/>
          <w:sz w:val="18"/>
          <w:szCs w:val="18"/>
          <w:color w:val="auto"/>
        </w:rPr>
        <w:t>. To the Company’s knowledge, the officers and directors of the Company are not subject to any non-competition agreement or non-solicitation agreement with any employer or prior employer which could materially affect its ability to be an employee, officer or director of the Company.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u w:val="single" w:color="auto"/>
          <w:color w:val="auto"/>
        </w:rPr>
        <w:t>Investments</w:t>
      </w:r>
      <w:r>
        <w:rPr>
          <w:rFonts w:ascii="Arial" w:cs="Arial" w:eastAsia="Arial" w:hAnsi="Arial"/>
          <w:sz w:val="18"/>
          <w:szCs w:val="18"/>
          <w:color w:val="auto"/>
        </w:rPr>
        <w:t>. No more than 45% of the “value” (as defined in Section 2(a)(41) of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 of the Company’s total assets consist of, and no more than 45% of the Company’s net income after taxes is derived from, securities other than “Government Securities” (as defined in Section 2(a)(16) of the Investment Company Act).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does not own an interest in any corporation, partnership, limited liability company, joint venture, trust or other business entity.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No relationship, direct or indirect, exists between or among any of the Company or any Company Affiliate, on the one hand, and any director, officer, shareholder, customer or supplier of the Company or any Company Affiliate, on the other hand, which is required by the Act, the Exchange Act or the Regulations to be described in the Registration Statement, the Preliminary Prospectus and/or the Prospectus which is not so described and described as required.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except as disclosed in the Registration Statement, the Preliminary Prospectus and/or the Prospectus. The Company has not extended or maintained credit, arranged for the extension of credit, or renewed an extension of credit, in the form of a personal loan to or for any director or officer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jc w:val="both"/>
        <w:ind w:firstLine="648"/>
        <w:spacing w:after="0" w:line="259" w:lineRule="auto"/>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u w:val="single" w:color="auto"/>
          <w:color w:val="auto"/>
        </w:rPr>
        <w:t>No Influence</w:t>
      </w:r>
      <w:r>
        <w:rPr>
          <w:rFonts w:ascii="Arial" w:cs="Arial" w:eastAsia="Arial" w:hAnsi="Arial"/>
          <w:sz w:val="18"/>
          <w:szCs w:val="18"/>
          <w:color w:val="auto"/>
        </w:rPr>
        <w:t>. The Company has not offered, or caused the Underwriters to offer, the Firm Units to any person or entity with the intention of unlawfully influencing: (i) a customer or supplier of the Company or any Company Affiliate to alter the customer’s or supplier’s level or type of business with the Company or such affiliate; or (ii) a journalist or publication to write or publish favorable information about the Company or any such affiliate.</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Trading of the Public Securities on the Nasdaq Capital Market</w:t>
      </w:r>
      <w:r>
        <w:rPr>
          <w:rFonts w:ascii="Arial" w:cs="Arial" w:eastAsia="Arial" w:hAnsi="Arial"/>
          <w:sz w:val="16"/>
          <w:szCs w:val="16"/>
          <w:color w:val="auto"/>
        </w:rPr>
        <w:t>. As of the Effective Date and the Closing Date, the Public Securities will have been authorized for listing on the Nasdaq Capital Market and no proceedings have been instituted or threatened which would effect, and no event or circumstance has occurred as of the Effective Date which is reasonably likely to effect, the listing of the Public Securities on the Nasdaq Capital Market.</w:t>
      </w:r>
    </w:p>
    <w:p>
      <w:pPr>
        <w:spacing w:after="0" w:line="1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Definition of “Knowledge”</w:t>
      </w:r>
      <w:r>
        <w:rPr>
          <w:rFonts w:ascii="Arial" w:cs="Arial" w:eastAsia="Arial" w:hAnsi="Arial"/>
          <w:sz w:val="18"/>
          <w:szCs w:val="18"/>
          <w:color w:val="auto"/>
        </w:rPr>
        <w:t>. As used in this Agreement, the term “</w:t>
      </w:r>
      <w:r>
        <w:rPr>
          <w:rFonts w:ascii="Arial" w:cs="Arial" w:eastAsia="Arial" w:hAnsi="Arial"/>
          <w:sz w:val="18"/>
          <w:szCs w:val="18"/>
          <w:b w:val="1"/>
          <w:bCs w:val="1"/>
          <w:color w:val="auto"/>
        </w:rPr>
        <w:t>knowledge of the Company</w:t>
      </w:r>
      <w:r>
        <w:rPr>
          <w:rFonts w:ascii="Arial" w:cs="Arial" w:eastAsia="Arial" w:hAnsi="Arial"/>
          <w:sz w:val="18"/>
          <w:szCs w:val="18"/>
          <w:color w:val="auto"/>
        </w:rPr>
        <w:t>” (or similar language) shall mean the knowledge of the officers and directors of the Company who are named in the Prospectus, with the assumption that such officers and directors shall have made reasonable and diligent inquiry of the matters presented.</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The Business Combination Marketing Agreement</w:t>
      </w:r>
      <w:r>
        <w:rPr>
          <w:rFonts w:ascii="Arial" w:cs="Arial" w:eastAsia="Arial" w:hAnsi="Arial"/>
          <w:sz w:val="18"/>
          <w:szCs w:val="18"/>
          <w:color w:val="auto"/>
        </w:rPr>
        <w:t>. The Company has entered into a business combination marketing agreement with Chardan Capital Markets, LLC substantially in the form filed as an exhibit to the Registration Statement (the “</w:t>
      </w:r>
      <w:r>
        <w:rPr>
          <w:rFonts w:ascii="Arial" w:cs="Arial" w:eastAsia="Arial" w:hAnsi="Arial"/>
          <w:sz w:val="18"/>
          <w:szCs w:val="18"/>
          <w:b w:val="1"/>
          <w:bCs w:val="1"/>
          <w:color w:val="auto"/>
        </w:rPr>
        <w:t>Business Combination Marketing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ind w:left="960" w:hanging="952"/>
        <w:spacing w:after="0"/>
        <w:tabs>
          <w:tab w:leader="none" w:pos="9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r>
        <w:rPr>
          <w:rFonts w:ascii="Arial" w:cs="Arial" w:eastAsia="Arial" w:hAnsi="Arial"/>
          <w:sz w:val="18"/>
          <w:szCs w:val="18"/>
          <w:color w:val="auto"/>
        </w:rPr>
        <w:t>. The Company covenants and agrees as follows: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Amendments to Registration Statement</w:t>
      </w:r>
      <w:r>
        <w:rPr>
          <w:rFonts w:ascii="Arial" w:cs="Arial" w:eastAsia="Arial" w:hAnsi="Arial"/>
          <w:sz w:val="18"/>
          <w:szCs w:val="18"/>
          <w:color w:val="auto"/>
        </w:rPr>
        <w:t>. The Company will deliver to the Representative, prior to filing, any amendment or supplement to the Registration Statement or Prospectus proposed to be filed after the Effective Date and will not file any such amendment or supplement to which the Representative shall reasonably object in writing.</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Federal Securities Laws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i w:val="1"/>
          <w:iCs w:val="1"/>
          <w:color w:val="auto"/>
        </w:rPr>
        <w:t>Compliance</w:t>
      </w:r>
      <w:r>
        <w:rPr>
          <w:rFonts w:ascii="Arial" w:cs="Arial" w:eastAsia="Arial" w:hAnsi="Arial"/>
          <w:sz w:val="16"/>
          <w:szCs w:val="16"/>
          <w:color w:val="auto"/>
        </w:rPr>
        <w:t xml:space="preserve">. During the time when a Prospectus is required to be delivered under the Act, the Company will use all reasonable efforts to comply with all requirements imposed upon it by the Act, the Regulations and the Exchange Act and by the regulations under the Exchange Act, as from time to time in force, so far as necessary to permit the continuance of sales of or dealings in the Public Securities in accordance with the provisions hereof and the Prospectus. If at any time when a Prospectus relating to the Public Securities is required to be delivered under the Act, any event shall have occurred as a result of which, in the opinion of counsel for the Company or counsel for the Underwriters,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during such period to amend the Registration Statement or amend or supplement the Prospectus to comply with the Act, the Company will notify the Representative promptly and prepare and file with the Commission, subject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hereof, an appropriate amendment to the Registration Statement or amendment or supplement to the Prospectus (at the expense of the Company) so as to correct such statement or omission or effect such compliance.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jc w:val="both"/>
        <w:ind w:firstLine="1296"/>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i w:val="1"/>
          <w:iCs w:val="1"/>
          <w:color w:val="auto"/>
        </w:rPr>
        <w:t>Filing of Final Prospectus</w:t>
      </w:r>
      <w:r>
        <w:rPr>
          <w:rFonts w:ascii="Arial" w:cs="Arial" w:eastAsia="Arial" w:hAnsi="Arial"/>
          <w:sz w:val="18"/>
          <w:szCs w:val="18"/>
          <w:color w:val="auto"/>
        </w:rPr>
        <w:t>. The Company will file the Prospectus (in form and substance satisfactory to the Representative) with the Commission pursuant to the requirements of Rule 424 of the Regulations.</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i w:val="1"/>
          <w:iCs w:val="1"/>
          <w:color w:val="auto"/>
        </w:rPr>
        <w:t>Exchange Act Registration</w:t>
      </w:r>
      <w:r>
        <w:rPr>
          <w:rFonts w:ascii="Arial" w:cs="Arial" w:eastAsia="Arial" w:hAnsi="Arial"/>
          <w:sz w:val="18"/>
          <w:szCs w:val="18"/>
          <w:color w:val="auto"/>
        </w:rPr>
        <w:t>. For a period of five (5) years from the Effective Date, or until such earlier time upon which the Company is required to be liquidated, the Company will use its best efforts to maintain the registration of the Units, Common Stock and Warrants (until the Business Combination) under the provisions of the Exchange Act. The Company will not deregister the Units, Common Stock or Warrants prior to the Business Combination without the prior written consent of the Representative.</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i w:val="1"/>
          <w:iCs w:val="1"/>
          <w:color w:val="auto"/>
        </w:rPr>
        <w:t>Sarbanes-Oxley Compliance</w:t>
      </w:r>
      <w:r>
        <w:rPr>
          <w:rFonts w:ascii="Arial" w:cs="Arial" w:eastAsia="Arial" w:hAnsi="Arial"/>
          <w:sz w:val="18"/>
          <w:szCs w:val="18"/>
          <w:color w:val="auto"/>
        </w:rPr>
        <w:t>. As soon as it is legally required to do so, the Company shall take all actions necessary to obtain and thereafter maintain material compliance with each applicable provision of the Sarbanes-Oxley Act of 2002, as amended, and the rules and regulations promulgated thereunder and related or similar rules and regulations promulgated by any other governmental or self-regulatory entity or agency with jurisdiction over the Company.</w:t>
      </w:r>
    </w:p>
    <w:p>
      <w:pPr>
        <w:spacing w:after="0" w:line="18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i w:val="1"/>
          <w:iCs w:val="1"/>
          <w:color w:val="auto"/>
        </w:rPr>
        <w:t>Blue Sky Filing</w:t>
      </w:r>
      <w:r>
        <w:rPr>
          <w:rFonts w:ascii="Arial" w:cs="Arial" w:eastAsia="Arial" w:hAnsi="Arial"/>
          <w:sz w:val="17"/>
          <w:szCs w:val="17"/>
          <w:color w:val="auto"/>
        </w:rPr>
        <w:t xml:space="preserve">. Unless the Public Securities are listed on the Nasdaq Capital Market or another national securities exchange, the Company, at its expense, will endeavor in good faith, in cooperation with the Representative, at or prior to the time the Registration Statement becomes effective, to qualify the Public Securities for offering and sale under the securities laws of such jurisdictions as the Representative may reasonably designate,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qualification shall be required in any jurisdiction where, as a result thereof, the Company would be subject to service of general process or to taxation as a foreign corporation doing business in such jurisdiction. In each jurisdiction where such qualification shall be effected, the Company will, unless the Representative agrees that such action is not at the time necessary or advisable, use all reasonable efforts to file and make such statements or reports at such times as are or may be required by the laws of such jurisdiction.</w:t>
      </w:r>
    </w:p>
    <w:p>
      <w:pPr>
        <w:spacing w:after="0" w:line="17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i w:val="1"/>
          <w:iCs w:val="1"/>
          <w:color w:val="auto"/>
        </w:rPr>
        <w:t>Delivery to Underwriters of Prospectuses</w:t>
      </w:r>
      <w:r>
        <w:rPr>
          <w:rFonts w:ascii="Arial" w:cs="Arial" w:eastAsia="Arial" w:hAnsi="Arial"/>
          <w:sz w:val="18"/>
          <w:szCs w:val="18"/>
          <w:color w:val="auto"/>
        </w:rPr>
        <w:t>. The Company will deliver to each of the several Underwriters, without charge, from time to time during the period when the Prospectus is required to be delivered under the Act or the Exchange Act such number of copies of each Preliminary Prospectus and Prospectus and all amendments and supplements to such documents as such Underwriters may reasonably request and, as soon as the Registration Statement or any amendment or supplement thereto becomes effective, deliver to the Representative two original executed Registration Statements, including exhibits, and all post-effective amendments thereto and copies of all exhibits filed therewith or incorporated therein by reference and all original executed consents of certified experts.</w:t>
      </w:r>
    </w:p>
    <w:p>
      <w:pPr>
        <w:spacing w:after="0" w:line="19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Effectiveness and Events Requiring Notice to the Representative</w:t>
      </w:r>
      <w:r>
        <w:rPr>
          <w:rFonts w:ascii="Arial" w:cs="Arial" w:eastAsia="Arial" w:hAnsi="Arial"/>
          <w:sz w:val="17"/>
          <w:szCs w:val="17"/>
          <w:color w:val="auto"/>
        </w:rPr>
        <w:t>. The Company will use all reasonable efforts to cause the</w:t>
      </w:r>
    </w:p>
    <w:p>
      <w:pPr>
        <w:spacing w:after="0" w:line="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Registration Statement to remain effective and will notify the Representative immediately and confirm the notice in writing: (i) of the effectiveness of the Registration Statement and any amendment thereto; (ii) of the issuance by the Commission of any stop order suspending the effectiveness of the Registration Statement, or any post-effective amendment thereto or preventing or suspending the use of any Preliminary Prospectus or the Prospectus or of the initiation, or the threatening, of any proceeding for that purpose; (iii) of the issuance by any state securities commission of any proceedings for the suspension of the qualification of the Public Securities for offering or sale in any jurisdiction or of the initiation, or the threatening, of any proceeding for that purpose; (iv) of the mailing and delivery to the Commission for filing of any amendment or supplement to the Registration Statement or Prospectus;</w:t>
      </w:r>
    </w:p>
    <w:p>
      <w:pPr>
        <w:spacing w:after="0" w:line="4" w:lineRule="exact"/>
        <w:rPr>
          <w:sz w:val="20"/>
          <w:szCs w:val="20"/>
          <w:color w:val="auto"/>
        </w:rPr>
      </w:pPr>
    </w:p>
    <w:p>
      <w:pPr>
        <w:jc w:val="both"/>
        <w:ind w:firstLine="8"/>
        <w:spacing w:after="0" w:line="270" w:lineRule="auto"/>
        <w:tabs>
          <w:tab w:leader="none" w:pos="25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of the receipt of any comments or request for any additional information from the Commission; and (vi) of the happening of any event during the period described in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hereof that, in the judgment of the Company, makes any statement of a material fact made in the Registration Statement, the Preliminary Prospectus and/or the Prospectus untrue or that requires the making of any changes in the Registration Statement, the Preliminary Prospectus and/or the Prospectus in order to make the statements therein, (with respect to the Prospectus, in light of the circumstances under which they were made), not misleading. If the Commission or any state securities commission shall enter a stop order or suspend such qualification at any time, the Company will make every reasonable effort to obtain promptly the lifting of such order.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jc w:val="both"/>
        <w:ind w:firstLine="648"/>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Review of Financial Statements</w:t>
      </w:r>
      <w:r>
        <w:rPr>
          <w:rFonts w:ascii="Arial" w:cs="Arial" w:eastAsia="Arial" w:hAnsi="Arial"/>
          <w:sz w:val="18"/>
          <w:szCs w:val="18"/>
          <w:color w:val="auto"/>
        </w:rPr>
        <w:t>. Until the earlier of five (5) years from the Effective Date, or until such earlier date upon which the Company is required to be liquidated, the Company, at its expense, shall cause its regularly engaged independent certified public accountants to review (but not audit) the Company’s financial statements for each of the first three fiscal quarters prior to the announcement or filing of quarterly financial information, if any.</w:t>
      </w:r>
    </w:p>
    <w:p>
      <w:pPr>
        <w:spacing w:after="0" w:line="18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Affiliated Transactions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3.5.1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will not consummate a Business Combination with any entity which is affiliated with the Initial Shareholders or an officer or director of the Company unless the Company obtains an opinion from an independent investment banking firm or another independent firm that commonly renders valuation opinions stating the Business Combination is fair to the Company’s shareholders from a financial perspective.</w:t>
      </w:r>
    </w:p>
    <w:p>
      <w:pPr>
        <w:spacing w:after="0" w:line="187"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6"/>
          <w:szCs w:val="16"/>
          <w:i w:val="1"/>
          <w:iCs w:val="1"/>
          <w:color w:val="auto"/>
        </w:rPr>
        <w:t xml:space="preserve">Administrative Services. </w:t>
      </w:r>
      <w:r>
        <w:rPr>
          <w:rFonts w:ascii="Arial" w:cs="Arial" w:eastAsia="Arial" w:hAnsi="Arial"/>
          <w:sz w:val="16"/>
          <w:szCs w:val="16"/>
          <w:color w:val="auto"/>
        </w:rPr>
        <w:t>The Company has entered into an administrative services agreement (the “Services Agreement”) with</w:t>
      </w:r>
    </w:p>
    <w:p>
      <w:pPr>
        <w:spacing w:after="0" w:line="23" w:lineRule="exact"/>
        <w:rPr>
          <w:sz w:val="20"/>
          <w:szCs w:val="20"/>
          <w:color w:val="auto"/>
        </w:rPr>
      </w:pPr>
    </w:p>
    <w:p>
      <w:pPr>
        <w:jc w:val="both"/>
        <w:ind w:firstLine="8"/>
        <w:spacing w:after="0" w:line="255" w:lineRule="auto"/>
        <w:tabs>
          <w:tab w:leader="none" w:pos="33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form filed as an exhibit to the Registration Statement pursuant to which the Company has made and will continue to make available to the Company general and administrative services including office space and utilities for the Company’s use for $10,000 per month until the consummation of a Business Combination.</w:t>
      </w:r>
    </w:p>
    <w:p>
      <w:pPr>
        <w:spacing w:after="0" w:line="19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3.5.3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Except (a) as set forth in the Registration Statement, the Preliminary Prospectus or the Prospectus or (b) as set forth in this </w:t>
      </w:r>
      <w:r>
        <w:rPr>
          <w:rFonts w:ascii="Arial" w:cs="Arial" w:eastAsia="Arial" w:hAnsi="Arial"/>
          <w:sz w:val="16"/>
          <w:szCs w:val="16"/>
          <w:u w:val="single" w:color="auto"/>
          <w:color w:val="auto"/>
        </w:rPr>
        <w:t>Section 3.5</w:t>
      </w:r>
      <w:r>
        <w:rPr>
          <w:rFonts w:ascii="Arial" w:cs="Arial" w:eastAsia="Arial" w:hAnsi="Arial"/>
          <w:sz w:val="16"/>
          <w:szCs w:val="16"/>
          <w:color w:val="auto"/>
        </w:rPr>
        <w:t>,, the Company shall not pay any officer, director or Initial Shareholder, or any of their affiliates, any fees or compensation from the Company, for services rendered to the Company prior to, or in connection with, the Offering or the consummation of a Business Combination.</w:t>
      </w:r>
    </w:p>
    <w:p>
      <w:pPr>
        <w:spacing w:after="0" w:line="1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Secondary Market Trading</w:t>
      </w:r>
      <w:r>
        <w:rPr>
          <w:rFonts w:ascii="Arial" w:cs="Arial" w:eastAsia="Arial" w:hAnsi="Arial"/>
          <w:sz w:val="16"/>
          <w:szCs w:val="16"/>
          <w:color w:val="auto"/>
        </w:rPr>
        <w:t xml:space="preserve">. In the event the Public Securities are not listed on the Nasdaq Capital Market or another national securities exchange, the Company will (i) apply to be included in Mergent, Inc. Manual for a period of five (5) years from the consummation of a Business Combination, (ii) take such commercially reasonable steps as may be necessary to obtain a secondary market trading exemption for the Company’s securities in such jurisdictions and (iii) take such other action as may be reasonably requested by the Representative to obtain a secondary market trading exemption in such other states as may be requested by the Representative;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qualification shall be required in any jurisdiction where, as a result thereof, the Company would be subject to service of general process or to taxation as a foreign entity doing business in such jurisdiction.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6" w:name="page207"/>
    <w:bookmarkEnd w:id="206"/>
    <w:p>
      <w:pPr>
        <w:jc w:val="both"/>
        <w:ind w:firstLine="648"/>
        <w:spacing w:after="0" w:line="263"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Financial Public Relations Firm</w:t>
      </w:r>
      <w:r>
        <w:rPr>
          <w:rFonts w:ascii="Arial" w:cs="Arial" w:eastAsia="Arial" w:hAnsi="Arial"/>
          <w:sz w:val="18"/>
          <w:szCs w:val="18"/>
          <w:color w:val="auto"/>
        </w:rPr>
        <w:t>. Promptly after the execution of a definitive agreement for a Business Combination, the Company shall retain a financial public relations firm reasonably acceptable to the Representative for a term to be agreed upon by the Company and the Representative.</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5"/>
          <w:szCs w:val="15"/>
          <w:u w:val="single" w:color="auto"/>
          <w:color w:val="auto"/>
        </w:rPr>
        <w:t>Reports to the Representative</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3.8.1 </w:t>
      </w:r>
      <w:r>
        <w:rPr>
          <w:rFonts w:ascii="Arial" w:cs="Arial" w:eastAsia="Arial" w:hAnsi="Arial"/>
          <w:sz w:val="18"/>
          <w:szCs w:val="18"/>
          <w:i w:val="1"/>
          <w:iCs w:val="1"/>
          <w:color w:val="auto"/>
        </w:rPr>
        <w:t>Periodic Reports, Etc</w:t>
      </w:r>
      <w:r>
        <w:rPr>
          <w:rFonts w:ascii="Arial" w:cs="Arial" w:eastAsia="Arial" w:hAnsi="Arial"/>
          <w:sz w:val="18"/>
          <w:szCs w:val="18"/>
          <w:color w:val="auto"/>
        </w:rPr>
        <w:t xml:space="preserve">. For a period of five (5) years from the Effective Date or until such earlier time upon which the Company is dissolved, the Company will furnish to the Representative and its counsel copies of such financial statements and other periodic and special reports as the Company from time to time furnishes generally to holders of any class of its securities, and promptly furnish to the Representative: (i) a copy of each periodic report the Company shall be required to file with the Commission; (ii) a copy of every press release and every news item and article with respect to the Company or its affairs which was released by the Company; (iii) a copy of each Form 8-K or Schedules 13D, 13G, 14D-1 or 13E-4 received or prepared by the Company; (iv) five (5) copies of each Registration Statement; and (v) such additional documents and information with respect to the Company and the affairs of any future subsidiaries of the Company as the Representative may from time to time reasonably request;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Representative shall sign, if requested by the Company, a Regulation FD compliant confidentiality agreement which is reasonably acceptable to the Representative and its counsel in connection with the Representative’s receipt of such information. Documents filed with the Commission pursuant to its Electronic Data Gathering, Analysis and Retrieval System (“</w:t>
      </w:r>
      <w:r>
        <w:rPr>
          <w:rFonts w:ascii="Arial" w:cs="Arial" w:eastAsia="Arial" w:hAnsi="Arial"/>
          <w:sz w:val="18"/>
          <w:szCs w:val="18"/>
          <w:b w:val="1"/>
          <w:bCs w:val="1"/>
          <w:color w:val="auto"/>
        </w:rPr>
        <w:t>EDGAR</w:t>
      </w:r>
      <w:r>
        <w:rPr>
          <w:rFonts w:ascii="Arial" w:cs="Arial" w:eastAsia="Arial" w:hAnsi="Arial"/>
          <w:sz w:val="18"/>
          <w:szCs w:val="18"/>
          <w:color w:val="auto"/>
        </w:rPr>
        <w:t>”) shall be deemed to have been delivered to the Representative pursuant to this section.</w:t>
      </w:r>
    </w:p>
    <w:p>
      <w:pPr>
        <w:spacing w:after="0" w:line="19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3.8.2 </w:t>
      </w:r>
      <w:r>
        <w:rPr>
          <w:rFonts w:ascii="Arial" w:cs="Arial" w:eastAsia="Arial" w:hAnsi="Arial"/>
          <w:sz w:val="18"/>
          <w:szCs w:val="18"/>
          <w:i w:val="1"/>
          <w:iCs w:val="1"/>
          <w:color w:val="auto"/>
        </w:rPr>
        <w:t>Transfer Sheets</w:t>
      </w:r>
      <w:r>
        <w:rPr>
          <w:rFonts w:ascii="Arial" w:cs="Arial" w:eastAsia="Arial" w:hAnsi="Arial"/>
          <w:sz w:val="18"/>
          <w:szCs w:val="18"/>
          <w:color w:val="auto"/>
        </w:rPr>
        <w:t>. For a period of five (5) years following the Effective Date or until such earlier time upon which the Company is dissolved, the Company shall retain a transfer and warrant agent acceptable to the Representative (the “</w:t>
      </w:r>
      <w:r>
        <w:rPr>
          <w:rFonts w:ascii="Arial" w:cs="Arial" w:eastAsia="Arial" w:hAnsi="Arial"/>
          <w:sz w:val="18"/>
          <w:szCs w:val="18"/>
          <w:b w:val="1"/>
          <w:bCs w:val="1"/>
          <w:color w:val="auto"/>
        </w:rPr>
        <w:t>Transfer Agent</w:t>
      </w:r>
      <w:r>
        <w:rPr>
          <w:rFonts w:ascii="Arial" w:cs="Arial" w:eastAsia="Arial" w:hAnsi="Arial"/>
          <w:sz w:val="18"/>
          <w:szCs w:val="18"/>
          <w:color w:val="auto"/>
        </w:rPr>
        <w:t>”). In the event the Public Securities are not listed on the Nasdaq Capital Market or another national securities exchange, the Company will furnish to the Underwriters at the Company’s sole cost and expense such transfer sheets of the Company’s securities as the Representative may request, including the daily and monthly consolidated transfer sheets of the Transfer Agent and DTC. Continental Stock Transfer &amp; Trust Company is an acceptable Transfer Agent to the Representative.</w:t>
      </w:r>
    </w:p>
    <w:p>
      <w:pPr>
        <w:spacing w:after="0" w:line="19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3.8.3 </w:t>
      </w:r>
      <w:r>
        <w:rPr>
          <w:rFonts w:ascii="Arial" w:cs="Arial" w:eastAsia="Arial" w:hAnsi="Arial"/>
          <w:sz w:val="17"/>
          <w:szCs w:val="17"/>
          <w:i w:val="1"/>
          <w:iCs w:val="1"/>
          <w:color w:val="auto"/>
        </w:rPr>
        <w:t>Trading Reports</w:t>
      </w:r>
      <w:r>
        <w:rPr>
          <w:rFonts w:ascii="Arial" w:cs="Arial" w:eastAsia="Arial" w:hAnsi="Arial"/>
          <w:sz w:val="17"/>
          <w:szCs w:val="17"/>
          <w:color w:val="auto"/>
        </w:rPr>
        <w:t>. If the Public Securities are quoted on the OTC Bulletin Board (or any successor trading market) or a market operated by the OTC Market Group Inc. (or similar publisher of quotations), then during such time the Company shall provide to the Representative, at its expense, such reports published by the OTC Bulletin Board or the OTC Market Group Inc. relating to price trading of the Public Securities, as the Representative shall reasonably request. In addition to the requirements of the preceding sentence, if the Public Securities are not listed on the Nasdaq Capital Market or such other national securities exchange for a period of two (2) years from the Closing Date, the Company, at its expense, shall provide Chardan a subscription to the Company’s weekly Depository Transfer Company Security Position Reports.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7" w:name="page208"/>
    <w:bookmarkEnd w:id="207"/>
    <w:p>
      <w:pPr>
        <w:jc w:val="both"/>
        <w:ind w:right="20" w:firstLine="648"/>
        <w:spacing w:after="0" w:line="308"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Disqualification of Form S-1</w:t>
      </w:r>
      <w:r>
        <w:rPr>
          <w:rFonts w:ascii="Arial" w:cs="Arial" w:eastAsia="Arial" w:hAnsi="Arial"/>
          <w:sz w:val="17"/>
          <w:szCs w:val="17"/>
          <w:color w:val="auto"/>
        </w:rPr>
        <w:t>. For a period equal to seven (7) years from the date hereof, the Company will not take any action or actions which may prevent or disqualify the Company’s use of Form S-1 (or other appropriate form) for the registration of the Warrants under the Act.</w:t>
      </w:r>
    </w:p>
    <w:p>
      <w:pPr>
        <w:spacing w:after="0" w:line="14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Payment of Expenses</w:t>
      </w:r>
      <w:r>
        <w:rPr>
          <w:rFonts w:ascii="Arial" w:cs="Arial" w:eastAsia="Arial" w:hAnsi="Arial"/>
          <w:sz w:val="16"/>
          <w:szCs w:val="16"/>
          <w:color w:val="auto"/>
        </w:rPr>
        <w:t xml:space="preserve">. The Company hereby agrees to pay on each of the Closing Date and the Option Closing Date, if any, to the extent not paid at the Closing Date, all expenses incident to the performance of the obligations of the Company under this Agreement, including, but not limited to: (i) the Company’s legal and accounting fees and disbursements; (ii) the costs of preparing, printing, mailing (including the payment of postage with respect to such mailing) and delivering the Registration Statement, the Preliminary Prospectus and final Prospectus contained therein and amendments thereto, post-effective amendments and supplements thereto, this Agreement and related documents, including the cost of all copies thereof and any amendments thereof or supplements thereto supplied to the Underwriters in quantities as may be required by the Underwriters; (iii) the printing, engraving, issuance and delivery of the Units and the shares of Common Stock and Warrants included in the Units, including any transfer or other taxes payable thereon; (iv) if the Public Securities are not listed on the Nasdaq Capital Market or such other national securities exchange, the qualification of the Public Securities under state or foreign securities or Blue Sky laws specified by Representative, including the costs of printing and mailing the “Preliminary Blue Sky Memorandum,” and all amendments and supplements thereto, and fees and disbursements for counsel of Representative’s choice retained for such purpose; (v) filing fees (including SEC filing fees), costs and expenses (including third party expenses and disbursements) incurred in registering the Offering; (vi) filing fees incurred in registering the Offering with FINRA; (vii) fees and disbursements of the registrar and transfer and rights and warrant agent; (viii) the Company’s expenses associated with “due diligence” meetings arranged by the Representative (none of which will be received or paid on behalf of an “underwriter and related person” as such term is defined in Rule 5110 of FINRA’s Rules); (ix) all costs and expenses associated with “road show” marketing and “due diligence” trips for the Company’s management to meet with prospective investors, including without limitation, all travel, food and lodging expenses associated with such trips; (x) the preparation of leather bound volumes and lucite cube mementos in such quantities as the Underwriter may reasonably request and (xi) all other reasonable costs and expenses incident to the performance of its obligations hereunder which are not otherwise specifically provided for in this </w:t>
      </w:r>
      <w:r>
        <w:rPr>
          <w:rFonts w:ascii="Arial" w:cs="Arial" w:eastAsia="Arial" w:hAnsi="Arial"/>
          <w:sz w:val="16"/>
          <w:szCs w:val="16"/>
          <w:u w:val="single" w:color="auto"/>
          <w:color w:val="auto"/>
        </w:rPr>
        <w:t>Section 3.10</w:t>
      </w:r>
      <w:r>
        <w:rPr>
          <w:rFonts w:ascii="Arial" w:cs="Arial" w:eastAsia="Arial" w:hAnsi="Arial"/>
          <w:sz w:val="16"/>
          <w:szCs w:val="16"/>
          <w:color w:val="auto"/>
        </w:rPr>
        <w:t xml:space="preserve"> that the Underwriters have notified the Company about on or prior to the Closing Date.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Application of Net Proceeds</w:t>
      </w:r>
      <w:r>
        <w:rPr>
          <w:rFonts w:ascii="Arial" w:cs="Arial" w:eastAsia="Arial" w:hAnsi="Arial"/>
          <w:sz w:val="18"/>
          <w:szCs w:val="18"/>
          <w:color w:val="auto"/>
        </w:rPr>
        <w:t>. The Company will apply the net proceeds from the Offering received by it in a manner consistent with the application described under the caption “Use of Proceeds” in the Prospectus.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Delivery of Earnings Statements to Security Holders</w:t>
      </w:r>
      <w:r>
        <w:rPr>
          <w:rFonts w:ascii="Arial" w:cs="Arial" w:eastAsia="Arial" w:hAnsi="Arial"/>
          <w:sz w:val="16"/>
          <w:szCs w:val="16"/>
          <w:color w:val="auto"/>
        </w:rPr>
        <w:t>. The Company will make generally available to its security holders as soon as practicable, but not later than the first day of the fifteenth (15th) full calendar month following the Effective Date, an earnings statement (which need not be certified by independent public or independent certified public accountants unless required by the Act or the Regulations, but which shall satisfy the provisions of Rule 158(a) under Section 11(a) of the Act) covering a period of at least twelve (12) consecutive months beginning after the Effective Date.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8" w:name="page209"/>
    <w:bookmarkEnd w:id="208"/>
    <w:p>
      <w:pPr>
        <w:ind w:left="660"/>
        <w:spacing w:after="0"/>
        <w:tabs>
          <w:tab w:leader="none" w:pos="140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u w:val="single" w:color="auto"/>
          <w:color w:val="auto"/>
        </w:rPr>
        <w:t>Notice to FINRA</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3.13.1 </w:t>
      </w:r>
      <w:r>
        <w:rPr>
          <w:rFonts w:ascii="Arial" w:cs="Arial" w:eastAsia="Arial" w:hAnsi="Arial"/>
          <w:sz w:val="18"/>
          <w:szCs w:val="18"/>
          <w:i w:val="1"/>
          <w:iCs w:val="1"/>
          <w:color w:val="auto"/>
        </w:rPr>
        <w:t>Business Combination</w:t>
      </w:r>
      <w:r>
        <w:rPr>
          <w:rFonts w:ascii="Arial" w:cs="Arial" w:eastAsia="Arial" w:hAnsi="Arial"/>
          <w:sz w:val="18"/>
          <w:szCs w:val="18"/>
          <w:color w:val="auto"/>
        </w:rPr>
        <w:t>. In the event any person or entity (regardless of any FINRA affiliation or association) is engaged to assist the Company in its search for a merger candidate or to provide any other merger and acquisition services, the Company will provide the following to FINRA and the Representative prior to the consummation of the Business Combination: (i) complete details of all services and copies of agreements governing such services; and (ii) justification as to why the person or entity providing the merger and acquisition services should not be considered an “underwriter and related person” (as such term is defined in Rule 5110 of FINRA’s Rules) with respect to the Offering. The Company also agrees that proper disclosure of such arrangement or potential arrangement will be made in any proxy or tender offer statement which the Company files in connection with the Business Combination.</w:t>
      </w:r>
    </w:p>
    <w:p>
      <w:pPr>
        <w:spacing w:after="0" w:line="19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3.13.2 </w:t>
      </w:r>
      <w:r>
        <w:rPr>
          <w:rFonts w:ascii="Arial" w:cs="Arial" w:eastAsia="Arial" w:hAnsi="Arial"/>
          <w:sz w:val="18"/>
          <w:szCs w:val="18"/>
          <w:i w:val="1"/>
          <w:iCs w:val="1"/>
          <w:color w:val="auto"/>
        </w:rPr>
        <w:t>Broker/Dealer</w:t>
      </w:r>
      <w:r>
        <w:rPr>
          <w:rFonts w:ascii="Arial" w:cs="Arial" w:eastAsia="Arial" w:hAnsi="Arial"/>
          <w:sz w:val="18"/>
          <w:szCs w:val="18"/>
          <w:color w:val="auto"/>
        </w:rPr>
        <w:t>. In the event the Company intends to register as a broker/dealer, merge with or acquire a registered broker/dealer, or otherwise become a member of FINRA, it shall promptly notify FINRA.</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Stabilization</w:t>
      </w:r>
      <w:r>
        <w:rPr>
          <w:rFonts w:ascii="Arial" w:cs="Arial" w:eastAsia="Arial" w:hAnsi="Arial"/>
          <w:sz w:val="18"/>
          <w:szCs w:val="18"/>
          <w:color w:val="auto"/>
        </w:rPr>
        <w:t>. Neither the Company, nor, to its knowledge, any of its employees, directors or stockholders (without the consent of the Representative)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Units.</w:t>
      </w:r>
    </w:p>
    <w:p>
      <w:pPr>
        <w:spacing w:after="0" w:line="187"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u w:val="single" w:color="auto"/>
          <w:color w:val="auto"/>
        </w:rPr>
        <w:t>Internal Controls</w:t>
      </w:r>
      <w:r>
        <w:rPr>
          <w:rFonts w:ascii="Arial" w:cs="Arial" w:eastAsia="Arial" w:hAnsi="Arial"/>
          <w:sz w:val="16"/>
          <w:szCs w:val="16"/>
          <w:color w:val="auto"/>
        </w:rPr>
        <w:t>. The Company will maintain a system of internal accounting controls sufficient to provide reasonable assurances that:</w:t>
      </w:r>
    </w:p>
    <w:p>
      <w:pPr>
        <w:spacing w:after="0" w:line="23" w:lineRule="exact"/>
        <w:rPr>
          <w:sz w:val="20"/>
          <w:szCs w:val="20"/>
          <w:color w:val="auto"/>
        </w:rPr>
      </w:pPr>
    </w:p>
    <w:p>
      <w:pPr>
        <w:jc w:val="both"/>
        <w:ind w:firstLine="8"/>
        <w:spacing w:after="0" w:line="273" w:lineRule="auto"/>
        <w:tabs>
          <w:tab w:leader="none" w:pos="23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 (ii) transactions are recorded as necessary in order to permit preparation of financial statements in accordance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Accountants</w:t>
      </w:r>
      <w:r>
        <w:rPr>
          <w:rFonts w:ascii="Arial" w:cs="Arial" w:eastAsia="Arial" w:hAnsi="Arial"/>
          <w:sz w:val="18"/>
          <w:szCs w:val="18"/>
          <w:color w:val="auto"/>
        </w:rPr>
        <w:t>. For a period of five (5) years from the Effective Date or until such earlier time upon which the Company is required to be liquidated, the Company shall retain Withum or other independent public accountants reasonably acceptable to the Representative.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Form 8-K</w:t>
      </w:r>
      <w:r>
        <w:rPr>
          <w:rFonts w:ascii="Arial" w:cs="Arial" w:eastAsia="Arial" w:hAnsi="Arial"/>
          <w:sz w:val="16"/>
          <w:szCs w:val="16"/>
          <w:color w:val="auto"/>
        </w:rPr>
        <w:t>. The Company shall, on the date hereof, retain its independent public accountants to audit the financial statements of the Company as of the Closing Date (the “</w:t>
      </w:r>
      <w:r>
        <w:rPr>
          <w:rFonts w:ascii="Arial" w:cs="Arial" w:eastAsia="Arial" w:hAnsi="Arial"/>
          <w:sz w:val="16"/>
          <w:szCs w:val="16"/>
          <w:b w:val="1"/>
          <w:bCs w:val="1"/>
          <w:color w:val="auto"/>
        </w:rPr>
        <w:t>Audited Financial Statements</w:t>
      </w:r>
      <w:r>
        <w:rPr>
          <w:rFonts w:ascii="Arial" w:cs="Arial" w:eastAsia="Arial" w:hAnsi="Arial"/>
          <w:sz w:val="16"/>
          <w:szCs w:val="16"/>
          <w:color w:val="auto"/>
        </w:rPr>
        <w:t>”) reflecting the receipt by the Company of the proceeds of the Offering and the Private Placement, as well as the proceeds from the exercise of the Over-Allotment if such exercise has occurred on the date of the Prospectus. Within four</w:t>
      </w:r>
    </w:p>
    <w:p>
      <w:pPr>
        <w:spacing w:after="0" w:line="2" w:lineRule="exact"/>
        <w:rPr>
          <w:sz w:val="20"/>
          <w:szCs w:val="20"/>
          <w:color w:val="auto"/>
        </w:rPr>
      </w:pPr>
    </w:p>
    <w:p>
      <w:pPr>
        <w:ind w:firstLine="8"/>
        <w:spacing w:after="0" w:line="260" w:lineRule="auto"/>
        <w:tabs>
          <w:tab w:leader="none" w:pos="25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Business Days of the Closing Date, the Company will file a Current Report on Form 8-K with the Commission, which Report shall contain the Audited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9" w:name="page210"/>
    <w:bookmarkEnd w:id="209"/>
    <w:p>
      <w:pPr>
        <w:jc w:val="both"/>
        <w:ind w:right="20" w:firstLine="648"/>
        <w:spacing w:after="0" w:line="277"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FINRA</w:t>
      </w:r>
      <w:r>
        <w:rPr>
          <w:rFonts w:ascii="Arial" w:cs="Arial" w:eastAsia="Arial" w:hAnsi="Arial"/>
          <w:sz w:val="18"/>
          <w:szCs w:val="18"/>
          <w:color w:val="auto"/>
        </w:rPr>
        <w:t>. The Company shall advise FINRA if it is aware that any 5% or greater stockholder of the Company becomes an affiliate or associated person of a FINRA member participating in the distribution of the Company’s Public Securities.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Corporate Proceedings</w:t>
      </w:r>
      <w:r>
        <w:rPr>
          <w:rFonts w:ascii="Arial" w:cs="Arial" w:eastAsia="Arial" w:hAnsi="Arial"/>
          <w:sz w:val="18"/>
          <w:szCs w:val="18"/>
          <w:color w:val="auto"/>
        </w:rPr>
        <w:t>. All corporate proceedings and other legal matters necessary to carry out the provisions of this Agreement and the transactions contemplated hereby shall have been done to the reasonable satisfaction to counsel for the Underwriters.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3.20 </w:t>
      </w:r>
      <w:r>
        <w:rPr>
          <w:rFonts w:ascii="Arial" w:cs="Arial" w:eastAsia="Arial" w:hAnsi="Arial"/>
          <w:sz w:val="17"/>
          <w:szCs w:val="17"/>
          <w:u w:val="single" w:color="auto"/>
          <w:color w:val="auto"/>
        </w:rPr>
        <w:t>Investment Company</w:t>
      </w:r>
      <w:r>
        <w:rPr>
          <w:rFonts w:ascii="Arial" w:cs="Arial" w:eastAsia="Arial" w:hAnsi="Arial"/>
          <w:sz w:val="17"/>
          <w:szCs w:val="17"/>
          <w:color w:val="auto"/>
        </w:rPr>
        <w:t>. The Company shall cause the proceeds of the Offering to be held in the Trust Account to be invested only in “government securities” with specific maturity dates or in money market funds meeting certain conditions under Rule 2a-7 promulgated under the Investment Company Act as set forth in the Trust Agreement and disclosed in the Prospectus. The Company will otherwise conduct its business in a manner so that it will not become subject to the Investment Company Act. Furthermore, once the Company consummates a Business Combination, it will be engaged in a business other than that of investing, reinvesting, owning, holding or trading securities.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Business Combination Announcement</w:t>
      </w:r>
      <w:r>
        <w:rPr>
          <w:rFonts w:ascii="Arial" w:cs="Arial" w:eastAsia="Arial" w:hAnsi="Arial"/>
          <w:sz w:val="18"/>
          <w:szCs w:val="18"/>
          <w:color w:val="auto"/>
        </w:rPr>
        <w:t>. Within four (4) Business Days following the consummation by the Company of a Business Combination, the Company shall cause an announcement (“</w:t>
      </w:r>
      <w:r>
        <w:rPr>
          <w:rFonts w:ascii="Arial" w:cs="Arial" w:eastAsia="Arial" w:hAnsi="Arial"/>
          <w:sz w:val="18"/>
          <w:szCs w:val="18"/>
          <w:b w:val="1"/>
          <w:bCs w:val="1"/>
          <w:color w:val="auto"/>
        </w:rPr>
        <w:t>Business Combination Announcement</w:t>
      </w:r>
      <w:r>
        <w:rPr>
          <w:rFonts w:ascii="Arial" w:cs="Arial" w:eastAsia="Arial" w:hAnsi="Arial"/>
          <w:sz w:val="18"/>
          <w:szCs w:val="18"/>
          <w:color w:val="auto"/>
        </w:rPr>
        <w:t>”) to be issued by a press release service announcing the consummation of the Business Combination and indicating that the Representative was one of the co-managing underwriters in the Offering and also indicating the name and location of any other financial advisors engaged by the Company as a merger and acquisitions advisor. The Company shall supply the Representative with a draft of the Business Combination Announcement and provide the Representative with a reasonable advance opportunity to comment thereon. The Company will not issue the Business Combination Announcement without the final approval of the Representative, which approval will not be unreasonably withheld.</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Press Releases</w:t>
      </w:r>
      <w:r>
        <w:rPr>
          <w:rFonts w:ascii="Arial" w:cs="Arial" w:eastAsia="Arial" w:hAnsi="Arial"/>
          <w:sz w:val="18"/>
          <w:szCs w:val="18"/>
          <w:color w:val="auto"/>
        </w:rPr>
        <w:t>. The Company agrees that it will not issue press releases or engage in any other publicity, without Chardan’s prior written consent (not to be unreasonably withheld), for a period of twenty-five (25) days after the Effective Date.</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3.23 </w:t>
      </w:r>
      <w:r>
        <w:rPr>
          <w:rFonts w:ascii="Arial" w:cs="Arial" w:eastAsia="Arial" w:hAnsi="Arial"/>
          <w:sz w:val="17"/>
          <w:szCs w:val="17"/>
          <w:u w:val="single" w:color="auto"/>
          <w:color w:val="auto"/>
        </w:rPr>
        <w:t>Electronic Prospectus</w:t>
      </w:r>
      <w:r>
        <w:rPr>
          <w:rFonts w:ascii="Arial" w:cs="Arial" w:eastAsia="Arial" w:hAnsi="Arial"/>
          <w:sz w:val="17"/>
          <w:szCs w:val="17"/>
          <w:color w:val="auto"/>
        </w:rPr>
        <w:t>. The Company shall cause to be prepared and delivered to the Representative, at its expense, within one (1) Business Day from the Effective Date, an Electronic Prospectus to be used by the Underwriters in connection with the Offering. As used herein, the term “</w:t>
      </w:r>
      <w:r>
        <w:rPr>
          <w:rFonts w:ascii="Arial" w:cs="Arial" w:eastAsia="Arial" w:hAnsi="Arial"/>
          <w:sz w:val="17"/>
          <w:szCs w:val="17"/>
          <w:b w:val="1"/>
          <w:bCs w:val="1"/>
          <w:color w:val="auto"/>
        </w:rPr>
        <w:t>Electronic Prospectus</w:t>
      </w:r>
      <w:r>
        <w:rPr>
          <w:rFonts w:ascii="Arial" w:cs="Arial" w:eastAsia="Arial" w:hAnsi="Arial"/>
          <w:sz w:val="17"/>
          <w:szCs w:val="17"/>
          <w:color w:val="auto"/>
        </w:rPr>
        <w:t>” means a form of prospectus, and any amendment or supplement thereto, that meets each of the following conditions: (i) it shall be encoded in an electronic format, satisfactory to the Representative, that may be transmitted electronically by the other Underwriters to offerees and purchasers of the Units for at least the period during which a Prospectus relating to the Units is required to be delivered under the Act; (ii) it shall disclose the same information as the paper prospectus and prospectus filed pursuant to EDGAR,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 that will allow recipients thereof to store and have continuously ready access to the prospectus at any future time, without charge to such recipients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within the period when a prospectus relating to the Units is required to be delivered under the Securities Act, the Company shall transmit or cause to be transmitted promptly, without charge, a paper copy of the Prospectus.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0" w:name="page211"/>
    <w:bookmarkEnd w:id="210"/>
    <w:p>
      <w:pPr>
        <w:jc w:val="both"/>
        <w:ind w:right="20" w:firstLine="648"/>
        <w:spacing w:after="0" w:line="277"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will reserve and keep available that maximum number of its authorized but unissued securities which are issuable upon exercise of the Warrants and the Placement Warrants outstanding from time to time.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Private Placement Proceeds</w:t>
      </w:r>
      <w:r>
        <w:rPr>
          <w:rFonts w:ascii="Arial" w:cs="Arial" w:eastAsia="Arial" w:hAnsi="Arial"/>
          <w:sz w:val="18"/>
          <w:szCs w:val="18"/>
          <w:color w:val="auto"/>
        </w:rPr>
        <w:t>. Immediately upon establishment of the Trust Account and prior to the Closing, the Company shall deposit all of the proceeds from the Private Placement in the Trust Account and shall provide the Representative with evidence of the same.</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6"/>
          <w:szCs w:val="16"/>
          <w:u w:val="single" w:color="auto"/>
          <w:color w:val="auto"/>
        </w:rPr>
        <w:t>No Amendment to Charter</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3.26.1 Prior to the closing of a Business Combination, the Company covenants and agrees it will not seek to amend or modify its amended and restated certificate of incorporation without the prior approval of its Board of Directors and the affirmative vote of at least a majority of the voting power of the outstanding shares of Common Stock.</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3.26.2 The Company acknowledges that the purchasers of the Firm Units and Option Units in this Offering shall be deemed to be third party beneficiaries of this </w:t>
      </w:r>
      <w:r>
        <w:rPr>
          <w:rFonts w:ascii="Arial" w:cs="Arial" w:eastAsia="Arial" w:hAnsi="Arial"/>
          <w:sz w:val="18"/>
          <w:szCs w:val="18"/>
          <w:u w:val="single" w:color="auto"/>
          <w:color w:val="auto"/>
        </w:rPr>
        <w:t>Section 3.26</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3.26.3 The Representative and the Company specifically agree that this </w:t>
      </w:r>
      <w:r>
        <w:rPr>
          <w:rFonts w:ascii="Arial" w:cs="Arial" w:eastAsia="Arial" w:hAnsi="Arial"/>
          <w:sz w:val="18"/>
          <w:szCs w:val="18"/>
          <w:u w:val="single" w:color="auto"/>
          <w:color w:val="auto"/>
        </w:rPr>
        <w:t>Section 3.26</w:t>
      </w:r>
      <w:r>
        <w:rPr>
          <w:rFonts w:ascii="Arial" w:cs="Arial" w:eastAsia="Arial" w:hAnsi="Arial"/>
          <w:sz w:val="18"/>
          <w:szCs w:val="18"/>
          <w:color w:val="auto"/>
        </w:rPr>
        <w:t xml:space="preserve"> shall not be modified or amended in any way without the approval of at least a majority of the voting power of the outstanding shares of Common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Financial Printer</w:t>
      </w:r>
      <w:r>
        <w:rPr>
          <w:rFonts w:ascii="Arial" w:cs="Arial" w:eastAsia="Arial" w:hAnsi="Arial"/>
          <w:sz w:val="18"/>
          <w:szCs w:val="18"/>
          <w:color w:val="auto"/>
        </w:rPr>
        <w:t>. The Company shall retain a financial printer, reasonably acceptable to the Representative, for the purpose of facilitating the Company’s EDGAR filings and the printing of the Preliminary Prospectus and Prospectus.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Listing on the Nasdaq Capital Market</w:t>
      </w:r>
      <w:r>
        <w:rPr>
          <w:rFonts w:ascii="Arial" w:cs="Arial" w:eastAsia="Arial" w:hAnsi="Arial"/>
          <w:sz w:val="18"/>
          <w:szCs w:val="18"/>
          <w:color w:val="auto"/>
        </w:rPr>
        <w:t>. The Company will use commercially reasonable efforts to maintain the listing of the Public Securities on the Nasdaq Capital Market or another national securities exchange until the earlier of five (5) years from the Effective Date or until the Public Securities are no longer registered under the Exchange Act.</w:t>
      </w:r>
    </w:p>
    <w:p>
      <w:pPr>
        <w:spacing w:after="0" w:line="180" w:lineRule="exact"/>
        <w:rPr>
          <w:sz w:val="20"/>
          <w:szCs w:val="20"/>
          <w:color w:val="auto"/>
        </w:rPr>
      </w:pPr>
    </w:p>
    <w:p>
      <w:pPr>
        <w:jc w:val="both"/>
        <w:ind w:firstLine="8"/>
        <w:spacing w:after="0" w:line="281" w:lineRule="auto"/>
        <w:tabs>
          <w:tab w:leader="none" w:pos="1106"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Conditions of Underwriters’ Obligations</w:t>
      </w:r>
      <w:r>
        <w:rPr>
          <w:rFonts w:ascii="Arial" w:cs="Arial" w:eastAsia="Arial" w:hAnsi="Arial"/>
          <w:sz w:val="17"/>
          <w:szCs w:val="17"/>
          <w:color w:val="auto"/>
        </w:rPr>
        <w:t>. The obligations of the QIU and the several Underwriters to purchase and pay for the Units, as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herein, shall be subject to the continuing accuracy of the representations and warranties of the Company as of the date hereof and as of each of the Closing Date and the Option Closing Date, if any, to the accuracy of the statements of officers of the Company made pursuant to the provisions hereof and to the performance by the Company of its obligations hereunder and to the following conditions: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1" w:name="page212"/>
    <w:bookmarkEnd w:id="211"/>
    <w:p>
      <w:pPr>
        <w:ind w:left="660"/>
        <w:spacing w:after="0"/>
        <w:tabs>
          <w:tab w:leader="none" w:pos="15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Regulatory Matters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i w:val="1"/>
          <w:iCs w:val="1"/>
          <w:color w:val="auto"/>
        </w:rPr>
        <w:t>Effectiveness of Registration Statement</w:t>
      </w:r>
      <w:r>
        <w:rPr>
          <w:rFonts w:ascii="Arial" w:cs="Arial" w:eastAsia="Arial" w:hAnsi="Arial"/>
          <w:sz w:val="17"/>
          <w:szCs w:val="17"/>
          <w:color w:val="auto"/>
        </w:rPr>
        <w:t>. The Registration Statement shall have become effective not later than 5:00 P.M., New York time, on the date of this Agreement or such later date and time as shall be consented to in writing by the Representative, and, at each of the Closing Date and the Option Closing Date, no stop order suspending the effectiveness of the Registration Statement shall have been issued and no proceedings for the purpose shall have been instituted or shall be pending or contemplated by the Commission and any request on the part of the Commission for additional information shall have been complied with to the reasonable satisfaction of Greenberg Traurig, LLP.</w:t>
      </w:r>
    </w:p>
    <w:p>
      <w:pPr>
        <w:spacing w:after="0" w:line="17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i w:val="1"/>
          <w:iCs w:val="1"/>
          <w:color w:val="auto"/>
        </w:rPr>
        <w:t>FINRA Clearance</w:t>
      </w:r>
      <w:r>
        <w:rPr>
          <w:rFonts w:ascii="Arial" w:cs="Arial" w:eastAsia="Arial" w:hAnsi="Arial"/>
          <w:sz w:val="18"/>
          <w:szCs w:val="18"/>
          <w:color w:val="auto"/>
        </w:rPr>
        <w:t>. By the Effective Date, the Representative shall have received clearance from FINRA as to the amount of compensation allowable or payable to the Underwriters as described in the Registration Statement.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i w:val="1"/>
          <w:iCs w:val="1"/>
          <w:color w:val="auto"/>
        </w:rPr>
        <w:t>No Commission Stop Order</w:t>
      </w:r>
      <w:r>
        <w:rPr>
          <w:rFonts w:ascii="Arial" w:cs="Arial" w:eastAsia="Arial" w:hAnsi="Arial"/>
          <w:sz w:val="18"/>
          <w:szCs w:val="18"/>
          <w:color w:val="auto"/>
        </w:rPr>
        <w:t>. At each of the Closing Date and the Option Closing Date, the Commission has not issued any order or threatened to issue any order preventing or suspending the use of any Preliminary Prospectus or the Prospectus or any part thereof, and has not instituted or threatened to institute any proceedings with respect to such an order.</w:t>
      </w:r>
    </w:p>
    <w:p>
      <w:pPr>
        <w:spacing w:after="0" w:line="18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i w:val="1"/>
          <w:iCs w:val="1"/>
          <w:color w:val="auto"/>
        </w:rPr>
        <w:t>No Blue Sky Stop Orders</w:t>
      </w:r>
      <w:r>
        <w:rPr>
          <w:rFonts w:ascii="Arial" w:cs="Arial" w:eastAsia="Arial" w:hAnsi="Arial"/>
          <w:sz w:val="18"/>
          <w:szCs w:val="18"/>
          <w:color w:val="auto"/>
        </w:rPr>
        <w:t xml:space="preserve">. No order suspending the sale of the Units in any jurisdiction designated by the Representative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hereof, if any, shall have been issued on either the Closing Date or the Option Closing Date, and no proceedings for that purpose shall have been instituted or shall be contemplated.</w:t>
      </w:r>
    </w:p>
    <w:p>
      <w:pPr>
        <w:spacing w:after="0" w:line="18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i w:val="1"/>
          <w:iCs w:val="1"/>
          <w:color w:val="auto"/>
        </w:rPr>
        <w:t>The Nasdaq Capital Market</w:t>
      </w:r>
      <w:r>
        <w:rPr>
          <w:rFonts w:ascii="Arial" w:cs="Arial" w:eastAsia="Arial" w:hAnsi="Arial"/>
          <w:sz w:val="16"/>
          <w:szCs w:val="16"/>
          <w:color w:val="auto"/>
        </w:rPr>
        <w:t>. By the Effective Date, the Securities shall have been approved for trading on the Nasdaq Capital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Market.</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Company Counsel Matters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i w:val="1"/>
          <w:iCs w:val="1"/>
          <w:color w:val="auto"/>
        </w:rPr>
        <w:t>Closing Date Opinion of Counsel</w:t>
      </w:r>
      <w:r>
        <w:rPr>
          <w:rFonts w:ascii="Arial" w:cs="Arial" w:eastAsia="Arial" w:hAnsi="Arial"/>
          <w:sz w:val="16"/>
          <w:szCs w:val="16"/>
          <w:color w:val="auto"/>
        </w:rPr>
        <w:t>. On the Closing Date, the Representative shall have received the favorable opinion of Reed Smith LLP (“</w:t>
      </w:r>
      <w:r>
        <w:rPr>
          <w:rFonts w:ascii="Arial" w:cs="Arial" w:eastAsia="Arial" w:hAnsi="Arial"/>
          <w:sz w:val="16"/>
          <w:szCs w:val="16"/>
          <w:b w:val="1"/>
          <w:bCs w:val="1"/>
          <w:color w:val="auto"/>
        </w:rPr>
        <w:t>Reed Smith</w:t>
      </w:r>
      <w:r>
        <w:rPr>
          <w:rFonts w:ascii="Arial" w:cs="Arial" w:eastAsia="Arial" w:hAnsi="Arial"/>
          <w:sz w:val="16"/>
          <w:szCs w:val="16"/>
          <w:color w:val="auto"/>
        </w:rPr>
        <w:t>”), counsel to the Company, dated the Closing Date, addressed to the Representative and the other Underwriters and in form and substance reasonably satisfactory to the Representative. The opinion of counsel shall further include a statement to the effect that such counsel has participated in conferences with officers and other representatives of the Company, representatives of the independent public accountants for the Company and representatives of the Underwriters at which the contents of the Registration Statement, final Preliminary Prospectus, the Prospectus and related matters were discussed and although such counsel is not passing upon and does not assume any responsibility for the accuracy, completeness or fairness of the statements contained in the Registration Statement, final Preliminary Prospectus and the Prospectus (except as otherwise set forth in such opinion), no facts have come to the attention of such counsel which lead them to believe that either the Registration Statement, final Preliminary Prospectus or the Prospectus or any amendment or supplement thereto, as of the date of such opinion contained any untrue statement of a material fact or omitted to state a material fact required to be stated therein or necessary to make the statements therein, in light of the circumstances under which they were made, not misleading (it being understood that such counsel need express no opinion with respect to the financial statements and related notes and schedules and other financial and statistical data included in the Registration Statement, final Preliminary Prospectus or the Prospectus or matters relating to the sale of securities in any jurisdiction outside the U.S.). The opinion of counsel shall state that such counsel is not opining as to the Placement Securities with respect to any rights to rescind or the effect any exercise of such rights will have on any other securities of the Company or on the Offering.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2" w:name="page213"/>
    <w:bookmarkEnd w:id="212"/>
    <w:p>
      <w:pPr>
        <w:jc w:val="both"/>
        <w:ind w:firstLine="1296"/>
        <w:spacing w:after="0" w:line="311"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i w:val="1"/>
          <w:iCs w:val="1"/>
          <w:color w:val="auto"/>
        </w:rPr>
        <w:t>Option Closing Date Opinion of Counsel</w:t>
      </w:r>
      <w:r>
        <w:rPr>
          <w:rFonts w:ascii="Arial" w:cs="Arial" w:eastAsia="Arial" w:hAnsi="Arial"/>
          <w:sz w:val="16"/>
          <w:szCs w:val="16"/>
          <w:color w:val="auto"/>
        </w:rPr>
        <w:t>. On each Option Closing Date, if any, the Representative shall have received the favorable opinion of Reed Smith, dated each Option Closing Date, addressed to the Representative and in form and substance reasonably satisfactory to counsel to the Representative, confirming as of each Option Closing Date, the statements made by Reed Smith in its opinion delivered on the Closing Date.</w:t>
      </w:r>
    </w:p>
    <w:p>
      <w:pPr>
        <w:spacing w:after="0" w:line="14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4.2.3 </w:t>
      </w:r>
      <w:r>
        <w:rPr>
          <w:rFonts w:ascii="Arial" w:cs="Arial" w:eastAsia="Arial" w:hAnsi="Arial"/>
          <w:sz w:val="17"/>
          <w:szCs w:val="17"/>
          <w:i w:val="1"/>
          <w:iCs w:val="1"/>
          <w:color w:val="auto"/>
        </w:rPr>
        <w:t>Reliance</w:t>
      </w:r>
      <w:r>
        <w:rPr>
          <w:rFonts w:ascii="Arial" w:cs="Arial" w:eastAsia="Arial" w:hAnsi="Arial"/>
          <w:sz w:val="17"/>
          <w:szCs w:val="17"/>
          <w:color w:val="auto"/>
        </w:rPr>
        <w:t xml:space="preserve">. In rendering such opinion, such counsel may rely: (i) as to matters involving the application of laws other than the laws of the United States and jurisdictions in which they are admitted, to the extent such counsel deems proper and to the extent specified in such opinion, if at all, upon an opinion or opinions (in form and substance reasonably satisfactory to the Representative) of other counsel reasonably acceptable to the Representative, familiar with the applicable laws; and (ii) as to matters of fact, to the extent they deem proper, on certificates or other written statements of officers of the Company and officers of departments of various jurisdictions having custody of documents respecting the corporate existence or good standing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copies of any such statements or certificates shall be delivered to the Underwriters’ counsel if requested. The opinion of counsel for the Company and any opinion relied upon by such counsel for the Company shall include a statement to the effect that it may be relied upon by counsel for the Underwriters in its opinion delivered to the Underwriters.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Cold Comfort Letter</w:t>
      </w:r>
      <w:r>
        <w:rPr>
          <w:rFonts w:ascii="Arial" w:cs="Arial" w:eastAsia="Arial" w:hAnsi="Arial"/>
          <w:sz w:val="18"/>
          <w:szCs w:val="18"/>
          <w:color w:val="auto"/>
        </w:rPr>
        <w:t xml:space="preserve">. At the time this Agreement is executed, and at each of the Closing Date and the Option Closing Date, if any, the Representative shall have received a letter, addressed to the Representative and in form and substance satisfactory in all respects (including the nature of the changes or decreases, if any, referred to in </w:t>
      </w:r>
      <w:r>
        <w:rPr>
          <w:rFonts w:ascii="Arial" w:cs="Arial" w:eastAsia="Arial" w:hAnsi="Arial"/>
          <w:sz w:val="18"/>
          <w:szCs w:val="18"/>
          <w:u w:val="single" w:color="auto"/>
          <w:color w:val="auto"/>
        </w:rPr>
        <w:t>Section 4.3.3</w:t>
      </w:r>
      <w:r>
        <w:rPr>
          <w:rFonts w:ascii="Arial" w:cs="Arial" w:eastAsia="Arial" w:hAnsi="Arial"/>
          <w:sz w:val="18"/>
          <w:szCs w:val="18"/>
          <w:color w:val="auto"/>
        </w:rPr>
        <w:t xml:space="preserve"> below) to the Representative from Withum dated, respectively, as of the date of this Agreement and as of the Closing Date and the Option Closing Date, if any:</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4.3.1 Confirming that they are an independent registered public accounting firm with respect to the Company within the meaning of the Act and the applicable Regulations;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4.3.2 Stating that in their opinion the financial statements of the Company included in the Registration Statement, the Preliminary Prospectus and the Prospectus comply as to form in all material respects with the applicable accounting requirements of the Act and the Regulations thereunder;</w:t>
      </w:r>
    </w:p>
    <w:p>
      <w:pPr>
        <w:spacing w:after="0" w:line="18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4.3.3 Stating that, on the basis of limited procedures which included a reading of the latest available minutes of the stockholders and board of directors and the various committees of the board of directors, consultations with officers and other employees of the Company responsible for financial and accounting matters and other specified procedures and inquiries, nothing has come to their attention which would lead them to believe that:</w:t>
      </w:r>
    </w:p>
    <w:p>
      <w:pPr>
        <w:spacing w:after="0" w:line="2" w:lineRule="exact"/>
        <w:rPr>
          <w:sz w:val="20"/>
          <w:szCs w:val="20"/>
          <w:color w:val="auto"/>
        </w:rPr>
      </w:pPr>
    </w:p>
    <w:p>
      <w:pPr>
        <w:jc w:val="both"/>
        <w:ind w:firstLine="8"/>
        <w:spacing w:after="0" w:line="268" w:lineRule="auto"/>
        <w:tabs>
          <w:tab w:leader="none" w:pos="252"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at a date not later than five (5) days prior to the Effective Date, Closing Date or Option Closing Date, as the case may be, there was any change in the capital stock or long-term debt of the Company, or any decrease in the stockholders’ equity of the Company as compared with amounts shown in the December 31, 2020 balance sheet included in the Registration Statement, the Preliminary Prospectus and the Prospectus, other than as set forth in or contemplated by the Registration Statement, the Preliminary Prospectus and the Prospectus, or, if there was any decrease, setting forth the amount of such decrease; and (c) during the period from December 31, 2020 (balance sheet date) to a specified date not later than five (5) days prior to the Effective Date, Closing Date or Option Closing Date, as the case may be, there was any decrease in net earnings or net earnings per share of Common Stock, in each case as compared with the Statement of Operations for the period from June 23, 2020 (inception) to December 31, 2020 included in the Registration Statement and the Prospectus, or, if there was any such decrease, setting forth the amount of such decrease;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3" w:name="page214"/>
    <w:bookmarkEnd w:id="213"/>
    <w:p>
      <w:pPr>
        <w:jc w:val="both"/>
        <w:ind w:firstLine="1296"/>
        <w:spacing w:after="0" w:line="255" w:lineRule="auto"/>
        <w:rPr>
          <w:sz w:val="20"/>
          <w:szCs w:val="20"/>
          <w:color w:val="auto"/>
        </w:rPr>
      </w:pPr>
      <w:r>
        <w:rPr>
          <w:rFonts w:ascii="Arial" w:cs="Arial" w:eastAsia="Arial" w:hAnsi="Arial"/>
          <w:sz w:val="18"/>
          <w:szCs w:val="18"/>
          <w:color w:val="auto"/>
        </w:rPr>
        <w:t>4.3.4 Stating they have compared specific dollar amounts, numbers of shares, percentages of earnings, statements and other financial information pertaining to the Company set forth in the Registration Statement, the Preliminary Prospectus and the Prospectus in each case to the extent that such amounts, numbers, percentages, statements and information may be derived from the general accounting records, including work sheets, of the Company and excluding any questions requiring an interpretation by legal counsel, with the results obtained from the application of specified readings, inquiries and other appropriate procedures (which procedures do not constitute an examination in accordance with the standards of the PCAOB) set forth in the letter and found them to be in agreement; and</w:t>
      </w:r>
    </w:p>
    <w:p>
      <w:pPr>
        <w:spacing w:after="0" w:line="192" w:lineRule="exact"/>
        <w:rPr>
          <w:sz w:val="20"/>
          <w:szCs w:val="20"/>
          <w:color w:val="auto"/>
        </w:rPr>
      </w:pPr>
    </w:p>
    <w:p>
      <w:pPr>
        <w:jc w:val="right"/>
        <w:spacing w:after="0"/>
        <w:tabs>
          <w:tab w:leader="none" w:pos="904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6"/>
          <w:szCs w:val="16"/>
          <w:color w:val="auto"/>
        </w:rPr>
        <w:t>Statements as to such other matters incident to the transaction contemplated hereby as the Representative may reasonably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request.</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Officers’ Certificates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4.4.1 </w:t>
      </w:r>
      <w:r>
        <w:rPr>
          <w:rFonts w:ascii="Arial" w:cs="Arial" w:eastAsia="Arial" w:hAnsi="Arial"/>
          <w:sz w:val="16"/>
          <w:szCs w:val="16"/>
          <w:i w:val="1"/>
          <w:iCs w:val="1"/>
          <w:color w:val="auto"/>
        </w:rPr>
        <w:t>Officers’ Certificate</w:t>
      </w:r>
      <w:r>
        <w:rPr>
          <w:rFonts w:ascii="Arial" w:cs="Arial" w:eastAsia="Arial" w:hAnsi="Arial"/>
          <w:sz w:val="16"/>
          <w:szCs w:val="16"/>
          <w:color w:val="auto"/>
        </w:rPr>
        <w:t xml:space="preserve">. At each of the Closing Date and the Option Closing Date, if any, the Representative shall have received a certificate of the Company signed by the Chief Executive Officer or the President and the Secretary or Assistant Secretary of the Company, dated the Closing Date or the Option Closing Date, as the case may be, respectively, to the effect that the Company has performed all covenants and complied with all conditions required by this Agreement to be performed or complied with by the Company prior to and as of the Closing Date, or the Option Closing Date, as the case may be, and that the conditions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have been satisfied as of such date and that, as of Closing Date and the Option Closing Date, as the case may be, the representations and warranties of the Company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are true and correct. In addition, the Representative will have received such other and further certificates of officers of the Company as the Representative may reasonably request.</w:t>
      </w:r>
    </w:p>
    <w:p>
      <w:pPr>
        <w:spacing w:after="0" w:line="16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4.4.2 </w:t>
      </w:r>
      <w:r>
        <w:rPr>
          <w:rFonts w:ascii="Arial" w:cs="Arial" w:eastAsia="Arial" w:hAnsi="Arial"/>
          <w:sz w:val="16"/>
          <w:szCs w:val="16"/>
          <w:i w:val="1"/>
          <w:iCs w:val="1"/>
          <w:color w:val="auto"/>
        </w:rPr>
        <w:t>Secretary’s Certificate</w:t>
      </w:r>
      <w:r>
        <w:rPr>
          <w:rFonts w:ascii="Arial" w:cs="Arial" w:eastAsia="Arial" w:hAnsi="Arial"/>
          <w:sz w:val="16"/>
          <w:szCs w:val="16"/>
          <w:color w:val="auto"/>
        </w:rPr>
        <w:t>. At each of the Closing Date and the Option Closing Date, if any, the Representative shall have received a certificate of the Company signed by the Secretary or Assistant Secretary of the Company, dated the Closing Date or the Option Closing Date, as the case may be, certifying: (i) that the amended and restated certificate of incorporation of the Company are true and complete, have not been modified and are in full force and effect; (ii) that the resolutions relating to the Offering are in full force and effect and have not been modified; (iii) all correspondence between the Company or its counsel and the Commission; (iv) all correspondence between the Company or its counsel and the Nasdaq Stock Market; and (v) as to the incumbency of the officers of the Company. The documents referred to in such certificate shall be attached to such certificate.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4" w:name="page215"/>
    <w:bookmarkEnd w:id="214"/>
    <w:p>
      <w:pPr>
        <w:jc w:val="both"/>
        <w:ind w:firstLine="648"/>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Material Changes</w:t>
      </w:r>
      <w:r>
        <w:rPr>
          <w:rFonts w:ascii="Arial" w:cs="Arial" w:eastAsia="Arial" w:hAnsi="Arial"/>
          <w:sz w:val="16"/>
          <w:szCs w:val="16"/>
          <w:color w:val="auto"/>
        </w:rPr>
        <w:t>. Prior to and on each of the Closing Date and the Option Closing Date, if any: (i) there shall have been no material adverse change or development that is likely to result in a material adverse change in the condition or prospects or the business activities, financial or otherwise, of the Company from the latest dates as of which such condition is set forth in the Registration Statement and Prospectus; (ii) no action, suit or proceeding, at law or in equity, shall have been pending or threatened against the Company or the Initial Shareholders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the Preliminary Prospectus and Prospectus; (iii) no stop order shall have been issued under the Act and no proceedings therefor shall have been initiated or threatened by the Commission; and (iv) the Registration Statement, the Preliminary Prospectus and the Prospectus and any amendments or supplements thereto shall contain all material statements which are required to be stated therein in accordance with the Act and the Regulations and shall conform in all material respects to the requirements of the Act and the Regulations, and neither the Registration Statement, the Preliminary Prospectus nor the Prospectus nor any amendment or supplement thereto shall contain any untrue statement of a material fact or omit to state any material fact required to be stated therein or necessary to make the statements therein (in the case of the Prospectus, in light of the circumstances under which they were made), not misleading.</w:t>
      </w:r>
    </w:p>
    <w:p>
      <w:pPr>
        <w:spacing w:after="0" w:line="16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Delivery of Agreements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4.6.1 </w:t>
      </w:r>
      <w:r>
        <w:rPr>
          <w:rFonts w:ascii="Arial" w:cs="Arial" w:eastAsia="Arial" w:hAnsi="Arial"/>
          <w:sz w:val="18"/>
          <w:szCs w:val="18"/>
          <w:i w:val="1"/>
          <w:iCs w:val="1"/>
          <w:color w:val="auto"/>
        </w:rPr>
        <w:t>Effective Date Deliveries</w:t>
      </w:r>
      <w:r>
        <w:rPr>
          <w:rFonts w:ascii="Arial" w:cs="Arial" w:eastAsia="Arial" w:hAnsi="Arial"/>
          <w:sz w:val="18"/>
          <w:szCs w:val="18"/>
          <w:color w:val="auto"/>
        </w:rPr>
        <w:t>. On the Effective Date, the Company shall have delivered to the Representative executed copies of the Trust Agreement, the Warrant Agreement, the Business Combination Marketing Agreement, all of the Insider Letters, the Subscription Agreements, the Registration Rights Agreement and the Escrow Agreement.</w:t>
      </w:r>
    </w:p>
    <w:p>
      <w:pPr>
        <w:spacing w:after="0" w:line="180" w:lineRule="exact"/>
        <w:rPr>
          <w:sz w:val="20"/>
          <w:szCs w:val="20"/>
          <w:color w:val="auto"/>
        </w:rPr>
      </w:pPr>
    </w:p>
    <w:p>
      <w:pPr>
        <w:ind w:left="960" w:hanging="952"/>
        <w:spacing w:after="0"/>
        <w:tabs>
          <w:tab w:leader="none" w:pos="9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22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Indemnification of Underwriters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i w:val="1"/>
          <w:iCs w:val="1"/>
          <w:color w:val="auto"/>
        </w:rPr>
        <w:t>General</w:t>
      </w:r>
      <w:r>
        <w:rPr>
          <w:rFonts w:ascii="Arial" w:cs="Arial" w:eastAsia="Arial" w:hAnsi="Arial"/>
          <w:sz w:val="16"/>
          <w:szCs w:val="16"/>
          <w:color w:val="auto"/>
        </w:rPr>
        <w:t>. Subject to the conditions set forth below, the Company agrees to indemnify and hold harmless each of the Underwriters and each dealer selected by the Representative that participates in the offer and sale of the Units (each a “</w:t>
      </w:r>
      <w:r>
        <w:rPr>
          <w:rFonts w:ascii="Arial" w:cs="Arial" w:eastAsia="Arial" w:hAnsi="Arial"/>
          <w:sz w:val="16"/>
          <w:szCs w:val="16"/>
          <w:b w:val="1"/>
          <w:bCs w:val="1"/>
          <w:color w:val="auto"/>
        </w:rPr>
        <w:t>Selected Dealer</w:t>
      </w:r>
      <w:r>
        <w:rPr>
          <w:rFonts w:ascii="Arial" w:cs="Arial" w:eastAsia="Arial" w:hAnsi="Arial"/>
          <w:sz w:val="16"/>
          <w:szCs w:val="16"/>
          <w:color w:val="auto"/>
        </w:rPr>
        <w:t>”) and each of their respective directors, officers and employees and each person, if any, who controls any such Underwriter (“</w:t>
      </w:r>
      <w:r>
        <w:rPr>
          <w:rFonts w:ascii="Arial" w:cs="Arial" w:eastAsia="Arial" w:hAnsi="Arial"/>
          <w:sz w:val="16"/>
          <w:szCs w:val="16"/>
          <w:b w:val="1"/>
          <w:bCs w:val="1"/>
          <w:color w:val="auto"/>
        </w:rPr>
        <w:t>Controlling Person</w:t>
      </w:r>
      <w:r>
        <w:rPr>
          <w:rFonts w:ascii="Arial" w:cs="Arial" w:eastAsia="Arial" w:hAnsi="Arial"/>
          <w:sz w:val="16"/>
          <w:szCs w:val="16"/>
          <w:color w:val="auto"/>
        </w:rPr>
        <w:t xml:space="preserve">”) within the meaning of Section 15 of the Act or Section 20(a) of the Exchange Act,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any of the Underwriters and the Company or between any of the Underwriters and any third party or otherwise) to which they or any of them may become subject under the Act, the Exchange Act or any other federal, state or local statute, law, rule, regulation or ordinance or at common law or otherwise or under the laws, rules and regulation of foreign countries, arising out of or based upon any untrue statement or alleged untrue statement of a material fact contained in: (i) any Preliminary Prospectus, the Registration Statement, or the Prospectus (as from time to time each may be amended and supplemented); or (ii) any application or other document or written communication (in this </w:t>
      </w:r>
      <w:r>
        <w:rPr>
          <w:rFonts w:ascii="Arial" w:cs="Arial" w:eastAsia="Arial" w:hAnsi="Arial"/>
          <w:sz w:val="16"/>
          <w:szCs w:val="16"/>
          <w:u w:val="single" w:color="auto"/>
          <w:color w:val="auto"/>
        </w:rPr>
        <w:t>Section 5</w:t>
      </w:r>
      <w:r>
        <w:rPr>
          <w:rFonts w:ascii="Arial" w:cs="Arial" w:eastAsia="Arial" w:hAnsi="Arial"/>
          <w:sz w:val="16"/>
          <w:szCs w:val="16"/>
          <w:color w:val="auto"/>
        </w:rPr>
        <w:t>, collectively called “</w:t>
      </w:r>
      <w:r>
        <w:rPr>
          <w:rFonts w:ascii="Arial" w:cs="Arial" w:eastAsia="Arial" w:hAnsi="Arial"/>
          <w:sz w:val="16"/>
          <w:szCs w:val="16"/>
          <w:b w:val="1"/>
          <w:bCs w:val="1"/>
          <w:color w:val="auto"/>
        </w:rPr>
        <w:t>Application</w:t>
      </w:r>
      <w:r>
        <w:rPr>
          <w:rFonts w:ascii="Arial" w:cs="Arial" w:eastAsia="Arial" w:hAnsi="Arial"/>
          <w:sz w:val="16"/>
          <w:szCs w:val="16"/>
          <w:color w:val="auto"/>
        </w:rPr>
        <w:t xml:space="preserve">”) executed by the Company or based upon written information furnished by the Company in any jurisdiction in order to qualify the Units under the securities laws thereof or filed with the Commission, any state securities commission or agency, the Nasdaq Stock Market or any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written information furnished to the Company with respect to an Underwriter by or on behalf of such Underwriter expressly for use in any Preliminary Prospectus, the Registration Statement, or the Prospectus, or any amendment or supplement thereof. With respect to any untrue statement or omission or alleged untrue statement or omission made in the Preliminary Prospectus, the indemnity agreement contained in this paragraph shall not inure to the benefit of any Underwriter to the extent that any loss, liability, claim, damage or expense of such Underwriter results from the fact that a copy of the Prospectus was not given or sent to the person asserting any such loss, liability, claim or damage at or prior to the written confirmation of sale of the Securities to such person as required by the Act and the Regulations, and if the untrue statement or omission has been corrected in the Prospectus, unless such failure to deliver the Prospectus was a result of non-compliance by the Company with its obligations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hereof. The Company agrees to promptly notify the Representative of the commencement of any litigation or proceedings against the Company or any of its officers, directors or Controlling Persons in connection with the issue and sale of the Securities or in connection with the Preliminary Prospectus, the Registration Statement, or the Prospectus.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5" w:name="page216"/>
    <w:bookmarkEnd w:id="215"/>
    <w:p>
      <w:pPr>
        <w:jc w:val="both"/>
        <w:ind w:firstLine="1296"/>
        <w:spacing w:after="0" w:line="269"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i w:val="1"/>
          <w:iCs w:val="1"/>
          <w:color w:val="auto"/>
        </w:rPr>
        <w:t>Indemnification of the QIU</w:t>
      </w:r>
      <w:r>
        <w:rPr>
          <w:rFonts w:ascii="Arial" w:cs="Arial" w:eastAsia="Arial" w:hAnsi="Arial"/>
          <w:sz w:val="17"/>
          <w:szCs w:val="17"/>
          <w:color w:val="auto"/>
        </w:rPr>
        <w:t xml:space="preserve">. Without limitation of and in addition to its obligations under the other paragraphs of this </w:t>
      </w:r>
      <w:r>
        <w:rPr>
          <w:rFonts w:ascii="Arial" w:cs="Arial" w:eastAsia="Arial" w:hAnsi="Arial"/>
          <w:sz w:val="17"/>
          <w:szCs w:val="17"/>
          <w:u w:val="single" w:color="auto"/>
          <w:color w:val="auto"/>
        </w:rPr>
        <w:t>Section 5</w:t>
      </w:r>
      <w:r>
        <w:rPr>
          <w:rFonts w:ascii="Arial" w:cs="Arial" w:eastAsia="Arial" w:hAnsi="Arial"/>
          <w:sz w:val="17"/>
          <w:szCs w:val="17"/>
          <w:color w:val="auto"/>
        </w:rPr>
        <w:t>, the Company agrees to indemnify, defend and hold harmless the QIU, its directors, officers, employees and each Controlling Person of the QIU, if any, and the successors and assigns of all of the foregoing persons, from and against any loss, damage, expense, liability or claim (including the reasonable cost of investigation) which, jointly or severally, the QIU or any such person may incur, insofar as such loss, damage, expense, liability or claim arises out of or is based upon the QIU’s acting as a “qualified independent underwriter” (within the meaning of FINRA Rule 5121) in connection with the offering contemplated by this Agreement, and the Company agrees to advance and reimburse each such indemnified party, as incurred, for any legal or other expenses reasonably incurred by it in connection with investigating or defending any such loss, damage, expense, liability or claim; provided, however, that the Company will not be liable in any such case to the extent that any such loss, claim, damage, liability or action arises out of or is based upon an untrue statement or alleged untrue statement or omission or alleged omission made in reliance upon and in conformity with written information furnished to the Company by the QIU specifically for use in the Registration Statement or Prospectus.</w:t>
      </w:r>
    </w:p>
    <w:p>
      <w:pPr>
        <w:spacing w:after="0" w:line="18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i w:val="1"/>
          <w:iCs w:val="1"/>
          <w:color w:val="auto"/>
        </w:rPr>
        <w:t>Procedure</w:t>
      </w:r>
      <w:r>
        <w:rPr>
          <w:rFonts w:ascii="Arial" w:cs="Arial" w:eastAsia="Arial" w:hAnsi="Arial"/>
          <w:sz w:val="16"/>
          <w:szCs w:val="16"/>
          <w:color w:val="auto"/>
        </w:rPr>
        <w:t xml:space="preserve">. If any action is brought against an Underwriter, the QIU or a Controlling Person in respect of which indemnity may be sought against the Company pursuant to </w:t>
      </w:r>
      <w:r>
        <w:rPr>
          <w:rFonts w:ascii="Arial" w:cs="Arial" w:eastAsia="Arial" w:hAnsi="Arial"/>
          <w:sz w:val="16"/>
          <w:szCs w:val="16"/>
          <w:u w:val="single" w:color="auto"/>
          <w:color w:val="auto"/>
        </w:rPr>
        <w:t>Section 5.1.1</w:t>
      </w:r>
      <w:r>
        <w:rPr>
          <w:rFonts w:ascii="Arial" w:cs="Arial" w:eastAsia="Arial" w:hAnsi="Arial"/>
          <w:sz w:val="16"/>
          <w:szCs w:val="16"/>
          <w:color w:val="auto"/>
        </w:rPr>
        <w:t>, such Underwriter or the QIU shall promptly notify the Company in writing of the institution of such action and the Company shall assume the defense of such action, including the employment and fees of counsel (subject to the reasonable approval of such Underwriter or the QIU) and payment of actual expenses. Such Underwriter, the QIU or Controlling Person shall have the right to employ its or their own counsel in any such case, but the fees and expenses of such counsel shall be at the expense of such Underwriter, the QIU or such Controlling Person unless: (i) the employment of such counsel at the expense of the Company shall have been authorized in writing by the Company in connection with the defense of such action within reasonable time under the circumstances; (ii) the Company shall not have employed counsel to have charge of the defense of such action; or (iii) such indemnified party or parties shall have reasonably concluded that there may be defenses available to it or them which are different from or additional to those available to the Company, or another conflict of interest or conflict as to legal representation exists (in which case the Company shall not have the right to direct the defense of such action on behalf of the indemnified party or parties), in any of which events the reasonable fees and expenses of not more than one additional firm of attorneys selected by the Underwriter, the QIU and/or Controlling Person shall be borne by the Company. Notwithstanding anything to the contrary contained herein, if the Underwriter, the QIU or Controlling Person shall assume the defense of such action as provided above, the Company shall have the right to approve the terms of any settlement of such action which approval shall not be unreasonably withheld.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6" w:name="page217"/>
    <w:bookmarkEnd w:id="216"/>
    <w:p>
      <w:pPr>
        <w:jc w:val="both"/>
        <w:ind w:firstLine="648"/>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Indemnification of the Company</w:t>
      </w:r>
      <w:r>
        <w:rPr>
          <w:rFonts w:ascii="Arial" w:cs="Arial" w:eastAsia="Arial" w:hAnsi="Arial"/>
          <w:sz w:val="17"/>
          <w:szCs w:val="17"/>
          <w:color w:val="auto"/>
        </w:rPr>
        <w:t xml:space="preserve">. Each Underwriter, severally and not jointly, agrees to indemnify and hold harmless the Company, its directors, officers and employees and agents who control the Company within the meaning of Section 15 of the Act or Section 20 of the Exchange Act against any and all loss, liability, claim, damage and expense described in the foregoing indemnity from the Company to the several Underwriters, as incurred, but only with respect to untrue statements or omissions, or alleged untrue statements or omissions made in any Preliminary Prospectus, the Registration Statement, or the Prospectus, or any amendment or supplement thereto, or in any Application, in reliance upon, and in strict conformity with, written information furnished to the Company with respect to such Underwriter by or on behalf of the Underwriter expressly for use in such Preliminary Prospectus, the Registration Statement, or the Prospectus, or any amendment or supplement thereto or in any such Application, which furnished written information, it is expressly agreed, consists solely of the information described in the last sentence of </w:t>
      </w:r>
      <w:r>
        <w:rPr>
          <w:rFonts w:ascii="Arial" w:cs="Arial" w:eastAsia="Arial" w:hAnsi="Arial"/>
          <w:sz w:val="17"/>
          <w:szCs w:val="17"/>
          <w:u w:val="single" w:color="auto"/>
          <w:color w:val="auto"/>
        </w:rPr>
        <w:t>Section 2.3.1</w:t>
      </w:r>
      <w:r>
        <w:rPr>
          <w:rFonts w:ascii="Arial" w:cs="Arial" w:eastAsia="Arial" w:hAnsi="Arial"/>
          <w:sz w:val="17"/>
          <w:szCs w:val="17"/>
          <w:color w:val="auto"/>
        </w:rPr>
        <w:t xml:space="preserve">. In case any action shall be brought against the Company or any other person so indemnified based on any Preliminary Prospectus, the Registration Statement, or the Prospectus, or any amendment or supplement thereto or any Application, and in respect of which indemnity may be sought against any Underwriter, such Underwriter shall have the rights and duties given to the Company, and the Company and each other person so indemnified shall have the rights and duties given to the several Underwriters by the provisions of </w:t>
      </w:r>
      <w:r>
        <w:rPr>
          <w:rFonts w:ascii="Arial" w:cs="Arial" w:eastAsia="Arial" w:hAnsi="Arial"/>
          <w:sz w:val="17"/>
          <w:szCs w:val="17"/>
          <w:u w:val="single" w:color="auto"/>
          <w:color w:val="auto"/>
        </w:rPr>
        <w:t>Section 5.1.2</w:t>
      </w:r>
      <w:r>
        <w:rPr>
          <w:rFonts w:ascii="Arial" w:cs="Arial" w:eastAsia="Arial" w:hAnsi="Arial"/>
          <w:sz w:val="17"/>
          <w:szCs w:val="17"/>
          <w:color w:val="auto"/>
        </w:rPr>
        <w:t>.</w:t>
      </w:r>
    </w:p>
    <w:p>
      <w:pPr>
        <w:spacing w:after="0" w:line="17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Contribution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i w:val="1"/>
          <w:iCs w:val="1"/>
          <w:color w:val="auto"/>
        </w:rPr>
        <w:t>5.3.1 Contribution Rights</w:t>
      </w:r>
      <w:r>
        <w:rPr>
          <w:rFonts w:ascii="Arial" w:cs="Arial" w:eastAsia="Arial" w:hAnsi="Arial"/>
          <w:sz w:val="16"/>
          <w:szCs w:val="16"/>
          <w:color w:val="auto"/>
        </w:rPr>
        <w:t>. In order to provide for just and equitable contribution under the Act in any case in which: (i) any person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entitled to indemnification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makes a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provides for indemnification in such case; or (ii) contribution under the Act, the Exchange Act or otherwise may be required on the part of any such person in circumstances for which indemnification is provided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then, and in each such case, the Company and the Underwriters shall contribute to the aggregate losses, liabilities, claims, damages and expenses of the nature contemplated by said indemnity agreement incurred by the Company and the Underwriters, as incurred, in such proportions that the Underwriters are responsible for that portion represented by the percentage that the underwriting discount appearing on the cover page of the Prospectus bears to the initial offering price appearing thereon and the Company is responsible for the balance;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person guilty of a fraudulent misrepresentation (within the meaning of Section 11(f) of the Act) shall be entitled to contribution from any person who was not guilty of such fraudulent misrepresentation. Notwithstanding the provisions of this </w:t>
      </w:r>
      <w:r>
        <w:rPr>
          <w:rFonts w:ascii="Arial" w:cs="Arial" w:eastAsia="Arial" w:hAnsi="Arial"/>
          <w:sz w:val="16"/>
          <w:szCs w:val="16"/>
          <w:u w:val="single" w:color="auto"/>
          <w:color w:val="auto"/>
        </w:rPr>
        <w:t>Section 5.3.1</w:t>
      </w:r>
      <w:r>
        <w:rPr>
          <w:rFonts w:ascii="Arial" w:cs="Arial" w:eastAsia="Arial" w:hAnsi="Arial"/>
          <w:sz w:val="16"/>
          <w:szCs w:val="16"/>
          <w:color w:val="auto"/>
        </w:rPr>
        <w:t>, no Underwriter shall be required to contribute any amount in excess of the amount by which the total price at which the Public Securities underwritten by it and distributed to the public were offered to the public exceeds the amount of any damages that such Underwriter has otherwise been required to pay in respect of such losses, liabilities, claims, damages and expenses. For purposes of this Section, each director, officer and employee of an Underwriter or the Company, as applicable, and each person, if any, who controls an Underwriter or the Company, as applicable, within the meaning of Section 15 of the Act shall have the same rights to contribution as the Underwriters or the Company, as applicable. The QIU, in its capacity as “qualified independent underwriter” (within the meaning of FINRA Rule 5121), shall in no event be required to contribute any amount in excess of the amount the compensation received by the QIU for acting in such capacity exceeds the amount of any damage which the QIU has otherwise been required to pay by reason of the QIU’s acting in such capacity in connection with the offering contemplated by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7" w:name="page218"/>
    <w:bookmarkEnd w:id="217"/>
    <w:p>
      <w:pPr>
        <w:jc w:val="both"/>
        <w:ind w:firstLine="1296"/>
        <w:spacing w:after="0" w:line="269" w:lineRule="auto"/>
        <w:rPr>
          <w:sz w:val="20"/>
          <w:szCs w:val="20"/>
          <w:color w:val="auto"/>
        </w:rPr>
      </w:pPr>
      <w:r>
        <w:rPr>
          <w:rFonts w:ascii="Arial" w:cs="Arial" w:eastAsia="Arial" w:hAnsi="Arial"/>
          <w:sz w:val="17"/>
          <w:szCs w:val="17"/>
          <w:i w:val="1"/>
          <w:iCs w:val="1"/>
          <w:color w:val="auto"/>
        </w:rPr>
        <w:t>5.3.2 Contribution Procedure</w:t>
      </w:r>
      <w:r>
        <w:rPr>
          <w:rFonts w:ascii="Arial" w:cs="Arial" w:eastAsia="Arial" w:hAnsi="Arial"/>
          <w:sz w:val="17"/>
          <w:szCs w:val="17"/>
          <w:color w:val="auto"/>
        </w:rPr>
        <w:t>. Within fifteen (15) days after receipt by any party to this Agreement (or its representative) of notice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commencement of any action, suit or proceeding, such party will, if a claim for contribution in respect thereof is to be made against another party (“</w:t>
      </w:r>
      <w:r>
        <w:rPr>
          <w:rFonts w:ascii="Arial" w:cs="Arial" w:eastAsia="Arial" w:hAnsi="Arial"/>
          <w:sz w:val="17"/>
          <w:szCs w:val="17"/>
          <w:b w:val="1"/>
          <w:bCs w:val="1"/>
          <w:color w:val="auto"/>
        </w:rPr>
        <w:t>Contributing Party</w:t>
      </w:r>
      <w:r>
        <w:rPr>
          <w:rFonts w:ascii="Arial" w:cs="Arial" w:eastAsia="Arial" w:hAnsi="Arial"/>
          <w:sz w:val="17"/>
          <w:szCs w:val="17"/>
          <w:color w:val="auto"/>
        </w:rPr>
        <w:t xml:space="preserve">”), notify the Contributing Party of the commencement thereof, but the omission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fifteen (15)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effected by such party seeking contribution on account of any settlement of any claim, action or proceeding effected by such party seeking contribution without the written consent of such Contributing Party. The contribution provisions contained in this Section are intended to supersede, to the extent permitted by law, any right to contribution under the Act, the Exchange Act or otherwise available. The Underwriters’ obligations to contribute pursuant to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are several and not joint.</w:t>
      </w:r>
    </w:p>
    <w:p>
      <w:pPr>
        <w:spacing w:after="0" w:line="178" w:lineRule="exact"/>
        <w:rPr>
          <w:sz w:val="20"/>
          <w:szCs w:val="20"/>
          <w:color w:val="auto"/>
        </w:rPr>
      </w:pPr>
    </w:p>
    <w:p>
      <w:pPr>
        <w:ind w:left="960" w:hanging="952"/>
        <w:spacing w:after="0"/>
        <w:tabs>
          <w:tab w:leader="none" w:pos="9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Default by an Underwriter</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Default Not Exceeding 10% of Firm Units or Option Units</w:t>
      </w:r>
      <w:r>
        <w:rPr>
          <w:rFonts w:ascii="Arial" w:cs="Arial" w:eastAsia="Arial" w:hAnsi="Arial"/>
          <w:sz w:val="18"/>
          <w:szCs w:val="18"/>
          <w:color w:val="auto"/>
        </w:rPr>
        <w:t>. If any Underwriter or Underwriters shall default in its or their obligations to purchase the Firm Units or the Option Units, if the Over-allotment Option is exercised, hereunder, and if the number of the Firm Units or Option Units with respect to which such default relates does not exceed in the aggregate 10% of the number of Firm Units or Option Units that all Underwriters have agreed to purchase hereunder, then such Firm Units or Option Units to which the default relates shall be purchased by the non-defaulting Underwriters in proportion to their respective commitments hereunder.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8" w:name="page219"/>
    <w:bookmarkEnd w:id="218"/>
    <w:p>
      <w:pPr>
        <w:jc w:val="both"/>
        <w:ind w:firstLine="648"/>
        <w:spacing w:after="0" w:line="26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Default Exceeding 10% of Firm Units or Option Units</w:t>
      </w:r>
      <w:r>
        <w:rPr>
          <w:rFonts w:ascii="Arial" w:cs="Arial" w:eastAsia="Arial" w:hAnsi="Arial"/>
          <w:sz w:val="17"/>
          <w:szCs w:val="17"/>
          <w:color w:val="auto"/>
        </w:rPr>
        <w:t xml:space="preserve">. In the event that the default addressed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above relates to more than 10% of the Firm Units or Option Units, the Representative may in its discretion arrange for itself or for another party or parties to purchase such Firm Units or Option Units to which such default relates on the terms contained herein. If, within one (1) Business Day after such default relating to more than 10% of the Firm Units or Option Units, the Representative does not arrange for the purchase of such Firm Units or Option Units, then the Company shall be entitled to a further period of one (1) Business Day within which to procure another party or parties satisfactory to the Company and the Representative to purchase said Firm Units or Option Units on such terms. In the event neither the Company nor the Representative arranges for the purchase of the Firm Units or Option Units to which a default relates as provided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this Agreement may be terminated by the Company without liability on the part of the Company (except as provided in </w:t>
      </w:r>
      <w:r>
        <w:rPr>
          <w:rFonts w:ascii="Arial" w:cs="Arial" w:eastAsia="Arial" w:hAnsi="Arial"/>
          <w:sz w:val="17"/>
          <w:szCs w:val="17"/>
          <w:u w:val="single" w:color="auto"/>
          <w:color w:val="auto"/>
        </w:rPr>
        <w:t>Sections 3.10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w:t>
      </w:r>
      <w:r>
        <w:rPr>
          <w:rFonts w:ascii="Arial" w:cs="Arial" w:eastAsia="Arial" w:hAnsi="Arial"/>
          <w:sz w:val="17"/>
          <w:szCs w:val="17"/>
          <w:color w:val="auto"/>
        </w:rPr>
        <w:t xml:space="preserve"> hereof) or the several Underwriters (except as provided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such default occurs with respect to the Option Units, this Agreement will not terminate as to the Firm Units; and provided further that</w:t>
      </w:r>
      <w:r>
        <w:rPr>
          <w:rFonts w:ascii="Arial" w:cs="Arial" w:eastAsia="Arial" w:hAnsi="Arial"/>
          <w:sz w:val="17"/>
          <w:szCs w:val="17"/>
          <w:i w:val="1"/>
          <w:iCs w:val="1"/>
          <w:color w:val="auto"/>
        </w:rPr>
        <w:t xml:space="preserve"> </w:t>
      </w:r>
      <w:r>
        <w:rPr>
          <w:rFonts w:ascii="Arial" w:cs="Arial" w:eastAsia="Arial" w:hAnsi="Arial"/>
          <w:sz w:val="17"/>
          <w:szCs w:val="17"/>
          <w:color w:val="auto"/>
        </w:rPr>
        <w:t>nothing herein shall relieve a defaulting Underwriter of its liability, if any, to the other several Underwriters and to the Company for damages occasioned by its default hereunder.</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Postponement of Closing Date</w:t>
      </w:r>
      <w:r>
        <w:rPr>
          <w:rFonts w:ascii="Arial" w:cs="Arial" w:eastAsia="Arial" w:hAnsi="Arial"/>
          <w:sz w:val="18"/>
          <w:szCs w:val="18"/>
          <w:color w:val="auto"/>
        </w:rPr>
        <w:t>. In the event the Firm Units or Option Units to which the default relates are to be purchased by the non-defaulting Underwriters, or are to be purchased by another party or parties as aforesaid, the Representative or the Company shall have the right to postpone the Closing Date or Option Closing Date for a reasonable period, but not in any event exceeding five (5) Business Days, in order to effect whatever changes may thereby be made necessary in the Registration Statement, the Preliminary Prospectus and/or the Prospectus, as the case may be, or in any other documents and arrangements, and the Company agrees to file promptly any amendment to, or to supplement, the Registration Statement, the Preliminary Prospectus and/or the Prospectus, as the case may be, that in the opinion of counsel for the Underwriters may thereby be made necessary. The term “</w:t>
      </w:r>
      <w:r>
        <w:rPr>
          <w:rFonts w:ascii="Arial" w:cs="Arial" w:eastAsia="Arial" w:hAnsi="Arial"/>
          <w:sz w:val="18"/>
          <w:szCs w:val="18"/>
          <w:b w:val="1"/>
          <w:bCs w:val="1"/>
          <w:color w:val="auto"/>
        </w:rPr>
        <w:t>Underwriter</w:t>
      </w:r>
      <w:r>
        <w:rPr>
          <w:rFonts w:ascii="Arial" w:cs="Arial" w:eastAsia="Arial" w:hAnsi="Arial"/>
          <w:sz w:val="18"/>
          <w:szCs w:val="18"/>
          <w:color w:val="auto"/>
        </w:rPr>
        <w:t xml:space="preserve">” as used in this Agreement shall include any party substituted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with like effect as if it had originally been a party to this Agreement with respect to such Securities.</w:t>
      </w:r>
    </w:p>
    <w:p>
      <w:pPr>
        <w:spacing w:after="0" w:line="188" w:lineRule="exact"/>
        <w:rPr>
          <w:sz w:val="20"/>
          <w:szCs w:val="20"/>
          <w:color w:val="auto"/>
        </w:rPr>
      </w:pPr>
    </w:p>
    <w:p>
      <w:pPr>
        <w:ind w:left="960" w:hanging="952"/>
        <w:spacing w:after="0"/>
        <w:tabs>
          <w:tab w:leader="none" w:pos="9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Covenants</w:t>
      </w:r>
      <w:r>
        <w:rPr>
          <w:rFonts w:ascii="Arial" w:cs="Arial" w:eastAsia="Arial" w:hAnsi="Arial"/>
          <w:sz w:val="18"/>
          <w:szCs w:val="18"/>
          <w:color w:val="auto"/>
        </w:rPr>
        <w:t>.</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Additional Shares or Options</w:t>
      </w:r>
      <w:r>
        <w:rPr>
          <w:rFonts w:ascii="Arial" w:cs="Arial" w:eastAsia="Arial" w:hAnsi="Arial"/>
          <w:sz w:val="18"/>
          <w:szCs w:val="18"/>
          <w:color w:val="auto"/>
        </w:rPr>
        <w:t>. The Company hereby agrees that until the Company consummates a Business Combination, it shall not issue any shares of Common Stock or any options or other securities convertible into shares of Common Stock, or any class of shares which participate in any manner in the Trust Account or which vote as a class with the Common Stock on a Business Combination.</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7.2 Trust Account Waiver Acknowledgments. The Company hereby agrees that it will not commence its due diligence investigation of any operating business or businesses which the Company seeks to acquire (each, a “</w:t>
      </w:r>
      <w:r>
        <w:rPr>
          <w:rFonts w:ascii="Arial" w:cs="Arial" w:eastAsia="Arial" w:hAnsi="Arial"/>
          <w:sz w:val="16"/>
          <w:szCs w:val="16"/>
          <w:b w:val="1"/>
          <w:bCs w:val="1"/>
          <w:color w:val="auto"/>
        </w:rPr>
        <w:t>Target Business</w:t>
      </w:r>
      <w:r>
        <w:rPr>
          <w:rFonts w:ascii="Arial" w:cs="Arial" w:eastAsia="Arial" w:hAnsi="Arial"/>
          <w:sz w:val="16"/>
          <w:szCs w:val="16"/>
          <w:color w:val="auto"/>
        </w:rPr>
        <w:t>”) unless and until such Target Business acknowledges in writing, whether through a letter of intent, memorandum of understanding or other similar document (and subsequently acknowledges the same in any definitive document replacing any of the foregoing), that: (i) it has read the Prospectus and understands that the Company has established the Trust Account, initially in an amount of $101,500,000 for the benefit of the public stockholders, and that (ii) for and in consideration of the Company agreeing to evaluate such Target Business for purposes of consummating a Business Combination with it, such Target Business agrees that it does not have any right, title, interest or claim of any kind in or to any monies of the Trust Account (“</w:t>
      </w:r>
      <w:r>
        <w:rPr>
          <w:rFonts w:ascii="Arial" w:cs="Arial" w:eastAsia="Arial" w:hAnsi="Arial"/>
          <w:sz w:val="16"/>
          <w:szCs w:val="16"/>
          <w:b w:val="1"/>
          <w:bCs w:val="1"/>
          <w:color w:val="auto"/>
        </w:rPr>
        <w:t>Claim</w:t>
      </w:r>
      <w:r>
        <w:rPr>
          <w:rFonts w:ascii="Arial" w:cs="Arial" w:eastAsia="Arial" w:hAnsi="Arial"/>
          <w:sz w:val="16"/>
          <w:szCs w:val="16"/>
          <w:color w:val="auto"/>
        </w:rPr>
        <w:t>”) and waives any Claim it may have in the future as a result of, or arising out of, any negotiations, contracts or agreements with the Company and will not seek recourse against the Trust Account for any reason whatsoever. The Company further agrees that it will use all reasonable efforts, prior to obtaining the services of any vendor, to obtain a written acknowledgment from such vendor, whether through a letter of intent, memorandum of understanding or other similar document (and subsequently acknowledges the same in any definitive document replacing any of the foregoing), that: (i) such vendor has read the Prospectus and understands that the Company has established the Trust Account, initially in an amount of $101,500,000 for the benefit of the public stockholders, and that (ii) for and in consideration of the Company agreeing to engage the services of the vendor, such vendor agrees that it does not have any Claim and waives any Claim it may have in the future as a result of, or arising out of, any negotiations, contracts or agreements with the Company and will not seek recourse against the Trust Account for any reason whatsoever. The foregoing letters shall substantially be in the form attached hereto as Exhibit A and B, respectively.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p>
      <w:pPr>
        <w:jc w:val="both"/>
        <w:ind w:firstLine="648"/>
        <w:spacing w:after="0" w:line="311"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Insider Letters</w:t>
      </w:r>
      <w:r>
        <w:rPr>
          <w:rFonts w:ascii="Arial" w:cs="Arial" w:eastAsia="Arial" w:hAnsi="Arial"/>
          <w:sz w:val="16"/>
          <w:szCs w:val="16"/>
          <w:color w:val="auto"/>
        </w:rPr>
        <w:t>. The Company shall not take any action or omit to take any action which would cause a breach of any of the Insider Letters executed among the Initial Shareholders, the officers and directors of the Company, and the Company or the Subscription Agreements and will not allow any amendments to, or waivers of, such Insider Letters or the Subscription Agreements without the prior written consent of the Representative.</w:t>
      </w:r>
    </w:p>
    <w:p>
      <w:pPr>
        <w:spacing w:after="0" w:line="1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xml:space="preserve">. The Company shall not take any action or omit to take any action that would cause the Company to be in breach or violation of its amended and restated certificate of incorporation. Except as provided in </w:t>
      </w:r>
      <w:r>
        <w:rPr>
          <w:rFonts w:ascii="Arial" w:cs="Arial" w:eastAsia="Arial" w:hAnsi="Arial"/>
          <w:sz w:val="16"/>
          <w:szCs w:val="16"/>
          <w:u w:val="single" w:color="auto"/>
          <w:color w:val="auto"/>
        </w:rPr>
        <w:t>Section 3.26</w:t>
      </w:r>
      <w:r>
        <w:rPr>
          <w:rFonts w:ascii="Arial" w:cs="Arial" w:eastAsia="Arial" w:hAnsi="Arial"/>
          <w:sz w:val="16"/>
          <w:szCs w:val="16"/>
          <w:color w:val="auto"/>
        </w:rPr>
        <w:t>, prior to the consummation of a Business Combination, the Company will not amend its amended and restated certificate of incorporation, without the prior written consent of the Representative.</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Tender Offer Documents, Proxy Materials and Other Information</w:t>
      </w:r>
      <w:r>
        <w:rPr>
          <w:rFonts w:ascii="Arial" w:cs="Arial" w:eastAsia="Arial" w:hAnsi="Arial"/>
          <w:sz w:val="18"/>
          <w:szCs w:val="18"/>
          <w:color w:val="auto"/>
        </w:rPr>
        <w:t>. The Company shall provide counsel to the Representative with copies of all tender offer documents or proxy information and all related material filed with the Commission in connection with a Business Combination concurrently with such filing with the Commission. In addition, the Company shall furnish any other State in which the Offering was registered, such information as may be required by such State.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Acquisition/Liquidation Procedure</w:t>
      </w:r>
      <w:r>
        <w:rPr>
          <w:rFonts w:ascii="Arial" w:cs="Arial" w:eastAsia="Arial" w:hAnsi="Arial"/>
          <w:sz w:val="18"/>
          <w:szCs w:val="18"/>
          <w:color w:val="auto"/>
        </w:rPr>
        <w:t>. The Company agrees that it will comply with its amended and restated certificate of incorporation in connection with the consummation of a Business Combination or the failure to consummate a Business Combination within 12 months (or up to 18 months, as applicable) from the Closing Date.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Rule 419</w:t>
      </w:r>
      <w:r>
        <w:rPr>
          <w:rFonts w:ascii="Arial" w:cs="Arial" w:eastAsia="Arial" w:hAnsi="Arial"/>
          <w:sz w:val="17"/>
          <w:szCs w:val="17"/>
          <w:color w:val="auto"/>
        </w:rPr>
        <w:t>. The Company agrees that it will use its best efforts to prevent the Company from becoming subject to Rule 419 under the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0" w:name="page221"/>
    <w:bookmarkEnd w:id="220"/>
    <w:p>
      <w:pPr>
        <w:jc w:val="both"/>
        <w:ind w:firstLine="648"/>
        <w:spacing w:after="0" w:line="25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Presentation of Potential Target Businesses</w:t>
      </w:r>
      <w:r>
        <w:rPr>
          <w:rFonts w:ascii="Arial" w:cs="Arial" w:eastAsia="Arial" w:hAnsi="Arial"/>
          <w:sz w:val="18"/>
          <w:szCs w:val="18"/>
          <w:color w:val="auto"/>
        </w:rPr>
        <w:t>. The Company shall cause the Company’s officers, directors and Initial Shareholders to agree that, in order to minimize potential conflicts of interest which may arise from multiple affiliations, the Company’s officers, directors and Initial Shareholders will present to the Company for its consideration, prior to presentation to any other person or company, any suitable opportunity to acquire an operating business, until the earlier of the consummation by the Company of a Business Combination or the liquidation of the Company, subject to any pre-existing fiduciary obligations the Initial Shareholders might have.</w:t>
      </w:r>
    </w:p>
    <w:p>
      <w:pPr>
        <w:spacing w:after="0" w:line="184" w:lineRule="exact"/>
        <w:rPr>
          <w:sz w:val="20"/>
          <w:szCs w:val="20"/>
          <w:color w:val="auto"/>
        </w:rPr>
      </w:pPr>
    </w:p>
    <w:p>
      <w:pPr>
        <w:jc w:val="both"/>
        <w:ind w:firstLine="8"/>
        <w:spacing w:after="0" w:line="292" w:lineRule="auto"/>
        <w:tabs>
          <w:tab w:leader="none" w:pos="1309"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Representations and Agreements to Survive Delivery</w:t>
      </w:r>
      <w:r>
        <w:rPr>
          <w:rFonts w:ascii="Arial" w:cs="Arial" w:eastAsia="Arial" w:hAnsi="Arial"/>
          <w:sz w:val="16"/>
          <w:szCs w:val="16"/>
          <w:color w:val="auto"/>
        </w:rPr>
        <w:t>. Except as the context otherwise requires, all representations, warranties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agreements contained in this Agreement shall be deemed to be representations, warranties and agreements at the Closing Date or the Option Closing Date, if any, and such representations, warranties and agreements of the Underwriters and the Company, including the indemnity agreements contained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shall remain operative and in full force and effect regardless of any investigation made by or on behalf of any Underwriter, the Company or any Controlling Person, and shall survive termination of this Agreement or the issuance and delivery of the Units to the several Underwriters until the earlier of the expiration of any applicable statute of limitations and the seventh anniversary of the later of the Closing Date or the Option Closing Date, if any, at which time the representations, warranties and agreements shall terminate and be of no further force and effect.</w:t>
      </w:r>
    </w:p>
    <w:p>
      <w:pPr>
        <w:spacing w:after="0" w:line="161" w:lineRule="exact"/>
        <w:rPr>
          <w:rFonts w:ascii="Arial" w:cs="Arial" w:eastAsia="Arial" w:hAnsi="Arial"/>
          <w:sz w:val="16"/>
          <w:szCs w:val="16"/>
          <w:b w:val="1"/>
          <w:bCs w:val="1"/>
          <w:color w:val="auto"/>
        </w:rPr>
      </w:pPr>
    </w:p>
    <w:p>
      <w:pPr>
        <w:ind w:left="960" w:hanging="952"/>
        <w:spacing w:after="0"/>
        <w:tabs>
          <w:tab w:leader="none" w:pos="9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of This Agreement and Termination Thereof</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jc w:val="right"/>
              <w:ind w:right="7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7"/>
                <w:szCs w:val="17"/>
                <w:color w:val="auto"/>
              </w:rPr>
            </w:pPr>
          </w:p>
        </w:tc>
        <w:tc>
          <w:tcPr>
            <w:tcW w:w="9460" w:type="dxa"/>
            <w:vAlign w:val="bottom"/>
            <w:gridSpan w:val="3"/>
          </w:tcPr>
          <w:p>
            <w:pPr>
              <w:jc w:val="right"/>
              <w:spacing w:after="0"/>
              <w:rPr>
                <w:sz w:val="20"/>
                <w:szCs w:val="20"/>
                <w:color w:val="auto"/>
              </w:rPr>
            </w:pPr>
            <w:r>
              <w:rPr>
                <w:rFonts w:ascii="Arial" w:cs="Arial" w:eastAsia="Arial" w:hAnsi="Arial"/>
                <w:sz w:val="18"/>
                <w:szCs w:val="18"/>
                <w:color w:val="auto"/>
                <w:w w:val="94"/>
              </w:rPr>
              <w:t>Effective Date. This Agreement shall become effective on the Effective Date at the time the Registration Statement is declared</w:t>
            </w:r>
          </w:p>
        </w:tc>
      </w:tr>
      <w:tr>
        <w:trPr>
          <w:trHeight w:val="20"/>
        </w:trPr>
        <w:tc>
          <w:tcPr>
            <w:tcW w:w="178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r>
        <w:trPr>
          <w:trHeight w:val="237"/>
        </w:trPr>
        <w:tc>
          <w:tcPr>
            <w:tcW w:w="11240" w:type="dxa"/>
            <w:vAlign w:val="bottom"/>
            <w:gridSpan w:val="5"/>
          </w:tcPr>
          <w:p>
            <w:pPr>
              <w:jc w:val="right"/>
              <w:ind w:right="9120"/>
              <w:spacing w:after="0"/>
              <w:rPr>
                <w:sz w:val="20"/>
                <w:szCs w:val="20"/>
                <w:color w:val="auto"/>
              </w:rPr>
            </w:pPr>
            <w:r>
              <w:rPr>
                <w:rFonts w:ascii="Arial" w:cs="Arial" w:eastAsia="Arial" w:hAnsi="Arial"/>
                <w:sz w:val="18"/>
                <w:szCs w:val="18"/>
                <w:color w:val="auto"/>
                <w:w w:val="91"/>
              </w:rPr>
              <w:t>effective by the Commission.</w:t>
            </w:r>
          </w:p>
        </w:tc>
      </w:tr>
      <w:tr>
        <w:trPr>
          <w:trHeight w:val="392"/>
        </w:trPr>
        <w:tc>
          <w:tcPr>
            <w:tcW w:w="1680" w:type="dxa"/>
            <w:vAlign w:val="bottom"/>
          </w:tcPr>
          <w:p>
            <w:pPr>
              <w:jc w:val="right"/>
              <w:ind w:right="710"/>
              <w:spacing w:after="0"/>
              <w:rPr>
                <w:sz w:val="20"/>
                <w:szCs w:val="20"/>
                <w:color w:val="auto"/>
              </w:rPr>
            </w:pPr>
            <w:r>
              <w:rPr>
                <w:rFonts w:ascii="Arial" w:cs="Arial" w:eastAsia="Arial" w:hAnsi="Arial"/>
                <w:sz w:val="18"/>
                <w:szCs w:val="18"/>
                <w:color w:val="auto"/>
              </w:rPr>
              <w:t>9.2</w:t>
            </w:r>
          </w:p>
        </w:tc>
        <w:tc>
          <w:tcPr>
            <w:tcW w:w="9560" w:type="dxa"/>
            <w:vAlign w:val="bottom"/>
            <w:gridSpan w:val="4"/>
          </w:tcPr>
          <w:p>
            <w:pPr>
              <w:jc w:val="right"/>
              <w:spacing w:after="0"/>
              <w:rPr>
                <w:sz w:val="20"/>
                <w:szCs w:val="20"/>
                <w:color w:val="auto"/>
              </w:rPr>
            </w:pPr>
            <w:r>
              <w:rPr>
                <w:rFonts w:ascii="Arial" w:cs="Arial" w:eastAsia="Arial" w:hAnsi="Arial"/>
                <w:sz w:val="18"/>
                <w:szCs w:val="18"/>
                <w:color w:val="auto"/>
                <w:w w:val="94"/>
              </w:rPr>
              <w:t>Termination. The Representative shall have the right to terminate this Agreement at any time prior to any Closing Date: (i) if any</w:t>
            </w:r>
          </w:p>
        </w:tc>
      </w:tr>
      <w:tr>
        <w:trPr>
          <w:trHeight w:val="20"/>
        </w:trPr>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domestic or international event or act or occurrence has materially disrupted, or in the Representative’s opinion will in the immediate future materially disrupt, general securities markets in the United States; or (ii) if trading on the New York Stock Exchange, the NYSE American, the Nasdaq Stock Market or on the OTC Bulletin Board (or successor trading market) shall have been suspended, or minimum or maximum prices for trading shall have been fixed, or maximum ranges for prices for securities shall have been fixed, or maximum ranges for prices for securities shall have been required on the OTC Bulletin Board or by order of the Commission or any other government authority having jurisdiction; or (iii) if the United States shall have become involved in a war or an initiation or increase in major hostilities, or (iv) if a banking moratorium has been declared by a New York State or federal authority, or (v) if a moratorium on foreign exchange trading has been declared which materially adversely impacts the United States securities markets; or</w:t>
      </w:r>
    </w:p>
    <w:p>
      <w:pPr>
        <w:spacing w:after="0" w:line="2" w:lineRule="exact"/>
        <w:rPr>
          <w:sz w:val="20"/>
          <w:szCs w:val="20"/>
          <w:color w:val="auto"/>
        </w:rPr>
      </w:pPr>
    </w:p>
    <w:p>
      <w:pPr>
        <w:jc w:val="both"/>
        <w:ind w:firstLine="8"/>
        <w:spacing w:after="0" w:line="290" w:lineRule="auto"/>
        <w:tabs>
          <w:tab w:leader="none" w:pos="31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the Company shall have sustained a material loss by fire, flood, accident, hurricane, earthquake, theft, sabotage or other calamity or malicious act which, whether or not such loss shall have been insured, will, in the Representative’s opinion, make it inadvisable to proceed with the delivery of the Units; or (vii) if any of the Company’s representations, warranties or covenants hereunder are breached; or (viii) if the Representative shall have become aware after the date hereof of such a material adverse change in the conditions or prospects of the Company, or such material adverse change in general market conditions, including, without limitation, as a result of terrorist activities after the date hereof, as in the Representative’s judgment would make it impracticable to proceed with the offering, sale and/or delivery of the Units or to enforce contracts made by the Underwriters for the sale of the Units.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1" w:name="page222"/>
    <w:bookmarkEnd w:id="221"/>
    <w:p>
      <w:pPr>
        <w:jc w:val="both"/>
        <w:ind w:firstLine="648"/>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In the event this Agreement shall not be carried out for any reason whatsoever, except as a result of the Representative’s or any Underwriters’ breach or default with respect to any of its material obligations pursuant to this Agreement, within the time specified herein or any extensions thereof pursuant to the terms herein, the obligations of the Company to pay the out-of-pocket expenses actually incurred by the Representative related to the transactions contemplated herein shall be governed by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hereof.</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Notwithstanding any contrary provision contained in this Agreement, any election hereunder or any termination of this Agreement, and whether or not this Agreement is otherwise carried out,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not be in any way affected by such election or termination or failure to carry out the terms of this Agreement or any part hereof.</w:t>
      </w:r>
    </w:p>
    <w:p>
      <w:pPr>
        <w:spacing w:after="0" w:line="180" w:lineRule="exact"/>
        <w:rPr>
          <w:sz w:val="20"/>
          <w:szCs w:val="20"/>
          <w:color w:val="auto"/>
        </w:rPr>
      </w:pPr>
    </w:p>
    <w:p>
      <w:pPr>
        <w:ind w:left="860" w:hanging="852"/>
        <w:spacing w:after="0"/>
        <w:tabs>
          <w:tab w:leader="none" w:pos="8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except as herein otherwise specifically provided, shall be in writing and shall be mailed, delivered by hand or reputable overnight courier or delivered by facsimile transmission (with printed confirmation of receipt) and confirmed, or by electronic transmission via PDF, and shall be deemed given when so mailed, delivered, or faxed or transmitted (or if mailed, three days after such mailing):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If to the Representative: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State Street, Suite 2100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gkaufman@chardan.com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(646) 465-9036</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auto"/>
        </w:rPr>
        <w:t>Copy to (which copy shall not be deemed to constitute notice to the Representative):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Greenberg Traurig,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1750 Tysons Boulevard, Suite 1000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McLean, Virginia 22102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Jason Simon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simonj@gtlaw.com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(703) 714-8386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Chardan NexTech Acquisition 2 Corp.</w:t>
      </w:r>
    </w:p>
    <w:p>
      <w:pPr>
        <w:ind w:left="660"/>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Jonas Grossman,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jgrossman@cnaq.com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to (which copy shall not be deemed to constitute notice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Ari Edelman,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aedelman@reedsmith.com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(212) 521-5450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QIU:</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the sole purpose of convenience of reference, and shall not in any way limit or affect the meaning or interpretation of any of the terms or provisions of this Agreement.</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only be amended by a written instrument executed by each of the parties hereto.</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other agreements and documents being delivered pursuant to or in connection with this Agreement) constitute the entire agreement of the parties hereto with respect to the subject matter hereof and thereof, and supersede all prior agreements and understandings of the parties, oral and written, with respect to the subject matter hereof.</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Binding Effect</w:t>
      </w:r>
      <w:r>
        <w:rPr>
          <w:rFonts w:ascii="Arial" w:cs="Arial" w:eastAsia="Arial" w:hAnsi="Arial"/>
          <w:sz w:val="18"/>
          <w:szCs w:val="18"/>
          <w:color w:val="auto"/>
        </w:rPr>
        <w:t xml:space="preserve">. This Agreement shall inure solely to the benefit of and shall be binding upon the Representative, the Underwriters, the QIU, the Company and the Controlling Persons, directors and officers referred to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and their respective successors, legal representatives and assigns, and no other person shall have or be construed to have any legal or equitable right, remedy or claim under or in respect of or by virtue of this Agreement or any provisions herein contained.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3" w:name="page224"/>
    <w:bookmarkEnd w:id="223"/>
    <w:p>
      <w:pPr>
        <w:ind w:left="660"/>
        <w:spacing w:after="0"/>
        <w:tabs>
          <w:tab w:leader="none" w:pos="14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Governing Law, Venue, Etc</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10.6.1 This Agreement shall be governed by and construed and enforced in accordance with the laws of the State of New York, without giving effect to the conflict of laws principles thereof. Each of the Representative and the Company (and any individual signatory hereto): (i) agrees that any legal suit, action or proceeding arising out of or relating to this Agreement and/or the transactions contemplated hereby shall be instituted exclusively in New York Supreme Court, County of New York, or in the United States District Court for the Southern District of New York; (ii) waives any objection which such party may have or hereafter have to the venue of any such suit, action or proceeding; and (iii) irrevocably and exclusively consents to the jurisdiction of the New York Supreme Court, County of New York, and the United States District Court for the Southern District of New York in any such suit, action or proceeding.</w:t>
      </w:r>
    </w:p>
    <w:p>
      <w:pPr>
        <w:spacing w:after="0" w:line="19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10.6.2 Each of the Representative and the Company (and any individual signatory hereto)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or any such individual mailed by certified mail to the Company’s address shall be deemed in every respect effective service of process upon the Company or any such individual in any such suit, action or proceeding, and service of process upon the Representative mailed by certified mail to the Representative’s addresses shall be deemed in every respect effective service process upon the Representative, in any such suit, action or proceeding.</w:t>
      </w:r>
    </w:p>
    <w:p>
      <w:pPr>
        <w:spacing w:after="0" w:line="16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10.6.3 THE COMPANY (ON BEHALF OF ITSELF AND, TO THE FULLEST EXTENT PERMITTED BY LAW, ON BEHALF OF ITS EQUITY HOLDERS AND CREDITORS) HEREBY WAIVES ANY RIGHT TO A TRIAL BY JURY IN RESPECT OF ANY CLAIM BASED UPON, ARISING OUT OF OR IN CONNECTION WITH THIS AGREEMENT AND THE TRANSACTIONS CONTEMPLATED BY THIS AGREEMENT, THE REGISTRATION STATEMENT AND THE PROSPECTUS.</w:t>
      </w:r>
    </w:p>
    <w:p>
      <w:pPr>
        <w:spacing w:after="0" w:line="187"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10.6.4 The Company agrees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1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This Agreement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Delivery of a signed counterpart of this Agreement by fax or email/.pdf transmission shall constitute valid and sufficient delivery thereof.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4" w:name="page225"/>
    <w:bookmarkEnd w:id="224"/>
    <w:p>
      <w:pPr>
        <w:jc w:val="both"/>
        <w:ind w:firstLine="648"/>
        <w:spacing w:after="0" w:line="255"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Waiver, Etc</w:t>
      </w:r>
      <w:r>
        <w:rPr>
          <w:rFonts w:ascii="Arial" w:cs="Arial" w:eastAsia="Arial" w:hAnsi="Arial"/>
          <w:sz w:val="18"/>
          <w:szCs w:val="18"/>
          <w:color w:val="auto"/>
        </w:rPr>
        <w:t>. The failure of any of the parties hereto to at any time enforce any of the provisions of this Agreement shall not be deemed or construed to be a waiver of any such provision, nor to in any way effect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No Fiduciary Relationship</w:t>
      </w:r>
      <w:r>
        <w:rPr>
          <w:rFonts w:ascii="Arial" w:cs="Arial" w:eastAsia="Arial" w:hAnsi="Arial"/>
          <w:sz w:val="16"/>
          <w:szCs w:val="16"/>
          <w:color w:val="auto"/>
        </w:rPr>
        <w:t>. The Company hereby acknowledges that the Underwriters are acting solely as underwriters, and the QIU is acting solely as a “qualified independent underwriter” within the meaning of FINRA Rule 5121, in connection with the Offering. The Company further acknowledges that the Underwriters and the QIU are acting pursuant to a contractual relationship created solely by this Agreement entered into on an arm’s length basis and in no event do the parties intend that the Underwriters or the QIU act or be responsible as a fiduciary to the Company, its management, stockholders, creditors or any other person in connection with any activity that the Underwriters or the QIU may undertake or have undertaken in furtherance of the Offering, either before or after the date hereof. The Underwriters and the QIU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the Underwriters and the QIU agree that they are each responsible for making their own independent judgments with respect to any such transactions, and that any opinions or views expressed by the Underwriters or the QIU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the Underwriters or the QIU with respect to any breach or alleged breach of any fiduciary or similar duty to the Company in connection with the transactions contemplated by this Agreement or any matters leading up to such transactions.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5" w:name="page226"/>
    <w:bookmarkEnd w:id="225"/>
    <w:p>
      <w:pPr>
        <w:spacing w:after="0" w:line="277" w:lineRule="auto"/>
        <w:rPr>
          <w:sz w:val="20"/>
          <w:szCs w:val="20"/>
          <w:color w:val="auto"/>
        </w:rPr>
      </w:pPr>
      <w:r>
        <w:rPr>
          <w:rFonts w:ascii="Arial" w:cs="Arial" w:eastAsia="Arial" w:hAnsi="Arial"/>
          <w:sz w:val="18"/>
          <w:szCs w:val="18"/>
          <w:color w:val="auto"/>
        </w:rPr>
        <w:t>If the foregoing correctly sets forth the understanding among the Underwriters, the QIU and the Company, please so indicate in the space provided below for that purpose, whereupon this letter shall constitute a binding agreement between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on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Qualified Independent Underwriter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of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Number of Firm</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Units to be</w:t>
      </w:r>
    </w:p>
    <w:p>
      <w:pPr>
        <w:spacing w:after="0" w:line="9" w:lineRule="exact"/>
        <w:rPr>
          <w:sz w:val="20"/>
          <w:szCs w:val="20"/>
          <w:color w:val="auto"/>
        </w:rPr>
      </w:pPr>
    </w:p>
    <w:p>
      <w:pPr>
        <w:spacing w:after="0"/>
        <w:tabs>
          <w:tab w:leader="none" w:pos="10120" w:val="left"/>
        </w:tabs>
        <w:rPr>
          <w:sz w:val="20"/>
          <w:szCs w:val="20"/>
          <w:color w:val="auto"/>
        </w:rPr>
      </w:pPr>
      <w:r>
        <w:rPr>
          <w:rFonts w:ascii="Arial" w:cs="Arial" w:eastAsia="Arial" w:hAnsi="Arial"/>
          <w:sz w:val="18"/>
          <w:szCs w:val="18"/>
          <w:color w:val="auto"/>
        </w:rPr>
        <w:t>Underwriter</w:t>
      </w:r>
      <w:r>
        <w:rPr>
          <w:sz w:val="20"/>
          <w:szCs w:val="20"/>
          <w:color w:val="auto"/>
        </w:rPr>
        <w:tab/>
      </w:r>
      <w:r>
        <w:rPr>
          <w:rFonts w:ascii="Arial" w:cs="Arial" w:eastAsia="Arial" w:hAnsi="Arial"/>
          <w:sz w:val="18"/>
          <w:szCs w:val="18"/>
          <w:color w:val="auto"/>
        </w:rPr>
        <w:t>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Chardan Capital Markets, LLC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10,000,000</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Target Business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the Final Prospectus of Chardan NexTech Acquisition 2 Corp. (the “Company”), dated [●], 2021 (the “Prospectus”). Capitalized terms used and not otherwise defined herein shall have the meanings assigned to them in the Prospectus.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read the Prospectus and understand that the Company has established a “trust account”, initially in an amount of at least $</w:t>
      </w:r>
      <w:r>
        <w:rPr>
          <w:rFonts w:ascii="Arial" w:cs="Arial" w:eastAsia="Arial" w:hAnsi="Arial"/>
          <w:sz w:val="18"/>
          <w:szCs w:val="18"/>
          <w:u w:val="single" w:color="auto"/>
          <w:color w:val="auto"/>
        </w:rPr>
        <w:t>101,500,000</w:t>
      </w:r>
      <w:r>
        <w:rPr>
          <w:rFonts w:ascii="Arial" w:cs="Arial" w:eastAsia="Arial" w:hAnsi="Arial"/>
          <w:sz w:val="18"/>
          <w:szCs w:val="18"/>
          <w:color w:val="auto"/>
        </w:rPr>
        <w:t xml:space="preserve"> for the benefit of the “public stockholders” and the underwriters of the Company’s initial public offering (the “Underwriters”) and that, except for interest earned on the trust account that may be released to the Company to pay any taxes it incurs, proceeds in the trust account will not be released until (a) the consummation of a Business Combination, or (b) the dissolution and liquidation of the Company if it is unable to consummate a Business Combination within the allotted time.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and in consideration of the Company agreeing to evaluate the undersigned for purposes of consummating a business combination or other form of acquisition with it, the undersigned hereby agrees that it does not have any right, title, interest or claim of any kind in or to any monies in the trust account (the “Claim”) and hereby waives any Claim it may have in the future as a result of, or arising out of, any negotiations, contracts or agreements with the Company and will not seek recourse against the trust account for any reason whatsoever.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Print Name of Target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 of Target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Vendor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the Final Prospectus of Chardan NexTech Acquisition 2 Corp. (the “Company”), dated [●], 2021 (the “Prospectus”). Capitalized terms used and not otherwise defined herein shall have the meanings assigned to them in the Prospectus.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read the Prospectus and understand that the Company has established a “trust account”, initially in an amount of at least $101,500,000 for the benefit of the “public stockholders” and the underwriters of the Company’s initial public offering (the “Underwriters”) and that, except for interest earned on the trust account that may be released to the Company to pay any taxes it incurs, proceeds in the trust account will not be released until (a) the consummation of a Business Combination, or (b) the dissolution and liquidation of the Company if it is unable to consummate a Business Combination within the allotted time.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and in consideration of the Company agreeing to use the products or services of the undersigned, the undersigned hereby agrees that it does not have any right, title, interest or claim of any kind in or to any monies in the trust account (the “Claim”) and hereby waives any Claim it may have in the future as a result of, or arising out of, any negotiations, contracts or agreements with the Company and will not seek recourse against the trust account for any reason whatsoever.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Print Name of Vendor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 of Vendor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9" w:name="page230"/>
    <w:bookmarkEnd w:id="229"/>
    <w:p>
      <w:pPr>
        <w:jc w:val="right"/>
        <w:spacing w:after="0"/>
        <w:rPr>
          <w:sz w:val="20"/>
          <w:szCs w:val="20"/>
          <w:color w:val="auto"/>
        </w:rPr>
      </w:pPr>
      <w:r>
        <w:rPr>
          <w:rFonts w:ascii="Arial" w:cs="Arial" w:eastAsia="Arial" w:hAnsi="Arial"/>
          <w:sz w:val="22"/>
          <w:szCs w:val="22"/>
          <w:b w:val="1"/>
          <w:bCs w:val="1"/>
          <w:color w:val="auto"/>
        </w:rPr>
        <w:t>Exhibit 3.3</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CHARDAN NEXTECH ACQUISITION 2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245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 General Corporation Law</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Chardan NexTech Acquisition 2 Corp., a corporation existing under the laws of the State of Delaware (the “</w:t>
      </w:r>
      <w:r>
        <w:rPr>
          <w:rFonts w:ascii="Arial" w:cs="Arial" w:eastAsia="Arial" w:hAnsi="Arial"/>
          <w:sz w:val="18"/>
          <w:szCs w:val="18"/>
          <w:b w:val="1"/>
          <w:bCs w:val="1"/>
          <w:color w:val="auto"/>
        </w:rPr>
        <w:t>Corporation</w:t>
      </w:r>
      <w:r>
        <w:rPr>
          <w:rFonts w:ascii="Arial" w:cs="Arial" w:eastAsia="Arial" w:hAnsi="Arial"/>
          <w:sz w:val="18"/>
          <w:szCs w:val="18"/>
          <w:color w:val="auto"/>
        </w:rPr>
        <w:t>”), by its Chief Executive Officer, hereby certifies as follows:</w:t>
      </w:r>
    </w:p>
    <w:p>
      <w:pPr>
        <w:spacing w:after="0" w:line="166" w:lineRule="exact"/>
        <w:rPr>
          <w:sz w:val="20"/>
          <w:szCs w:val="20"/>
          <w:color w:val="auto"/>
        </w:rPr>
      </w:pPr>
    </w:p>
    <w:p>
      <w:pPr>
        <w:ind w:left="760" w:hanging="658"/>
        <w:spacing w:after="0"/>
        <w:tabs>
          <w:tab w:leader="none" w:pos="7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name of the Corporation is “Chardan NexTech Acquisition 2 Corp.”.</w:t>
      </w:r>
    </w:p>
    <w:p>
      <w:pPr>
        <w:spacing w:after="0" w:line="225" w:lineRule="exact"/>
        <w:rPr>
          <w:rFonts w:ascii="Arial" w:cs="Arial" w:eastAsia="Arial" w:hAnsi="Arial"/>
          <w:sz w:val="18"/>
          <w:szCs w:val="18"/>
          <w:color w:val="auto"/>
        </w:rPr>
      </w:pPr>
    </w:p>
    <w:p>
      <w:pPr>
        <w:jc w:val="both"/>
        <w:ind w:left="720" w:hanging="658"/>
        <w:spacing w:after="0" w:line="263" w:lineRule="auto"/>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Corporation’s Certificate of Incorporation was filed in the office of the Secretary of State of the State of Delaware on June 23, 2020, and a Certificate of Amendment changing the name of the Corporation from Chardan Global Acquisition 3 Corp., was filed in the office of the Secretary of the State of Delaware on February 22, 2021.</w:t>
      </w:r>
    </w:p>
    <w:p>
      <w:pPr>
        <w:spacing w:after="0" w:line="183" w:lineRule="exact"/>
        <w:rPr>
          <w:rFonts w:ascii="Arial" w:cs="Arial" w:eastAsia="Arial" w:hAnsi="Arial"/>
          <w:sz w:val="18"/>
          <w:szCs w:val="18"/>
          <w:color w:val="auto"/>
        </w:rPr>
      </w:pPr>
    </w:p>
    <w:p>
      <w:pPr>
        <w:ind w:left="720" w:hanging="658"/>
        <w:spacing w:after="0"/>
        <w:tabs>
          <w:tab w:leader="none" w:pos="7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This Amended Restated Certificate of Incorporation restates, integrates and amends the Certificate of Incorporation of the Corporation.</w:t>
      </w:r>
    </w:p>
    <w:p>
      <w:pPr>
        <w:spacing w:after="0" w:line="236" w:lineRule="exact"/>
        <w:rPr>
          <w:rFonts w:ascii="Arial" w:cs="Arial" w:eastAsia="Arial" w:hAnsi="Arial"/>
          <w:sz w:val="17"/>
          <w:szCs w:val="17"/>
          <w:color w:val="auto"/>
        </w:rPr>
      </w:pPr>
    </w:p>
    <w:p>
      <w:pPr>
        <w:jc w:val="both"/>
        <w:ind w:left="720" w:hanging="658"/>
        <w:spacing w:after="0" w:line="263" w:lineRule="auto"/>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was duly adopted by the written consent of the directors and stockholders of the Corporation in accordance with the applicable provisions of Sections 141(f), 228, 242 and 245 of the General Corporation Law of the State of Delaware (“</w:t>
      </w:r>
      <w:r>
        <w:rPr>
          <w:rFonts w:ascii="Arial" w:cs="Arial" w:eastAsia="Arial" w:hAnsi="Arial"/>
          <w:sz w:val="18"/>
          <w:szCs w:val="18"/>
          <w:b w:val="1"/>
          <w:bCs w:val="1"/>
          <w:color w:val="auto"/>
        </w:rPr>
        <w:t>GCL</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720" w:hanging="658"/>
        <w:spacing w:after="0"/>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text of the Certificate of Incorporation of the Corporation is hereby amended and restated to read in full as follows: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The name of the corporation is “Chardan NexTech Acquisition 2 Corp.” (hereinafter called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11" w:lineRule="exact"/>
        <w:rPr>
          <w:sz w:val="20"/>
          <w:szCs w:val="20"/>
          <w:color w:val="auto"/>
        </w:rPr>
      </w:pPr>
    </w:p>
    <w:p>
      <w:pPr>
        <w:jc w:val="both"/>
        <w:ind w:left="660" w:right="20"/>
        <w:spacing w:after="0" w:line="308" w:lineRule="auto"/>
        <w:rPr>
          <w:sz w:val="20"/>
          <w:szCs w:val="20"/>
          <w:color w:val="auto"/>
        </w:rPr>
      </w:pPr>
      <w:r>
        <w:rPr>
          <w:rFonts w:ascii="Arial" w:cs="Arial" w:eastAsia="Arial" w:hAnsi="Arial"/>
          <w:sz w:val="17"/>
          <w:szCs w:val="17"/>
          <w:color w:val="auto"/>
        </w:rPr>
        <w:t>SECOND: The registered office of the Corporation is to be located 3411 Silverside Road, Tatnall Building, #104, in the City of Wilmington, in the County of New Castle, Delaware 19901. The name of its registered agent at that address is Corporate Creations Network Inc.</w:t>
      </w:r>
    </w:p>
    <w:p>
      <w:pPr>
        <w:spacing w:after="0" w:line="14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be organized under the General Corporation Law of Delaware (“</w:t>
      </w:r>
      <w:r>
        <w:rPr>
          <w:rFonts w:ascii="Arial" w:cs="Arial" w:eastAsia="Arial" w:hAnsi="Arial"/>
          <w:sz w:val="18"/>
          <w:szCs w:val="18"/>
          <w:b w:val="1"/>
          <w:bCs w:val="1"/>
          <w:color w:val="auto"/>
        </w:rPr>
        <w:t>GCL</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FOURTH:</w:t>
      </w:r>
    </w:p>
    <w:p>
      <w:pPr>
        <w:spacing w:after="0" w:line="2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total number of shares of all classes of capital stock which the Corporation shall have authority to issue is 51,000,000, of which 50,000,000 shares shall be common stock, par value $.0001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1,000,000 shares shall be preferred stock, par value $.0001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90" w:lineRule="exact"/>
        <w:rPr>
          <w:sz w:val="20"/>
          <w:szCs w:val="20"/>
          <w:color w:val="auto"/>
        </w:rPr>
      </w:pPr>
    </w:p>
    <w:p>
      <w:pPr>
        <w:jc w:val="both"/>
        <w:ind w:left="1300"/>
        <w:spacing w:after="0" w:line="270" w:lineRule="auto"/>
        <w:rPr>
          <w:sz w:val="20"/>
          <w:szCs w:val="20"/>
          <w:color w:val="auto"/>
        </w:rPr>
      </w:pPr>
      <w:r>
        <w:rPr>
          <w:rFonts w:ascii="Arial" w:cs="Arial" w:eastAsia="Arial" w:hAnsi="Arial"/>
          <w:sz w:val="17"/>
          <w:szCs w:val="17"/>
          <w:color w:val="auto"/>
        </w:rPr>
        <w:t>A. Preferred Stock. 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w:t>
      </w:r>
      <w:r>
        <w:rPr>
          <w:rFonts w:ascii="Arial" w:cs="Arial" w:eastAsia="Arial" w:hAnsi="Arial"/>
          <w:sz w:val="17"/>
          <w:szCs w:val="17"/>
          <w:b w:val="1"/>
          <w:bCs w:val="1"/>
          <w:color w:val="auto"/>
        </w:rPr>
        <w:t>Preferred Stock Designation</w:t>
      </w:r>
      <w:r>
        <w:rPr>
          <w:rFonts w:ascii="Arial" w:cs="Arial" w:eastAsia="Arial" w:hAnsi="Arial"/>
          <w:sz w:val="17"/>
          <w:szCs w:val="17"/>
          <w:color w:val="auto"/>
        </w:rPr>
        <w:t>”) and as may be permitted by the GCL.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0" w:name="page231"/>
    <w:bookmarkEnd w:id="230"/>
    <w:p>
      <w:pPr>
        <w:ind w:left="640"/>
        <w:spacing w:after="0" w:line="308" w:lineRule="auto"/>
        <w:rPr>
          <w:sz w:val="20"/>
          <w:szCs w:val="20"/>
          <w:color w:val="auto"/>
        </w:rPr>
      </w:pPr>
      <w:r>
        <w:rPr>
          <w:rFonts w:ascii="Arial" w:cs="Arial" w:eastAsia="Arial" w:hAnsi="Arial"/>
          <w:sz w:val="17"/>
          <w:szCs w:val="17"/>
          <w:color w:val="auto"/>
        </w:rPr>
        <w:t>B. Common Stock. Except as otherwise required by law or as otherwise provided in any Preferred Stock Designation, the holders of the Common Stock shall exclusively possess all voting power and each share of Common Stock shall have one vote.</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FIFTH: This Article Fifth shall apply during the period commencing upon the filing of this Certificate of Incorporation and terminating upon the consummation of any Business Combination (as defined below). A “</w:t>
      </w:r>
      <w:r>
        <w:rPr>
          <w:rFonts w:ascii="Arial" w:cs="Arial" w:eastAsia="Arial" w:hAnsi="Arial"/>
          <w:sz w:val="18"/>
          <w:szCs w:val="18"/>
          <w:b w:val="1"/>
          <w:bCs w:val="1"/>
          <w:color w:val="auto"/>
        </w:rPr>
        <w:t>Business Combination</w:t>
      </w:r>
      <w:r>
        <w:rPr>
          <w:rFonts w:ascii="Arial" w:cs="Arial" w:eastAsia="Arial" w:hAnsi="Arial"/>
          <w:sz w:val="18"/>
          <w:szCs w:val="18"/>
          <w:color w:val="auto"/>
        </w:rPr>
        <w:t>” shall mean any merger, capital stock exchange, asset, stock purchase, reorganization or other similar business combination involving the Corporation and one or more businesses or entities (“</w:t>
      </w:r>
      <w:r>
        <w:rPr>
          <w:rFonts w:ascii="Arial" w:cs="Arial" w:eastAsia="Arial" w:hAnsi="Arial"/>
          <w:sz w:val="18"/>
          <w:szCs w:val="18"/>
          <w:b w:val="1"/>
          <w:bCs w:val="1"/>
          <w:color w:val="auto"/>
        </w:rPr>
        <w:t>Target Business</w:t>
      </w:r>
      <w:r>
        <w:rPr>
          <w:rFonts w:ascii="Arial" w:cs="Arial" w:eastAsia="Arial" w:hAnsi="Arial"/>
          <w:sz w:val="18"/>
          <w:szCs w:val="18"/>
          <w:color w:val="auto"/>
        </w:rPr>
        <w:t>”), or entering into contractual arrangements that give the Corporation control over such a Target Business, and, if the Corporation is then listed on a national securities exchange, the Target Business has a fair market value equal to at least 80% of the balance in the Trust Fund (as defined below), less any deferred underwriting commissions and taxes payable on interest earned, at the time of signing a definitive agreement in connection with the initial Business Combination. “</w:t>
      </w:r>
      <w:r>
        <w:rPr>
          <w:rFonts w:ascii="Arial" w:cs="Arial" w:eastAsia="Arial" w:hAnsi="Arial"/>
          <w:sz w:val="18"/>
          <w:szCs w:val="18"/>
          <w:b w:val="1"/>
          <w:bCs w:val="1"/>
          <w:color w:val="auto"/>
        </w:rPr>
        <w:t>IPO Shares</w:t>
      </w:r>
      <w:r>
        <w:rPr>
          <w:rFonts w:ascii="Arial" w:cs="Arial" w:eastAsia="Arial" w:hAnsi="Arial"/>
          <w:sz w:val="18"/>
          <w:szCs w:val="18"/>
          <w:color w:val="auto"/>
        </w:rPr>
        <w:t>” shall mean the shares sold pursuant to the registration statement on Form S-1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Securities and Exchange Commission in connection with the Corporation’s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w:t>
      </w:r>
    </w:p>
    <w:p>
      <w:pPr>
        <w:spacing w:after="0" w:line="196" w:lineRule="exact"/>
        <w:rPr>
          <w:sz w:val="20"/>
          <w:szCs w:val="20"/>
          <w:color w:val="auto"/>
        </w:rPr>
      </w:pPr>
    </w:p>
    <w:p>
      <w:pPr>
        <w:jc w:val="both"/>
        <w:ind w:left="640"/>
        <w:spacing w:after="0" w:line="271" w:lineRule="auto"/>
        <w:rPr>
          <w:sz w:val="20"/>
          <w:szCs w:val="20"/>
          <w:color w:val="auto"/>
        </w:rPr>
      </w:pPr>
      <w:r>
        <w:rPr>
          <w:rFonts w:ascii="Arial" w:cs="Arial" w:eastAsia="Arial" w:hAnsi="Arial"/>
          <w:sz w:val="17"/>
          <w:szCs w:val="17"/>
          <w:color w:val="auto"/>
        </w:rPr>
        <w:t>A. The “fair market value” for purposes of this Article Fifth will be determined by the Board of Directors of the Corporation based upon one or more standards generally accepted by the financial community (such as actual and potential sales, earnings, cash flow and/or book value). If the Board of Directors is unable to independently determine the fair market value of the Target Business, the Corporation will obtain an opinion from an independent investment banking firm, or another independent entity that commonly renders valuation opinions, with respect to the satisfaction of such criteria. Prior to the consummation of a Business Combination, the Corporation shall either (i) submit any Business Combination to its holders of Common Stock for approval (“</w:t>
      </w:r>
      <w:r>
        <w:rPr>
          <w:rFonts w:ascii="Arial" w:cs="Arial" w:eastAsia="Arial" w:hAnsi="Arial"/>
          <w:sz w:val="17"/>
          <w:szCs w:val="17"/>
          <w:b w:val="1"/>
          <w:bCs w:val="1"/>
          <w:color w:val="auto"/>
        </w:rPr>
        <w:t>Proxy Solicitation</w:t>
      </w:r>
      <w:r>
        <w:rPr>
          <w:rFonts w:ascii="Arial" w:cs="Arial" w:eastAsia="Arial" w:hAnsi="Arial"/>
          <w:sz w:val="17"/>
          <w:szCs w:val="17"/>
          <w:color w:val="auto"/>
        </w:rPr>
        <w:t>”) pursuant to the proxy rules promulgated under the Securities Exchange Act of 1934, as amended (“</w:t>
      </w:r>
      <w:r>
        <w:rPr>
          <w:rFonts w:ascii="Arial" w:cs="Arial" w:eastAsia="Arial" w:hAnsi="Arial"/>
          <w:sz w:val="17"/>
          <w:szCs w:val="17"/>
          <w:b w:val="1"/>
          <w:bCs w:val="1"/>
          <w:color w:val="auto"/>
        </w:rPr>
        <w:t>Exchange Act</w:t>
      </w:r>
      <w:r>
        <w:rPr>
          <w:rFonts w:ascii="Arial" w:cs="Arial" w:eastAsia="Arial" w:hAnsi="Arial"/>
          <w:sz w:val="17"/>
          <w:szCs w:val="17"/>
          <w:color w:val="auto"/>
        </w:rPr>
        <w:t>”), or (ii) provide its holders of IPO Shares with the opportunity to sell their shares to the Corporation by means of a tender offer (“</w:t>
      </w:r>
      <w:r>
        <w:rPr>
          <w:rFonts w:ascii="Arial" w:cs="Arial" w:eastAsia="Arial" w:hAnsi="Arial"/>
          <w:sz w:val="17"/>
          <w:szCs w:val="17"/>
          <w:b w:val="1"/>
          <w:bCs w:val="1"/>
          <w:color w:val="auto"/>
        </w:rPr>
        <w:t>Tender Offer</w:t>
      </w:r>
      <w:r>
        <w:rPr>
          <w:rFonts w:ascii="Arial" w:cs="Arial" w:eastAsia="Arial" w:hAnsi="Arial"/>
          <w:sz w:val="17"/>
          <w:szCs w:val="17"/>
          <w:color w:val="auto"/>
        </w:rPr>
        <w:t>”).</w:t>
      </w:r>
    </w:p>
    <w:p>
      <w:pPr>
        <w:spacing w:after="0" w:line="178" w:lineRule="exact"/>
        <w:rPr>
          <w:sz w:val="20"/>
          <w:szCs w:val="20"/>
          <w:color w:val="auto"/>
        </w:rPr>
      </w:pPr>
    </w:p>
    <w:p>
      <w:pPr>
        <w:jc w:val="both"/>
        <w:ind w:left="640"/>
        <w:spacing w:after="0" w:line="286" w:lineRule="auto"/>
        <w:rPr>
          <w:sz w:val="20"/>
          <w:szCs w:val="20"/>
          <w:color w:val="auto"/>
        </w:rPr>
      </w:pPr>
      <w:r>
        <w:rPr>
          <w:rFonts w:ascii="Arial" w:cs="Arial" w:eastAsia="Arial" w:hAnsi="Arial"/>
          <w:sz w:val="17"/>
          <w:szCs w:val="17"/>
          <w:color w:val="auto"/>
        </w:rPr>
        <w:t>B. If the Corporation engages in a Proxy Solicitation with respect to a Business Combination, the Corporation will consummate the Business Combination only if a majority of the then outstanding shares of Common Stock present and entitled to vote at the meeting to approve the Business Combination are voted for the approval of such Business Combination.</w:t>
      </w:r>
    </w:p>
    <w:p>
      <w:pPr>
        <w:spacing w:after="0" w:line="165" w:lineRule="exact"/>
        <w:rPr>
          <w:sz w:val="20"/>
          <w:szCs w:val="20"/>
          <w:color w:val="auto"/>
        </w:rPr>
      </w:pPr>
    </w:p>
    <w:p>
      <w:pPr>
        <w:jc w:val="both"/>
        <w:ind w:left="640"/>
        <w:spacing w:after="0" w:line="267" w:lineRule="auto"/>
        <w:rPr>
          <w:sz w:val="20"/>
          <w:szCs w:val="20"/>
          <w:color w:val="auto"/>
        </w:rPr>
      </w:pPr>
      <w:r>
        <w:rPr>
          <w:rFonts w:ascii="Arial" w:cs="Arial" w:eastAsia="Arial" w:hAnsi="Arial"/>
          <w:sz w:val="17"/>
          <w:szCs w:val="17"/>
          <w:color w:val="auto"/>
        </w:rPr>
        <w:t>C. In the event that a Business Combination is consummated by the Corporation or the Corporation holds a vote of its stockholders to amend its Certificate of Incorporation, any holder of IPO Shares who (i) voted on the proposal to approve such Business Combination or amend the Certificate of Incorporation, whether such holder voted in favor or against such Business Combination or amendment, and followed the procedures contained in the proxy materials to perfect the holder’s right to convert the holder’s IPO Shares into cash, if any, or (ii) tendered the holder’s IPO Shares as specified in the Tender Offer materials therefore, shall be entitled to receive the Conversion Price (as defined below) in exchange for the holder’s IPO Shares. The Corporation shall, promptly after consummation of the Business Combination or the filing of the amendment to the Certificate of Incorporation with the Secretary of State of the State of Delaware, convert such shares into cash at a per share price equal to the quotient determined by dividing (i) the amount then held in the Trust Fund (as defined below) less any income taxes owed on such funds but not yet paid, calculated as of two business days prior to the consummation of the Business Combination or the filing of the amendment, as applicable, by (ii) the total number of IPO Shares then outstanding (such price being referred to as the “</w:t>
      </w:r>
      <w:r>
        <w:rPr>
          <w:rFonts w:ascii="Arial" w:cs="Arial" w:eastAsia="Arial" w:hAnsi="Arial"/>
          <w:sz w:val="17"/>
          <w:szCs w:val="17"/>
          <w:b w:val="1"/>
          <w:bCs w:val="1"/>
          <w:color w:val="auto"/>
        </w:rPr>
        <w:t>Conversion Price</w:t>
      </w:r>
      <w:r>
        <w:rPr>
          <w:rFonts w:ascii="Arial" w:cs="Arial" w:eastAsia="Arial" w:hAnsi="Arial"/>
          <w:sz w:val="17"/>
          <w:szCs w:val="17"/>
          <w:color w:val="auto"/>
        </w:rPr>
        <w:t>”). “</w:t>
      </w:r>
      <w:r>
        <w:rPr>
          <w:rFonts w:ascii="Arial" w:cs="Arial" w:eastAsia="Arial" w:hAnsi="Arial"/>
          <w:sz w:val="17"/>
          <w:szCs w:val="17"/>
          <w:b w:val="1"/>
          <w:bCs w:val="1"/>
          <w:color w:val="auto"/>
        </w:rPr>
        <w:t>Trust Fund</w:t>
      </w:r>
      <w:r>
        <w:rPr>
          <w:rFonts w:ascii="Arial" w:cs="Arial" w:eastAsia="Arial" w:hAnsi="Arial"/>
          <w:sz w:val="17"/>
          <w:szCs w:val="17"/>
          <w:color w:val="auto"/>
        </w:rPr>
        <w:t>” shall mean the trust account established by the Corporation at the consummation of its IPO and into which the amount specified in Registration Statement is deposited. Notwithstanding the foregoing, a holder of IPO Shares, together with any affiliate of his or any other person with whom he is acting in concert or as a “group” (within the meaning of Section 13(d)(3) of the Exchange Act) (“</w:t>
      </w:r>
      <w:r>
        <w:rPr>
          <w:rFonts w:ascii="Arial" w:cs="Arial" w:eastAsia="Arial" w:hAnsi="Arial"/>
          <w:sz w:val="17"/>
          <w:szCs w:val="17"/>
          <w:b w:val="1"/>
          <w:bCs w:val="1"/>
          <w:color w:val="auto"/>
        </w:rPr>
        <w:t>Group</w:t>
      </w:r>
      <w:r>
        <w:rPr>
          <w:rFonts w:ascii="Arial" w:cs="Arial" w:eastAsia="Arial" w:hAnsi="Arial"/>
          <w:sz w:val="17"/>
          <w:szCs w:val="17"/>
          <w:color w:val="auto"/>
        </w:rPr>
        <w:t>”) with, will be restricted from demanding conversion in connection with a proposed Business Combination with respect to 20.0% or more of the IPO Shares. Accordingly, all IPO Shares beneficially owned by such holder or any other person with whom such holder is acting in concert or as a Group with in excess of 20.0% or more of the IPO Shares will remain outstanding following consummation of such Business Combination in the name of the stockholder and not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421005</wp:posOffset>
            </wp:positionV>
            <wp:extent cx="71323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31" w:name="page232"/>
    <w:bookmarkEnd w:id="231"/>
    <w:p>
      <w:pPr>
        <w:jc w:val="both"/>
        <w:ind w:left="640"/>
        <w:spacing w:after="0" w:line="277" w:lineRule="auto"/>
        <w:rPr>
          <w:sz w:val="20"/>
          <w:szCs w:val="20"/>
          <w:color w:val="auto"/>
        </w:rPr>
      </w:pPr>
      <w:r>
        <w:rPr>
          <w:rFonts w:ascii="Arial" w:cs="Arial" w:eastAsia="Arial" w:hAnsi="Arial"/>
          <w:sz w:val="18"/>
          <w:szCs w:val="18"/>
          <w:color w:val="auto"/>
        </w:rPr>
        <w:t>D. The Corporation will not consummate any Business Combination unless it (or any successor) has net tangible assets of at least $5,000,001 upon consummation of such Business Combination.</w:t>
      </w:r>
    </w:p>
    <w:p>
      <w:pPr>
        <w:spacing w:after="0" w:line="170" w:lineRule="exact"/>
        <w:rPr>
          <w:sz w:val="20"/>
          <w:szCs w:val="20"/>
          <w:color w:val="auto"/>
        </w:rPr>
      </w:pPr>
    </w:p>
    <w:p>
      <w:pPr>
        <w:jc w:val="both"/>
        <w:ind w:left="640"/>
        <w:spacing w:after="0" w:line="268" w:lineRule="auto"/>
        <w:rPr>
          <w:sz w:val="20"/>
          <w:szCs w:val="20"/>
          <w:color w:val="auto"/>
        </w:rPr>
      </w:pPr>
      <w:r>
        <w:rPr>
          <w:rFonts w:ascii="Arial" w:cs="Arial" w:eastAsia="Arial" w:hAnsi="Arial"/>
          <w:sz w:val="17"/>
          <w:szCs w:val="17"/>
          <w:color w:val="auto"/>
        </w:rPr>
        <w:t>E. In the event that the Corporation does not consummate a Business Combination by 12 months from the consummation of the IPO (or up to 18 months if such date is extended as described in the prospectus relating to the IPO) (such date being referred to as the “</w:t>
      </w:r>
      <w:r>
        <w:rPr>
          <w:rFonts w:ascii="Arial" w:cs="Arial" w:eastAsia="Arial" w:hAnsi="Arial"/>
          <w:sz w:val="17"/>
          <w:szCs w:val="17"/>
          <w:b w:val="1"/>
          <w:bCs w:val="1"/>
          <w:color w:val="auto"/>
        </w:rPr>
        <w:t>Termination Date</w:t>
      </w:r>
      <w:r>
        <w:rPr>
          <w:rFonts w:ascii="Arial" w:cs="Arial" w:eastAsia="Arial" w:hAnsi="Arial"/>
          <w:sz w:val="17"/>
          <w:szCs w:val="17"/>
          <w:color w:val="auto"/>
        </w:rPr>
        <w:t>”),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per-share redemption price shall be equal to a pro rata share of the Trust Fund plus any pro rata interest earned on the funds held in the Trust Fund and not previously released to the Corporation for its working capital requirements or necessary to pay its taxes divided by the total number of IPO Shares then outstanding.</w:t>
      </w:r>
    </w:p>
    <w:p>
      <w:pPr>
        <w:spacing w:after="0" w:line="184"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F. A holder of IPO Shares shall only be entitled to receive distributions from the Trust Fund in the event (i) he demands conversion of his shares in accordance with paragraph C above or (ii) that the Corporation has not consummated a Business Combination by the Termination Date as described in paragraph E above. In no other circumstances shall a holder of IPO Shares have any right or interest of any kind in or to the Trust Fund. A public holder that holds IPO Shares beneficially through a nominee must identify itself to the Corporation in connection with any election to receive distributions from the Trust Fund in order to validly convert such IPO Shares in accordance with paragraph C above.</w:t>
      </w:r>
    </w:p>
    <w:p>
      <w:pPr>
        <w:spacing w:after="0" w:line="192" w:lineRule="exact"/>
        <w:rPr>
          <w:sz w:val="20"/>
          <w:szCs w:val="20"/>
          <w:color w:val="auto"/>
        </w:rPr>
      </w:pPr>
    </w:p>
    <w:p>
      <w:pPr>
        <w:jc w:val="both"/>
        <w:ind w:left="640"/>
        <w:spacing w:after="0" w:line="286" w:lineRule="auto"/>
        <w:rPr>
          <w:sz w:val="20"/>
          <w:szCs w:val="20"/>
          <w:color w:val="auto"/>
        </w:rPr>
      </w:pPr>
      <w:r>
        <w:rPr>
          <w:rFonts w:ascii="Arial" w:cs="Arial" w:eastAsia="Arial" w:hAnsi="Arial"/>
          <w:sz w:val="17"/>
          <w:szCs w:val="17"/>
          <w:color w:val="auto"/>
        </w:rPr>
        <w:t>G. Prior to the consummation of a Business Combination, the Board of Directors may not issue (i) any shares of Common Stock or any securities convertible into Common Stock; or (ii) any securities which participate in or are otherwise entitled in any manner to any of the proceeds in the Trust Fund or which vote as a class with the Common Stock on a Business Combination.</w:t>
      </w:r>
    </w:p>
    <w:p>
      <w:pPr>
        <w:spacing w:after="0" w:line="165"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H. If any amendment is made to this Article Fifth that would modify (A) the substance or timing of the Corporation’s obligation to provide for the conversion of the IPO Shares in connection with an initial Business Combination or to redeem 100% of the IPO Shares if the Corporation has not consummated an initial Business Combination within 12 months from the consummation of the IPO (or up to 18 months if such date is extended as described in the prospectus relating to the IPO) or (B) any other provision in this Article Fifth, the holders of IPO Shares shall be provided with the opportunity to redeem their IPO Shares upon the approval of any such amendment, at the per-share price specified in paragraph C.</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SIXTH: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Election of directors need not be by ballot unless the bylaws of the Corporation so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32" w:name="page233"/>
    <w:bookmarkEnd w:id="232"/>
    <w:p>
      <w:pPr>
        <w:jc w:val="both"/>
        <w:ind w:left="640"/>
        <w:spacing w:after="0" w:line="277" w:lineRule="auto"/>
        <w:rPr>
          <w:sz w:val="20"/>
          <w:szCs w:val="20"/>
          <w:color w:val="auto"/>
        </w:rPr>
      </w:pPr>
      <w:r>
        <w:rPr>
          <w:rFonts w:ascii="Arial" w:cs="Arial" w:eastAsia="Arial" w:hAnsi="Arial"/>
          <w:sz w:val="18"/>
          <w:szCs w:val="18"/>
          <w:color w:val="auto"/>
        </w:rPr>
        <w:t>B. The Board of Directors shall have the power, without the assent or vote of the stockholders, to make, alter, amend, change, add to or repeal the bylaws of the Corporation as provided in the bylaws of the Corporation.</w:t>
      </w:r>
    </w:p>
    <w:p>
      <w:pPr>
        <w:spacing w:after="0" w:line="170" w:lineRule="exact"/>
        <w:rPr>
          <w:sz w:val="20"/>
          <w:szCs w:val="20"/>
          <w:color w:val="auto"/>
        </w:rPr>
      </w:pPr>
    </w:p>
    <w:p>
      <w:pPr>
        <w:jc w:val="both"/>
        <w:ind w:left="640"/>
        <w:spacing w:after="0" w:line="254" w:lineRule="auto"/>
        <w:rPr>
          <w:sz w:val="20"/>
          <w:szCs w:val="20"/>
          <w:color w:val="auto"/>
        </w:rPr>
      </w:pPr>
      <w:r>
        <w:rPr>
          <w:rFonts w:ascii="Arial" w:cs="Arial" w:eastAsia="Arial" w:hAnsi="Arial"/>
          <w:sz w:val="18"/>
          <w:szCs w:val="18"/>
          <w:color w:val="auto"/>
        </w:rPr>
        <w:t>C. The directors in their discretion may submit any contract or act for approval or ratification at any annual meeting of the stockholders or at any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195" w:lineRule="exact"/>
        <w:rPr>
          <w:sz w:val="20"/>
          <w:szCs w:val="20"/>
          <w:color w:val="auto"/>
        </w:rPr>
      </w:pPr>
    </w:p>
    <w:p>
      <w:pPr>
        <w:jc w:val="both"/>
        <w:ind w:left="640"/>
        <w:spacing w:after="0" w:line="257" w:lineRule="auto"/>
        <w:rPr>
          <w:sz w:val="20"/>
          <w:szCs w:val="20"/>
          <w:color w:val="auto"/>
        </w:rPr>
      </w:pPr>
      <w:r>
        <w:rPr>
          <w:rFonts w:ascii="Arial" w:cs="Arial" w:eastAsia="Arial" w:hAnsi="Arial"/>
          <w:sz w:val="18"/>
          <w:szCs w:val="18"/>
          <w:color w:val="auto"/>
        </w:rPr>
        <w:t>D. 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Delaware, of this Amended and Restated Certificate of Incorporation, and to any bylaws from time to time made by the stockholders; provided, however, that no bylaw so made shall invalidate any prior act of the directors which would have been valid if such bylaw had not been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SEVENTH:</w:t>
      </w:r>
    </w:p>
    <w:p>
      <w:pPr>
        <w:spacing w:after="0" w:line="225" w:lineRule="exact"/>
        <w:rPr>
          <w:sz w:val="20"/>
          <w:szCs w:val="20"/>
          <w:color w:val="auto"/>
        </w:rPr>
      </w:pPr>
    </w:p>
    <w:p>
      <w:pPr>
        <w:jc w:val="both"/>
        <w:ind w:left="640"/>
        <w:spacing w:after="0" w:line="291" w:lineRule="auto"/>
        <w:rPr>
          <w:sz w:val="20"/>
          <w:szCs w:val="20"/>
          <w:color w:val="auto"/>
        </w:rPr>
      </w:pPr>
      <w:r>
        <w:rPr>
          <w:rFonts w:ascii="Arial" w:cs="Arial" w:eastAsia="Arial" w:hAnsi="Arial"/>
          <w:sz w:val="16"/>
          <w:szCs w:val="16"/>
          <w:color w:val="auto"/>
        </w:rPr>
        <w:t>A. A director of the Corporation shall not be personally liable to the Corporation or its stockholders for monetary damages for breach of fiduciary duty as a director, except for liability (i) for any breach of the director’s duty of loyalty to the Corporation or its stockholders,</w:t>
      </w:r>
    </w:p>
    <w:p>
      <w:pPr>
        <w:jc w:val="both"/>
        <w:ind w:left="640" w:firstLine="4"/>
        <w:spacing w:after="0" w:line="252" w:lineRule="auto"/>
        <w:tabs>
          <w:tab w:leader="none" w:pos="90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 (iii) under Section 174 of the GCL, or (iv) for any transaction from which the director derived an improper personal benefit. If the GCL is amended to authorize corporate action further eliminating or limiting the personal liability of directors, then the liability of a director of the Corporation shall be eliminated or limited to the fullest extent permitted by the GCL, as so amended. Any repeal or modification of this paragraph A by the stockholders of the Corporation shall not adversely affect any right or protection of a director of the Corporation with respect to events occurring prior to the time of such repeal or modification.</w:t>
      </w:r>
    </w:p>
    <w:p>
      <w:pPr>
        <w:spacing w:after="0" w:line="194"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B. The Corporation, to the full extent permitted by Section 145 of the 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92" w:lineRule="exact"/>
        <w:rPr>
          <w:sz w:val="20"/>
          <w:szCs w:val="20"/>
          <w:color w:val="auto"/>
        </w:rPr>
      </w:pPr>
    </w:p>
    <w:p>
      <w:pPr>
        <w:jc w:val="both"/>
        <w:ind w:left="640"/>
        <w:spacing w:after="0" w:line="279" w:lineRule="auto"/>
        <w:rPr>
          <w:sz w:val="20"/>
          <w:szCs w:val="20"/>
          <w:color w:val="auto"/>
        </w:rPr>
      </w:pPr>
      <w:r>
        <w:rPr>
          <w:rFonts w:ascii="Arial" w:cs="Arial" w:eastAsia="Arial" w:hAnsi="Arial"/>
          <w:sz w:val="17"/>
          <w:szCs w:val="17"/>
          <w:color w:val="auto"/>
        </w:rPr>
        <w:t>C. Notwithstanding the foregoing provisions of this Article Seventh, no indemnification nor advancement of expenses will extend to any claims made by the Corporation’s officers and directors to cover any loss that such individuals may sustain as a result of such individuals’ agreement to pay debts and obligations to target businesses or vendors or other entities that are owed money by the Corporation for services rendered or contracted for or products sold to the Corporation, as described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408940</wp:posOffset>
            </wp:positionV>
            <wp:extent cx="71323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color w:val="auto"/>
        </w:rPr>
        <w:t>EIGHTH:</w:t>
      </w:r>
    </w:p>
    <w:p>
      <w:pPr>
        <w:spacing w:after="0" w:line="225" w:lineRule="exact"/>
        <w:rPr>
          <w:sz w:val="20"/>
          <w:szCs w:val="20"/>
          <w:color w:val="auto"/>
        </w:rPr>
      </w:pPr>
    </w:p>
    <w:p>
      <w:pPr>
        <w:jc w:val="both"/>
        <w:ind w:left="640"/>
        <w:spacing w:after="0" w:line="271" w:lineRule="auto"/>
        <w:rPr>
          <w:sz w:val="20"/>
          <w:szCs w:val="20"/>
          <w:color w:val="auto"/>
        </w:rPr>
      </w:pPr>
      <w:r>
        <w:rPr>
          <w:rFonts w:ascii="Arial" w:cs="Arial" w:eastAsia="Arial" w:hAnsi="Arial"/>
          <w:sz w:val="17"/>
          <w:szCs w:val="17"/>
          <w:color w:val="auto"/>
        </w:rPr>
        <w:t>A. Subject to the exception provided in Paragraph B of this Article Eighth, to the fullest extent permitted by law, unless the Corporation consents in writing to the selection of an alternative forum, (a) any derivative action or proceeding brought in our name on behalf of the Corporation, (b) any action asserting a claim for breach of a fiduciary duty owed by any current or former director, officer, employee, agent or stockholder of the Corporation to the Corporation or the Corporation’s stockholders, (c) any action asserting a claim arising pursuant to any provision of the GCL, the Certificate of Incorporation, or the bylaws, or (d) any action asserting a claim governed by the internal affairs doctrine, shall be the Court of Chancery of the State of Delaware (or, if the Court of Chancery of the State of Delaware lacks jurisdiction over any such action or proceeding, then another court of the State of Delaware or, if no court of the State of Delaware has jurisdiction, then the United States District Court for the District of Delaware).</w:t>
      </w:r>
    </w:p>
    <w:p>
      <w:pPr>
        <w:spacing w:after="0" w:line="178" w:lineRule="exact"/>
        <w:rPr>
          <w:sz w:val="20"/>
          <w:szCs w:val="20"/>
          <w:color w:val="auto"/>
        </w:rPr>
      </w:pPr>
    </w:p>
    <w:p>
      <w:pPr>
        <w:jc w:val="both"/>
        <w:ind w:left="640"/>
        <w:spacing w:after="0" w:line="270" w:lineRule="auto"/>
        <w:rPr>
          <w:sz w:val="20"/>
          <w:szCs w:val="20"/>
          <w:color w:val="auto"/>
        </w:rPr>
      </w:pPr>
      <w:r>
        <w:rPr>
          <w:rFonts w:ascii="Arial" w:cs="Arial" w:eastAsia="Arial" w:hAnsi="Arial"/>
          <w:sz w:val="17"/>
          <w:szCs w:val="17"/>
          <w:color w:val="auto"/>
        </w:rPr>
        <w:t>B. The exclusive forum provision provided in Paragraph A of this Article Eighth will not apply to suits brought to enforce any duty or liability created by the Exchange Act, or any other claim for which the federal courts have exclusive jurisdiction. In addition,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or the rules and regulations promulgated thereunder.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the Securities Act, or any other claim for which the federal courts have exclusive jurisdiction.</w:t>
      </w:r>
    </w:p>
    <w:p>
      <w:pPr>
        <w:spacing w:after="0" w:line="181"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C. If any action the subject matter of which is within the scope of Paragraph A of this Article Eighth is filed in a court other than a court located within the State of Delaware (a “</w:t>
      </w:r>
      <w:r>
        <w:rPr>
          <w:rFonts w:ascii="Arial" w:cs="Arial" w:eastAsia="Arial" w:hAnsi="Arial"/>
          <w:sz w:val="18"/>
          <w:szCs w:val="18"/>
          <w:b w:val="1"/>
          <w:bCs w:val="1"/>
          <w:color w:val="auto"/>
        </w:rPr>
        <w:t>Foreign Action</w:t>
      </w:r>
      <w:r>
        <w:rPr>
          <w:rFonts w:ascii="Arial" w:cs="Arial" w:eastAsia="Arial" w:hAnsi="Arial"/>
          <w:sz w:val="18"/>
          <w:szCs w:val="18"/>
          <w:color w:val="auto"/>
        </w:rPr>
        <w:t>”) in the name of any stockholder, such stockholder shall be deemed to have consented to (a) the personal jurisdiction of the state and federal courts located within the State of Delaware in connection with any action brought in any such court to enforce Paragraph A of this Article Eighth (an “</w:t>
      </w:r>
      <w:r>
        <w:rPr>
          <w:rFonts w:ascii="Arial" w:cs="Arial" w:eastAsia="Arial" w:hAnsi="Arial"/>
          <w:sz w:val="18"/>
          <w:szCs w:val="18"/>
          <w:b w:val="1"/>
          <w:bCs w:val="1"/>
          <w:color w:val="auto"/>
        </w:rPr>
        <w:t>FSC Enforcement Action</w:t>
      </w:r>
      <w:r>
        <w:rPr>
          <w:rFonts w:ascii="Arial" w:cs="Arial" w:eastAsia="Arial" w:hAnsi="Arial"/>
          <w:sz w:val="18"/>
          <w:szCs w:val="18"/>
          <w:color w:val="auto"/>
        </w:rPr>
        <w:t>”) and (b) having service of process made upon such stockholder in any such FSC Enforcement Action by service upon such stockholder’s counsel in the Foreign Action as agent for such stockholder, except for any action (i)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(ii) which is vested in the exclusive jurisdiction of a court or forum other than the Court of Chancery or (iii) for which the Court of Chancery does not have subject matter jurisdiction.</w:t>
      </w:r>
    </w:p>
    <w:p>
      <w:pPr>
        <w:spacing w:after="0" w:line="194" w:lineRule="exact"/>
        <w:rPr>
          <w:sz w:val="20"/>
          <w:szCs w:val="20"/>
          <w:color w:val="auto"/>
        </w:rPr>
      </w:pPr>
    </w:p>
    <w:p>
      <w:pPr>
        <w:jc w:val="both"/>
        <w:ind w:left="640"/>
        <w:spacing w:after="0" w:line="272" w:lineRule="auto"/>
        <w:rPr>
          <w:sz w:val="20"/>
          <w:szCs w:val="20"/>
          <w:color w:val="auto"/>
        </w:rPr>
      </w:pPr>
      <w:r>
        <w:rPr>
          <w:rFonts w:ascii="Arial" w:cs="Arial" w:eastAsia="Arial" w:hAnsi="Arial"/>
          <w:sz w:val="17"/>
          <w:szCs w:val="17"/>
          <w:color w:val="auto"/>
        </w:rPr>
        <w:t>D. If any provision or provisions of this Article Eighth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Eighth (including, without limitation, each portion of any sentence of this Article Eighth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Article Eighth.</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NINTH: To the extent allowed by law, the doctrine of corporate opportunity, or any other analogous doctrine, shall not apply with respect to the Corporation or any of its officers or directors, or any of their respective affiliates, in circumstances where the application of any such doctrine would conflict with any fiduciary duties or contractual obligations they may have as of the date of this Certificate of Incorporation or in the future,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only with respect to a corporate opportunity that was offered to such person solely in his or her capacity as a director or officer of the Corporation and (i) such opportunity is one the Corporation is legally and contractually permitted to undertake and would otherwise be reasonable for the Corporation to pursue and (ii) the director or officer is permitted to refer that opportunity to the Corporation without violating any legal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415290</wp:posOffset>
            </wp:positionV>
            <wp:extent cx="71323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t>TENTH: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The Corporation hereby expressly elects not to be governed by Section 203 of the GCL.</w:t>
      </w:r>
    </w:p>
    <w:p>
      <w:pPr>
        <w:spacing w:after="0" w:line="225" w:lineRule="exact"/>
        <w:rPr>
          <w:sz w:val="20"/>
          <w:szCs w:val="20"/>
          <w:color w:val="auto"/>
        </w:rPr>
      </w:pPr>
    </w:p>
    <w:p>
      <w:pPr>
        <w:jc w:val="both"/>
        <w:ind w:left="640"/>
        <w:spacing w:after="0" w:line="311" w:lineRule="auto"/>
        <w:rPr>
          <w:sz w:val="20"/>
          <w:szCs w:val="20"/>
          <w:color w:val="auto"/>
        </w:rPr>
      </w:pPr>
      <w:r>
        <w:rPr>
          <w:rFonts w:ascii="Arial" w:cs="Arial" w:eastAsia="Arial" w:hAnsi="Arial"/>
          <w:sz w:val="16"/>
          <w:szCs w:val="16"/>
          <w:color w:val="auto"/>
        </w:rPr>
        <w:t>B. Notwithstanding the foregoing, the Corporation shall not engage in any business combination (as defined below), at any point in time at which the Corporation’s Common Stock is registered under Section 12(b) or 12(g) of the Exchange Act with any interested stockholder (as defined below) for a period of three (3) years following the time that such stockholder became an interested stockholder, unless:</w:t>
      </w:r>
    </w:p>
    <w:p>
      <w:pPr>
        <w:spacing w:after="0" w:line="149" w:lineRule="exact"/>
        <w:rPr>
          <w:sz w:val="20"/>
          <w:szCs w:val="20"/>
          <w:color w:val="auto"/>
        </w:rPr>
      </w:pPr>
    </w:p>
    <w:p>
      <w:pPr>
        <w:ind w:left="1940" w:right="20" w:hanging="324"/>
        <w:spacing w:after="0" w:line="277" w:lineRule="auto"/>
        <w:tabs>
          <w:tab w:leader="none" w:pos="194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jc w:val="both"/>
        <w:ind w:left="1940" w:hanging="324"/>
        <w:spacing w:after="0" w:line="284" w:lineRule="auto"/>
        <w:tabs>
          <w:tab w:leader="none" w:pos="1940" w:val="left"/>
        </w:tabs>
        <w:numPr>
          <w:ilvl w:val="2"/>
          <w:numId w:val="118"/>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eighty-five percent (85%) of the voting stock outstanding at the time the transaction commenced, excluding for purposes of determining the voting stock outstanding (but not the outstanding voting stock owned by the interested stockholder) those shares owned by (i) persons who are directors and also officers of the Corporation and (ii) employee stock plans in which employee participants do not have the right to determine confidentially whether shares held subject to the plan will be tendered in a tender or exchange offer, or</w:t>
      </w:r>
    </w:p>
    <w:p>
      <w:pPr>
        <w:spacing w:after="0" w:line="4" w:lineRule="exact"/>
        <w:rPr>
          <w:rFonts w:ascii="Arial" w:cs="Arial" w:eastAsia="Arial" w:hAnsi="Arial"/>
          <w:sz w:val="16"/>
          <w:szCs w:val="16"/>
          <w:color w:val="auto"/>
        </w:rPr>
      </w:pPr>
    </w:p>
    <w:p>
      <w:pPr>
        <w:jc w:val="both"/>
        <w:ind w:left="1940" w:hanging="324"/>
        <w:spacing w:after="0" w:line="255" w:lineRule="auto"/>
        <w:tabs>
          <w:tab w:leader="none" w:pos="194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the Board of Directors and authorized at an annual or special meeting of stockholders, and not by written consent, by the affirmative vote of at least 66-2/3% of the outstanding voting stock that is not owned by the interested stockholder.</w:t>
      </w:r>
    </w:p>
    <w:p>
      <w:pPr>
        <w:spacing w:after="0" w:line="189" w:lineRule="exact"/>
        <w:rPr>
          <w:rFonts w:ascii="Arial" w:cs="Arial" w:eastAsia="Arial" w:hAnsi="Arial"/>
          <w:sz w:val="18"/>
          <w:szCs w:val="18"/>
          <w:color w:val="auto"/>
        </w:rPr>
      </w:pPr>
    </w:p>
    <w:p>
      <w:pPr>
        <w:ind w:left="860" w:hanging="216"/>
        <w:spacing w:after="0"/>
        <w:tabs>
          <w:tab w:leader="none" w:pos="8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Solely for purposes of this Article Tenth, references to:</w:t>
      </w:r>
    </w:p>
    <w:p>
      <w:pPr>
        <w:spacing w:after="0" w:line="225" w:lineRule="exact"/>
        <w:rPr>
          <w:rFonts w:ascii="Arial" w:cs="Arial" w:eastAsia="Arial" w:hAnsi="Arial"/>
          <w:sz w:val="18"/>
          <w:szCs w:val="18"/>
          <w:color w:val="auto"/>
        </w:rPr>
      </w:pPr>
    </w:p>
    <w:p>
      <w:pPr>
        <w:ind w:left="1160" w:right="20" w:hanging="1016"/>
        <w:spacing w:after="0" w:line="277" w:lineRule="auto"/>
        <w:tabs>
          <w:tab w:leader="none" w:pos="11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70" w:lineRule="exact"/>
        <w:rPr>
          <w:rFonts w:ascii="Arial" w:cs="Arial" w:eastAsia="Arial" w:hAnsi="Arial"/>
          <w:sz w:val="18"/>
          <w:szCs w:val="18"/>
          <w:color w:val="auto"/>
        </w:rPr>
      </w:pPr>
    </w:p>
    <w:p>
      <w:pPr>
        <w:jc w:val="both"/>
        <w:ind w:left="1160" w:hanging="1016"/>
        <w:spacing w:after="0" w:line="275" w:lineRule="auto"/>
        <w:tabs>
          <w:tab w:leader="none" w:pos="11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associate</w:t>
      </w:r>
      <w:r>
        <w:rPr>
          <w:rFonts w:ascii="Arial" w:cs="Arial" w:eastAsia="Arial" w:hAnsi="Arial"/>
          <w:sz w:val="17"/>
          <w:szCs w:val="17"/>
          <w:color w:val="auto"/>
        </w:rPr>
        <w:t>,” when used to indicate a relationship with any person, means: (a) any corporation, partnership, unincorporated association or other entity of which such person is a director, officer or partner or is, directly or indirectly, the owner of twenty percent (20%) or more of any class of voting stock; (b) any trust or other estate in which such person has at least a twenty percent (20%) beneficial interest or as to which such person serves as trustee or in a similar fiduciary capacity; and (c) any relative or spouse of such person, or any relative of such spouse, who has the same residence as such person.</w:t>
      </w:r>
    </w:p>
    <w:p>
      <w:pPr>
        <w:spacing w:after="0" w:line="176" w:lineRule="exact"/>
        <w:rPr>
          <w:rFonts w:ascii="Arial" w:cs="Arial" w:eastAsia="Arial" w:hAnsi="Arial"/>
          <w:sz w:val="17"/>
          <w:szCs w:val="17"/>
          <w:color w:val="auto"/>
        </w:rPr>
      </w:pPr>
    </w:p>
    <w:p>
      <w:pPr>
        <w:ind w:left="1160" w:hanging="1016"/>
        <w:spacing w:after="0"/>
        <w:tabs>
          <w:tab w:leader="none" w:pos="11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when used in reference to the Corporation and any interested stockholder of the Corporation,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457835</wp:posOffset>
            </wp:positionV>
            <wp:extent cx="71323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35" w:name="page236"/>
    <w:bookmarkEnd w:id="235"/>
    <w:p>
      <w:pPr>
        <w:jc w:val="both"/>
        <w:ind w:left="1800" w:hanging="320"/>
        <w:spacing w:after="0" w:line="279" w:lineRule="auto"/>
        <w:tabs>
          <w:tab w:leader="none" w:pos="18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any merger or consolidation of the Corporation or any direct or indirect majority-owned subsidiary of the Corporation (i) with the interested stockholder, or (ii) with any other corporation, partnership, unincorporated association or other entity if the merger or consolidation is caused by the interested stockholder and as a result of such merger or consolidation Paragraph B of Article Tenth is not applicable to the surviving entity;</w:t>
      </w:r>
    </w:p>
    <w:p>
      <w:pPr>
        <w:spacing w:after="0" w:line="171" w:lineRule="exact"/>
        <w:rPr>
          <w:rFonts w:ascii="Arial" w:cs="Arial" w:eastAsia="Arial" w:hAnsi="Arial"/>
          <w:sz w:val="17"/>
          <w:szCs w:val="17"/>
          <w:color w:val="auto"/>
        </w:rPr>
      </w:pPr>
    </w:p>
    <w:p>
      <w:pPr>
        <w:jc w:val="both"/>
        <w:ind w:left="1800" w:hanging="320"/>
        <w:spacing w:after="0" w:line="273" w:lineRule="auto"/>
        <w:tabs>
          <w:tab w:leader="none" w:pos="18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stock of the Corporation;</w:t>
      </w:r>
    </w:p>
    <w:p>
      <w:pPr>
        <w:spacing w:after="0" w:line="177" w:lineRule="exact"/>
        <w:rPr>
          <w:rFonts w:ascii="Arial" w:cs="Arial" w:eastAsia="Arial" w:hAnsi="Arial"/>
          <w:sz w:val="17"/>
          <w:szCs w:val="17"/>
          <w:color w:val="auto"/>
        </w:rPr>
      </w:pPr>
    </w:p>
    <w:p>
      <w:pPr>
        <w:jc w:val="both"/>
        <w:ind w:left="1800" w:hanging="320"/>
        <w:spacing w:after="0" w:line="285" w:lineRule="auto"/>
        <w:tabs>
          <w:tab w:leader="none" w:pos="18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any transaction which results in the issuance or transfer by the Corporation or by any direct or indirect majority-owned subsidiary of the Corporation of any stock of the Corporation or of such subsidiary to the interested stockholder, except: (i) pursuant to the exercise, exchange or conversion of securities exercisable for, exchangeable for or convertible into stock of the Corporation or any such subsidiary which securities were outstanding prior to the time that the interested stockholder became such; (ii) pursuant to a merger under Section 251(g) of the GCL;</w:t>
      </w:r>
    </w:p>
    <w:p>
      <w:pPr>
        <w:spacing w:after="0" w:line="1" w:lineRule="exact"/>
        <w:rPr>
          <w:rFonts w:ascii="Arial" w:cs="Arial" w:eastAsia="Arial" w:hAnsi="Arial"/>
          <w:sz w:val="16"/>
          <w:szCs w:val="16"/>
          <w:color w:val="auto"/>
        </w:rPr>
      </w:pPr>
    </w:p>
    <w:p>
      <w:pPr>
        <w:jc w:val="both"/>
        <w:ind w:left="1800" w:firstLine="4"/>
        <w:spacing w:after="0" w:line="287" w:lineRule="auto"/>
        <w:tabs>
          <w:tab w:leader="none" w:pos="2143"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pursuant to a dividend or distribution paid or made, or the exercise, exchange or conversion of securities exercisable for, exchangeable for or convertible into stock of the Corporation or any such subsidiary which security is distributed, pro rata to all stockholders of a class or series of stock of the Corporation subsequent to the time the interested stockholder became such; (iv) pursuant to an exchange offer by the Corporation to purchase stock made on the same terms to all stockholders of said stock; or (v) any issuance or transfer of stock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under items (iii)-(v) of this subsection (c) shall there be an increase in the interested stockholder’s proportionate share of the stock of any class or series of the Corporation or of the voting stock of the Corporation (except as a result of immaterial changes due to fractional share adjustments); or</w:t>
      </w:r>
    </w:p>
    <w:p>
      <w:pPr>
        <w:spacing w:after="0" w:line="169" w:lineRule="exact"/>
        <w:rPr>
          <w:rFonts w:ascii="Arial" w:cs="Arial" w:eastAsia="Arial" w:hAnsi="Arial"/>
          <w:sz w:val="16"/>
          <w:szCs w:val="16"/>
          <w:color w:val="auto"/>
        </w:rPr>
      </w:pPr>
    </w:p>
    <w:p>
      <w:pPr>
        <w:jc w:val="both"/>
        <w:ind w:left="1800" w:hanging="320"/>
        <w:spacing w:after="0" w:line="255" w:lineRule="auto"/>
        <w:tabs>
          <w:tab w:leader="none" w:pos="18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422910</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36" w:name="page237"/>
    <w:bookmarkEnd w:id="236"/>
    <w:p>
      <w:pPr>
        <w:jc w:val="both"/>
        <w:ind w:left="644" w:hanging="644"/>
        <w:spacing w:after="0" w:line="272" w:lineRule="auto"/>
        <w:tabs>
          <w:tab w:leader="none" w:pos="644" w:val="left"/>
        </w:tabs>
        <w:numPr>
          <w:ilvl w:val="0"/>
          <w:numId w:val="122"/>
        </w:numPr>
        <w:rPr>
          <w:rFonts w:ascii="Arial" w:cs="Arial" w:eastAsia="Arial" w:hAnsi="Arial"/>
          <w:sz w:val="17"/>
          <w:szCs w:val="17"/>
          <w:color w:val="auto"/>
        </w:rPr>
      </w:pPr>
      <w:r>
        <w:rPr>
          <w:rFonts w:ascii="Arial" w:cs="Arial" w:eastAsia="Arial" w:hAnsi="Arial"/>
          <w:sz w:val="17"/>
          <w:szCs w:val="17"/>
          <w:b w:val="1"/>
          <w:bCs w:val="1"/>
          <w:i w:val="1"/>
          <w:iCs w:val="1"/>
          <w:color w:val="auto"/>
        </w:rPr>
        <w:t>“control</w:t>
      </w:r>
      <w:r>
        <w:rPr>
          <w:rFonts w:ascii="Arial" w:cs="Arial" w:eastAsia="Arial" w:hAnsi="Arial"/>
          <w:sz w:val="17"/>
          <w:szCs w:val="17"/>
          <w:color w:val="auto"/>
        </w:rPr>
        <w:t>,” including the terms “</w:t>
      </w:r>
      <w:r>
        <w:rPr>
          <w:rFonts w:ascii="Arial" w:cs="Arial" w:eastAsia="Arial" w:hAnsi="Arial"/>
          <w:sz w:val="17"/>
          <w:szCs w:val="17"/>
          <w:b w:val="1"/>
          <w:bCs w:val="1"/>
          <w:i w:val="1"/>
          <w:iCs w:val="1"/>
          <w:color w:val="auto"/>
        </w:rPr>
        <w:t>controlling</w:t>
      </w:r>
      <w:r>
        <w:rPr>
          <w:rFonts w:ascii="Arial" w:cs="Arial" w:eastAsia="Arial" w:hAnsi="Arial"/>
          <w:sz w:val="17"/>
          <w:szCs w:val="17"/>
          <w:color w:val="auto"/>
        </w:rPr>
        <w:t>,” “</w:t>
      </w:r>
      <w:r>
        <w:rPr>
          <w:rFonts w:ascii="Arial" w:cs="Arial" w:eastAsia="Arial" w:hAnsi="Arial"/>
          <w:sz w:val="17"/>
          <w:szCs w:val="17"/>
          <w:b w:val="1"/>
          <w:bCs w:val="1"/>
          <w:i w:val="1"/>
          <w:iCs w:val="1"/>
          <w:color w:val="auto"/>
        </w:rPr>
        <w:t>controlled by</w:t>
      </w:r>
      <w:r>
        <w:rPr>
          <w:rFonts w:ascii="Arial" w:cs="Arial" w:eastAsia="Arial" w:hAnsi="Arial"/>
          <w:sz w:val="17"/>
          <w:szCs w:val="17"/>
          <w:color w:val="auto"/>
        </w:rPr>
        <w:t>” and “</w:t>
      </w:r>
      <w:r>
        <w:rPr>
          <w:rFonts w:ascii="Arial" w:cs="Arial" w:eastAsia="Arial" w:hAnsi="Arial"/>
          <w:sz w:val="17"/>
          <w:szCs w:val="17"/>
          <w:b w:val="1"/>
          <w:bCs w:val="1"/>
          <w:i w:val="1"/>
          <w:iCs w:val="1"/>
          <w:color w:val="auto"/>
        </w:rPr>
        <w:t>under common control with</w:t>
      </w:r>
      <w:r>
        <w:rPr>
          <w:rFonts w:ascii="Arial" w:cs="Arial" w:eastAsia="Arial" w:hAnsi="Arial"/>
          <w:sz w:val="17"/>
          <w:szCs w:val="17"/>
          <w:color w:val="auto"/>
        </w:rPr>
        <w:t>,” means the possession, directly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indirectly, of the power to direct or cause the direction of the management and policies of a person, whether through the ownership of voting stock, by contract, or otherwise. A person who is the owner of twenty percent (20%) or more of the voting power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as an agent, bank, broker, nominee, custodian or trustee for one or more owners who do not individually or as a group have control of such entity.</w:t>
      </w:r>
    </w:p>
    <w:p>
      <w:pPr>
        <w:spacing w:after="0" w:line="177" w:lineRule="exact"/>
        <w:rPr>
          <w:rFonts w:ascii="Arial" w:cs="Arial" w:eastAsia="Arial" w:hAnsi="Arial"/>
          <w:sz w:val="17"/>
          <w:szCs w:val="17"/>
          <w:color w:val="auto"/>
        </w:rPr>
      </w:pPr>
    </w:p>
    <w:p>
      <w:pPr>
        <w:jc w:val="both"/>
        <w:ind w:left="644" w:hanging="644"/>
        <w:spacing w:after="0" w:line="263" w:lineRule="auto"/>
        <w:tabs>
          <w:tab w:leader="none" w:pos="64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Exempted Person</w:t>
      </w:r>
      <w:r>
        <w:rPr>
          <w:rFonts w:ascii="Arial" w:cs="Arial" w:eastAsia="Arial" w:hAnsi="Arial"/>
          <w:sz w:val="18"/>
          <w:szCs w:val="18"/>
          <w:color w:val="auto"/>
        </w:rPr>
        <w:t>” means Chardan NexTech Investments 2 LLC and its affiliates, any of their direct or indirect transferees of at least 15% of the Corporation’s outstanding Common Stock and any “group” of which any such person is a part under Rule 13d-5 of the Exchange Act.</w:t>
      </w:r>
    </w:p>
    <w:p>
      <w:pPr>
        <w:spacing w:after="0" w:line="183" w:lineRule="exact"/>
        <w:rPr>
          <w:rFonts w:ascii="Arial" w:cs="Arial" w:eastAsia="Arial" w:hAnsi="Arial"/>
          <w:sz w:val="18"/>
          <w:szCs w:val="18"/>
          <w:color w:val="auto"/>
        </w:rPr>
      </w:pPr>
    </w:p>
    <w:p>
      <w:pPr>
        <w:jc w:val="both"/>
        <w:ind w:left="644" w:hanging="644"/>
        <w:spacing w:after="0" w:line="287" w:lineRule="auto"/>
        <w:tabs>
          <w:tab w:leader="none" w:pos="64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interested stockholder</w:t>
      </w:r>
      <w:r>
        <w:rPr>
          <w:rFonts w:ascii="Arial" w:cs="Arial" w:eastAsia="Arial" w:hAnsi="Arial"/>
          <w:sz w:val="16"/>
          <w:szCs w:val="16"/>
          <w:color w:val="auto"/>
        </w:rPr>
        <w:t>” means any person (other than the Corporation or any direct or indirect majority-owned subsidiary of the Corporation) that (a) is the owner of fifteen percent (15%) or more of the voting stock of the Corporation, or (b) is an affiliate or associate of the Corporation and was the owner of fifteen percent (15%) or more of the voting stock of the Corporation at any time within the three</w:t>
      </w:r>
    </w:p>
    <w:p>
      <w:pPr>
        <w:spacing w:after="0" w:line="2" w:lineRule="exact"/>
        <w:rPr>
          <w:rFonts w:ascii="Arial" w:cs="Arial" w:eastAsia="Arial" w:hAnsi="Arial"/>
          <w:sz w:val="16"/>
          <w:szCs w:val="16"/>
          <w:color w:val="auto"/>
        </w:rPr>
      </w:pPr>
    </w:p>
    <w:p>
      <w:pPr>
        <w:jc w:val="both"/>
        <w:ind w:left="644"/>
        <w:spacing w:after="0" w:line="286" w:lineRule="auto"/>
        <w:rPr>
          <w:rFonts w:ascii="Arial" w:cs="Arial" w:eastAsia="Arial" w:hAnsi="Arial"/>
          <w:sz w:val="16"/>
          <w:szCs w:val="16"/>
          <w:color w:val="auto"/>
        </w:rPr>
      </w:pPr>
      <w:r>
        <w:rPr>
          <w:rFonts w:ascii="Arial" w:cs="Arial" w:eastAsia="Arial" w:hAnsi="Arial"/>
          <w:sz w:val="16"/>
          <w:szCs w:val="16"/>
          <w:color w:val="auto"/>
        </w:rPr>
        <w:t>(3) year period immediately prior to the date on which it is sought to be determined whether such person is an interested stockholder; and the affiliates and associates of such person; but “interested stockholder” shall not include (i) any Exempted Person, or (ii) any person whose ownership of shares in excess of the fifteen percent (15%) limitation set forth herein is the result of any action taken solely by the Corporation; provided that with respect to clause (ii)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72" w:lineRule="exact"/>
        <w:rPr>
          <w:rFonts w:ascii="Arial" w:cs="Arial" w:eastAsia="Arial" w:hAnsi="Arial"/>
          <w:sz w:val="16"/>
          <w:szCs w:val="16"/>
          <w:color w:val="auto"/>
        </w:rPr>
      </w:pPr>
    </w:p>
    <w:p>
      <w:pPr>
        <w:ind w:left="644" w:hanging="644"/>
        <w:spacing w:after="0" w:line="277" w:lineRule="auto"/>
        <w:tabs>
          <w:tab w:leader="none" w:pos="64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owner</w:t>
      </w:r>
      <w:r>
        <w:rPr>
          <w:rFonts w:ascii="Arial" w:cs="Arial" w:eastAsia="Arial" w:hAnsi="Arial"/>
          <w:sz w:val="18"/>
          <w:szCs w:val="18"/>
          <w:color w:val="auto"/>
        </w:rPr>
        <w:t>,” including the terms “</w:t>
      </w:r>
      <w:r>
        <w:rPr>
          <w:rFonts w:ascii="Arial" w:cs="Arial" w:eastAsia="Arial" w:hAnsi="Arial"/>
          <w:sz w:val="18"/>
          <w:szCs w:val="18"/>
          <w:b w:val="1"/>
          <w:bCs w:val="1"/>
          <w:i w:val="1"/>
          <w:iCs w:val="1"/>
          <w:color w:val="auto"/>
        </w:rPr>
        <w:t>own</w:t>
      </w:r>
      <w:r>
        <w:rPr>
          <w:rFonts w:ascii="Arial" w:cs="Arial" w:eastAsia="Arial" w:hAnsi="Arial"/>
          <w:sz w:val="18"/>
          <w:szCs w:val="18"/>
          <w:color w:val="auto"/>
        </w:rPr>
        <w:t>” and “</w:t>
      </w:r>
      <w:r>
        <w:rPr>
          <w:rFonts w:ascii="Arial" w:cs="Arial" w:eastAsia="Arial" w:hAnsi="Arial"/>
          <w:sz w:val="18"/>
          <w:szCs w:val="18"/>
          <w:b w:val="1"/>
          <w:bCs w:val="1"/>
          <w:i w:val="1"/>
          <w:iCs w:val="1"/>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170" w:lineRule="exact"/>
        <w:rPr>
          <w:sz w:val="20"/>
          <w:szCs w:val="20"/>
          <w:color w:val="auto"/>
        </w:rPr>
      </w:pPr>
    </w:p>
    <w:p>
      <w:pPr>
        <w:ind w:left="644" w:hanging="644"/>
        <w:spacing w:after="0"/>
        <w:tabs>
          <w:tab w:leader="none" w:pos="64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225" w:lineRule="exact"/>
        <w:rPr>
          <w:rFonts w:ascii="Arial" w:cs="Arial" w:eastAsia="Arial" w:hAnsi="Arial"/>
          <w:sz w:val="18"/>
          <w:szCs w:val="18"/>
          <w:color w:val="auto"/>
        </w:rPr>
      </w:pPr>
    </w:p>
    <w:p>
      <w:pPr>
        <w:jc w:val="both"/>
        <w:ind w:left="644" w:hanging="644"/>
        <w:spacing w:after="0" w:line="291" w:lineRule="auto"/>
        <w:tabs>
          <w:tab w:leader="none" w:pos="64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has (i)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person shall not be deemed the owner of stock tendered pursuant to a tender or exchange offer made by such person or any of such person’s affiliates or associates until such tendered stock is accepted for purchase or exchange; or (ii) the right to vote such stock pursuant to any agreement, arrangement or understanding;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166" w:lineRule="exact"/>
        <w:rPr>
          <w:rFonts w:ascii="Arial" w:cs="Arial" w:eastAsia="Arial" w:hAnsi="Arial"/>
          <w:sz w:val="16"/>
          <w:szCs w:val="16"/>
          <w:color w:val="auto"/>
        </w:rPr>
      </w:pPr>
    </w:p>
    <w:p>
      <w:pPr>
        <w:jc w:val="both"/>
        <w:ind w:left="644" w:hanging="644"/>
        <w:spacing w:after="0" w:line="263" w:lineRule="auto"/>
        <w:tabs>
          <w:tab w:leader="none" w:pos="64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(ii) of subsection (b) above), or disposing of such stock with any other person that beneficially owns, or whose affiliates or associates beneficially own, directly or indirectly, such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417195</wp:posOffset>
            </wp:positionV>
            <wp:extent cx="71323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37" w:name="page238"/>
    <w:bookmarkEnd w:id="237"/>
    <w:p>
      <w:pPr>
        <w:ind w:left="1300" w:hanging="644"/>
        <w:spacing w:after="0"/>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partnership, unincorporated association or other entity.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means, with respect to any corporation, capital stock and, with respect to any other entity, any equity interest.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stock</w:t>
      </w:r>
      <w:r>
        <w:rPr>
          <w:rFonts w:ascii="Arial" w:cs="Arial" w:eastAsia="Arial" w:hAnsi="Arial"/>
          <w:sz w:val="18"/>
          <w:szCs w:val="18"/>
          <w:color w:val="auto"/>
        </w:rPr>
        <w:t>” means stock of any class or series entitled to vote generally in the election of directors.</w:t>
      </w:r>
    </w:p>
    <w:p>
      <w:pPr>
        <w:spacing w:after="0" w:line="225"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ELEVENTH: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the Corporation has caused this Amended and Restated Certificate of Incorporation to be signed by Jonas Grossman, its President and Chief Executive Officer, as of the [●] day of [●],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Jonas Grossman,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This Warrant Agreement (“</w:t>
      </w:r>
      <w:r>
        <w:rPr>
          <w:rFonts w:ascii="Arial" w:cs="Arial" w:eastAsia="Arial" w:hAnsi="Arial"/>
          <w:sz w:val="18"/>
          <w:szCs w:val="18"/>
          <w:b w:val="1"/>
          <w:bCs w:val="1"/>
          <w:color w:val="auto"/>
        </w:rPr>
        <w:t>Warrant Agreement</w:t>
      </w:r>
      <w:r>
        <w:rPr>
          <w:rFonts w:ascii="Arial" w:cs="Arial" w:eastAsia="Arial" w:hAnsi="Arial"/>
          <w:sz w:val="18"/>
          <w:szCs w:val="18"/>
          <w:color w:val="auto"/>
        </w:rPr>
        <w:t>”) is made as of [●], 2021, by and between Chardan NexTech Acquisition 2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color w:val="auto"/>
        </w:rPr>
        <w:t>Warrant Agent</w:t>
      </w:r>
      <w:r>
        <w:rPr>
          <w:rFonts w:ascii="Arial" w:cs="Arial" w:eastAsia="Arial" w:hAnsi="Arial"/>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WHEREAS, the Company is engaged in a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of 10,000,000 units (the “</w:t>
      </w:r>
      <w:r>
        <w:rPr>
          <w:rFonts w:ascii="Arial" w:cs="Arial" w:eastAsia="Arial" w:hAnsi="Arial"/>
          <w:sz w:val="18"/>
          <w:szCs w:val="18"/>
          <w:b w:val="1"/>
          <w:bCs w:val="1"/>
          <w:color w:val="auto"/>
        </w:rPr>
        <w:t>Units</w:t>
      </w:r>
      <w:r>
        <w:rPr>
          <w:rFonts w:ascii="Arial" w:cs="Arial" w:eastAsia="Arial" w:hAnsi="Arial"/>
          <w:sz w:val="18"/>
          <w:szCs w:val="18"/>
          <w:color w:val="auto"/>
        </w:rPr>
        <w:t>”) of the Company (and up to 1,500,000 additional Units if the underwriters’ over-allotment option is exercised in full), each Unit consisting of one share of common stock, par value $0.0001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and one-half of one warrant (each whole warrant a “</w:t>
      </w:r>
      <w:r>
        <w:rPr>
          <w:rFonts w:ascii="Arial" w:cs="Arial" w:eastAsia="Arial" w:hAnsi="Arial"/>
          <w:sz w:val="18"/>
          <w:szCs w:val="18"/>
          <w:b w:val="1"/>
          <w:bCs w:val="1"/>
          <w:color w:val="auto"/>
        </w:rPr>
        <w:t>Public Warrant</w:t>
      </w:r>
      <w:r>
        <w:rPr>
          <w:rFonts w:ascii="Arial" w:cs="Arial" w:eastAsia="Arial" w:hAnsi="Arial"/>
          <w:sz w:val="18"/>
          <w:szCs w:val="18"/>
          <w:color w:val="auto"/>
        </w:rPr>
        <w:t>”), each Public Warrant entitling its holder to purchase one share of Common Stock (the “</w:t>
      </w:r>
      <w:r>
        <w:rPr>
          <w:rFonts w:ascii="Arial" w:cs="Arial" w:eastAsia="Arial" w:hAnsi="Arial"/>
          <w:sz w:val="18"/>
          <w:szCs w:val="18"/>
          <w:b w:val="1"/>
          <w:bCs w:val="1"/>
          <w:color w:val="auto"/>
        </w:rPr>
        <w:t>Public Warrant Shares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WHEREAS, the Company has received a binding commitment from Chardan NexTech 2 Warrant Holdings LLC, to purchase 4,200,000 private placement warrants (or up to 4,442,183 private warrants depending on the extent to which the underwriters’ over-allotment option is exercised) pursuant the Subscription Agreement, dated as of [●], 2021, and in connection therewith, will issue and deliver up to 4,200,000 private placement warrants (or up to 4,442,183 private warrants depending on the extent to which the underwriters’ over-allotment option is exercised) (the “</w:t>
      </w:r>
      <w:r>
        <w:rPr>
          <w:rFonts w:ascii="Arial" w:cs="Arial" w:eastAsia="Arial" w:hAnsi="Arial"/>
          <w:sz w:val="16"/>
          <w:szCs w:val="16"/>
          <w:b w:val="1"/>
          <w:bCs w:val="1"/>
          <w:color w:val="auto"/>
        </w:rPr>
        <w:t>Private Warrants</w:t>
      </w:r>
      <w:r>
        <w:rPr>
          <w:rFonts w:ascii="Arial" w:cs="Arial" w:eastAsia="Arial" w:hAnsi="Arial"/>
          <w:sz w:val="16"/>
          <w:szCs w:val="16"/>
          <w:color w:val="auto"/>
        </w:rPr>
        <w:t>”), each whole Private Warrant entitling its holder to purchase one share of Common Stock (together with the Public Warrant Shares, the “</w:t>
      </w:r>
      <w:r>
        <w:rPr>
          <w:rFonts w:ascii="Arial" w:cs="Arial" w:eastAsia="Arial" w:hAnsi="Arial"/>
          <w:sz w:val="16"/>
          <w:szCs w:val="16"/>
          <w:b w:val="1"/>
          <w:bCs w:val="1"/>
          <w:color w:val="auto"/>
        </w:rPr>
        <w:t>Warrant Shares</w:t>
      </w:r>
      <w:r>
        <w:rPr>
          <w:rFonts w:ascii="Arial" w:cs="Arial" w:eastAsia="Arial" w:hAnsi="Arial"/>
          <w:sz w:val="16"/>
          <w:szCs w:val="16"/>
          <w:color w:val="auto"/>
        </w:rPr>
        <w:t>”);</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WHEREAS, the Company may issue additional warrants to purchase shares of Common Stock hereunder from time to time (the “</w:t>
      </w:r>
      <w:r>
        <w:rPr>
          <w:rFonts w:ascii="Arial" w:cs="Arial" w:eastAsia="Arial" w:hAnsi="Arial"/>
          <w:sz w:val="18"/>
          <w:szCs w:val="18"/>
          <w:b w:val="1"/>
          <w:bCs w:val="1"/>
          <w:color w:val="auto"/>
        </w:rPr>
        <w:t>Additional</w:t>
      </w:r>
      <w:r>
        <w:rPr>
          <w:rFonts w:ascii="Arial" w:cs="Arial" w:eastAsia="Arial" w:hAnsi="Arial"/>
          <w:sz w:val="18"/>
          <w:szCs w:val="18"/>
          <w:color w:val="auto"/>
        </w:rPr>
        <w:t xml:space="preserve"> Warrants”, and together with the Public Warrants and Private Warrants, the “Warrants”), which shall have the same terms and be in the same form as the Private Warrants;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WHEREAS, the Company has filed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 Registration Statement on Form S-1, No. 333-254010, as amended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of, among other securities, the Public Warrants;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WHEREAS, the Company desires to provide for the form, terms and provisions of the Warrants, including the terms upon which they shall be issued and exercised, and the respective rights, limitation of rights and immunities of the Company, the Warrant Agent and the holders of the Warrants; and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legally valid and binding obligations of the Company, and to authorize the execution and delivery of this Warrant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firstLine="8"/>
        <w:spacing w:after="0" w:line="342" w:lineRule="auto"/>
        <w:tabs>
          <w:tab w:leader="none" w:pos="193"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Appointment of Warrant Agent</w:t>
      </w:r>
      <w:r>
        <w:rPr>
          <w:rFonts w:ascii="Arial" w:cs="Arial" w:eastAsia="Arial" w:hAnsi="Arial"/>
          <w:sz w:val="16"/>
          <w:szCs w:val="16"/>
          <w:color w:val="auto"/>
        </w:rPr>
        <w:t>. The Company hereby appoints the Warrant Agent to act as agent for the Company for the Warrants, and the Warrant Agent hereby accepts such appointment and agrees to perform the same in accordance with the terms and conditions set forth in this Warrant Agreement.</w:t>
      </w:r>
    </w:p>
    <w:p>
      <w:pPr>
        <w:spacing w:after="0" w:line="123" w:lineRule="exact"/>
        <w:rPr>
          <w:rFonts w:ascii="Arial" w:cs="Arial" w:eastAsia="Arial" w:hAnsi="Arial"/>
          <w:sz w:val="16"/>
          <w:szCs w:val="16"/>
          <w:color w:val="auto"/>
        </w:rPr>
      </w:pPr>
    </w:p>
    <w:p>
      <w:pPr>
        <w:ind w:left="180" w:hanging="172"/>
        <w:spacing w:after="0"/>
        <w:tabs>
          <w:tab w:leader="none" w:pos="18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Each Public Warrant shall be: (a) issued in registered form only, (b) in substantially the form of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the provisions of which are incorporated herein and (c) signed by, or bear the facsimile signature of, the Chairman of the Board, the Chief Executive Officer or the Chief Financial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9" w:name="page240"/>
    <w:bookmarkEnd w:id="239"/>
    <w:p>
      <w:pPr>
        <w:jc w:val="both"/>
        <w:ind w:right="2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Unless and until countersigned by the Warrant Agent pursuant to this Warrant Agreement, a Warrant shall be invalid and of no effect and may not be exercised by the holder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1" w:lineRule="exact"/>
        <w:rPr>
          <w:sz w:val="20"/>
          <w:szCs w:val="20"/>
          <w:color w:val="auto"/>
        </w:rPr>
      </w:pPr>
    </w:p>
    <w:p>
      <w:pPr>
        <w:jc w:val="both"/>
        <w:ind w:firstLine="1296"/>
        <w:spacing w:after="0" w:line="31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Warrant Register</w:t>
      </w:r>
      <w:r>
        <w:rPr>
          <w:rFonts w:ascii="Arial" w:cs="Arial" w:eastAsia="Arial" w:hAnsi="Arial"/>
          <w:sz w:val="16"/>
          <w:szCs w:val="16"/>
          <w:color w:val="auto"/>
        </w:rPr>
        <w:t>. The Warrant Agent shall maintain books (the “</w:t>
      </w:r>
      <w:r>
        <w:rPr>
          <w:rFonts w:ascii="Arial" w:cs="Arial" w:eastAsia="Arial" w:hAnsi="Arial"/>
          <w:sz w:val="16"/>
          <w:szCs w:val="16"/>
          <w:b w:val="1"/>
          <w:bCs w:val="1"/>
          <w:color w:val="auto"/>
        </w:rPr>
        <w:t>Warrant Register</w:t>
      </w:r>
      <w:r>
        <w:rPr>
          <w:rFonts w:ascii="Arial" w:cs="Arial" w:eastAsia="Arial" w:hAnsi="Arial"/>
          <w:sz w:val="16"/>
          <w:szCs w:val="16"/>
          <w:color w:val="auto"/>
        </w:rPr>
        <w:t>”),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4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shall be registered upon the Warrant Register (“</w:t>
      </w:r>
      <w:r>
        <w:rPr>
          <w:rFonts w:ascii="Arial" w:cs="Arial" w:eastAsia="Arial" w:hAnsi="Arial"/>
          <w:sz w:val="18"/>
          <w:szCs w:val="18"/>
          <w:b w:val="1"/>
          <w:bCs w:val="1"/>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Detachability of Warrants</w:t>
      </w:r>
      <w:r>
        <w:rPr>
          <w:rFonts w:ascii="Arial" w:cs="Arial" w:eastAsia="Arial" w:hAnsi="Arial"/>
          <w:sz w:val="16"/>
          <w:szCs w:val="16"/>
          <w:color w:val="auto"/>
        </w:rPr>
        <w:t>. Each of the Common Stock and the Public Warrants comprising the Units will begin to trade separately on (i) the 90th day after the effectiveness of the Registration Statement, or (ii) such earlier date as Chardan Capital Markets, LLC, as representative of the underwriters (the “</w:t>
      </w:r>
      <w:r>
        <w:rPr>
          <w:rFonts w:ascii="Arial" w:cs="Arial" w:eastAsia="Arial" w:hAnsi="Arial"/>
          <w:sz w:val="16"/>
          <w:szCs w:val="16"/>
          <w:b w:val="1"/>
          <w:bCs w:val="1"/>
          <w:color w:val="auto"/>
        </w:rPr>
        <w:t>Representative</w:t>
      </w:r>
      <w:r>
        <w:rPr>
          <w:rFonts w:ascii="Arial" w:cs="Arial" w:eastAsia="Arial" w:hAnsi="Arial"/>
          <w:sz w:val="16"/>
          <w:szCs w:val="16"/>
          <w:color w:val="auto"/>
        </w:rPr>
        <w:t>”), shall determine is acceptable (such date, the “</w:t>
      </w:r>
      <w:r>
        <w:rPr>
          <w:rFonts w:ascii="Arial" w:cs="Arial" w:eastAsia="Arial" w:hAnsi="Arial"/>
          <w:sz w:val="16"/>
          <w:szCs w:val="16"/>
          <w:b w:val="1"/>
          <w:bCs w:val="1"/>
          <w:color w:val="auto"/>
        </w:rPr>
        <w:t>Detachment Date</w:t>
      </w:r>
      <w:r>
        <w:rPr>
          <w:rFonts w:ascii="Arial" w:cs="Arial" w:eastAsia="Arial" w:hAnsi="Arial"/>
          <w:sz w:val="16"/>
          <w:szCs w:val="16"/>
          <w:color w:val="auto"/>
        </w:rPr>
        <w:t>”). In no event will separate trading of the securities comprising the Units commence until the Company (i) files a Current Report on Form 8-K with the SEC including audited balance sheet reflecting the Company’s receipt of the gross proceeds of the Public Offering and (ii) issues a press release announcing when such separate trading will begin.</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Private Warrants</w:t>
      </w:r>
      <w:r>
        <w:rPr>
          <w:rFonts w:ascii="Arial" w:cs="Arial" w:eastAsia="Arial" w:hAnsi="Arial"/>
          <w:sz w:val="16"/>
          <w:szCs w:val="16"/>
          <w:color w:val="auto"/>
        </w:rPr>
        <w:t xml:space="preserve">. The Private Warrants will be issued substantially in the form of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hereto, and they (i) will be exercisable either for cash or on a cashless basis at the holder’s option pursuant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hereof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w:t>
      </w:r>
    </w:p>
    <w:p>
      <w:pPr>
        <w:spacing w:after="0" w:line="2" w:lineRule="exact"/>
        <w:rPr>
          <w:sz w:val="20"/>
          <w:szCs w:val="20"/>
          <w:color w:val="auto"/>
        </w:rPr>
      </w:pPr>
    </w:p>
    <w:p>
      <w:pPr>
        <w:ind w:right="20" w:firstLine="8"/>
        <w:spacing w:after="0" w:line="290" w:lineRule="auto"/>
        <w:tabs>
          <w:tab w:leader="none" w:pos="439" w:val="left"/>
        </w:tabs>
        <w:numPr>
          <w:ilvl w:val="0"/>
          <w:numId w:val="126"/>
        </w:numPr>
        <w:rPr>
          <w:rFonts w:ascii="Arial" w:cs="Arial" w:eastAsia="Arial" w:hAnsi="Arial"/>
          <w:sz w:val="17"/>
          <w:szCs w:val="17"/>
          <w:color w:val="auto"/>
        </w:rPr>
      </w:pPr>
      <w:r>
        <w:rPr>
          <w:rFonts w:ascii="Arial" w:cs="Arial" w:eastAsia="Arial" w:hAnsi="Arial"/>
          <w:sz w:val="17"/>
          <w:szCs w:val="17"/>
          <w:color w:val="auto"/>
        </w:rPr>
        <w:t>days following the effective date of the Registration Statement to anyone other than any member participating in the Public Offering and the officers or partners thereof, if all securities so transferred remain subject to the lock-up restriction set forth above for the remainder of the time period.</w:t>
      </w:r>
    </w:p>
    <w:p>
      <w:pPr>
        <w:spacing w:after="0" w:line="161" w:lineRule="exact"/>
        <w:rPr>
          <w:sz w:val="20"/>
          <w:szCs w:val="20"/>
          <w:color w:val="auto"/>
        </w:rPr>
      </w:pPr>
    </w:p>
    <w:p>
      <w:pPr>
        <w:ind w:left="180" w:hanging="172"/>
        <w:spacing w:after="0"/>
        <w:tabs>
          <w:tab w:leader="none" w:pos="18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Warrant Price</w:t>
      </w:r>
      <w:r>
        <w:rPr>
          <w:rFonts w:ascii="Arial" w:cs="Arial" w:eastAsia="Arial" w:hAnsi="Arial"/>
          <w:sz w:val="17"/>
          <w:szCs w:val="17"/>
          <w:color w:val="auto"/>
        </w:rPr>
        <w:t xml:space="preserve">. Each Warrant shall, when countersigned by the Warrant Agent, entitle the Registered Holder thereof, subject to the provisions of such Warrant and of this Warrant Agreement, to purchase from the Company the number of shares of Common Stock stated therein, at $11.50 per whole share, subject to the adjustments provided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The term “</w:t>
      </w:r>
      <w:r>
        <w:rPr>
          <w:rFonts w:ascii="Arial" w:cs="Arial" w:eastAsia="Arial" w:hAnsi="Arial"/>
          <w:sz w:val="17"/>
          <w:szCs w:val="17"/>
          <w:b w:val="1"/>
          <w:bCs w:val="1"/>
          <w:color w:val="auto"/>
        </w:rPr>
        <w:t>Warrant Price</w:t>
      </w:r>
      <w:r>
        <w:rPr>
          <w:rFonts w:ascii="Arial" w:cs="Arial" w:eastAsia="Arial" w:hAnsi="Arial"/>
          <w:sz w:val="17"/>
          <w:szCs w:val="17"/>
          <w:color w:val="auto"/>
        </w:rPr>
        <w:t>” as used in this Warrant Agreement refers to the price per whole share at which shares of Common Stock may be purchased at the time such Warrant is exercised. The Public Warrants may only be exercised for a whole number of Warrant Shares by a Registered Holder. No fractional shares will be issued.</w:t>
      </w:r>
    </w:p>
    <w:p>
      <w:pPr>
        <w:spacing w:after="0" w:line="1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Duration of Warrants</w:t>
      </w:r>
      <w:r>
        <w:rPr>
          <w:rFonts w:ascii="Arial" w:cs="Arial" w:eastAsia="Arial" w:hAnsi="Arial"/>
          <w:sz w:val="17"/>
          <w:szCs w:val="17"/>
          <w:color w:val="auto"/>
        </w:rPr>
        <w:t>. A Warrant may be exercised only during the period (“</w:t>
      </w:r>
      <w:r>
        <w:rPr>
          <w:rFonts w:ascii="Arial" w:cs="Arial" w:eastAsia="Arial" w:hAnsi="Arial"/>
          <w:sz w:val="17"/>
          <w:szCs w:val="17"/>
          <w:b w:val="1"/>
          <w:bCs w:val="1"/>
          <w:color w:val="auto"/>
        </w:rPr>
        <w:t>Exercise Period</w:t>
      </w:r>
      <w:r>
        <w:rPr>
          <w:rFonts w:ascii="Arial" w:cs="Arial" w:eastAsia="Arial" w:hAnsi="Arial"/>
          <w:sz w:val="17"/>
          <w:szCs w:val="17"/>
          <w:color w:val="auto"/>
        </w:rPr>
        <w:t xml:space="preserve">”)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Warrant Agreement (“</w:t>
      </w:r>
      <w:r>
        <w:rPr>
          <w:rFonts w:ascii="Arial" w:cs="Arial" w:eastAsia="Arial" w:hAnsi="Arial"/>
          <w:sz w:val="17"/>
          <w:szCs w:val="17"/>
          <w:b w:val="1"/>
          <w:bCs w:val="1"/>
          <w:color w:val="auto"/>
        </w:rPr>
        <w:t>Expiration Date</w:t>
      </w:r>
      <w:r>
        <w:rPr>
          <w:rFonts w:ascii="Arial" w:cs="Arial" w:eastAsia="Arial" w:hAnsi="Arial"/>
          <w:sz w:val="17"/>
          <w:szCs w:val="17"/>
          <w:color w:val="auto"/>
        </w:rPr>
        <w:t xml:space="preserve">”). Except with respect to the right to receive the Redemption Price (as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hereunder), each Warrant not exercised on or before the Expiration Date shall become void, and all rights thereunder and all rights in respect thereof under this Warrant Agreement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20 days to Registered Holders of such extension and that such extension shall be identical in duration among all of the then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0" w:name="page241"/>
    <w:bookmarkEnd w:id="240"/>
    <w:p>
      <w:pPr>
        <w:ind w:left="6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Cash Exercise</w:t>
      </w:r>
      <w:r>
        <w:rPr>
          <w:rFonts w:ascii="Arial" w:cs="Arial" w:eastAsia="Arial" w:hAnsi="Arial"/>
          <w:sz w:val="18"/>
          <w:szCs w:val="18"/>
          <w:color w:val="auto"/>
        </w:rPr>
        <w:t>. Subject to the provisions of the Warrant and this Warrant Agreement, a Warrant, when countersigned by the Company, may be exercised by the Registered Holder thereof by surrendering it at the office of the Warrant Agent, or at the office of its successor as Warrant Agent, currently being:</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Continental Stock Transfer &amp; Trust Company</w:t>
      </w:r>
    </w:p>
    <w:p>
      <w:pPr>
        <w:ind w:left="196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Compliance Department</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the subscription form, as set forth in the Warrant, duly executed, and by paying in full, in lawful money of the United States, by certified or bank cashier’s check payable to the order of the Warrant Agent or by wire transfer to the Warrant Agent’s bank account, the Warrant Price for each whole Warrant Share as to which the Warrant is exercised and any and all applicable taxes due in connection with the exercise of the Warrant, the exchange of the Warrant for the Warrant Shares, and the issuance of the Warrant Shares (such exercise, a “</w:t>
      </w:r>
      <w:r>
        <w:rPr>
          <w:rFonts w:ascii="Arial" w:cs="Arial" w:eastAsia="Arial" w:hAnsi="Arial"/>
          <w:sz w:val="17"/>
          <w:szCs w:val="17"/>
          <w:b w:val="1"/>
          <w:bCs w:val="1"/>
          <w:color w:val="auto"/>
        </w:rPr>
        <w:t>Cash Exercise</w:t>
      </w:r>
      <w:r>
        <w:rPr>
          <w:rFonts w:ascii="Arial" w:cs="Arial" w:eastAsia="Arial" w:hAnsi="Arial"/>
          <w:sz w:val="17"/>
          <w:szCs w:val="17"/>
          <w:color w:val="auto"/>
        </w:rPr>
        <w:t xml:space="preserve">”). A Cash Exercise in accordance with this </w:t>
      </w:r>
      <w:r>
        <w:rPr>
          <w:rFonts w:ascii="Arial" w:cs="Arial" w:eastAsia="Arial" w:hAnsi="Arial"/>
          <w:sz w:val="17"/>
          <w:szCs w:val="17"/>
          <w:u w:val="single" w:color="auto"/>
          <w:color w:val="auto"/>
        </w:rPr>
        <w:t>Section 3.3.1</w:t>
      </w:r>
      <w:r>
        <w:rPr>
          <w:rFonts w:ascii="Arial" w:cs="Arial" w:eastAsia="Arial" w:hAnsi="Arial"/>
          <w:sz w:val="17"/>
          <w:szCs w:val="17"/>
          <w:color w:val="auto"/>
        </w:rPr>
        <w:t xml:space="preserve"> is available to the Registered Holder only during such times that there is an effective registration statement registering the Warrant Shares, with the prospectus contained therein being available for the resale of the Warrant Shares.</w:t>
      </w:r>
    </w:p>
    <w:p>
      <w:pPr>
        <w:spacing w:after="0" w:line="178"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2.4</w:t>
      </w:r>
      <w:r>
        <w:rPr>
          <w:rFonts w:ascii="Arial" w:cs="Arial" w:eastAsia="Arial" w:hAnsi="Arial"/>
          <w:sz w:val="16"/>
          <w:szCs w:val="16"/>
          <w:color w:val="auto"/>
        </w:rPr>
        <w:t>, notwithstanding anything contained herein to the contrary, if there is no effective registration statement registering the Warrant Shares on any day the Registered Holder desires to exercise the Warrants and more than 120 days have passed since the Company complete its initial business combination, the Registered Holder may exercise the Warrants in whole or in part in lieu of making a cash payment for whole numbers of Warrant Shares, by providing notice to the Chief Financial Officer of the Company in a subscription form of its election to utilize cashless exercise, in which event the Company shall issue to the Registered Holder the number of Warrant Shares determined as follows:</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Y [(A-B)/A]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the number of Warrant Shares to be issued to the Registered Holder.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Y = the number of Warrant Shares with respect to which this Warrant is being exercised.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fair market value of one share of Common Stock.</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 = the Warrant Price.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Registered Holder may not exercise any Warrants in the absence of a registration statement except pursuant to this </w:t>
      </w:r>
      <w:r>
        <w:rPr>
          <w:rFonts w:ascii="Arial" w:cs="Arial" w:eastAsia="Arial" w:hAnsi="Arial"/>
          <w:sz w:val="16"/>
          <w:szCs w:val="16"/>
          <w:u w:val="single" w:color="auto"/>
          <w:color w:val="auto"/>
        </w:rPr>
        <w:t>Section 3.3.2</w:t>
      </w:r>
      <w:r>
        <w:rPr>
          <w:rFonts w:ascii="Arial" w:cs="Arial" w:eastAsia="Arial" w:hAnsi="Arial"/>
          <w:sz w:val="16"/>
          <w:szCs w:val="16"/>
          <w:color w:val="auto"/>
        </w:rPr>
        <w:t>. For purposes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w:t>
      </w:r>
      <w:r>
        <w:rPr>
          <w:rFonts w:ascii="Arial" w:cs="Arial" w:eastAsia="Arial" w:hAnsi="Arial"/>
          <w:sz w:val="18"/>
          <w:szCs w:val="18"/>
          <w:color w:val="auto"/>
        </w:rPr>
        <w:t>, the fair market value of one share of Common Stock is defined as follows:</w:t>
      </w:r>
    </w:p>
    <w:p>
      <w:pPr>
        <w:spacing w:after="0" w:line="207" w:lineRule="exact"/>
        <w:rPr>
          <w:sz w:val="20"/>
          <w:szCs w:val="20"/>
          <w:color w:val="auto"/>
        </w:rPr>
      </w:pPr>
    </w:p>
    <w:p>
      <w:pPr>
        <w:jc w:val="both"/>
        <w:ind w:left="1960" w:hanging="8"/>
        <w:spacing w:after="0" w:line="261" w:lineRule="auto"/>
        <w:tabs>
          <w:tab w:leader="none" w:pos="218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the Company’s shares of Common Stock are listed and traded on the NASDAQ Capital Market (the “</w:t>
      </w:r>
      <w:r>
        <w:rPr>
          <w:rFonts w:ascii="Arial" w:cs="Arial" w:eastAsia="Arial" w:hAnsi="Arial"/>
          <w:sz w:val="18"/>
          <w:szCs w:val="18"/>
          <w:b w:val="1"/>
          <w:bCs w:val="1"/>
          <w:color w:val="auto"/>
        </w:rPr>
        <w:t>Trading Market</w:t>
      </w:r>
      <w:r>
        <w:rPr>
          <w:rFonts w:ascii="Arial" w:cs="Arial" w:eastAsia="Arial" w:hAnsi="Arial"/>
          <w:sz w:val="18"/>
          <w:szCs w:val="18"/>
          <w:color w:val="auto"/>
        </w:rPr>
        <w:t>”), the fair market value shall be deemed to be the average of the closing price on such Trading Market for the 10 trading day ending on the third trading day immediately prior to the date the subscription form is submitted to the Company in connection with the exercise of the Warrant;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1" w:name="page242"/>
    <w:bookmarkEnd w:id="241"/>
    <w:p>
      <w:pPr>
        <w:jc w:val="both"/>
        <w:ind w:left="1960" w:hanging="8"/>
        <w:spacing w:after="0" w:line="259" w:lineRule="auto"/>
        <w:tabs>
          <w:tab w:leader="none" w:pos="222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the Company’s shares of Common Stock are not listed on the Trading Market, but is traded in the over-the-counter market, the fair market value shall be deemed to be the average of the bid price on the Trading Market for the 10 trading days ending on the third trading day immediately prior to the date the subscription form is submitted in connection with the exercise of the Warrant; or</w:t>
      </w:r>
    </w:p>
    <w:p>
      <w:pPr>
        <w:spacing w:after="0" w:line="186" w:lineRule="exact"/>
        <w:rPr>
          <w:rFonts w:ascii="Arial" w:cs="Arial" w:eastAsia="Arial" w:hAnsi="Arial"/>
          <w:sz w:val="18"/>
          <w:szCs w:val="18"/>
          <w:color w:val="auto"/>
        </w:rPr>
      </w:pPr>
    </w:p>
    <w:p>
      <w:pPr>
        <w:ind w:left="1960" w:right="20" w:hanging="8"/>
        <w:spacing w:after="0" w:line="277" w:lineRule="auto"/>
        <w:tabs>
          <w:tab w:leader="none" w:pos="230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there is no active public market for the Company’s shares of Common Stock, the fair market value of the shares of Common Stock shall be determined in good faith by the Company’s board of directors.</w:t>
      </w:r>
    </w:p>
    <w:p>
      <w:pPr>
        <w:spacing w:after="0" w:line="17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Notwithstanding any provision to the contrary contained in this Warrant Agreement, the Company shall not be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3.3.4 </w:t>
      </w:r>
      <w:r>
        <w:rPr>
          <w:rFonts w:ascii="Arial" w:cs="Arial" w:eastAsia="Arial" w:hAnsi="Arial"/>
          <w:sz w:val="16"/>
          <w:szCs w:val="16"/>
          <w:u w:val="single" w:color="auto"/>
          <w:color w:val="auto"/>
        </w:rPr>
        <w:t>Issuance of Certificates</w:t>
      </w:r>
      <w:r>
        <w:rPr>
          <w:rFonts w:ascii="Arial" w:cs="Arial" w:eastAsia="Arial" w:hAnsi="Arial"/>
          <w:sz w:val="16"/>
          <w:szCs w:val="16"/>
          <w:color w:val="auto"/>
        </w:rPr>
        <w:t xml:space="preserve">. No later than three (3) business days following the exercise of any Warrant and the clearance of the funds in payment of the Warrant Price pursuant to </w:t>
      </w:r>
      <w:r>
        <w:rPr>
          <w:rFonts w:ascii="Arial" w:cs="Arial" w:eastAsia="Arial" w:hAnsi="Arial"/>
          <w:sz w:val="16"/>
          <w:szCs w:val="16"/>
          <w:u w:val="single" w:color="auto"/>
          <w:color w:val="auto"/>
        </w:rPr>
        <w:t>Section 3.3.1</w:t>
      </w:r>
      <w:r>
        <w:rPr>
          <w:rFonts w:ascii="Arial" w:cs="Arial" w:eastAsia="Arial" w:hAnsi="Arial"/>
          <w:sz w:val="16"/>
          <w:szCs w:val="16"/>
          <w:color w:val="auto"/>
        </w:rPr>
        <w:t xml:space="preserve"> or cashless exercise pursuant to </w:t>
      </w:r>
      <w:r>
        <w:rPr>
          <w:rFonts w:ascii="Arial" w:cs="Arial" w:eastAsia="Arial" w:hAnsi="Arial"/>
          <w:sz w:val="16"/>
          <w:szCs w:val="16"/>
          <w:u w:val="single" w:color="auto"/>
          <w:color w:val="auto"/>
        </w:rPr>
        <w:t>Section 3.3.2</w:t>
      </w:r>
      <w:r>
        <w:rPr>
          <w:rFonts w:ascii="Arial" w:cs="Arial" w:eastAsia="Arial" w:hAnsi="Arial"/>
          <w:sz w:val="16"/>
          <w:szCs w:val="16"/>
          <w:color w:val="auto"/>
        </w:rPr>
        <w:t>, the Company shall issue, or cause to be issued, to the Registered Holder of such Warrant a certificate or certificates representing (or at the option of the Registered Holder, deliver electronically through the facilities of the Depository Trust Corporation) the number of full shares of Common Stock to which he, she or it is entitled, registered in such name or names as may be directed by him, her or it, and, if such Warrant shall not have been exercised or surrendered in full, a new countersigned Warrant for the number of shares as to which such Warrant shall not have been exercised or surrendered. Notwithstanding the foregoing, the Company shall not deliver, or cause to be delivered, any securities without applicable restrictive legend pursuant to the exercise of a Warrant unless (a) a registration statement under the Act with respect to the shares of Common Stock issuable upon exercise of such Warrants is effective and a current prospectus relating to the shares of Common Stock issuable upon exercise of the Warrants is available for delivery to the Registered Holder of the Warrant or (b) in the opinion of counsel to the Company, the exercise of the Warrants is exempt from the registration requirements of the Act and such securities are qualified for sale or exempt from qualification under applicable securities laws of the states or other jurisdictions in which the Registered Holder resides. Warrants may not be exercised by, or securities issued to, any Registered Holder in any state in which such exercise or issuance would be unlawful. In addition, in no event will the Company be obligated to pay such Registered Holder any cash consideration upon exercise or otherwise “net cash settle” the Warrant.</w:t>
      </w:r>
    </w:p>
    <w:p>
      <w:pPr>
        <w:spacing w:after="0" w:line="17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3.3.5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or surrender of a Warrant in conformity with this Warrant Agreement shall be validly issued, fully paid and non-assessable.</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or entity in whose name any such certificate for shares of Common Stock is issued shall, for all purposes, be deemed to have become the holder of record of such shares on the date on which the Warrant was surrendered and payment of the Warrant Price was made, irrespective of the date of delivery of such certificate,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188"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 xml:space="preserve">3.3.7 </w:t>
      </w:r>
      <w:r>
        <w:rPr>
          <w:rFonts w:ascii="Arial" w:cs="Arial" w:eastAsia="Arial" w:hAnsi="Arial"/>
          <w:sz w:val="16"/>
          <w:szCs w:val="16"/>
          <w:u w:val="single" w:color="auto"/>
          <w:color w:val="auto"/>
        </w:rPr>
        <w:t>Maximum Percentage</w:t>
      </w:r>
      <w:r>
        <w:rPr>
          <w:rFonts w:ascii="Arial" w:cs="Arial" w:eastAsia="Arial" w:hAnsi="Arial"/>
          <w:sz w:val="16"/>
          <w:szCs w:val="16"/>
          <w:color w:val="auto"/>
        </w:rPr>
        <w:t>. A holder of a Warrant may notify the Company in writing in the event it elects to be subject to the provisions contained in this Section 3.3.7; however, no holder of a Warrant shall be subject to this Section 3.3.7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the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w:t>
      </w:r>
    </w:p>
    <w:p>
      <w:pPr>
        <w:jc w:val="both"/>
        <w:ind w:firstLine="8"/>
        <w:spacing w:after="0" w:line="269" w:lineRule="auto"/>
        <w:tabs>
          <w:tab w:leader="none" w:pos="26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any other notice by the Company or the Warrant Agent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2" w:name="page243"/>
    <w:bookmarkEnd w:id="242"/>
    <w:p>
      <w:pPr>
        <w:ind w:left="180" w:hanging="172"/>
        <w:spacing w:after="0"/>
        <w:tabs>
          <w:tab w:leader="none" w:pos="18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Stock Dividends, Splits</w:t>
      </w:r>
      <w:r>
        <w:rPr>
          <w:rFonts w:ascii="Arial" w:cs="Arial" w:eastAsia="Arial" w:hAnsi="Arial"/>
          <w:sz w:val="17"/>
          <w:szCs w:val="17"/>
          <w:color w:val="auto"/>
        </w:rPr>
        <w:t xml:space="preserve">. If, after the date hereof, and subject to the provisions of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below, the number of outstanding shares of Common Stock is increased by a stock dividend payable in shares of Common Stock, or by a forward or reverse split of shares of Common Stock, or other similar event, then, on the effective date of such stock dividend, split or similar event, the number of shares of Common Stock issuable on exercise of each Warrant shall be increased or decreased in proportion to such increase or decrease in outstanding shares of Common Stock. A rights offering to all holders of the shares of Common Stock entitling holders to purchase shares of Common Stock at a price less than the fair market value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 (ii) one (1) minus the quotient of (x) the price per share of Common Stock paid in such rights offering divided by (y) the fair market value. For purposes of this subsection 4.1, if the rights offering is for securities convertible into or exercisable for shares of Common Stock, in determining the price payable for the shares of Common Stock, there shall be taken into account any consideration received for such rights, as well as any additional amount payable upon exercise or conversion.</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xml:space="preserve">. If, after the date hereof, and subject to the provisions of </w:t>
      </w:r>
      <w:r>
        <w:rPr>
          <w:rFonts w:ascii="Arial" w:cs="Arial" w:eastAsia="Arial" w:hAnsi="Arial"/>
          <w:sz w:val="18"/>
          <w:szCs w:val="18"/>
          <w:u w:val="single" w:color="auto"/>
          <w:color w:val="auto"/>
        </w:rPr>
        <w:t>Section 4.5</w:t>
      </w:r>
      <w:r>
        <w:rPr>
          <w:rFonts w:ascii="Arial" w:cs="Arial" w:eastAsia="Arial" w:hAnsi="Arial"/>
          <w:sz w:val="18"/>
          <w:szCs w:val="18"/>
          <w:color w:val="auto"/>
        </w:rPr>
        <w:t>,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shall be decreased in proportion to such decrease in outstanding shares of Common Stock.</w:t>
      </w:r>
    </w:p>
    <w:p>
      <w:pPr>
        <w:spacing w:after="0" w:line="1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Extraordinary Dividends</w:t>
      </w:r>
      <w:r>
        <w:rPr>
          <w:rFonts w:ascii="Arial" w:cs="Arial" w:eastAsia="Arial" w:hAnsi="Arial"/>
          <w:sz w:val="17"/>
          <w:szCs w:val="17"/>
          <w:color w:val="auto"/>
        </w:rPr>
        <w:t>. If the Company, at any time while the Warrants (or rights to purchase the Warrants) are outstanding and unexpired, shall pay a dividend or make a distribution in cash, securities or other assets to the holders of the Common Stock on account of such Common Stock (or other shares of the Company’s capital stock into which the Warrants are convertible), other than (a) as described in Section 4.1 above, (b) Ordinary Cash Dividends (as defined below), (c) to satisfy the conversion rights of the holders of the Common Stock in connection with a proposed initial business combination or vote to extend the time period to complete an initial business combination, (d) as a result of the repurchase of Common Stock by the Company in connection with an initial business combination or as otherwise permitted by the Investment Management Trust Agreement between the Company and the Warrant Agent dated of even date herewith or (e) in connection with the Company’s liquidation and the distribution of its assets upon its failure to consummate a business combination (any such non-excluded event being referred to herein as an “</w:t>
      </w:r>
      <w:r>
        <w:rPr>
          <w:rFonts w:ascii="Arial" w:cs="Arial" w:eastAsia="Arial" w:hAnsi="Arial"/>
          <w:sz w:val="17"/>
          <w:szCs w:val="17"/>
          <w:b w:val="1"/>
          <w:bCs w:val="1"/>
          <w:color w:val="auto"/>
        </w:rPr>
        <w:t>Extraordinary Dividend</w:t>
      </w:r>
      <w:r>
        <w:rPr>
          <w:rFonts w:ascii="Arial" w:cs="Arial" w:eastAsia="Arial" w:hAnsi="Arial"/>
          <w:sz w:val="17"/>
          <w:szCs w:val="17"/>
          <w:color w:val="auto"/>
        </w:rPr>
        <w:t xml:space="preserve">”), then the Warrant Price shall be decreased, effective immediately after the effective date of such Extraordinary Dividend, by the amount of cash and the fair market value (as determined by the Company’s board of directors, in good faith) of any securities or other assets paid on each share of Common Stock in respect of such Extraordinary Dividend. For purposes of this Section 4.3, “Ordinary Cash Dividends” means any cash dividend or cash distribution which, when combined on a per share basis with the per share amounts of all other cash dividends and cash distributions paid on the Common Stock during the 365-day period ending on the date of declaration of such dividend or distribution (as adjusted to appropriately reflect any of the events referred to in other subsections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excluding cash dividends or cash distributions that resulted in an adjustment to the Warrant Price or to the number of shares of Common Stock issuable on exercise of each Warrant) does not exceed $0.50 (being 5% of the offering price of the Units in the Public Offering). The foregoing adjustment shall not apply to the Private Warrants. Further, the holders of the Private Warrants that are beneficially owned by Chardan Capital Markets, LLC or any of its related persons may not receive or accrue any cash dividends prior to the exercise or conversion of such Private Warrants, as required by FINRA Rule 5110(f)(2)(G)(vii).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3" w:name="page244"/>
    <w:bookmarkEnd w:id="243"/>
    <w:p>
      <w:pPr>
        <w:jc w:val="both"/>
        <w:ind w:firstLine="648"/>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xml:space="preserve">. Whenever the number of shares of Common Stock purchasable upon the exercise of the Warrants is adjusted, as provided in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above, the Warrant Price shall be adjusted (to the nearest cent) by multiplying such Warrant Price, immediately prior to such adjustment, by a fraction, (a) the numerator of which shall be the number of shares of Common Stock purchasable upon the exercise of the Warrants immediately prior to such adjustment, and (b) the denominator of which shall be the number of shares of Common Stock so purchasable immediately thereafter.</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xml:space="preserve"> In case of any reclassification or reorganization of the outstanding shares of Common Stock (other than a change covered by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hereof or one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Registered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Registered Holder would have received if such Registered Holder had exercised his, her or its Warrant(s) immediately prior to such event; and if any reclassification also results in a change in shares of Common Stock covered by Sections 4.1 or 4.2, then such adjustment shall be made pursuant to Sections 4.1, 4.2, 4.3 and Section 4.4. The provisions of this Section 4.5 shall similarly apply to successive reclassifications, reorganizations, mergers or consolidations, sales or other transfers.</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6"/>
          <w:szCs w:val="16"/>
          <w:u w:val="single" w:color="auto"/>
          <w:color w:val="auto"/>
        </w:rPr>
        <w:t>Sections 4.1 – 4.5</w:t>
      </w:r>
      <w:r>
        <w:rPr>
          <w:rFonts w:ascii="Arial" w:cs="Arial" w:eastAsia="Arial" w:hAnsi="Arial"/>
          <w:sz w:val="16"/>
          <w:szCs w:val="16"/>
          <w:color w:val="auto"/>
        </w:rPr>
        <w:t xml:space="preserve"> the Company shall give written notice to each Registered Holder, at the last address set forth for such Registered Holder in the Warrant Register, of the record date or the effective date of the event. Failure to give such notice, or any defect therein, shall not affect the legality or validity of such event.</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The form of Warrant need not be changed because of any adjustment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and Warrants issued after such adjustment may state the same Warrant Price and the same number of shares as is stated in the Warrants initially issued pursuant to this Warrant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4" w:name="page245"/>
    <w:bookmarkEnd w:id="244"/>
    <w:p>
      <w:pPr>
        <w:jc w:val="both"/>
        <w:ind w:firstLine="648"/>
        <w:spacing w:after="0" w:line="288"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Notice of Certain Transactions</w:t>
      </w:r>
      <w:r>
        <w:rPr>
          <w:rFonts w:ascii="Arial" w:cs="Arial" w:eastAsia="Arial" w:hAnsi="Arial"/>
          <w:sz w:val="16"/>
          <w:szCs w:val="16"/>
          <w:color w:val="auto"/>
        </w:rPr>
        <w:t xml:space="preserve">. In the event that the Company shall (a) offer to holders of all its shares of Common Stock rights to subscribe for or to purchase any securities convertible into shares of Common Stock or shares of stock of any class or any other securities, rights or options, (b) issue any rights, options or Warrants entitling all the holders of shares of Common Stock to subscribe for shares of Common Stock, or (c) make a tender offer, redemption offer or exchange offer with respect to the shares of Common Stock, the Company shall send to the Registered Holders a notice of such action or offer. Such notice shall be mailed to the Registered Holders at their addresses as they appear in the Warrant Register, which shall specify the record date for the purposes of such dividend, distribution or rights, or the date such issuance or event is to take place and the date of participation therein by the holders of shares of Common Stock, if any such date is to be fixed, and shall briefly indicate the effect of such action on the shares of Common Stock and on the number and kind of any other shares of stock and on other property, if any, and the number of shares of Common Stock and other property, if any, issuable upon exercise of each Warrant and the Warrant Price after giving effect to any adjustment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which would be required as a result of such action. Such notice shall be given as promptly as practicable after the Company has taken any such action.</w:t>
      </w:r>
    </w:p>
    <w:p>
      <w:pPr>
        <w:spacing w:after="0" w:line="168" w:lineRule="exact"/>
        <w:rPr>
          <w:sz w:val="20"/>
          <w:szCs w:val="20"/>
          <w:color w:val="auto"/>
        </w:rPr>
      </w:pPr>
    </w:p>
    <w:p>
      <w:pPr>
        <w:ind w:left="180" w:hanging="172"/>
        <w:spacing w:after="0"/>
        <w:tabs>
          <w:tab w:leader="none" w:pos="18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Transfer of Warrants</w:t>
      </w:r>
      <w:r>
        <w:rPr>
          <w:rFonts w:ascii="Arial" w:cs="Arial" w:eastAsia="Arial" w:hAnsi="Arial"/>
          <w:sz w:val="18"/>
          <w:szCs w:val="18"/>
          <w:color w:val="auto"/>
        </w:rPr>
        <w:t xml:space="preserve">. Prior to the Detachment Date, the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From and after the Detachment Date,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will have no further force and effect.</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Registration of Transfer</w:t>
      </w:r>
      <w:r>
        <w:rPr>
          <w:rFonts w:ascii="Arial" w:cs="Arial" w:eastAsia="Arial" w:hAnsi="Arial"/>
          <w:sz w:val="16"/>
          <w:szCs w:val="16"/>
          <w:color w:val="auto"/>
        </w:rPr>
        <w:t>. The Warrant Agent shall register the transfer, from time to time, of any outstanding Warrant into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Procedure for Surrender of Warrants</w:t>
      </w:r>
      <w:r>
        <w:rPr>
          <w:rFonts w:ascii="Arial" w:cs="Arial" w:eastAsia="Arial" w:hAnsi="Arial"/>
          <w:sz w:val="18"/>
          <w:szCs w:val="18"/>
          <w:color w:val="auto"/>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that will result in the issuance of a Warrant certificate for a fraction of a Warrant.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xml:space="preserve">. The Warrant Agent is hereby authorized to countersign and to deliver, in accordance with the terms of this Warrant Agreement, the Warrants required to be issued pursuant to the provisions of this </w:t>
      </w:r>
      <w:r>
        <w:rPr>
          <w:rFonts w:ascii="Arial" w:cs="Arial" w:eastAsia="Arial" w:hAnsi="Arial"/>
          <w:sz w:val="17"/>
          <w:szCs w:val="17"/>
          <w:u w:val="single" w:color="auto"/>
          <w:color w:val="auto"/>
        </w:rPr>
        <w:t>Section 5</w:t>
      </w:r>
      <w:r>
        <w:rPr>
          <w:rFonts w:ascii="Arial" w:cs="Arial" w:eastAsia="Arial" w:hAnsi="Arial"/>
          <w:sz w:val="17"/>
          <w:szCs w:val="17"/>
          <w:color w:val="auto"/>
        </w:rPr>
        <w:t>, and the Company, whenever required by the Warrant Agent, will supply the Warrant Agent with Warrants duly executed on behalf of the Company for such purpose.</w:t>
      </w:r>
    </w:p>
    <w:p>
      <w:pPr>
        <w:spacing w:after="0" w:line="165" w:lineRule="exact"/>
        <w:rPr>
          <w:sz w:val="20"/>
          <w:szCs w:val="20"/>
          <w:color w:val="auto"/>
        </w:rPr>
      </w:pPr>
    </w:p>
    <w:p>
      <w:pPr>
        <w:ind w:left="180" w:hanging="172"/>
        <w:spacing w:after="0"/>
        <w:tabs>
          <w:tab w:leader="none" w:pos="18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Subject to the second sentence of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all (and not less than all) of the outstanding Warrants may be redeemed, in whole and not in part, at the option of the Company, at any time from and after the Warrants become exercisable, and prior to their expiration, at the office of the Warrant Agent, upon the notice referred to in </w:t>
      </w:r>
      <w:r>
        <w:rPr>
          <w:rFonts w:ascii="Arial" w:cs="Arial" w:eastAsia="Arial" w:hAnsi="Arial"/>
          <w:sz w:val="16"/>
          <w:szCs w:val="16"/>
          <w:u w:val="single" w:color="auto"/>
          <w:color w:val="auto"/>
        </w:rPr>
        <w:t>Section 6.2</w:t>
      </w:r>
      <w:r>
        <w:rPr>
          <w:rFonts w:ascii="Arial" w:cs="Arial" w:eastAsia="Arial" w:hAnsi="Arial"/>
          <w:sz w:val="16"/>
          <w:szCs w:val="16"/>
          <w:color w:val="auto"/>
        </w:rPr>
        <w:t>, at the price of $0.01 per Warrant (“</w:t>
      </w:r>
      <w:r>
        <w:rPr>
          <w:rFonts w:ascii="Arial" w:cs="Arial" w:eastAsia="Arial" w:hAnsi="Arial"/>
          <w:sz w:val="16"/>
          <w:szCs w:val="16"/>
          <w:b w:val="1"/>
          <w:bCs w:val="1"/>
          <w:color w:val="auto"/>
        </w:rPr>
        <w:t>Redemption Price</w:t>
      </w:r>
      <w:r>
        <w:rPr>
          <w:rFonts w:ascii="Arial" w:cs="Arial" w:eastAsia="Arial" w:hAnsi="Arial"/>
          <w:sz w:val="16"/>
          <w:szCs w:val="16"/>
          <w:color w:val="auto"/>
        </w:rPr>
        <w:t xml:space="preserve">”); provided that the last sales price of the Common Stock has been equal to or greater than $16.00 per share (subject to adjustment for splits, dividends, recapitalizations and other similar events), for any twenty (20)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(defined below). For avoidance of doubt, if and when the Warrants become redeemable by the Company under this </w:t>
      </w:r>
      <w:r>
        <w:rPr>
          <w:rFonts w:ascii="Arial" w:cs="Arial" w:eastAsia="Arial" w:hAnsi="Arial"/>
          <w:sz w:val="16"/>
          <w:szCs w:val="16"/>
          <w:u w:val="single" w:color="auto"/>
          <w:color w:val="auto"/>
        </w:rPr>
        <w:t>Section 6.1</w:t>
      </w:r>
      <w:r>
        <w:rPr>
          <w:rFonts w:ascii="Arial" w:cs="Arial" w:eastAsia="Arial" w:hAnsi="Arial"/>
          <w:sz w:val="16"/>
          <w:szCs w:val="16"/>
          <w:color w:val="auto"/>
        </w:rPr>
        <w:t>, the Company may exercise its redemption right, even if it is unable to register or qualify the Warrant Shares for sale under all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5" w:name="page246"/>
    <w:bookmarkEnd w:id="245"/>
    <w:p>
      <w:pPr>
        <w:jc w:val="both"/>
        <w:ind w:firstLine="648"/>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Date Fixed for, and Notice of, Redemption</w:t>
      </w:r>
      <w:r>
        <w:rPr>
          <w:rFonts w:ascii="Arial" w:cs="Arial" w:eastAsia="Arial" w:hAnsi="Arial"/>
          <w:sz w:val="18"/>
          <w:szCs w:val="18"/>
          <w:color w:val="auto"/>
        </w:rPr>
        <w:t>. In the event the Company shall elect to redeem all of the Warrants, the Company shall fix a date for the redemption (the “</w:t>
      </w:r>
      <w:r>
        <w:rPr>
          <w:rFonts w:ascii="Arial" w:cs="Arial" w:eastAsia="Arial" w:hAnsi="Arial"/>
          <w:sz w:val="18"/>
          <w:szCs w:val="18"/>
          <w:b w:val="1"/>
          <w:bCs w:val="1"/>
          <w:color w:val="auto"/>
        </w:rPr>
        <w:t>Redemption Date</w:t>
      </w:r>
      <w:r>
        <w:rPr>
          <w:rFonts w:ascii="Arial" w:cs="Arial" w:eastAsia="Arial" w:hAnsi="Arial"/>
          <w:sz w:val="18"/>
          <w:szCs w:val="18"/>
          <w:color w:val="auto"/>
        </w:rPr>
        <w:t>”). Notice of redemption shall be mailed by first class mail, postage prepaid, by the Company not less than 30 days prior to the date fixed for redemption to the Registered Holders of the Warrants to be redeemed at their last addresses as they shall appear on the Warrant Register. Any notice mailed in the manner herein provided shall be conclusively presumed to have been duly given, whether or not the Registered Holder received such notice.</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Exercise After Notice of Redemption</w:t>
      </w:r>
      <w:r>
        <w:rPr>
          <w:rFonts w:ascii="Arial" w:cs="Arial" w:eastAsia="Arial" w:hAnsi="Arial"/>
          <w:sz w:val="17"/>
          <w:szCs w:val="17"/>
          <w:color w:val="auto"/>
        </w:rPr>
        <w:t xml:space="preserve">. The Warrants may be exercised in accordance with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Warrant Agreement at any time after notice of redemption shall have been given by the Company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and prior to the Redemption Date; provided that the Company may require the Registered Holder who desires to exercise the Warrant to elect cashless exercise as set forth under </w:t>
      </w:r>
      <w:r>
        <w:rPr>
          <w:rFonts w:ascii="Arial" w:cs="Arial" w:eastAsia="Arial" w:hAnsi="Arial"/>
          <w:sz w:val="17"/>
          <w:szCs w:val="17"/>
          <w:u w:val="single" w:color="auto"/>
          <w:color w:val="auto"/>
        </w:rPr>
        <w:t>Section 3.3.2</w:t>
      </w:r>
      <w:r>
        <w:rPr>
          <w:rFonts w:ascii="Arial" w:cs="Arial" w:eastAsia="Arial" w:hAnsi="Arial"/>
          <w:sz w:val="17"/>
          <w:szCs w:val="17"/>
          <w:color w:val="auto"/>
        </w:rPr>
        <w:t>, and such Registered Holder must exercise the Warrants on a cashless basis if the Company so requires. On and after the Redemption Date, the Registered Holder of the Warrants shall have no further rights except to receive, upon surrender of the Warrants, the Redemption Price.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Other Rights to Cash Payment</w:t>
      </w:r>
      <w:r>
        <w:rPr>
          <w:rFonts w:ascii="Arial" w:cs="Arial" w:eastAsia="Arial" w:hAnsi="Arial"/>
          <w:sz w:val="18"/>
          <w:szCs w:val="18"/>
          <w:color w:val="auto"/>
        </w:rPr>
        <w:t xml:space="preserve">. Except for a redemption in accordance with this </w:t>
      </w:r>
      <w:r>
        <w:rPr>
          <w:rFonts w:ascii="Arial" w:cs="Arial" w:eastAsia="Arial" w:hAnsi="Arial"/>
          <w:sz w:val="18"/>
          <w:szCs w:val="18"/>
          <w:u w:val="single" w:color="auto"/>
          <w:color w:val="auto"/>
        </w:rPr>
        <w:t>Section 6</w:t>
      </w:r>
      <w:r>
        <w:rPr>
          <w:rFonts w:ascii="Arial" w:cs="Arial" w:eastAsia="Arial" w:hAnsi="Arial"/>
          <w:sz w:val="18"/>
          <w:szCs w:val="18"/>
          <w:color w:val="auto"/>
        </w:rPr>
        <w:t>, no Registered Holder of any Warrant shall be entitled to any cash payment whatsoever from the Company in connection with the ownership, exercise or surrender of any Warrant under this Warrant Agreement.</w:t>
      </w:r>
    </w:p>
    <w:p>
      <w:pPr>
        <w:spacing w:after="0" w:line="184" w:lineRule="exact"/>
        <w:rPr>
          <w:sz w:val="20"/>
          <w:szCs w:val="20"/>
          <w:color w:val="auto"/>
        </w:rPr>
      </w:pPr>
    </w:p>
    <w:p>
      <w:pPr>
        <w:ind w:left="180" w:hanging="172"/>
        <w:spacing w:after="0"/>
        <w:tabs>
          <w:tab w:leader="none" w:pos="18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Registered Holders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Reservation of shares of Common Stock</w:t>
      </w:r>
      <w:r>
        <w:rPr>
          <w:rFonts w:ascii="Arial" w:cs="Arial" w:eastAsia="Arial" w:hAnsi="Arial"/>
          <w:sz w:val="16"/>
          <w:szCs w:val="16"/>
          <w:color w:val="auto"/>
        </w:rPr>
        <w:t>. The Company shall at all times reserve and keep available a number of its authorized but unissued shares of Common Stock that will be sufficient to permit the exercise in full of all outstanding Warrants issued pursuant to this Warrant Agreement.</w:t>
      </w:r>
    </w:p>
    <w:p>
      <w:pPr>
        <w:spacing w:after="0" w:line="12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Registration of shares of Common Stock</w:t>
      </w:r>
      <w:r>
        <w:rPr>
          <w:rFonts w:ascii="Arial" w:cs="Arial" w:eastAsia="Arial" w:hAnsi="Arial"/>
          <w:sz w:val="16"/>
          <w:szCs w:val="16"/>
          <w:color w:val="auto"/>
        </w:rPr>
        <w:t>. The Company agrees it shall use its best efforts to maintain with the SEC an effective registration statement for the registration under the Act of the shares of Common Stock issuable upon exercise of the Warrants, and a current prospectus relating thereto, until the expiration of the Warrants in accordance with the provisions of this Warrant Agreement. In addition, the Company agrees to use its best efforts to register the shares of Common Stock issuable upon exercise of the Warrants under state blue sky laws, to the extent an exemption is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6" w:name="page247"/>
    <w:bookmarkEnd w:id="246"/>
    <w:p>
      <w:pPr>
        <w:ind w:left="180" w:hanging="172"/>
        <w:spacing w:after="0"/>
        <w:tabs>
          <w:tab w:leader="none" w:pos="18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 Consolidation, or Merger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 corporation organized and existing under the laws of the State of New York, in good standing and having its principal office in the Borough of Manhattan, City and State of New York, and be authorized under such laws to exercise corporate trust powers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67"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Common Stock not later than the effective date of any such appointment.</w:t>
      </w:r>
    </w:p>
    <w:p>
      <w:pPr>
        <w:spacing w:after="0" w:line="12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Warrant Agreement without any further act on the part of the Company or the Warrant Agent.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Fees and Expenses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Warrant Agent hereunder and will reimburse the Warrant Agent upon demand for all expenditures that the Warrant Agent may reasonably incur in the execution of its duties hereunder.</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Liability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Reliance on Company Statement</w:t>
      </w:r>
      <w:r>
        <w:rPr>
          <w:rFonts w:ascii="Arial" w:cs="Arial" w:eastAsia="Arial" w:hAnsi="Arial"/>
          <w:sz w:val="16"/>
          <w:szCs w:val="16"/>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Chairman of the Board of the Company and delivered to the Warrant Agent. The Warrant Agent may rely upon such statement for any action taken or suffered in good faith by it pursuant to the provisions of this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7" w:name="page248"/>
    <w:bookmarkEnd w:id="247"/>
    <w:p>
      <w:pPr>
        <w:jc w:val="both"/>
        <w:ind w:firstLine="1296"/>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gross negligence, willful misconduct or bad faith. The Company agrees to indemnify the Warrant Agent and hold it harmless against any and all liabilities, including judgments, costs and reasonable counsel fees, for anything done or omitted by the Warrant Agent in the execution of this Warrant Agreement, except as a result of the Warrant Agent’s gross negligence, willful misconduct or bad faith.</w:t>
      </w:r>
    </w:p>
    <w:p>
      <w:pPr>
        <w:spacing w:after="0" w:line="18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The Warrant Agent shall have no responsibility with respect to the validity of this Warrant Agreement or with respect to the validity or execution of any Warrant (except its countersignature thereof); nor shall it be responsible for any breach by the Company of any covenant or condition contained in this Warrant Agreement or in any Warrant; nor shall it be responsible to make any adjustments required under the provisions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Warrant Agreement or any Warrant or as to whether any shares of Common Stock will when issued be valid and fully paid and non-assessable.</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Warrant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the Company’s Common Stock through the exercise of Warrants.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hereby waives any right of set-off or any other right, title, interest or claim of any kind (“</w:t>
      </w:r>
      <w:r>
        <w:rPr>
          <w:rFonts w:ascii="Arial" w:cs="Arial" w:eastAsia="Arial" w:hAnsi="Arial"/>
          <w:sz w:val="18"/>
          <w:szCs w:val="18"/>
          <w:b w:val="1"/>
          <w:bCs w:val="1"/>
          <w:color w:val="auto"/>
        </w:rPr>
        <w:t>Claim</w:t>
      </w:r>
      <w:r>
        <w:rPr>
          <w:rFonts w:ascii="Arial" w:cs="Arial" w:eastAsia="Arial" w:hAnsi="Arial"/>
          <w:sz w:val="18"/>
          <w:szCs w:val="18"/>
          <w:color w:val="auto"/>
        </w:rPr>
        <w:t>”)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w:t>
      </w:r>
    </w:p>
    <w:p>
      <w:pPr>
        <w:spacing w:after="0" w:line="3" w:lineRule="exact"/>
        <w:rPr>
          <w:sz w:val="20"/>
          <w:szCs w:val="20"/>
          <w:color w:val="auto"/>
        </w:rPr>
      </w:pPr>
    </w:p>
    <w:p>
      <w:pPr>
        <w:ind w:left="180" w:hanging="172"/>
        <w:spacing w:after="0"/>
        <w:tabs>
          <w:tab w:leader="none" w:pos="18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Warrant Agreement by or for the benefit of the Company or the Warrant Agent shall bind and inure to the benefit of their respective successors and assigns.</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Warrant Agreement to be given or made by the Warrant Agent or by the Registered Holder of any Warrant to or on the Company shall be delivered by hand or sent by registered or certified mail or overnight courier service, addressed (until another address is filed in writing by the Company with the Warrant Agent) as follows: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Ari Edelman, Esq.</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notice, statement or demand authorized by this Warrant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8" w:name="page249"/>
    <w:bookmarkEnd w:id="248"/>
    <w:p>
      <w:pPr>
        <w:ind w:left="1300"/>
        <w:spacing w:after="0"/>
        <w:rPr>
          <w:sz w:val="20"/>
          <w:szCs w:val="20"/>
          <w:color w:val="auto"/>
        </w:rPr>
      </w:pPr>
      <w:r>
        <w:rPr>
          <w:rFonts w:ascii="Arial" w:cs="Arial" w:eastAsia="Arial" w:hAnsi="Arial"/>
          <w:sz w:val="18"/>
          <w:szCs w:val="18"/>
          <w:color w:val="auto"/>
        </w:rPr>
        <w:t>Continental Stock Transfer &amp; Trust Company</w:t>
      </w:r>
    </w:p>
    <w:p>
      <w:pPr>
        <w:ind w:left="130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10004</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notice, sent pursuant to this Warrant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Applicable Law and Exclusive Forum</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9.3.1 The validity, interpretation, and performance of this Warrant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Warrant Agreement, including under the Securities Act,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spacing w:after="0" w:line="178"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9.3.2 Any person or entity purchasing or otherwise acquiring any interest in the Warrants shall be deemed to have notice of and to have consented to the forum provisions in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If any action, the subject matter of which is within the scope the forum provisions above, is filed in a court other than a court located within the State of New York or the United States District Court for the Southern District of New York (a “</w:t>
      </w:r>
      <w:r>
        <w:rPr>
          <w:rFonts w:ascii="Arial" w:cs="Arial" w:eastAsia="Arial" w:hAnsi="Arial"/>
          <w:sz w:val="16"/>
          <w:szCs w:val="16"/>
          <w:b w:val="1"/>
          <w:bCs w:val="1"/>
          <w:color w:val="auto"/>
        </w:rPr>
        <w:t>foreign action</w:t>
      </w:r>
      <w:r>
        <w:rPr>
          <w:rFonts w:ascii="Arial" w:cs="Arial" w:eastAsia="Arial" w:hAnsi="Arial"/>
          <w:sz w:val="16"/>
          <w:szCs w:val="16"/>
          <w:color w:val="auto"/>
        </w:rPr>
        <w:t>”)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Arial" w:cs="Arial" w:eastAsia="Arial" w:hAnsi="Arial"/>
          <w:sz w:val="16"/>
          <w:szCs w:val="16"/>
          <w:b w:val="1"/>
          <w:bCs w:val="1"/>
          <w:color w:val="auto"/>
        </w:rPr>
        <w:t>enforcement action</w:t>
      </w:r>
      <w:r>
        <w:rPr>
          <w:rFonts w:ascii="Arial" w:cs="Arial" w:eastAsia="Arial" w:hAnsi="Arial"/>
          <w:sz w:val="16"/>
          <w:szCs w:val="16"/>
          <w:color w:val="auto"/>
        </w:rPr>
        <w:t>”), and (y) having service of process made upon such Warrant holder in any such enforcement action by service upon such Warrant holder’s counsel in the foreign action as agent for such Warrant holder.</w:t>
      </w:r>
    </w:p>
    <w:p>
      <w:pPr>
        <w:spacing w:after="0" w:line="16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Any such process or summons to be served upon the Company or the Warrant Agent may be served by transmitting a copy thereof by registered or certified mail, return receipt requested, postage prepaid, addressed to it at the address set forth in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hereof. Such mailing shall be deemed personal service and shall be legal and binding upon the party receiving such service in any action, proceeding, or claim.</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Persons Having Rights under this Warrant Agreement</w:t>
      </w:r>
      <w:r>
        <w:rPr>
          <w:rFonts w:ascii="Arial" w:cs="Arial" w:eastAsia="Arial" w:hAnsi="Arial"/>
          <w:sz w:val="18"/>
          <w:szCs w:val="18"/>
          <w:color w:val="auto"/>
        </w:rPr>
        <w:t xml:space="preserve">. Nothing in this Warrant Agreement expressed and nothing that may be implied from any of the provisions hereof is intended, or shall be construed, to confer upon, or give to, any person or corporation other than the parties hereto and the Registered Holders of the Warrants and, for the purposes of </w:t>
      </w:r>
      <w:r>
        <w:rPr>
          <w:rFonts w:ascii="Arial" w:cs="Arial" w:eastAsia="Arial" w:hAnsi="Arial"/>
          <w:sz w:val="18"/>
          <w:szCs w:val="18"/>
          <w:u w:val="single" w:color="auto"/>
          <w:color w:val="auto"/>
        </w:rPr>
        <w:t>Sections 2.5</w:t>
      </w:r>
      <w:r>
        <w:rPr>
          <w:rFonts w:ascii="Arial" w:cs="Arial" w:eastAsia="Arial" w:hAnsi="Arial"/>
          <w:sz w:val="18"/>
          <w:szCs w:val="18"/>
          <w:color w:val="auto"/>
        </w:rPr>
        <w:t xml:space="preserve"> hereof, the Representative and the underwriters, any right, remedy, or claim under or by reason of this Warrant Agreement or of any covenant, condition, stipulation, promise, or agreement hereof. All covenants, conditions, stipulations, promises, and agreements contained in this Warrant Agreement shall be for the sole and exclusive benefit of the parties hereto and their successors and assigns and of the Registered Holders of the Warrants.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Warrant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Counterparts- Facsimile Signatures</w:t>
      </w:r>
      <w:r>
        <w:rPr>
          <w:rFonts w:ascii="Arial" w:cs="Arial" w:eastAsia="Arial" w:hAnsi="Arial"/>
          <w:sz w:val="18"/>
          <w:szCs w:val="18"/>
          <w:color w:val="auto"/>
        </w:rPr>
        <w:t>. This Warrant Agreement may be executed in any number of counterparts, and each of such counterparts shall, for all purposes, be deemed to be an original, and all such counterparts shall together constitute one and the same instrument. Facsimile signatures shall constitute original signatures for all purposes of this Warrant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Warrant Agreement and shall not affect the interpretation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9" w:name="page250"/>
    <w:bookmarkEnd w:id="249"/>
    <w:p>
      <w:pPr>
        <w:jc w:val="both"/>
        <w:ind w:firstLine="648"/>
        <w:spacing w:after="0" w:line="286"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This Warrant Agreement and any Warrant certificate may be amended by the parties hereto by executing a supplemental warrant agreement, without the consent of any of the Warrant holders, for the purpose of (i) curing any ambiguity, or curing, correcting or supplementing any defective provision contained herein, or making any other provisions with respect to matters or questions arising under this Warrant Agreement that is not inconsistent with the provisions of this Warrant Agreement or the Warrant certificates, (ii) evidencing the succession of another corporation to the Company and the assumption by any such successor of the covenants of the Company contained in this Warrant Agreement and the Warrants, (iii) evidencing and providing for the acceptance of appointment by a successor Warrant Agent with respect to the Warrants, (iv) adding to the covenants of the Company for the benefit of the Registered Holders or surrendering any right or power conferred upon the Company under this Warrant Agreement, or (v) amending this Warrant Agreement and the Warrants in any manner that the Company may deem to be necessary or desirable and that will not adversely affect the interests of the Registered Holders in any material respect. All other modifications or amendments to this Warrant Agreement, including any amendment to increase the Warrant Price or shorten the Exercise Period, shall require the written consent of the Registered Holders of a majority of the then outstanding Public Warrants, and with respect to any amendment to the terms of only the Private Warrants, shall require the vote or written consent of the registered Holders of a majority of the then outstanding Private Warrants, as applicable. Notwithstanding the foregoing, the Company may extend the duration of the Exercise Period in accordance with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without such consent.</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0" w:name="page251"/>
    <w:bookmarkEnd w:id="250"/>
    <w:p>
      <w:pPr>
        <w:spacing w:after="0"/>
        <w:rPr>
          <w:sz w:val="20"/>
          <w:szCs w:val="20"/>
          <w:color w:val="auto"/>
        </w:rPr>
      </w:pPr>
      <w:r>
        <w:rPr>
          <w:rFonts w:ascii="Arial" w:cs="Arial" w:eastAsia="Arial" w:hAnsi="Arial"/>
          <w:sz w:val="17"/>
          <w:szCs w:val="17"/>
          <w:color w:val="auto"/>
        </w:rPr>
        <w:t>IN WITNESS WHEREOF, this Warrant Agreement has been duly executed by the parties hereto as of the day and year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CONTINENTAL STOCK TRANSFER &amp; TRUST COMPANY</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60"/>
          </w:cols>
          <w:pgMar w:left="320" w:top="908" w:right="111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3"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This letter is being delivered to you in accordance with the Underwriting Agreement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entered into by and between Chardan NexTech Acquisition 2 Corp.,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Chardan Capital Markets, LLC, as representative (the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of the Underwriters named in Schedule A thereto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relating to an underwritten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of the Company’s units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each comprised of one share of Common Stock of the Company, par value $0.0001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one-half of one warrant, with each whole warrant being exercisable to purchase one share of Common Stock at a price of $11.50 per share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Certain capitalized terms used herein are defined in paragraph 15 hereof.</w:t>
      </w:r>
    </w:p>
    <w:p>
      <w:pPr>
        <w:spacing w:after="0" w:line="17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In order to induce the Company and the Underwriters to enter into the Underwriting Agreement and to proceed with the IPO, and in recognition of the benefit that such IPO will confer upon each of the undersigned as a stockholder of the Company, and for other good and valuable consideration, the receipt and sufficiency of which are hereby acknowledged, each of Chardan NexTech Investments 2 LLC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Chardan NexTech 2 Warrant Holdings LLC (“</w:t>
      </w:r>
      <w:r>
        <w:rPr>
          <w:rFonts w:ascii="Arial" w:cs="Arial" w:eastAsia="Arial" w:hAnsi="Arial"/>
          <w:sz w:val="18"/>
          <w:szCs w:val="18"/>
          <w:b w:val="1"/>
          <w:bCs w:val="1"/>
          <w:i w:val="1"/>
          <w:iCs w:val="1"/>
          <w:color w:val="auto"/>
        </w:rPr>
        <w:t>Holdings</w:t>
      </w:r>
      <w:r>
        <w:rPr>
          <w:rFonts w:ascii="Arial" w:cs="Arial" w:eastAsia="Arial" w:hAnsi="Arial"/>
          <w:sz w:val="18"/>
          <w:szCs w:val="18"/>
          <w:color w:val="auto"/>
        </w:rPr>
        <w:t>”), and the undersigned individuals, each of whom is a member of the Company’s board of directors and/or management team, hereby agrees with the Company as follows:</w:t>
      </w:r>
    </w:p>
    <w:p>
      <w:pPr>
        <w:spacing w:after="0" w:line="188" w:lineRule="exact"/>
        <w:rPr>
          <w:sz w:val="20"/>
          <w:szCs w:val="20"/>
          <w:color w:val="auto"/>
        </w:rPr>
      </w:pPr>
    </w:p>
    <w:p>
      <w:pPr>
        <w:ind w:right="20" w:firstLine="1304"/>
        <w:spacing w:after="0" w:line="277" w:lineRule="auto"/>
        <w:tabs>
          <w:tab w:leader="none" w:pos="148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officers and directors of the Company will not enter into a binding agreement for a proposed Business Combination or propose any Business Combination to shareholders of the Company, unless such action is first approved by the Sponsor.</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47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Subject to paragraph 1 hereof, if the Company solicits approval of its stockholders of a Business Combination, each of the undersigned will vote all shares of Common Stock beneficially owned by him, her or it, whether acquired before, in or after the IPO, in favor of such Business Combination.</w:t>
      </w:r>
    </w:p>
    <w:p>
      <w:pPr>
        <w:spacing w:after="0" w:line="183" w:lineRule="exact"/>
        <w:rPr>
          <w:rFonts w:ascii="Arial" w:cs="Arial" w:eastAsia="Arial" w:hAnsi="Arial"/>
          <w:sz w:val="18"/>
          <w:szCs w:val="18"/>
          <w:color w:val="auto"/>
        </w:rPr>
      </w:pPr>
    </w:p>
    <w:p>
      <w:pPr>
        <w:jc w:val="both"/>
        <w:ind w:firstLine="1304"/>
        <w:spacing w:after="0" w:line="301" w:lineRule="auto"/>
        <w:tabs>
          <w:tab w:leader="none" w:pos="147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 In the event that the Company fails to consummate a Business Combination within 12 months from the closing of the IPO (or up to 18 months from the closing of the IPO if such date is extended as described in the prospectus relating to the IPO), each of the undersigned shall take all reasonable steps to (i) cause the Trust Fund to be liquidated and distributed to the holders of IPO Shares and (ii) cause the Company to liquidate promptly as reasonably possible but not more than five business days after the date we are required to consummate a Business Combination.</w:t>
      </w:r>
    </w:p>
    <w:p>
      <w:pPr>
        <w:spacing w:after="0" w:line="157" w:lineRule="exact"/>
        <w:rPr>
          <w:rFonts w:ascii="Arial" w:cs="Arial" w:eastAsia="Arial" w:hAnsi="Arial"/>
          <w:sz w:val="16"/>
          <w:szCs w:val="16"/>
          <w:color w:val="auto"/>
        </w:rPr>
      </w:pPr>
    </w:p>
    <w:p>
      <w:pPr>
        <w:jc w:val="both"/>
        <w:ind w:firstLine="1466"/>
        <w:spacing w:after="0" w:line="296" w:lineRule="auto"/>
        <w:tabs>
          <w:tab w:leader="none" w:pos="1727" w:val="left"/>
        </w:tabs>
        <w:numPr>
          <w:ilvl w:val="1"/>
          <w:numId w:val="137"/>
        </w:numPr>
        <w:rPr>
          <w:rFonts w:ascii="Arial" w:cs="Arial" w:eastAsia="Arial" w:hAnsi="Arial"/>
          <w:sz w:val="16"/>
          <w:szCs w:val="16"/>
          <w:color w:val="auto"/>
        </w:rPr>
      </w:pPr>
      <w:r>
        <w:rPr>
          <w:rFonts w:ascii="Arial" w:cs="Arial" w:eastAsia="Arial" w:hAnsi="Arial"/>
          <w:sz w:val="16"/>
          <w:szCs w:val="16"/>
          <w:color w:val="auto"/>
        </w:rPr>
        <w:t>Each of the undersigned hereby waives any and all right, title, interest or claim of any kind in or to any distribution of the Trust Fund and any remaining net assets of the Company as a result of such liquidation with respect to his, her or its Insider Shares, Private Warrants,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and hereby waives any Claim such undersigned may have in the future as a result of, or arising out of, any contracts or agreements with the Company and will not seek recourse against the Trust Fund for any reason whatsoever. Each of the undersigned acknowledges and agrees that there will be no distribution from the Trust Fund with respect to any Common Stock underlying the Private Warrants, all rights of which will terminate on the Company’s liquidation.</w:t>
      </w:r>
    </w:p>
    <w:p>
      <w:pPr>
        <w:spacing w:after="0" w:line="161" w:lineRule="exact"/>
        <w:rPr>
          <w:rFonts w:ascii="Arial" w:cs="Arial" w:eastAsia="Arial" w:hAnsi="Arial"/>
          <w:sz w:val="16"/>
          <w:szCs w:val="16"/>
          <w:color w:val="auto"/>
        </w:rPr>
      </w:pPr>
    </w:p>
    <w:p>
      <w:pPr>
        <w:jc w:val="both"/>
        <w:ind w:firstLine="1466"/>
        <w:spacing w:after="0" w:line="293" w:lineRule="auto"/>
        <w:tabs>
          <w:tab w:leader="none" w:pos="1709" w:val="left"/>
        </w:tabs>
        <w:numPr>
          <w:ilvl w:val="1"/>
          <w:numId w:val="137"/>
        </w:numPr>
        <w:rPr>
          <w:rFonts w:ascii="Arial" w:cs="Arial" w:eastAsia="Arial" w:hAnsi="Arial"/>
          <w:sz w:val="16"/>
          <w:szCs w:val="16"/>
          <w:color w:val="auto"/>
        </w:rPr>
      </w:pPr>
      <w:r>
        <w:rPr>
          <w:rFonts w:ascii="Arial" w:cs="Arial" w:eastAsia="Arial" w:hAnsi="Arial"/>
          <w:sz w:val="16"/>
          <w:szCs w:val="16"/>
          <w:color w:val="auto"/>
        </w:rPr>
        <w:t xml:space="preserve">In the event of the liquidation of the Trust Fund, the Sponsor agrees to indemnify and hold harmless the Company against any and all loss, liability, claims, damage and expense whatsoever (including, but not limited to, any and all legal or other expenses reasonably incurred in investigating, preparing or defending against any litigation, whether pending or threatened, or any claim whatsoever), which the Company may become subject as a result of any claim by any vendor or other person who is owed money by the Company for services rendered or products sold or contracted for, but only to the extent necessary to ensure that such loss, liability, claim, damage or expense does not reduce the amount of funds in the Trust Fund; </w:t>
      </w:r>
      <w:r>
        <w:rPr>
          <w:rFonts w:ascii="Arial" w:cs="Arial" w:eastAsia="Arial" w:hAnsi="Arial"/>
          <w:sz w:val="16"/>
          <w:szCs w:val="16"/>
          <w:u w:val="single" w:color="auto"/>
          <w:color w:val="auto"/>
        </w:rPr>
        <w:t>provided</w:t>
      </w:r>
      <w:r>
        <w:rPr>
          <w:rFonts w:ascii="Arial" w:cs="Arial" w:eastAsia="Arial" w:hAnsi="Arial"/>
          <w:sz w:val="16"/>
          <w:szCs w:val="16"/>
          <w:color w:val="auto"/>
        </w:rPr>
        <w:t>, that such indemnity shall not apply if such vendor or other person has executed an agreement waiving any claims against the Trust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2" w:name="page253"/>
    <w:bookmarkEnd w:id="252"/>
    <w:p>
      <w:pPr>
        <w:jc w:val="both"/>
        <w:ind w:left="-1120" w:firstLine="1466"/>
        <w:spacing w:after="0" w:line="263" w:lineRule="auto"/>
        <w:tabs>
          <w:tab w:leader="none" w:pos="606"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In the event that the Company does not consummate a Business Combination and must liquidate and its remaining net assets are insufficient to complete such liquidation, each of the undersigned officers and directors agree to advance such funds necessary to complete such liquidation and agrees not to seek repayment for such expenses.</w:t>
      </w:r>
    </w:p>
    <w:p>
      <w:pPr>
        <w:spacing w:after="0" w:line="183" w:lineRule="exact"/>
        <w:rPr>
          <w:rFonts w:ascii="Arial" w:cs="Arial" w:eastAsia="Arial" w:hAnsi="Arial"/>
          <w:sz w:val="18"/>
          <w:szCs w:val="18"/>
          <w:color w:val="auto"/>
        </w:rPr>
      </w:pPr>
    </w:p>
    <w:p>
      <w:pPr>
        <w:jc w:val="both"/>
        <w:ind w:left="-1120" w:firstLine="1304"/>
        <w:spacing w:after="0" w:line="270" w:lineRule="auto"/>
        <w:tabs>
          <w:tab w:leader="none" w:pos="366" w:val="left"/>
        </w:tabs>
        <w:numPr>
          <w:ilvl w:val="0"/>
          <w:numId w:val="139"/>
        </w:numPr>
        <w:rPr>
          <w:rFonts w:ascii="Arial" w:cs="Arial" w:eastAsia="Arial" w:hAnsi="Arial"/>
          <w:sz w:val="17"/>
          <w:szCs w:val="17"/>
          <w:color w:val="auto"/>
        </w:rPr>
      </w:pPr>
      <w:r>
        <w:rPr>
          <w:rFonts w:ascii="Arial" w:cs="Arial" w:eastAsia="Arial" w:hAnsi="Arial"/>
          <w:sz w:val="17"/>
          <w:szCs w:val="17"/>
          <w:color w:val="auto"/>
        </w:rPr>
        <w:t>Each of the undersigned will place into escrow all of his, her or its Insider Shares held by the undersigned pursuant to the terms of a Stock Escrow Agreement which the Company will enter into with each of the undersigned, as applicable, and an escrow agent acceptable to the Company. 50% of such Insider Shares shall not be transferred, assigned, sold, or released from escrow until the earlier of (a) six months after the date of the consummation of the Business Combination or (b) the date on which the closing price of the shares of Common Stock equals or exceeds $12.50 per share (as adjusted for stock splits, stock dividends, reorganizations and recapitalizations) for any 10 trading days within any 30-trading day period commencing after our Business Combination. The remaining 50% of the Insider Shares will not be transferred, assigned, sold or released from escrow until six months after the date of Business Combination or earlier, in either case, if, subsequent to our Business Combination, the Company consummates a subsequent liquidation, merger, stock exchange or other similar transaction that results in all of the Company’s stockholders having the right to exchange their shares of Common Stock for cash, securities or other property.</w:t>
      </w:r>
    </w:p>
    <w:p>
      <w:pPr>
        <w:spacing w:after="0" w:line="180" w:lineRule="exact"/>
        <w:rPr>
          <w:rFonts w:ascii="Arial" w:cs="Arial" w:eastAsia="Arial" w:hAnsi="Arial"/>
          <w:sz w:val="17"/>
          <w:szCs w:val="17"/>
          <w:color w:val="auto"/>
        </w:rPr>
      </w:pPr>
    </w:p>
    <w:p>
      <w:pPr>
        <w:jc w:val="both"/>
        <w:ind w:left="-1120" w:firstLine="1304"/>
        <w:spacing w:after="0" w:line="255" w:lineRule="auto"/>
        <w:tabs>
          <w:tab w:leader="none" w:pos="36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Holdings agrees that until the Company consummates a Business Combination, the Private Warrants held by Holdings will be subject to the transfer restrictions described in the Subscription Agreement relating to the Private Warrants held by Holdings. Holdings shall not sell, transfer, assign, pledge or hypothecate any of the Private Warrants issuable to Holdings pursuant to the Private Warrant Purchase Agreement or shares of Common Stock issuable upon the exercise of the Private Warrants pursuant to the Private Warrant Purchase Agreement, or subject any of such securities to any hedging, short sale, derivative, put, or call transaction that would result in the effective economic disposition of such securities, except as provided in FINRA Rule 5110(e)(2).</w:t>
      </w:r>
    </w:p>
    <w:p>
      <w:pPr>
        <w:spacing w:after="0" w:line="192" w:lineRule="exact"/>
        <w:rPr>
          <w:rFonts w:ascii="Arial" w:cs="Arial" w:eastAsia="Arial" w:hAnsi="Arial"/>
          <w:sz w:val="18"/>
          <w:szCs w:val="18"/>
          <w:color w:val="auto"/>
        </w:rPr>
      </w:pPr>
    </w:p>
    <w:p>
      <w:pPr>
        <w:jc w:val="both"/>
        <w:ind w:left="-1120" w:firstLine="1304"/>
        <w:spacing w:after="0" w:line="259" w:lineRule="auto"/>
        <w:tabs>
          <w:tab w:leader="none" w:pos="35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order to minimize potential conflicts of interest which may arise from multiple affiliations, each of the undersigned agrees to present to the Company for its consideration, prior to presentation to any other person or entity, any suitable opportunity to acquire a target business, until the earlier of the consummation by the Company of a Business Combination or the liquidation of the Company, subject to any pre-existing fiduciary and contractual obligations such undersigned might have.</w:t>
      </w:r>
    </w:p>
    <w:p>
      <w:pPr>
        <w:spacing w:after="0" w:line="186" w:lineRule="exact"/>
        <w:rPr>
          <w:rFonts w:ascii="Arial" w:cs="Arial" w:eastAsia="Arial" w:hAnsi="Arial"/>
          <w:sz w:val="18"/>
          <w:szCs w:val="18"/>
          <w:color w:val="auto"/>
        </w:rPr>
      </w:pPr>
    </w:p>
    <w:p>
      <w:pPr>
        <w:jc w:val="both"/>
        <w:ind w:left="-1120" w:firstLine="1304"/>
        <w:spacing w:after="0" w:line="275" w:lineRule="auto"/>
        <w:tabs>
          <w:tab w:leader="none" w:pos="371" w:val="left"/>
        </w:tabs>
        <w:numPr>
          <w:ilvl w:val="0"/>
          <w:numId w:val="139"/>
        </w:numPr>
        <w:rPr>
          <w:rFonts w:ascii="Arial" w:cs="Arial" w:eastAsia="Arial" w:hAnsi="Arial"/>
          <w:sz w:val="17"/>
          <w:szCs w:val="17"/>
          <w:color w:val="auto"/>
        </w:rPr>
      </w:pPr>
      <w:r>
        <w:rPr>
          <w:rFonts w:ascii="Arial" w:cs="Arial" w:eastAsia="Arial" w:hAnsi="Arial"/>
          <w:sz w:val="17"/>
          <w:szCs w:val="17"/>
          <w:color w:val="auto"/>
        </w:rPr>
        <w:t>Subject to paragraph 1 hereof, each of the undersigned acknowledges and agrees that prior to entering into a Business Combination with a target business that is affiliated with any Insiders of the Company or their affiliates, including any company that is a portfolio company of, or otherwise affiliated with, or has received financial investment from, an entity with which any Insider or their affiliates is affiliated, such transaction must be approved by a majority of the Company’s disinterested independent directors and the Company must obtain an opinion from an independent investment banking firm that such Business Combination is fair to the Company’s unaffiliated stockholders from a financial point of view.</w:t>
      </w:r>
    </w:p>
    <w:p>
      <w:pPr>
        <w:spacing w:after="0" w:line="176" w:lineRule="exact"/>
        <w:rPr>
          <w:rFonts w:ascii="Arial" w:cs="Arial" w:eastAsia="Arial" w:hAnsi="Arial"/>
          <w:sz w:val="17"/>
          <w:szCs w:val="17"/>
          <w:color w:val="auto"/>
        </w:rPr>
      </w:pPr>
    </w:p>
    <w:p>
      <w:pPr>
        <w:jc w:val="both"/>
        <w:ind w:left="-1120" w:firstLine="1304"/>
        <w:spacing w:after="0" w:line="296" w:lineRule="auto"/>
        <w:tabs>
          <w:tab w:leader="none" w:pos="3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None of the undersigned, nor any respective family member of the undersigned, nor any respective affiliate of the undersigned will be entitled to receive and will not accept any compensation or other cash payment prior to, or for services rendered in connection with, the consummation of the Business Combination, except for any fees paid pursuant to the Business Combination Marketing Agreement by and between the Company and the Representative. Notwithstanding the foregoing, each of the undersigned and any affiliate of the undersigned shall be entitled to reimbursement from the Company for their out-of-pocket expenses incurred in connection with identifying, investigating and consummating a Business Combination.</w:t>
      </w:r>
    </w:p>
    <w:p>
      <w:pPr>
        <w:spacing w:after="0" w:line="161" w:lineRule="exact"/>
        <w:rPr>
          <w:rFonts w:ascii="Arial" w:cs="Arial" w:eastAsia="Arial" w:hAnsi="Arial"/>
          <w:sz w:val="16"/>
          <w:szCs w:val="16"/>
          <w:color w:val="auto"/>
        </w:rPr>
      </w:pPr>
    </w:p>
    <w:p>
      <w:pPr>
        <w:jc w:val="both"/>
        <w:ind w:left="-1120" w:firstLine="1304"/>
        <w:spacing w:after="0" w:line="263" w:lineRule="auto"/>
        <w:tabs>
          <w:tab w:leader="none" w:pos="3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None of the undersigned, nor any respective family member of the undersigned, nor any respective affiliate of the undersigned will be entitled to receive or accept a finder’s fee or any other compensation in the event any of the undersigned, any respective family member of the undersigned or any respective affiliate of the undersigned originates a Business Combination.</w:t>
      </w:r>
    </w:p>
    <w:p>
      <w:pPr>
        <w:spacing w:after="0" w:line="399" w:lineRule="exact"/>
        <w:rPr>
          <w:rFonts w:ascii="Arial" w:cs="Arial" w:eastAsia="Arial" w:hAnsi="Arial"/>
          <w:sz w:val="18"/>
          <w:szCs w:val="18"/>
          <w:color w:val="auto"/>
        </w:rPr>
      </w:pPr>
    </w:p>
    <w:p>
      <w:pPr>
        <w:ind w:left="4460" w:hanging="99"/>
        <w:spacing w:after="0"/>
        <w:tabs>
          <w:tab w:leader="none" w:pos="446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3" w:name="page254"/>
    <w:bookmarkEnd w:id="253"/>
    <w:p>
      <w:pPr>
        <w:jc w:val="both"/>
        <w:ind w:left="-656" w:firstLine="1304"/>
        <w:spacing w:after="0" w:line="272" w:lineRule="auto"/>
        <w:tabs>
          <w:tab w:leader="none" w:pos="918" w:val="left"/>
        </w:tabs>
        <w:numPr>
          <w:ilvl w:val="1"/>
          <w:numId w:val="140"/>
        </w:numPr>
        <w:rPr>
          <w:rFonts w:ascii="Arial" w:cs="Arial" w:eastAsia="Arial" w:hAnsi="Arial"/>
          <w:sz w:val="17"/>
          <w:szCs w:val="17"/>
          <w:color w:val="auto"/>
        </w:rPr>
      </w:pPr>
      <w:r>
        <w:rPr>
          <w:rFonts w:ascii="Arial" w:cs="Arial" w:eastAsia="Arial" w:hAnsi="Arial"/>
          <w:sz w:val="17"/>
          <w:szCs w:val="17"/>
          <w:color w:val="auto"/>
        </w:rPr>
        <w:t>Each undersigned director/officer agrees to serve the Company in his/her duly appointed role as a director/officer until the earlier of the consummation by the Company of a Business Combination or the liquidation of the Company. Each undersigned director/officer’s biographical information previously furnished to the Company and the Representative is true and accurate in all material respects, does not omit any material information with respect to such undersigned director/officer’s biography, and contains all of the information required to be disclosed pursuant to Item 401 of Regulation S-K, promulgated under the Securities Act of 1933. Each undersigned director/officer’s FINRA Questionnaire and Director and Officer Questionnaire previously furnished to the Company and the Representative is true and accurate in all material respects. Each undersigned director/officer represents and warrants that, except as disclosed in such undersigned director/officer’s Director and Officer Questionnaire:</w:t>
      </w:r>
    </w:p>
    <w:p>
      <w:pPr>
        <w:spacing w:after="0" w:line="177" w:lineRule="exact"/>
        <w:rPr>
          <w:rFonts w:ascii="Arial" w:cs="Arial" w:eastAsia="Arial" w:hAnsi="Arial"/>
          <w:sz w:val="17"/>
          <w:szCs w:val="17"/>
          <w:color w:val="auto"/>
        </w:rPr>
      </w:pPr>
    </w:p>
    <w:p>
      <w:pPr>
        <w:ind w:left="644" w:hanging="644"/>
        <w:spacing w:after="0" w:line="271" w:lineRule="auto"/>
        <w:tabs>
          <w:tab w:leader="none" w:pos="644" w:val="left"/>
        </w:tabs>
        <w:numPr>
          <w:ilvl w:val="0"/>
          <w:numId w:val="141"/>
        </w:numPr>
        <w:rPr>
          <w:rFonts w:ascii="Arial" w:cs="Arial" w:eastAsia="Arial" w:hAnsi="Arial"/>
          <w:sz w:val="17"/>
          <w:szCs w:val="17"/>
          <w:color w:val="auto"/>
        </w:rPr>
      </w:pPr>
      <w:r>
        <w:rPr>
          <w:rFonts w:ascii="Arial" w:cs="Arial" w:eastAsia="Arial" w:hAnsi="Arial"/>
          <w:sz w:val="17"/>
          <w:szCs w:val="17"/>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ind w:left="644" w:hanging="644"/>
        <w:spacing w:after="0" w:line="250" w:lineRule="auto"/>
        <w:tabs>
          <w:tab w:leader="none" w:pos="64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he/she/it has never had a receiver, fiscal agent or similar officer been appointed by a court for his/her/its business or property, or any such partnership;</w:t>
      </w:r>
    </w:p>
    <w:p>
      <w:pPr>
        <w:ind w:left="644" w:hanging="644"/>
        <w:spacing w:after="0"/>
        <w:tabs>
          <w:tab w:leader="none" w:pos="64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he/she/it has never been convicted of fraud in a civil or criminal proceeding;</w:t>
      </w:r>
    </w:p>
    <w:p>
      <w:pPr>
        <w:spacing w:after="0" w:line="9" w:lineRule="exact"/>
        <w:rPr>
          <w:rFonts w:ascii="Arial" w:cs="Arial" w:eastAsia="Arial" w:hAnsi="Arial"/>
          <w:sz w:val="18"/>
          <w:szCs w:val="18"/>
          <w:color w:val="auto"/>
        </w:rPr>
      </w:pPr>
    </w:p>
    <w:p>
      <w:pPr>
        <w:ind w:left="644" w:hanging="644"/>
        <w:spacing w:after="0" w:line="250" w:lineRule="auto"/>
        <w:tabs>
          <w:tab w:leader="none" w:pos="64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he/she/it/ has never been convicted in a criminal proceeding or named the subject of a pending criminal proceeding (excluding traffic violations and minor offenses);</w:t>
      </w:r>
    </w:p>
    <w:p>
      <w:pPr>
        <w:jc w:val="both"/>
        <w:ind w:left="644" w:hanging="644"/>
        <w:spacing w:after="0" w:line="250" w:lineRule="auto"/>
        <w:tabs>
          <w:tab w:leader="none" w:pos="64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(“CFTC”)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3" w:lineRule="exact"/>
        <w:rPr>
          <w:rFonts w:ascii="Arial" w:cs="Arial" w:eastAsia="Arial" w:hAnsi="Arial"/>
          <w:sz w:val="18"/>
          <w:szCs w:val="18"/>
          <w:color w:val="auto"/>
        </w:rPr>
      </w:pPr>
    </w:p>
    <w:p>
      <w:pPr>
        <w:jc w:val="both"/>
        <w:ind w:left="644" w:hanging="644"/>
        <w:spacing w:after="0" w:line="281" w:lineRule="auto"/>
        <w:tabs>
          <w:tab w:leader="none" w:pos="644" w:val="left"/>
        </w:tabs>
        <w:numPr>
          <w:ilvl w:val="0"/>
          <w:numId w:val="141"/>
        </w:numPr>
        <w:rPr>
          <w:rFonts w:ascii="Arial" w:cs="Arial" w:eastAsia="Arial" w:hAnsi="Arial"/>
          <w:sz w:val="16"/>
          <w:szCs w:val="16"/>
          <w:color w:val="auto"/>
        </w:rPr>
      </w:pPr>
      <w:r>
        <w:rPr>
          <w:rFonts w:ascii="Arial" w:cs="Arial" w:eastAsia="Arial" w:hAnsi="Arial"/>
          <w:sz w:val="16"/>
          <w:szCs w:val="16"/>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9(e)</w:t>
      </w:r>
    </w:p>
    <w:p>
      <w:pPr>
        <w:spacing w:after="0" w:line="1" w:lineRule="exact"/>
        <w:rPr>
          <w:rFonts w:ascii="Arial" w:cs="Arial" w:eastAsia="Arial" w:hAnsi="Arial"/>
          <w:sz w:val="16"/>
          <w:szCs w:val="16"/>
          <w:color w:val="auto"/>
        </w:rPr>
      </w:pPr>
    </w:p>
    <w:p>
      <w:pPr>
        <w:ind w:left="644"/>
        <w:spacing w:after="0"/>
        <w:rPr>
          <w:rFonts w:ascii="Arial" w:cs="Arial" w:eastAsia="Arial" w:hAnsi="Arial"/>
          <w:sz w:val="16"/>
          <w:szCs w:val="16"/>
          <w:color w:val="auto"/>
        </w:rPr>
      </w:pPr>
      <w:r>
        <w:rPr>
          <w:rFonts w:ascii="Arial" w:cs="Arial" w:eastAsia="Arial" w:hAnsi="Arial"/>
          <w:sz w:val="18"/>
          <w:szCs w:val="18"/>
          <w:color w:val="auto"/>
        </w:rPr>
        <w:t>(i) above, or to be associated with persons engaged in any such activity;</w:t>
      </w:r>
    </w:p>
    <w:p>
      <w:pPr>
        <w:spacing w:after="0" w:line="9" w:lineRule="exact"/>
        <w:rPr>
          <w:rFonts w:ascii="Arial" w:cs="Arial" w:eastAsia="Arial" w:hAnsi="Arial"/>
          <w:sz w:val="16"/>
          <w:szCs w:val="16"/>
          <w:color w:val="auto"/>
        </w:rPr>
      </w:pPr>
    </w:p>
    <w:p>
      <w:pPr>
        <w:ind w:left="644" w:hanging="644"/>
        <w:spacing w:after="0" w:line="281" w:lineRule="auto"/>
        <w:tabs>
          <w:tab w:leader="none" w:pos="644" w:val="left"/>
        </w:tabs>
        <w:numPr>
          <w:ilvl w:val="0"/>
          <w:numId w:val="141"/>
        </w:numPr>
        <w:rPr>
          <w:rFonts w:ascii="Arial" w:cs="Arial" w:eastAsia="Arial" w:hAnsi="Arial"/>
          <w:sz w:val="16"/>
          <w:szCs w:val="16"/>
          <w:color w:val="auto"/>
        </w:rPr>
      </w:pPr>
      <w:r>
        <w:rPr>
          <w:rFonts w:ascii="Arial" w:cs="Arial" w:eastAsia="Arial" w:hAnsi="Arial"/>
          <w:sz w:val="16"/>
          <w:szCs w:val="16"/>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1" w:lineRule="exact"/>
        <w:rPr>
          <w:rFonts w:ascii="Arial" w:cs="Arial" w:eastAsia="Arial" w:hAnsi="Arial"/>
          <w:sz w:val="16"/>
          <w:szCs w:val="16"/>
          <w:color w:val="auto"/>
        </w:rPr>
      </w:pPr>
    </w:p>
    <w:p>
      <w:pPr>
        <w:jc w:val="both"/>
        <w:ind w:left="644" w:hanging="644"/>
        <w:spacing w:after="0" w:line="250" w:lineRule="auto"/>
        <w:tabs>
          <w:tab w:leader="none" w:pos="64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1" w:lineRule="exact"/>
        <w:rPr>
          <w:rFonts w:ascii="Arial" w:cs="Arial" w:eastAsia="Arial" w:hAnsi="Arial"/>
          <w:sz w:val="18"/>
          <w:szCs w:val="18"/>
          <w:color w:val="auto"/>
        </w:rPr>
      </w:pPr>
    </w:p>
    <w:p>
      <w:pPr>
        <w:jc w:val="both"/>
        <w:ind w:left="644" w:hanging="644"/>
        <w:spacing w:after="0" w:line="281" w:lineRule="auto"/>
        <w:tabs>
          <w:tab w:leader="none" w:pos="644" w:val="left"/>
        </w:tabs>
        <w:numPr>
          <w:ilvl w:val="0"/>
          <w:numId w:val="141"/>
        </w:numPr>
        <w:rPr>
          <w:rFonts w:ascii="Arial" w:cs="Arial" w:eastAsia="Arial" w:hAnsi="Arial"/>
          <w:sz w:val="16"/>
          <w:szCs w:val="16"/>
          <w:color w:val="auto"/>
        </w:rPr>
      </w:pPr>
      <w:r>
        <w:rPr>
          <w:rFonts w:ascii="Arial" w:cs="Arial" w:eastAsia="Arial" w:hAnsi="Arial"/>
          <w:sz w:val="16"/>
          <w:szCs w:val="16"/>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2" w:lineRule="exact"/>
        <w:rPr>
          <w:rFonts w:ascii="Arial" w:cs="Arial" w:eastAsia="Arial" w:hAnsi="Arial"/>
          <w:sz w:val="16"/>
          <w:szCs w:val="16"/>
          <w:color w:val="auto"/>
        </w:rPr>
      </w:pPr>
    </w:p>
    <w:p>
      <w:pPr>
        <w:jc w:val="both"/>
        <w:ind w:left="644" w:hanging="644"/>
        <w:spacing w:after="0" w:line="255" w:lineRule="auto"/>
        <w:tabs>
          <w:tab w:leader="none" w:pos="64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4924" w:hanging="99"/>
        <w:spacing w:after="0"/>
        <w:tabs>
          <w:tab w:leader="none" w:pos="4924" w:val="left"/>
        </w:tabs>
        <w:numPr>
          <w:ilvl w:val="2"/>
          <w:numId w:val="141"/>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54" w:name="page255"/>
    <w:bookmarkEnd w:id="254"/>
    <w:p>
      <w:pPr>
        <w:jc w:val="both"/>
        <w:ind w:left="644" w:hanging="644"/>
        <w:spacing w:after="0" w:line="255" w:lineRule="auto"/>
        <w:tabs>
          <w:tab w:leader="none" w:pos="64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2" w:lineRule="exact"/>
        <w:rPr>
          <w:rFonts w:ascii="Arial" w:cs="Arial" w:eastAsia="Arial" w:hAnsi="Arial"/>
          <w:sz w:val="18"/>
          <w:szCs w:val="18"/>
          <w:color w:val="auto"/>
        </w:rPr>
      </w:pPr>
    </w:p>
    <w:p>
      <w:pPr>
        <w:jc w:val="both"/>
        <w:ind w:left="644" w:hanging="644"/>
        <w:spacing w:after="0" w:line="281" w:lineRule="auto"/>
        <w:tabs>
          <w:tab w:leader="none" w:pos="64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is based on a violation of any law or regulation that prohibits fraudulent, manipulative, or deceptive conduct;</w:t>
      </w:r>
    </w:p>
    <w:p>
      <w:pPr>
        <w:spacing w:after="0" w:line="2" w:lineRule="exact"/>
        <w:rPr>
          <w:rFonts w:ascii="Arial" w:cs="Arial" w:eastAsia="Arial" w:hAnsi="Arial"/>
          <w:sz w:val="16"/>
          <w:szCs w:val="16"/>
          <w:color w:val="auto"/>
        </w:rPr>
      </w:pPr>
    </w:p>
    <w:p>
      <w:pPr>
        <w:jc w:val="both"/>
        <w:ind w:left="644" w:hanging="644"/>
        <w:spacing w:after="0" w:line="281" w:lineRule="auto"/>
        <w:tabs>
          <w:tab w:leader="none" w:pos="64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2" w:lineRule="exact"/>
        <w:rPr>
          <w:rFonts w:ascii="Arial" w:cs="Arial" w:eastAsia="Arial" w:hAnsi="Arial"/>
          <w:sz w:val="16"/>
          <w:szCs w:val="16"/>
          <w:color w:val="auto"/>
        </w:rPr>
      </w:pPr>
    </w:p>
    <w:p>
      <w:pPr>
        <w:jc w:val="both"/>
        <w:ind w:left="644" w:hanging="644"/>
        <w:spacing w:after="0" w:line="250" w:lineRule="auto"/>
        <w:tabs>
          <w:tab w:leader="none" w:pos="64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 w:lineRule="exact"/>
        <w:rPr>
          <w:rFonts w:ascii="Arial" w:cs="Arial" w:eastAsia="Arial" w:hAnsi="Arial"/>
          <w:sz w:val="18"/>
          <w:szCs w:val="18"/>
          <w:color w:val="auto"/>
        </w:rPr>
      </w:pPr>
    </w:p>
    <w:p>
      <w:pPr>
        <w:jc w:val="both"/>
        <w:ind w:left="644" w:right="20" w:hanging="644"/>
        <w:spacing w:after="0" w:line="250" w:lineRule="auto"/>
        <w:tabs>
          <w:tab w:leader="none" w:pos="64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 w:lineRule="exact"/>
        <w:rPr>
          <w:rFonts w:ascii="Arial" w:cs="Arial" w:eastAsia="Arial" w:hAnsi="Arial"/>
          <w:sz w:val="18"/>
          <w:szCs w:val="18"/>
          <w:color w:val="auto"/>
        </w:rPr>
      </w:pPr>
    </w:p>
    <w:p>
      <w:pPr>
        <w:jc w:val="both"/>
        <w:ind w:left="644" w:hanging="644"/>
        <w:spacing w:after="0" w:line="250" w:lineRule="auto"/>
        <w:tabs>
          <w:tab w:leader="none" w:pos="64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1" w:lineRule="exact"/>
        <w:rPr>
          <w:rFonts w:ascii="Arial" w:cs="Arial" w:eastAsia="Arial" w:hAnsi="Arial"/>
          <w:sz w:val="18"/>
          <w:szCs w:val="18"/>
          <w:color w:val="auto"/>
        </w:rPr>
      </w:pPr>
    </w:p>
    <w:p>
      <w:pPr>
        <w:jc w:val="both"/>
        <w:ind w:left="644" w:hanging="644"/>
        <w:spacing w:after="0" w:line="281" w:lineRule="auto"/>
        <w:tabs>
          <w:tab w:leader="none" w:pos="64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bars such undersigned from: (i) association with an entity regulated by such commission, authority, agency or officer; (ii) engaging in the business of securities, insurance or banking; or (iii) engaging in savings association or credit union activities;</w:t>
      </w:r>
    </w:p>
    <w:p>
      <w:pPr>
        <w:spacing w:after="0" w:line="2" w:lineRule="exact"/>
        <w:rPr>
          <w:rFonts w:ascii="Arial" w:cs="Arial" w:eastAsia="Arial" w:hAnsi="Arial"/>
          <w:sz w:val="16"/>
          <w:szCs w:val="16"/>
          <w:color w:val="auto"/>
        </w:rPr>
      </w:pPr>
    </w:p>
    <w:p>
      <w:pPr>
        <w:jc w:val="both"/>
        <w:ind w:left="644" w:hanging="644"/>
        <w:spacing w:after="0" w:line="250" w:lineRule="auto"/>
        <w:tabs>
          <w:tab w:leader="none" w:pos="64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he/she/it is not subject to an order of the SEC entered pursuant to Section 15(b) or 15B(c) of the Securities Exchange Act of 1934 (the “Exchange Act”) or Section 203(e) or 203(f) of the Investment Advisers Act of 1940 (the “Advisers Act”) that: (i) suspends or revokes such undersigned’s registration as a broker, dealer, municipal securities dealer or investment adviser; (ii) places limitations on the activities, functions or operations of, or imposes civil money penalties on, such person; or (iii) bars such undersigned from being associated with any entity or from participating in the offering of any penny stock; and</w:t>
      </w:r>
    </w:p>
    <w:p>
      <w:pPr>
        <w:spacing w:after="0" w:line="1" w:lineRule="exact"/>
        <w:rPr>
          <w:rFonts w:ascii="Arial" w:cs="Arial" w:eastAsia="Arial" w:hAnsi="Arial"/>
          <w:sz w:val="18"/>
          <w:szCs w:val="18"/>
          <w:color w:val="auto"/>
        </w:rPr>
      </w:pPr>
    </w:p>
    <w:p>
      <w:pPr>
        <w:jc w:val="both"/>
        <w:ind w:left="644" w:hanging="644"/>
        <w:spacing w:after="0" w:line="277" w:lineRule="auto"/>
        <w:tabs>
          <w:tab w:leader="none" w:pos="644" w:val="left"/>
        </w:tabs>
        <w:numPr>
          <w:ilvl w:val="0"/>
          <w:numId w:val="142"/>
        </w:numPr>
        <w:rPr>
          <w:rFonts w:ascii="Arial" w:cs="Arial" w:eastAsia="Arial" w:hAnsi="Arial"/>
          <w:sz w:val="17"/>
          <w:szCs w:val="17"/>
          <w:color w:val="auto"/>
        </w:rPr>
      </w:pPr>
      <w:r>
        <w:rPr>
          <w:rFonts w:ascii="Arial" w:cs="Arial" w:eastAsia="Arial" w:hAnsi="Arial"/>
          <w:sz w:val="17"/>
          <w:szCs w:val="17"/>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73" w:lineRule="exact"/>
        <w:rPr>
          <w:sz w:val="20"/>
          <w:szCs w:val="20"/>
          <w:color w:val="auto"/>
        </w:rPr>
      </w:pPr>
    </w:p>
    <w:p>
      <w:pPr>
        <w:ind w:left="-656" w:firstLine="1304"/>
        <w:spacing w:after="0" w:line="277" w:lineRule="auto"/>
        <w:tabs>
          <w:tab w:leader="none" w:pos="91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Each undersigned director/officer has full right and power, without violating any agreement by which he is bound, to enter into this letter agreement and to serve in his/her designated capacity of the Company, as described in the Registration Statement.</w:t>
      </w:r>
    </w:p>
    <w:p>
      <w:pPr>
        <w:spacing w:after="0" w:line="170" w:lineRule="exact"/>
        <w:rPr>
          <w:rFonts w:ascii="Arial" w:cs="Arial" w:eastAsia="Arial" w:hAnsi="Arial"/>
          <w:sz w:val="18"/>
          <w:szCs w:val="18"/>
          <w:color w:val="auto"/>
        </w:rPr>
      </w:pPr>
    </w:p>
    <w:p>
      <w:pPr>
        <w:jc w:val="both"/>
        <w:ind w:left="-656" w:firstLine="1304"/>
        <w:spacing w:after="0" w:line="257" w:lineRule="auto"/>
        <w:tabs>
          <w:tab w:leader="none" w:pos="91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Each of the undersigned hereby waives his, her or its right to exercise conversion rights with respect to any shares of Common Stock owned or to be owned by him, her or it, directly or indirectly, whether purchased by him, her or it prior to the IPO, in the IPO or in the aftermarket, and agrees that he, she or it will not seek conversion with respect to or otherwise sell, such shares in connection with any vote to approve a Business Combination with respect thereto, a vote to amend the provisions of the Company’s Amended and Restated Certificate of Incorporation, or a tender offer by the Company prior to a Business Combination.</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4924" w:hanging="99"/>
        <w:spacing w:after="0"/>
        <w:tabs>
          <w:tab w:leader="none" w:pos="4924" w:val="left"/>
        </w:tabs>
        <w:numPr>
          <w:ilvl w:val="1"/>
          <w:numId w:val="143"/>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55" w:name="page256"/>
    <w:bookmarkEnd w:id="255"/>
    <w:p>
      <w:pPr>
        <w:jc w:val="both"/>
        <w:ind w:firstLine="1304"/>
        <w:spacing w:after="0" w:line="257" w:lineRule="auto"/>
        <w:tabs>
          <w:tab w:leader="none" w:pos="157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Each of the undersigned hereby agrees to not propose, or vote in favor of, an amendment to the Company’s Amended and Restated Certificate of Incorporation that would affect the substance or timing of the Company’s obligation to redeem the IPO Shares if the Company cannot complete an initial business combination within 12 months (or up to 18 months if such date is extended as described in the prospectus relating to the IPO) unless the Company offers holders of IPO Shares the right to receive their pro rata portion of the funds then held in the Trust Fund upon approval of any such amendment.</w:t>
      </w:r>
    </w:p>
    <w:p>
      <w:pPr>
        <w:spacing w:after="0" w:line="187" w:lineRule="exact"/>
        <w:rPr>
          <w:rFonts w:ascii="Arial" w:cs="Arial" w:eastAsia="Arial" w:hAnsi="Arial"/>
          <w:sz w:val="18"/>
          <w:szCs w:val="18"/>
          <w:color w:val="auto"/>
        </w:rPr>
      </w:pPr>
    </w:p>
    <w:p>
      <w:pPr>
        <w:jc w:val="both"/>
        <w:ind w:firstLine="1304"/>
        <w:spacing w:after="0" w:line="253" w:lineRule="auto"/>
        <w:tabs>
          <w:tab w:leader="none" w:pos="157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connection with Section 5-1401 of the General Obligations Law of the State of New York, this letter agreement shall be governed by, and construed in accordance with, the laws of the State of New York without regard to principles of conflicts of law that would result in the application of the substantive law of another jurisdiction. The parties hereto agree that any action, proceeding or claim arising out of or relating in any way to this letter agreement shall be resolved through final and binding arbitration in accordance with the International Arbitration Rules of the American Arbitration Association (“</w:t>
      </w:r>
      <w:r>
        <w:rPr>
          <w:rFonts w:ascii="Arial" w:cs="Arial" w:eastAsia="Arial" w:hAnsi="Arial"/>
          <w:sz w:val="18"/>
          <w:szCs w:val="18"/>
          <w:b w:val="1"/>
          <w:bCs w:val="1"/>
          <w:i w:val="1"/>
          <w:iCs w:val="1"/>
          <w:color w:val="auto"/>
        </w:rPr>
        <w:t>AAA</w:t>
      </w:r>
      <w:r>
        <w:rPr>
          <w:rFonts w:ascii="Arial" w:cs="Arial" w:eastAsia="Arial" w:hAnsi="Arial"/>
          <w:sz w:val="18"/>
          <w:szCs w:val="18"/>
          <w:color w:val="auto"/>
        </w:rPr>
        <w:t>”). The arbitration shall be brought before the AAA International Center for Dispute Resolution’s offices in New York City, New York, will be conducted in English and will be decided by a panel of three arbitrators selected from the AAA Commercial Disputes Panel and that the arbitrator panel’s decision shall be final and enforceable by any court having jurisdiction over the party from whom enforcement is sought. The cost of such arbitrators and arbitration services, together with the prevailing party’s legal fees and expenses, shall be borne by the non-prevailing party or as otherwise directed by the arbitrators.</w:t>
      </w:r>
    </w:p>
    <w:p>
      <w:pPr>
        <w:spacing w:after="0" w:line="196" w:lineRule="exact"/>
        <w:rPr>
          <w:rFonts w:ascii="Arial" w:cs="Arial" w:eastAsia="Arial" w:hAnsi="Arial"/>
          <w:sz w:val="18"/>
          <w:szCs w:val="18"/>
          <w:color w:val="auto"/>
        </w:rPr>
      </w:pPr>
    </w:p>
    <w:p>
      <w:pPr>
        <w:jc w:val="both"/>
        <w:ind w:firstLine="1304"/>
        <w:spacing w:after="0" w:line="253" w:lineRule="auto"/>
        <w:tabs>
          <w:tab w:leader="none" w:pos="1633"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As used herein, (i)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shall mean a merger, share exchange, asset acquisition, stock purchase, recapitalization, reorganization or other similar business combination with one or more businesses or entities; (ii) “</w:t>
      </w:r>
      <w:r>
        <w:rPr>
          <w:rFonts w:ascii="Arial" w:cs="Arial" w:eastAsia="Arial" w:hAnsi="Arial"/>
          <w:sz w:val="18"/>
          <w:szCs w:val="18"/>
          <w:b w:val="1"/>
          <w:bCs w:val="1"/>
          <w:i w:val="1"/>
          <w:iCs w:val="1"/>
          <w:color w:val="auto"/>
        </w:rPr>
        <w:t>Insiders</w:t>
      </w:r>
      <w:r>
        <w:rPr>
          <w:rFonts w:ascii="Arial" w:cs="Arial" w:eastAsia="Arial" w:hAnsi="Arial"/>
          <w:sz w:val="18"/>
          <w:szCs w:val="18"/>
          <w:color w:val="auto"/>
        </w:rPr>
        <w:t>” shall mean all officers, directors and securityholders of the Company immediately prior to the IPO; (iii) “</w:t>
      </w:r>
      <w:r>
        <w:rPr>
          <w:rFonts w:ascii="Arial" w:cs="Arial" w:eastAsia="Arial" w:hAnsi="Arial"/>
          <w:sz w:val="18"/>
          <w:szCs w:val="18"/>
          <w:b w:val="1"/>
          <w:bCs w:val="1"/>
          <w:i w:val="1"/>
          <w:iCs w:val="1"/>
          <w:color w:val="auto"/>
        </w:rPr>
        <w:t>Insider Shares</w:t>
      </w:r>
      <w:r>
        <w:rPr>
          <w:rFonts w:ascii="Arial" w:cs="Arial" w:eastAsia="Arial" w:hAnsi="Arial"/>
          <w:sz w:val="18"/>
          <w:szCs w:val="18"/>
          <w:color w:val="auto"/>
        </w:rPr>
        <w:t>” shall include all of the shares of Common Stock of the Company acquired by an Insider prior to the IPO and; (iv) “</w:t>
      </w:r>
      <w:r>
        <w:rPr>
          <w:rFonts w:ascii="Arial" w:cs="Arial" w:eastAsia="Arial" w:hAnsi="Arial"/>
          <w:sz w:val="18"/>
          <w:szCs w:val="18"/>
          <w:b w:val="1"/>
          <w:bCs w:val="1"/>
          <w:i w:val="1"/>
          <w:iCs w:val="1"/>
          <w:color w:val="auto"/>
        </w:rPr>
        <w:t>IPO Shares</w:t>
      </w:r>
      <w:r>
        <w:rPr>
          <w:rFonts w:ascii="Arial" w:cs="Arial" w:eastAsia="Arial" w:hAnsi="Arial"/>
          <w:sz w:val="18"/>
          <w:szCs w:val="18"/>
          <w:color w:val="auto"/>
        </w:rPr>
        <w:t>” shall mean the shares of Common Stock issued in the Company’s IPO; (v) “</w:t>
      </w:r>
      <w:r>
        <w:rPr>
          <w:rFonts w:ascii="Arial" w:cs="Arial" w:eastAsia="Arial" w:hAnsi="Arial"/>
          <w:sz w:val="18"/>
          <w:szCs w:val="18"/>
          <w:b w:val="1"/>
          <w:bCs w:val="1"/>
          <w:i w:val="1"/>
          <w:iCs w:val="1"/>
          <w:color w:val="auto"/>
        </w:rPr>
        <w:t>Private Warrants</w:t>
      </w:r>
      <w:r>
        <w:rPr>
          <w:rFonts w:ascii="Arial" w:cs="Arial" w:eastAsia="Arial" w:hAnsi="Arial"/>
          <w:sz w:val="18"/>
          <w:szCs w:val="18"/>
          <w:color w:val="auto"/>
        </w:rPr>
        <w:t>” shall mean the warrants (and the underlying securities) purchased in the private placement taking place simultaneously with the consummation of the Company’s IPO; (vi) “</w:t>
      </w:r>
      <w:r>
        <w:rPr>
          <w:rFonts w:ascii="Arial" w:cs="Arial" w:eastAsia="Arial" w:hAnsi="Arial"/>
          <w:sz w:val="18"/>
          <w:szCs w:val="18"/>
          <w:b w:val="1"/>
          <w:bCs w:val="1"/>
          <w:i w:val="1"/>
          <w:iCs w:val="1"/>
          <w:color w:val="auto"/>
        </w:rPr>
        <w:t>Private Warrant Purchase Agreement</w:t>
      </w:r>
      <w:r>
        <w:rPr>
          <w:rFonts w:ascii="Arial" w:cs="Arial" w:eastAsia="Arial" w:hAnsi="Arial"/>
          <w:sz w:val="18"/>
          <w:szCs w:val="18"/>
          <w:color w:val="auto"/>
        </w:rPr>
        <w:t>” shall mean that certain Private Warrant Purchase Agreement by and between the Company and Holdings to be executed in connection with the IPO; (vii)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the registration statement on Form S-1 filed by the Company with respect to the IPO; and (viii) “</w:t>
      </w:r>
      <w:r>
        <w:rPr>
          <w:rFonts w:ascii="Arial" w:cs="Arial" w:eastAsia="Arial" w:hAnsi="Arial"/>
          <w:sz w:val="18"/>
          <w:szCs w:val="18"/>
          <w:b w:val="1"/>
          <w:bCs w:val="1"/>
          <w:i w:val="1"/>
          <w:iCs w:val="1"/>
          <w:color w:val="auto"/>
        </w:rPr>
        <w:t>Trust Fund</w:t>
      </w:r>
      <w:r>
        <w:rPr>
          <w:rFonts w:ascii="Arial" w:cs="Arial" w:eastAsia="Arial" w:hAnsi="Arial"/>
          <w:sz w:val="18"/>
          <w:szCs w:val="18"/>
          <w:color w:val="auto"/>
        </w:rPr>
        <w:t>” shall mean the trust fund into which a portion of the net proceeds of the Company’s IPO will be deposited.</w:t>
      </w:r>
    </w:p>
    <w:p>
      <w:pPr>
        <w:spacing w:after="0" w:line="196" w:lineRule="exact"/>
        <w:rPr>
          <w:rFonts w:ascii="Arial" w:cs="Arial" w:eastAsia="Arial" w:hAnsi="Arial"/>
          <w:sz w:val="18"/>
          <w:szCs w:val="18"/>
          <w:color w:val="auto"/>
        </w:rPr>
      </w:pPr>
    </w:p>
    <w:p>
      <w:pPr>
        <w:jc w:val="both"/>
        <w:ind w:right="20" w:firstLine="1304"/>
        <w:spacing w:after="0" w:line="263" w:lineRule="auto"/>
        <w:tabs>
          <w:tab w:leader="none" w:pos="158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to the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(646) 465-9039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(which copy shall not constitute notice)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Greenberg Traurig,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Jason T. Simon,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806-6400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Copy (which copy shall not constitute notice)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Ari Edelman,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521-5450</w:t>
      </w:r>
    </w:p>
    <w:p>
      <w:pPr>
        <w:spacing w:after="0" w:line="211" w:lineRule="exact"/>
        <w:rPr>
          <w:sz w:val="20"/>
          <w:szCs w:val="20"/>
          <w:color w:val="auto"/>
        </w:rPr>
      </w:pPr>
    </w:p>
    <w:p>
      <w:pPr>
        <w:jc w:val="both"/>
        <w:ind w:firstLine="1304"/>
        <w:spacing w:after="0" w:line="311" w:lineRule="auto"/>
        <w:tabs>
          <w:tab w:leader="none" w:pos="156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parties hereto and any successors and assigns thereof.</w:t>
      </w:r>
    </w:p>
    <w:p>
      <w:pPr>
        <w:spacing w:after="0" w:line="148" w:lineRule="exact"/>
        <w:rPr>
          <w:rFonts w:ascii="Arial" w:cs="Arial" w:eastAsia="Arial" w:hAnsi="Arial"/>
          <w:sz w:val="16"/>
          <w:szCs w:val="16"/>
          <w:color w:val="auto"/>
        </w:rPr>
      </w:pPr>
    </w:p>
    <w:p>
      <w:pPr>
        <w:jc w:val="both"/>
        <w:ind w:firstLine="1304"/>
        <w:spacing w:after="0" w:line="259" w:lineRule="auto"/>
        <w:tabs>
          <w:tab w:leader="none" w:pos="159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Each of the undersigned acknowledges and understands that the Underwriters and the Company will rely upon the agreements, representations and warranties set forth herein in proceeding with the IPO. Nothing contained herein shall be deemed to render the Underwriters a representative of, or a fiduciary with respect to, the Company, its stockholders or any creditor or vendor of the company with respect to the subject matter hereof.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7" w:name="page258"/>
    <w:bookmarkEnd w:id="257"/>
    <w:p>
      <w:pPr>
        <w:ind w:left="4520"/>
        <w:spacing w:after="0"/>
        <w:rPr>
          <w:sz w:val="20"/>
          <w:szCs w:val="20"/>
          <w:color w:val="auto"/>
        </w:rPr>
      </w:pPr>
      <w:r>
        <w:rPr>
          <w:rFonts w:ascii="Arial" w:cs="Arial" w:eastAsia="Arial" w:hAnsi="Arial"/>
          <w:sz w:val="16"/>
          <w:szCs w:val="16"/>
          <w:color w:val="auto"/>
        </w:rPr>
        <w:t>Print Name of Insider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29210</wp:posOffset>
            </wp:positionV>
            <wp:extent cx="356616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Insider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Agreement is made as of [●], 2021 by and between Chardan NexTech Acquisition 2 Corp. (the “Company”) and Continental Stock Transfer &amp; Trust Company (“Trustee”).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Company’s registration statement on Form S-1, No. 333-254010 (“Registration Statement”) for its initial public offering of securities (“IPO”) has been declared effective as of the date hereof (“Effective Date”) by the Securities and Exchange Commission (capitalized terms used herein and not otherwise defined shall have the meanings set forth in the Registration Statement);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Chardan Capital Markets, LLC (“Chardan”) is acting as the underwriter in the IPO; and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WHEREAS, as described in the Registration Statement, and in accordance with the Company’s Amended and Restated Certificate of Incorporation, $101,500,000 of the gross proceeds of the IPO ($116,725,000 if the over-allotment option is exercised in full) will be delivered to the Trustee to be deposited and held in a trust account for the benefit of the Company and the holders of the Company’s common stock, par value $.0001 per share (“Common Stock”), issued in the IPO as hereinafter provided (the proceeds to be delivered to the Trustee will be referred to herein as the “Property”; the shareholders for whose benefit the Trustee shall hold the Property will be referred to as the “Public Stockholders,” and the Public Stockholders and the Company will be referred to together as the “Beneficiaries”); and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THEREFORE, IT IS AGREED:</w:t>
      </w:r>
    </w:p>
    <w:p>
      <w:pPr>
        <w:spacing w:after="0" w:line="225" w:lineRule="exact"/>
        <w:rPr>
          <w:sz w:val="20"/>
          <w:szCs w:val="20"/>
          <w:color w:val="auto"/>
        </w:rPr>
      </w:pPr>
    </w:p>
    <w:p>
      <w:pPr>
        <w:ind w:left="980" w:hanging="32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51" w:val="left"/>
        </w:tabs>
        <w:numPr>
          <w:ilvl w:val="1"/>
          <w:numId w:val="146"/>
        </w:numPr>
        <w:rPr>
          <w:rFonts w:ascii="Arial" w:cs="Arial" w:eastAsia="Arial" w:hAnsi="Arial"/>
          <w:sz w:val="18"/>
          <w:szCs w:val="18"/>
          <w:color w:val="auto"/>
        </w:rPr>
      </w:pPr>
      <w:r>
        <w:rPr>
          <w:rFonts w:ascii="Arial" w:cs="Arial" w:eastAsia="Arial" w:hAnsi="Arial"/>
          <w:sz w:val="18"/>
          <w:szCs w:val="18"/>
          <w:color w:val="auto"/>
        </w:rPr>
        <w:t>Hold the Property in trust for the Beneficiaries in accordance with the terms of this Agreement in a segregated trust account (“Trust Account”) established by the Trustee at Morgan Stanley in the United States, maintained by Trustee, and at a brokerage institution selected by the Trustee that is reasonably satisfactory to the Company;</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155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In a timely manner, upon the instruction of the Company, invest and reinvest the Property (i) in United States government treasury bills, notes or bonds having a maturity of 180 days or less and/or (ii) in money market funds meeting certain conditions under Rule 2a-7 promulgated under the Investment Company Act of 1940, as amended, and that invest solely in U.S. treasuries, as determined by the Company, it being understood that the Trust Account will earn no interest while the account funds are uninvested awaiting the Company’s instructions hereunder and the Trustee may earn bank credits and other consideration</w:t>
      </w:r>
    </w:p>
    <w:p>
      <w:pPr>
        <w:spacing w:after="0" w:line="187" w:lineRule="exact"/>
        <w:rPr>
          <w:rFonts w:ascii="Arial" w:cs="Arial" w:eastAsia="Arial" w:hAnsi="Arial"/>
          <w:sz w:val="18"/>
          <w:szCs w:val="18"/>
          <w:color w:val="auto"/>
        </w:rPr>
      </w:pPr>
    </w:p>
    <w:p>
      <w:pPr>
        <w:ind w:left="1560" w:hanging="256"/>
        <w:spacing w:after="0"/>
        <w:tabs>
          <w:tab w:leader="none" w:pos="156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Collect and receive, when due, all principal and income arising from the Property, which shall become part of the “Property,” as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 is used herein;</w:t>
      </w:r>
    </w:p>
    <w:p>
      <w:pPr>
        <w:spacing w:after="0" w:line="210" w:lineRule="exact"/>
        <w:rPr>
          <w:rFonts w:ascii="Arial" w:cs="Arial" w:eastAsia="Arial" w:hAnsi="Arial"/>
          <w:sz w:val="16"/>
          <w:szCs w:val="16"/>
          <w:color w:val="auto"/>
        </w:rPr>
      </w:pPr>
    </w:p>
    <w:p>
      <w:pPr>
        <w:ind w:left="1540" w:hanging="236"/>
        <w:spacing w:after="0"/>
        <w:tabs>
          <w:tab w:leader="none" w:pos="154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Notify the Company and Chardan of all communications received by it with respect to any Property requiring action by the Company;</w:t>
      </w:r>
    </w:p>
    <w:p>
      <w:pPr>
        <w:spacing w:after="0" w:line="248" w:lineRule="exact"/>
        <w:rPr>
          <w:rFonts w:ascii="Arial" w:cs="Arial" w:eastAsia="Arial" w:hAnsi="Arial"/>
          <w:sz w:val="16"/>
          <w:szCs w:val="16"/>
          <w:color w:val="auto"/>
        </w:rPr>
      </w:pPr>
    </w:p>
    <w:p>
      <w:pPr>
        <w:ind w:left="1540" w:hanging="236"/>
        <w:spacing w:after="0"/>
        <w:tabs>
          <w:tab w:leader="none" w:pos="154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Supply any necessary information or documents as may be requested by the Company in connection with the Company’s preparation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its tax returns;</w:t>
      </w:r>
    </w:p>
    <w:p>
      <w:pPr>
        <w:spacing w:after="0" w:line="210" w:lineRule="exact"/>
        <w:rPr>
          <w:rFonts w:ascii="Arial" w:cs="Arial" w:eastAsia="Arial" w:hAnsi="Arial"/>
          <w:sz w:val="16"/>
          <w:szCs w:val="16"/>
          <w:color w:val="auto"/>
        </w:rPr>
      </w:pPr>
    </w:p>
    <w:p>
      <w:pPr>
        <w:ind w:firstLine="1304"/>
        <w:spacing w:after="0" w:line="277" w:lineRule="auto"/>
        <w:tabs>
          <w:tab w:leader="none" w:pos="157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9" w:name="page260"/>
    <w:bookmarkEnd w:id="259"/>
    <w:p>
      <w:pPr>
        <w:ind w:left="-656" w:firstLine="1304"/>
        <w:spacing w:after="0" w:line="277" w:lineRule="auto"/>
        <w:tabs>
          <w:tab w:leader="none" w:pos="90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 and</w:t>
      </w:r>
    </w:p>
    <w:p>
      <w:pPr>
        <w:spacing w:after="0" w:line="170" w:lineRule="exact"/>
        <w:rPr>
          <w:rFonts w:ascii="Arial" w:cs="Arial" w:eastAsia="Arial" w:hAnsi="Arial"/>
          <w:sz w:val="18"/>
          <w:szCs w:val="18"/>
          <w:color w:val="auto"/>
        </w:rPr>
      </w:pPr>
    </w:p>
    <w:p>
      <w:pPr>
        <w:jc w:val="both"/>
        <w:ind w:left="-656" w:firstLine="1304"/>
        <w:spacing w:after="0" w:line="290" w:lineRule="auto"/>
        <w:tabs>
          <w:tab w:leader="none" w:pos="858" w:val="left"/>
        </w:tabs>
        <w:numPr>
          <w:ilvl w:val="1"/>
          <w:numId w:val="147"/>
        </w:numPr>
        <w:rPr>
          <w:rFonts w:ascii="Arial" w:cs="Arial" w:eastAsia="Arial" w:hAnsi="Arial"/>
          <w:sz w:val="16"/>
          <w:szCs w:val="16"/>
          <w:color w:val="auto"/>
        </w:rPr>
      </w:pPr>
      <w:r>
        <w:rPr>
          <w:rFonts w:ascii="Arial" w:cs="Arial" w:eastAsia="Arial" w:hAnsi="Arial"/>
          <w:sz w:val="16"/>
          <w:szCs w:val="16"/>
          <w:color w:val="auto"/>
        </w:rPr>
        <w:t>Commence liquidation of the Trust Account only after and promptly after receipt of, and only in accordance with, the terms of a letter (“Termination Letter”), in a form substantially similar to that attached hereto as either Exhibit A or Exhibit B, signed on behalf of the Company by its President, Chief Executive Officer or Chairman of the Board and Secretary or Assistant Secretary and, in the case of a Termination Letter in a form substantially similar to that attached hereto as Exhibit A,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the 12-month anniversary of the closing of the IPO (“Closing”) (or the 18-month anniversary of the Closing if extended in full as described in the prospectus relating to the IPO) (“Last Date”), the Trust Account shall be liquidated in accordance with the procedures set forth in the Termination Letter attached as Exhibit B hereto and distributed to the Public Stockholders as of the Last Date.</w:t>
      </w:r>
    </w:p>
    <w:p>
      <w:pPr>
        <w:spacing w:after="0" w:line="165" w:lineRule="exact"/>
        <w:rPr>
          <w:rFonts w:ascii="Arial" w:cs="Arial" w:eastAsia="Arial" w:hAnsi="Arial"/>
          <w:sz w:val="16"/>
          <w:szCs w:val="16"/>
          <w:color w:val="auto"/>
        </w:rPr>
      </w:pPr>
    </w:p>
    <w:p>
      <w:pPr>
        <w:ind w:left="184" w:hanging="184"/>
        <w:spacing w:after="0"/>
        <w:tabs>
          <w:tab w:leader="none" w:pos="184"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Limited Distributions of Income from Trust Account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4"/>
        <w:spacing w:after="0" w:line="263" w:lineRule="auto"/>
        <w:tabs>
          <w:tab w:leader="none" w:pos="88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Upon written request from the Company, which may be given from time to time in a form substantially similar to that attached hereto as Exhibit C, the Trustee shall distribute to the Company the amount of interest income earned on the Trust Account requested by the Company to cover any income or other tax obligation owed by the Company as a result of such interest income.</w:t>
      </w:r>
    </w:p>
    <w:p>
      <w:pPr>
        <w:spacing w:after="0" w:line="183" w:lineRule="exact"/>
        <w:rPr>
          <w:rFonts w:ascii="Arial" w:cs="Arial" w:eastAsia="Arial" w:hAnsi="Arial"/>
          <w:sz w:val="18"/>
          <w:szCs w:val="18"/>
          <w:color w:val="auto"/>
        </w:rPr>
      </w:pPr>
    </w:p>
    <w:p>
      <w:pPr>
        <w:ind w:left="-656" w:firstLine="1304"/>
        <w:spacing w:after="0" w:line="308" w:lineRule="auto"/>
        <w:tabs>
          <w:tab w:leader="none" w:pos="92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The limited distributions referred to in Section 2(a) above shall be made only from income collected on the Property. Except as provided in Section 2(a) above, no other distributions from the Trust Account shall be permitted except in accordance with Section 1(i) hereof.</w:t>
      </w:r>
    </w:p>
    <w:p>
      <w:pPr>
        <w:spacing w:after="0" w:line="146" w:lineRule="exact"/>
        <w:rPr>
          <w:rFonts w:ascii="Arial" w:cs="Arial" w:eastAsia="Arial" w:hAnsi="Arial"/>
          <w:sz w:val="17"/>
          <w:szCs w:val="17"/>
          <w:color w:val="auto"/>
        </w:rPr>
      </w:pPr>
    </w:p>
    <w:p>
      <w:pPr>
        <w:ind w:left="-656" w:firstLine="1304"/>
        <w:spacing w:after="0" w:line="277" w:lineRule="auto"/>
        <w:tabs>
          <w:tab w:leader="none" w:pos="903"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Company shall provide Chardan with a copy of any Termination Letters and/or any other correspondence that it issues to the Trustee with respect to any proposed withdrawal from the Trust Account promptly after such issuance.</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pacing w:after="0" w:line="225" w:lineRule="exact"/>
        <w:rPr>
          <w:rFonts w:ascii="Arial" w:cs="Arial" w:eastAsia="Arial" w:hAnsi="Arial"/>
          <w:sz w:val="18"/>
          <w:szCs w:val="18"/>
          <w:color w:val="auto"/>
        </w:rPr>
      </w:pPr>
    </w:p>
    <w:p>
      <w:pPr>
        <w:jc w:val="both"/>
        <w:ind w:left="-656" w:firstLine="1304"/>
        <w:spacing w:after="0" w:line="279" w:lineRule="auto"/>
        <w:tabs>
          <w:tab w:leader="none" w:pos="895" w:val="left"/>
        </w:tabs>
        <w:numPr>
          <w:ilvl w:val="1"/>
          <w:numId w:val="148"/>
        </w:numPr>
        <w:rPr>
          <w:rFonts w:ascii="Arial" w:cs="Arial" w:eastAsia="Arial" w:hAnsi="Arial"/>
          <w:sz w:val="17"/>
          <w:szCs w:val="17"/>
          <w:color w:val="auto"/>
        </w:rPr>
      </w:pPr>
      <w:r>
        <w:rPr>
          <w:rFonts w:ascii="Arial" w:cs="Arial" w:eastAsia="Arial" w:hAnsi="Arial"/>
          <w:sz w:val="17"/>
          <w:szCs w:val="17"/>
          <w:color w:val="auto"/>
        </w:rPr>
        <w:t>Give all instructions to the Trustee hereunder in writing, signed by the Company’s Chairman of the Board, Chief Executive Officer, President or Chief Financial Officer. In addition, except with respect to its duties under paragraphs 1(i) and 2(a) above, the Trustee shall be entitled to rely on, and shall be protected in relying on, any verbal or telephonic advice or instruction which it in good faith believes to be given by any one of the persons authorized above to give written instructions, provided that the Company shall promptly confirm such instructions in writing;</w:t>
      </w:r>
    </w:p>
    <w:p>
      <w:pPr>
        <w:spacing w:after="0" w:line="171" w:lineRule="exact"/>
        <w:rPr>
          <w:rFonts w:ascii="Arial" w:cs="Arial" w:eastAsia="Arial" w:hAnsi="Arial"/>
          <w:sz w:val="17"/>
          <w:szCs w:val="17"/>
          <w:color w:val="auto"/>
        </w:rPr>
      </w:pPr>
    </w:p>
    <w:p>
      <w:pPr>
        <w:jc w:val="both"/>
        <w:ind w:left="-656" w:firstLine="1304"/>
        <w:spacing w:after="0" w:line="288" w:lineRule="auto"/>
        <w:tabs>
          <w:tab w:leader="none" w:pos="91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Subject to the provisions of Sections 5 and 7(g) of this Agreement, hold the Trustee harmless and indemnify the Trustee from and against, any and all expenses, including reasonable counsel fees and disbursements, or loss suffered by the Trustee in connection with any claim, potential claim, action, suit or other proceeding brought against the Trustee involving any claim, or in connection with any claim or demand which in any way arises out of or relates to this Agreement, the services of the Trustee hereunder, or the Property or any income earned from investment of the Property, except for expenses and losses resulting from the Trustee’s gross negligence or willful misconduct. Promptly after the receipt by the Trustee of notice of demand or claim or the commencement of any action, suit or proceeding, pursuant to which the Trustee intends to seek indemnification under this paragraph, it shall notify the Company in writing of such claim (hereinafter referred to as the “Indemnified Claim”). The Trustee shall have the right to conduct and manage the defense against such Indemnified Claim, provided, that the Trustee shall obtain the consent of the Company with respect to the selection of counsel, which consent shall not be unreasonably withheld. The Trustee may not agree to settle any Indemnified Claim without the prior written consent of the Company, which consent shall not be unreasonably withheld. The Company may participate in such action with its own counsel;</w:t>
      </w:r>
    </w:p>
    <w:p>
      <w:pPr>
        <w:spacing w:after="0" w:line="168" w:lineRule="exact"/>
        <w:rPr>
          <w:rFonts w:ascii="Arial" w:cs="Arial" w:eastAsia="Arial" w:hAnsi="Arial"/>
          <w:sz w:val="16"/>
          <w:szCs w:val="16"/>
          <w:color w:val="auto"/>
        </w:rPr>
      </w:pPr>
    </w:p>
    <w:p>
      <w:pPr>
        <w:jc w:val="both"/>
        <w:ind w:left="-656" w:firstLine="1304"/>
        <w:spacing w:after="0" w:line="255" w:lineRule="auto"/>
        <w:tabs>
          <w:tab w:leader="none" w:pos="90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Pay the Trustee an initial acceptance fee, an annual fee and a transaction processing fee for each disbursement made pursuant to Section 2(a) as set forth on Schedule A hereto, which fees shall be subject to modification by the parties from time to time. It is expressly understood that the Property shall not be used to pay such fees except for disbursements made to the Company pursuant to Sections 1(i) solely in connection with the consummation of a Business Combination. The Company shall pay the Trustee the initial acceptance fee and first year’s fee at the consummation of the IPO and thereafter on the anniversary of the Effective Date. Except as set forth in this Section 3(c) and Section 3(b) hereof, the Company shall not be responsible for any other fees or charges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422910</wp:posOffset>
            </wp:positionV>
            <wp:extent cx="71323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60" w:name="page261"/>
    <w:bookmarkEnd w:id="260"/>
    <w:p>
      <w:pPr>
        <w:jc w:val="both"/>
        <w:ind w:left="-656" w:firstLine="1304"/>
        <w:spacing w:after="0" w:line="263" w:lineRule="auto"/>
        <w:tabs>
          <w:tab w:leader="none" w:pos="90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In connection with any vote of the Company’s shareholders regarding a Business Combination, provide to the Trustee an affidavit or certificate of a firm regularly engaged in the business of soliciting proxies and/or tabulating shareholder votes verifying the vote of the Company’s shareholders regarding such Business Combination; and</w:t>
      </w:r>
    </w:p>
    <w:p>
      <w:pPr>
        <w:spacing w:after="0" w:line="183" w:lineRule="exact"/>
        <w:rPr>
          <w:rFonts w:ascii="Arial" w:cs="Arial" w:eastAsia="Arial" w:hAnsi="Arial"/>
          <w:sz w:val="18"/>
          <w:szCs w:val="18"/>
          <w:color w:val="auto"/>
        </w:rPr>
      </w:pPr>
    </w:p>
    <w:p>
      <w:pPr>
        <w:ind w:left="-656" w:firstLine="1304"/>
        <w:spacing w:after="0" w:line="277" w:lineRule="auto"/>
        <w:tabs>
          <w:tab w:leader="none" w:pos="919"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In the event that the Company directs the Trustee to commence liquidation of the Trust Account pursuant to Section 1(i), the Company agrees that it will not direct the Trustee to make any payments that are not specifically authorized by this Agreement.</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left="-656" w:firstLine="1304"/>
        <w:spacing w:after="0" w:line="277" w:lineRule="auto"/>
        <w:tabs>
          <w:tab w:leader="none" w:pos="887"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Take any action with respect to the Property, other than as directed in paragraphs 1 and 2 hereof and the Trustee shall have no liability to any party except for liability arising out of its own gross negligence or willful misconduct;</w:t>
      </w:r>
    </w:p>
    <w:p>
      <w:pPr>
        <w:spacing w:after="0" w:line="170" w:lineRule="exact"/>
        <w:rPr>
          <w:rFonts w:ascii="Arial" w:cs="Arial" w:eastAsia="Arial" w:hAnsi="Arial"/>
          <w:sz w:val="18"/>
          <w:szCs w:val="18"/>
          <w:color w:val="auto"/>
        </w:rPr>
      </w:pPr>
    </w:p>
    <w:p>
      <w:pPr>
        <w:jc w:val="both"/>
        <w:ind w:left="-656" w:firstLine="1304"/>
        <w:spacing w:after="0" w:line="263" w:lineRule="auto"/>
        <w:tabs>
          <w:tab w:leader="none" w:pos="90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83" w:lineRule="exact"/>
        <w:rPr>
          <w:rFonts w:ascii="Arial" w:cs="Arial" w:eastAsia="Arial" w:hAnsi="Arial"/>
          <w:sz w:val="18"/>
          <w:szCs w:val="18"/>
          <w:color w:val="auto"/>
        </w:rPr>
      </w:pPr>
    </w:p>
    <w:p>
      <w:pPr>
        <w:ind w:left="884" w:hanging="236"/>
        <w:spacing w:after="0"/>
        <w:tabs>
          <w:tab w:leader="none" w:pos="88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Change the investment of any Property, other than in compliance with paragraph 1(c);</w:t>
      </w:r>
    </w:p>
    <w:p>
      <w:pPr>
        <w:spacing w:after="0" w:line="225" w:lineRule="exact"/>
        <w:rPr>
          <w:rFonts w:ascii="Arial" w:cs="Arial" w:eastAsia="Arial" w:hAnsi="Arial"/>
          <w:sz w:val="18"/>
          <w:szCs w:val="18"/>
          <w:color w:val="auto"/>
        </w:rPr>
      </w:pPr>
    </w:p>
    <w:p>
      <w:pPr>
        <w:ind w:left="904" w:hanging="256"/>
        <w:spacing w:after="0"/>
        <w:tabs>
          <w:tab w:leader="none" w:pos="90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25" w:lineRule="exact"/>
        <w:rPr>
          <w:rFonts w:ascii="Arial" w:cs="Arial" w:eastAsia="Arial" w:hAnsi="Arial"/>
          <w:sz w:val="18"/>
          <w:szCs w:val="18"/>
          <w:color w:val="auto"/>
        </w:rPr>
      </w:pPr>
    </w:p>
    <w:p>
      <w:pPr>
        <w:ind w:left="-656" w:firstLine="1304"/>
        <w:spacing w:after="0" w:line="308" w:lineRule="auto"/>
        <w:tabs>
          <w:tab w:leader="none" w:pos="904" w:val="left"/>
        </w:tabs>
        <w:numPr>
          <w:ilvl w:val="1"/>
          <w:numId w:val="150"/>
        </w:numPr>
        <w:rPr>
          <w:rFonts w:ascii="Arial" w:cs="Arial" w:eastAsia="Arial" w:hAnsi="Arial"/>
          <w:sz w:val="17"/>
          <w:szCs w:val="17"/>
          <w:color w:val="auto"/>
        </w:rPr>
      </w:pPr>
      <w:r>
        <w:rPr>
          <w:rFonts w:ascii="Arial" w:cs="Arial" w:eastAsia="Arial" w:hAnsi="Arial"/>
          <w:sz w:val="17"/>
          <w:szCs w:val="17"/>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46" w:lineRule="exact"/>
        <w:rPr>
          <w:rFonts w:ascii="Arial" w:cs="Arial" w:eastAsia="Arial" w:hAnsi="Arial"/>
          <w:sz w:val="17"/>
          <w:szCs w:val="17"/>
          <w:color w:val="auto"/>
        </w:rPr>
      </w:pPr>
    </w:p>
    <w:p>
      <w:pPr>
        <w:jc w:val="both"/>
        <w:ind w:left="-656" w:firstLine="1304"/>
        <w:spacing w:after="0" w:line="271" w:lineRule="auto"/>
        <w:tabs>
          <w:tab w:leader="none" w:pos="872" w:val="left"/>
        </w:tabs>
        <w:numPr>
          <w:ilvl w:val="1"/>
          <w:numId w:val="150"/>
        </w:numPr>
        <w:rPr>
          <w:rFonts w:ascii="Arial" w:cs="Arial" w:eastAsia="Arial" w:hAnsi="Arial"/>
          <w:sz w:val="17"/>
          <w:szCs w:val="17"/>
          <w:color w:val="auto"/>
        </w:rPr>
      </w:pPr>
      <w:r>
        <w:rPr>
          <w:rFonts w:ascii="Arial" w:cs="Arial" w:eastAsia="Arial" w:hAnsi="Arial"/>
          <w:sz w:val="17"/>
          <w:szCs w:val="17"/>
          <w:color w:val="auto"/>
        </w:rPr>
        <w:t>The other parties hereto or to anyone else for any action taken or omitted by it, or any action suffered by it to be taken or omitted, in good faith and in the exercise of its own best judgment, except for its gross negligence or willful misconduct. The Trustee may rely conclusively and shall be protected in acting upon any order, notice, demand, certificate, opinion or advice of counsel (including counsel chosen by the Trustee), statement, instrument, report or other paper or document (not only as to its due execution and the validity and effectiveness of its provisions, but also as to the truth and acceptability of any information therein contained) which is believed by the Trustee, in good faith,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178" w:lineRule="exact"/>
        <w:rPr>
          <w:rFonts w:ascii="Arial" w:cs="Arial" w:eastAsia="Arial" w:hAnsi="Arial"/>
          <w:sz w:val="17"/>
          <w:szCs w:val="17"/>
          <w:color w:val="auto"/>
        </w:rPr>
      </w:pPr>
    </w:p>
    <w:p>
      <w:pPr>
        <w:ind w:left="-656" w:firstLine="1304"/>
        <w:spacing w:after="0" w:line="277" w:lineRule="auto"/>
        <w:tabs>
          <w:tab w:leader="none" w:pos="90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Verify the correctness of the information set forth in the Registration Statement or to confirm or assure that any acquisition made by the Company or any other action taken by it is as contemplated by the Registration Statement;</w:t>
      </w:r>
    </w:p>
    <w:p>
      <w:pPr>
        <w:spacing w:after="0" w:line="170" w:lineRule="exact"/>
        <w:rPr>
          <w:rFonts w:ascii="Arial" w:cs="Arial" w:eastAsia="Arial" w:hAnsi="Arial"/>
          <w:sz w:val="18"/>
          <w:szCs w:val="18"/>
          <w:color w:val="auto"/>
        </w:rPr>
      </w:pPr>
    </w:p>
    <w:p>
      <w:pPr>
        <w:ind w:left="-656" w:right="20" w:firstLine="1304"/>
        <w:spacing w:after="0" w:line="342" w:lineRule="auto"/>
        <w:tabs>
          <w:tab w:leader="none" w:pos="904" w:val="left"/>
        </w:tabs>
        <w:numPr>
          <w:ilvl w:val="1"/>
          <w:numId w:val="150"/>
        </w:numPr>
        <w:rPr>
          <w:rFonts w:ascii="Arial" w:cs="Arial" w:eastAsia="Arial" w:hAnsi="Arial"/>
          <w:sz w:val="16"/>
          <w:szCs w:val="16"/>
          <w:color w:val="auto"/>
        </w:rPr>
      </w:pPr>
      <w:r>
        <w:rPr>
          <w:rFonts w:ascii="Arial" w:cs="Arial" w:eastAsia="Arial" w:hAnsi="Arial"/>
          <w:sz w:val="16"/>
          <w:szCs w:val="16"/>
          <w:color w:val="auto"/>
        </w:rPr>
        <w:t>File local, state and/or federal tax returns or information returns with any taxing authority on behalf of the Trust Account and payee statements with the Company documenting the taxes, if any, payable by the Company or the Trust Account, relating to the income earned on the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379095</wp:posOffset>
            </wp:positionV>
            <wp:extent cx="713232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61" w:name="page262"/>
    <w:bookmarkEnd w:id="261"/>
    <w:p>
      <w:pPr>
        <w:ind w:left="-656" w:firstLine="1304"/>
        <w:spacing w:after="0" w:line="308" w:lineRule="auto"/>
        <w:tabs>
          <w:tab w:leader="none" w:pos="862" w:val="left"/>
        </w:tabs>
        <w:numPr>
          <w:ilvl w:val="1"/>
          <w:numId w:val="151"/>
        </w:numPr>
        <w:rPr>
          <w:rFonts w:ascii="Arial" w:cs="Arial" w:eastAsia="Arial" w:hAnsi="Arial"/>
          <w:sz w:val="17"/>
          <w:szCs w:val="17"/>
          <w:color w:val="auto"/>
        </w:rPr>
      </w:pPr>
      <w:r>
        <w:rPr>
          <w:rFonts w:ascii="Arial" w:cs="Arial" w:eastAsia="Arial" w:hAnsi="Arial"/>
          <w:sz w:val="17"/>
          <w:szCs w:val="17"/>
          <w:color w:val="auto"/>
        </w:rPr>
        <w:t>Pay any taxes on behalf of the Trust Account (it being expressly understood that the Property shall not be used to pay any such taxes and that such taxes, if any, shall be paid by the Company from funds not held in the Trust Account or released to it under Section 2(a) hereof);</w:t>
      </w:r>
    </w:p>
    <w:p>
      <w:pPr>
        <w:spacing w:after="0" w:line="146" w:lineRule="exact"/>
        <w:rPr>
          <w:rFonts w:ascii="Arial" w:cs="Arial" w:eastAsia="Arial" w:hAnsi="Arial"/>
          <w:sz w:val="17"/>
          <w:szCs w:val="17"/>
          <w:color w:val="auto"/>
        </w:rPr>
      </w:pPr>
    </w:p>
    <w:p>
      <w:pPr>
        <w:ind w:left="-656" w:firstLine="1304"/>
        <w:spacing w:after="0" w:line="277" w:lineRule="auto"/>
        <w:tabs>
          <w:tab w:leader="none" w:pos="87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 and</w:t>
      </w:r>
    </w:p>
    <w:p>
      <w:pPr>
        <w:spacing w:after="0" w:line="170" w:lineRule="exact"/>
        <w:rPr>
          <w:rFonts w:ascii="Arial" w:cs="Arial" w:eastAsia="Arial" w:hAnsi="Arial"/>
          <w:sz w:val="18"/>
          <w:szCs w:val="18"/>
          <w:color w:val="auto"/>
        </w:rPr>
      </w:pPr>
    </w:p>
    <w:p>
      <w:pPr>
        <w:ind w:left="904" w:hanging="256"/>
        <w:spacing w:after="0"/>
        <w:tabs>
          <w:tab w:leader="none" w:pos="904" w:val="left"/>
        </w:tabs>
        <w:numPr>
          <w:ilvl w:val="1"/>
          <w:numId w:val="151"/>
        </w:numPr>
        <w:rPr>
          <w:rFonts w:ascii="Arial" w:cs="Arial" w:eastAsia="Arial" w:hAnsi="Arial"/>
          <w:sz w:val="17"/>
          <w:szCs w:val="17"/>
          <w:color w:val="auto"/>
        </w:rPr>
      </w:pPr>
      <w:r>
        <w:rPr>
          <w:rFonts w:ascii="Arial" w:cs="Arial" w:eastAsia="Arial" w:hAnsi="Arial"/>
          <w:sz w:val="17"/>
          <w:szCs w:val="17"/>
          <w:color w:val="auto"/>
        </w:rPr>
        <w:t>Verify calculations, qualify or otherwise approve Company requests for distributions pursuant to Section 1(i) or 2(a) above.</w:t>
      </w:r>
    </w:p>
    <w:p>
      <w:pPr>
        <w:spacing w:after="0" w:line="236" w:lineRule="exact"/>
        <w:rPr>
          <w:rFonts w:ascii="Arial" w:cs="Arial" w:eastAsia="Arial" w:hAnsi="Arial"/>
          <w:sz w:val="17"/>
          <w:szCs w:val="17"/>
          <w:color w:val="auto"/>
        </w:rPr>
      </w:pPr>
    </w:p>
    <w:p>
      <w:pPr>
        <w:jc w:val="both"/>
        <w:ind w:left="-656" w:firstLine="656"/>
        <w:spacing w:after="0" w:line="257" w:lineRule="auto"/>
        <w:tabs>
          <w:tab w:leader="none" w:pos="172"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Trust Account Waiver</w:t>
      </w:r>
      <w:r>
        <w:rPr>
          <w:rFonts w:ascii="Arial" w:cs="Arial" w:eastAsia="Arial" w:hAnsi="Arial"/>
          <w:sz w:val="18"/>
          <w:szCs w:val="18"/>
          <w:color w:val="auto"/>
        </w:rPr>
        <w:t>. The Trustee has no right of set-off or any right, title, interest or claim of any kind (“Claim”) to, or to any monies in, the Trust Account, and hereby irrevocably waives any Claim to, or to any monies in, the Trust Account that it may have now or in the future. In the event the Trustee has any Claim against the Company under this Agreement, including, without limitation, under Section 3(b) or Section 3(c) hereof, the Trustee shall pursue such Claim solely against the Company and its assets outside the Trust Account and not against the Property or any monies in the Trust Account.</w:t>
      </w:r>
    </w:p>
    <w:p>
      <w:pPr>
        <w:spacing w:after="0" w:line="187" w:lineRule="exact"/>
        <w:rPr>
          <w:rFonts w:ascii="Arial" w:cs="Arial" w:eastAsia="Arial" w:hAnsi="Arial"/>
          <w:sz w:val="18"/>
          <w:szCs w:val="18"/>
          <w:color w:val="auto"/>
        </w:rPr>
      </w:pPr>
    </w:p>
    <w:p>
      <w:pPr>
        <w:ind w:left="184" w:hanging="184"/>
        <w:spacing w:after="0"/>
        <w:tabs>
          <w:tab w:leader="none" w:pos="184"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as follows:</w:t>
      </w:r>
    </w:p>
    <w:p>
      <w:pPr>
        <w:spacing w:after="0" w:line="225" w:lineRule="exact"/>
        <w:rPr>
          <w:rFonts w:ascii="Arial" w:cs="Arial" w:eastAsia="Arial" w:hAnsi="Arial"/>
          <w:sz w:val="18"/>
          <w:szCs w:val="18"/>
          <w:color w:val="auto"/>
        </w:rPr>
      </w:pPr>
    </w:p>
    <w:p>
      <w:pPr>
        <w:jc w:val="both"/>
        <w:ind w:left="-656" w:firstLine="1304"/>
        <w:spacing w:after="0" w:line="271" w:lineRule="auto"/>
        <w:tabs>
          <w:tab w:leader="none" w:pos="886" w:val="left"/>
        </w:tabs>
        <w:numPr>
          <w:ilvl w:val="1"/>
          <w:numId w:val="152"/>
        </w:numPr>
        <w:rPr>
          <w:rFonts w:ascii="Arial" w:cs="Arial" w:eastAsia="Arial" w:hAnsi="Arial"/>
          <w:sz w:val="17"/>
          <w:szCs w:val="17"/>
          <w:color w:val="auto"/>
        </w:rPr>
      </w:pPr>
      <w:r>
        <w:rPr>
          <w:rFonts w:ascii="Arial" w:cs="Arial" w:eastAsia="Arial" w:hAnsi="Arial"/>
          <w:sz w:val="17"/>
          <w:szCs w:val="17"/>
          <w:color w:val="auto"/>
        </w:rPr>
        <w:t>If the Trustee gives written notice to the Company that it desires to resign under this Agreement, the Company shall use its reasonable efforts to locate a successor trustee during which time the Trustee shall act in accordance with this Agreement. At such time that the Company notifies the Trustee that a successor trustee has been appointed by the Company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provided, however, that, in the event that the Company does not locate a successor trustee within ninety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78" w:lineRule="exact"/>
        <w:rPr>
          <w:rFonts w:ascii="Arial" w:cs="Arial" w:eastAsia="Arial" w:hAnsi="Arial"/>
          <w:sz w:val="17"/>
          <w:szCs w:val="17"/>
          <w:color w:val="auto"/>
        </w:rPr>
      </w:pPr>
    </w:p>
    <w:p>
      <w:pPr>
        <w:jc w:val="both"/>
        <w:ind w:left="-656" w:firstLine="1304"/>
        <w:spacing w:after="0" w:line="263" w:lineRule="auto"/>
        <w:tabs>
          <w:tab w:leader="none" w:pos="903"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At such time that the Trustee has completed the liquidation of the Trust Account in accordance with the provisions of paragraph 1(i) hereof, and distributed the Property in accordance with the provisions of the Termination Letter, this Agreement shall terminate except with respect to Paragraph 3(b).</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4"/>
        <w:spacing w:after="0" w:line="293" w:lineRule="auto"/>
        <w:tabs>
          <w:tab w:leader="none" w:pos="894"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information, or of any change in its authorized personnel. In executing funds transfers, the Trustee will rely upon all information supplied to it by the Company, including account names, account numbers and all other identifying information relating to a beneficiary, beneficiary’s bank or intermediary bank. The Trustee shall not be liable for any loss, liability or expense resulting from any error in the information or transmission of the wire.</w:t>
      </w:r>
    </w:p>
    <w:p>
      <w:pPr>
        <w:spacing w:after="0" w:line="164" w:lineRule="exact"/>
        <w:rPr>
          <w:rFonts w:ascii="Arial" w:cs="Arial" w:eastAsia="Arial" w:hAnsi="Arial"/>
          <w:sz w:val="16"/>
          <w:szCs w:val="16"/>
          <w:color w:val="auto"/>
        </w:rPr>
      </w:pPr>
    </w:p>
    <w:p>
      <w:pPr>
        <w:jc w:val="both"/>
        <w:ind w:left="-656" w:firstLine="1304"/>
        <w:spacing w:after="0" w:line="286" w:lineRule="auto"/>
        <w:tabs>
          <w:tab w:leader="none" w:pos="914"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and enforced in accordance with the laws of the State of New York, without giving effect to conflicts of law principles that would result in the application of the substantive laws of another jurisdiction. It may be executed in several original or facsimile counterparts, each one of which shall constitute an original, and together shall constitute but one instrument.</w:t>
      </w:r>
    </w:p>
    <w:p>
      <w:pPr>
        <w:spacing w:after="0" w:line="165" w:lineRule="exact"/>
        <w:rPr>
          <w:rFonts w:ascii="Arial" w:cs="Arial" w:eastAsia="Arial" w:hAnsi="Arial"/>
          <w:sz w:val="17"/>
          <w:szCs w:val="17"/>
          <w:color w:val="auto"/>
        </w:rPr>
      </w:pPr>
    </w:p>
    <w:p>
      <w:pPr>
        <w:jc w:val="both"/>
        <w:ind w:left="-656" w:firstLine="1304"/>
        <w:spacing w:after="0" w:line="255" w:lineRule="auto"/>
        <w:tabs>
          <w:tab w:leader="none" w:pos="913"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This Agreement contains the entire agreement and understanding of the parties hereto with respect to the subject matter hereof. Except for Section 1(i) (which may only be amended with the approval of the holders of a majority of the outstanding shares of Common Stock sold in the IPO), this Agreement or any provision hereof may only be changed, amended or modified by a writing signed by each of the parties hereto; provided, however, that no such change, amendment or modification may be made without the prior written consent of Chardan. As to any claim, cross-claim or counterclaim in any way relating to this Agreement, each party waives the right to trial by jury. The Trustee may require from Company counsel an opinion as to the propriety of any proposed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422910</wp:posOffset>
            </wp:positionV>
            <wp:extent cx="71323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62" w:name="page263"/>
    <w:bookmarkEnd w:id="262"/>
    <w:p>
      <w:pPr>
        <w:ind w:firstLine="1304"/>
        <w:spacing w:after="0" w:line="277" w:lineRule="auto"/>
        <w:tabs>
          <w:tab w:leader="none" w:pos="156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parties hereto consent to the jurisdiction and venue of any state or federal court located in the City of New York, Borough of Manhattan, for purposes of resolving any disputes hereunder.</w:t>
      </w:r>
    </w:p>
    <w:p>
      <w:pPr>
        <w:spacing w:after="0" w:line="170" w:lineRule="exact"/>
        <w:rPr>
          <w:rFonts w:ascii="Arial" w:cs="Arial" w:eastAsia="Arial" w:hAnsi="Arial"/>
          <w:sz w:val="18"/>
          <w:szCs w:val="18"/>
          <w:color w:val="auto"/>
        </w:rPr>
      </w:pPr>
    </w:p>
    <w:p>
      <w:pPr>
        <w:ind w:firstLine="1304"/>
        <w:spacing w:after="0" w:line="342" w:lineRule="auto"/>
        <w:tabs>
          <w:tab w:leader="none" w:pos="1543"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facsimile transmission:</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Continental Stock Transfer &amp; Trust Company</w:t>
      </w:r>
    </w:p>
    <w:p>
      <w:pPr>
        <w:ind w:left="196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Francis Wolf and Celeste Gonzalez</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fwolf@continentalstock.com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cgonzalez@continentalstock.com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17 State Street, Suite 1600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Jonas Grossman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either case with a copy (which copy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17 State Street, Suite 1600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(646) 465-9039</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Ari Edelman, Esq.</w:t>
      </w:r>
    </w:p>
    <w:p>
      <w:pPr>
        <w:spacing w:after="0" w:line="211" w:lineRule="exact"/>
        <w:rPr>
          <w:sz w:val="20"/>
          <w:szCs w:val="20"/>
          <w:color w:val="auto"/>
        </w:rPr>
      </w:pPr>
    </w:p>
    <w:p>
      <w:pPr>
        <w:ind w:left="1520" w:hanging="216"/>
        <w:spacing w:after="0"/>
        <w:tabs>
          <w:tab w:leader="none" w:pos="15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This Agreement may not be assigned by the Trustee without the prior consent of the Company.</w:t>
      </w:r>
    </w:p>
    <w:p>
      <w:pPr>
        <w:spacing w:after="0" w:line="225" w:lineRule="exact"/>
        <w:rPr>
          <w:rFonts w:ascii="Arial" w:cs="Arial" w:eastAsia="Arial" w:hAnsi="Arial"/>
          <w:sz w:val="18"/>
          <w:szCs w:val="18"/>
          <w:color w:val="auto"/>
        </w:rPr>
      </w:pPr>
    </w:p>
    <w:p>
      <w:pPr>
        <w:ind w:firstLine="1304"/>
        <w:spacing w:after="0" w:line="277" w:lineRule="auto"/>
        <w:tabs>
          <w:tab w:leader="none" w:pos="15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Each of the Trustee and the Company hereby represents that it has the full right and power and has been duly authorized to enter into this Agreement and to perform its respective obligations as contemplated hereunder.</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Each of the Company and the Trustee hereby acknowledge that Chardan is a third party beneficiary of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color w:val="auto"/>
        </w:rPr>
        <w:t>IN WITNESS WHEREOF, the parties have duly executed this Investment Management Trust Agreement as of the date first written above.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CONTINENTAL STOCK TRANSFER &amp; TRUST COMPANY, as Trustee</w:t>
      </w:r>
    </w:p>
    <w:p>
      <w:pPr>
        <w:spacing w:after="0" w:line="23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Francis E. Wolf,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[Signature Page to Investment Management Trust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8" w:right="559" w:bottom="1440" w:gutter="0" w:footer="0" w:header="0"/>
        </w:sectPr>
      </w:pPr>
    </w:p>
    <w:bookmarkStart w:id="264" w:name="page265"/>
    <w:bookmarkEnd w:id="264"/>
    <w:p>
      <w:pPr>
        <w:jc w:val="center"/>
        <w:spacing w:after="0"/>
        <w:rPr>
          <w:sz w:val="20"/>
          <w:szCs w:val="20"/>
          <w:color w:val="auto"/>
        </w:rPr>
      </w:pPr>
      <w:r>
        <w:rPr>
          <w:rFonts w:ascii="Arial" w:cs="Arial" w:eastAsia="Arial" w:hAnsi="Arial"/>
          <w:sz w:val="18"/>
          <w:szCs w:val="18"/>
          <w:b w:val="1"/>
          <w:bCs w:val="1"/>
          <w:color w:val="auto"/>
        </w:rPr>
        <w:t>SCHEDULE A</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Fee Item</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Time and method of payment</w:t>
            </w:r>
          </w:p>
        </w:tc>
        <w:tc>
          <w:tcPr>
            <w:tcW w:w="3700" w:type="dxa"/>
            <w:vAlign w:val="bottom"/>
            <w:tcBorders>
              <w:top w:val="single" w:sz="8" w:color="auto"/>
              <w:bottom w:val="single" w:sz="8" w:color="auto"/>
              <w:right w:val="single" w:sz="8" w:color="auto"/>
            </w:tcBorders>
          </w:tcPr>
          <w:p>
            <w:pPr>
              <w:jc w:val="right"/>
              <w:ind w:right="2870"/>
              <w:spacing w:after="0"/>
              <w:rPr>
                <w:sz w:val="20"/>
                <w:szCs w:val="20"/>
                <w:color w:val="auto"/>
              </w:rPr>
            </w:pPr>
            <w:r>
              <w:rPr>
                <w:rFonts w:ascii="Arial" w:cs="Arial" w:eastAsia="Arial" w:hAnsi="Arial"/>
                <w:sz w:val="18"/>
                <w:szCs w:val="18"/>
                <w:b w:val="1"/>
                <w:bCs w:val="1"/>
                <w:color w:val="auto"/>
              </w:rPr>
              <w:t>Amount</w:t>
            </w:r>
          </w:p>
        </w:tc>
      </w:tr>
      <w:tr>
        <w:trPr>
          <w:trHeight w:val="209"/>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Initial acceptance fee</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Initial closing of IPO by wire transfer</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195"/>
        </w:trPr>
        <w:tc>
          <w:tcPr>
            <w:tcW w:w="3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Annual fee</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First year, initial closing of IPO by wire</w:t>
            </w:r>
          </w:p>
        </w:tc>
        <w:tc>
          <w:tcPr>
            <w:tcW w:w="370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transfer; thereafter on the anniversary of the</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effective date of the IPO by wire transfer or</w:t>
            </w: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check</w:t>
            </w:r>
          </w:p>
        </w:tc>
        <w:tc>
          <w:tcPr>
            <w:tcW w:w="3700" w:type="dxa"/>
            <w:vAlign w:val="bottom"/>
            <w:tcBorders>
              <w:bottom w:val="single" w:sz="8" w:color="auto"/>
              <w:right w:val="single" w:sz="8" w:color="auto"/>
            </w:tcBorders>
          </w:tcPr>
          <w:p>
            <w:pPr>
              <w:spacing w:after="0"/>
              <w:rPr>
                <w:sz w:val="20"/>
                <w:szCs w:val="20"/>
                <w:color w:val="auto"/>
              </w:rPr>
            </w:pPr>
          </w:p>
        </w:tc>
      </w:tr>
      <w:tr>
        <w:trPr>
          <w:trHeight w:val="195"/>
        </w:trPr>
        <w:tc>
          <w:tcPr>
            <w:tcW w:w="3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5"/>
              </w:rPr>
              <w:t>Transaction processing fee for disbursements to</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Deduction by Trustee from accumulated income</w:t>
            </w:r>
          </w:p>
        </w:tc>
        <w:tc>
          <w:tcPr>
            <w:tcW w:w="370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r>
      <w:tr>
        <w:trPr>
          <w:trHeight w:val="216"/>
        </w:trPr>
        <w:tc>
          <w:tcPr>
            <w:tcW w:w="3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Company under Section 2</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following disbursement made to Company</w:t>
            </w: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under Section 2</w:t>
            </w:r>
          </w:p>
        </w:tc>
        <w:tc>
          <w:tcPr>
            <w:tcW w:w="3700" w:type="dxa"/>
            <w:vAlign w:val="bottom"/>
            <w:tcBorders>
              <w:bottom w:val="single" w:sz="8" w:color="auto"/>
              <w:right w:val="single" w:sz="8" w:color="auto"/>
            </w:tcBorders>
          </w:tcPr>
          <w:p>
            <w:pPr>
              <w:spacing w:after="0"/>
              <w:rPr>
                <w:sz w:val="20"/>
                <w:szCs w:val="20"/>
                <w:color w:val="auto"/>
              </w:rPr>
            </w:pPr>
          </w:p>
        </w:tc>
      </w:tr>
      <w:tr>
        <w:trPr>
          <w:trHeight w:val="195"/>
        </w:trPr>
        <w:tc>
          <w:tcPr>
            <w:tcW w:w="3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9"/>
              </w:rPr>
              <w:t>Paying Agent services as required pursuant to</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Billed to Company upon delivery of service</w:t>
            </w:r>
          </w:p>
        </w:tc>
        <w:tc>
          <w:tcPr>
            <w:tcW w:w="370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Market Rate</w:t>
            </w:r>
          </w:p>
        </w:tc>
      </w:tr>
      <w:tr>
        <w:trPr>
          <w:trHeight w:val="23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1(i)</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pursuant to section 1(i)</w:t>
            </w:r>
          </w:p>
        </w:tc>
        <w:tc>
          <w:tcPr>
            <w:tcW w:w="3700" w:type="dxa"/>
            <w:vAlign w:val="bottom"/>
            <w:tcBorders>
              <w:bottom w:val="single" w:sz="8" w:color="auto"/>
              <w:right w:val="single" w:sz="8" w:color="auto"/>
            </w:tcBorders>
          </w:tcPr>
          <w:p>
            <w:pPr>
              <w:spacing w:after="0"/>
              <w:rPr>
                <w:sz w:val="20"/>
                <w:szCs w:val="20"/>
                <w:color w:val="auto"/>
              </w:rPr>
            </w:pPr>
          </w:p>
        </w:tc>
      </w:tr>
      <w:tr>
        <w:trPr>
          <w:trHeight w:val="668"/>
        </w:trPr>
        <w:tc>
          <w:tcPr>
            <w:tcW w:w="38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 [●]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Pursuant to paragraph 1(i) of the Investment Management Trust Agreement between Chardan NexTech Acquisition 2 Corp. (“Company”) and Continental Stock Transfer &amp; Trust Company (“Trustee”), dated as of [●], 2021 (“Trust Agreement”), this is to advise you that the Company has entered into an agreement with [●] (“Target Business”) to consummate a business combination with Target Business (“Business Combination”) on or about </w:t>
      </w:r>
      <w:r>
        <w:rPr>
          <w:rFonts w:ascii="Arial" w:cs="Arial" w:eastAsia="Arial" w:hAnsi="Arial"/>
          <w:sz w:val="17"/>
          <w:szCs w:val="17"/>
          <w:b w:val="1"/>
          <w:bCs w:val="1"/>
          <w:color w:val="auto"/>
        </w:rPr>
        <w:t>[insert</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The Company shall notify you at least 48 hours in advance of the actual date of the consummation of the Business Combination (“Consummation</w:t>
      </w:r>
      <w:r>
        <w:rPr>
          <w:rFonts w:ascii="Arial" w:cs="Arial" w:eastAsia="Arial" w:hAnsi="Arial"/>
          <w:sz w:val="17"/>
          <w:szCs w:val="17"/>
          <w:b w:val="1"/>
          <w:bCs w:val="1"/>
          <w:color w:val="auto"/>
        </w:rPr>
        <w:t xml:space="preserve"> </w:t>
      </w:r>
      <w:r>
        <w:rPr>
          <w:rFonts w:ascii="Arial" w:cs="Arial" w:eastAsia="Arial" w:hAnsi="Arial"/>
          <w:sz w:val="17"/>
          <w:szCs w:val="17"/>
          <w:color w:val="auto"/>
        </w:rPr>
        <w:t>Date”). Capitalized terms used herein and not otherwise defined shall have the meanings set forth in the Trust Agreement.</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accordance with the terms of the Trust Agreement, we hereby authorize you to liquidate the Trust Account investments on [●] and to transfer the proceeds to the above-referenced account at [•] to the effect that, on the Consummation Date, all of funds held in the Trust Account will be immediately available for transfer to the account or accounts that the Company shall direct on the Consummation Date. It is acknowledged and agreed that while the funds are on deposit in the trust operating account at Morgan Stanley awaiting distribution, the Company will not earn any interest or dividends.</w:t>
      </w:r>
    </w:p>
    <w:p>
      <w:pPr>
        <w:spacing w:after="0" w:line="15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the Consummation Date (i) counsel for the Company shall deliver to you written notification that the Business Combination has been consummated and (ii) the Company shall deliver to you (a) [an affidavit] [a certificate] of [●], which verifies the vote of the Company’s shareholders in connection with the Business Combination if a vote is held and (b) joint written instructions from the Company and Chardan Capital Markets LLC with respect to the transfer of the funds held in the Trust Account (“Instruction Letter”). You are hereby directed and authorized to transfer the funds held in the Trust Account immediately upon your receipt of the counsel’s letter and the Instruction Letter, in accordance with the terms of the Instruction Letter. In the event that certain deposits held in the Trust Account may not be liquidated by the Consummation Date without penalty, you will notify the Company of the same and the Company shall direct you as to whether such funds should remain in the Trust Account and distributed after the Consummation Date to the Company. Upon the distribution of all the funds in the Trust Account pursuant to the terms hereof, the Trust Agreement shall be terminated.</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the Trust Agreement on the business day immediately following the Consummation Date as set forth in the notice.</w:t>
      </w:r>
    </w:p>
    <w:p>
      <w:pPr>
        <w:spacing w:after="0" w:line="1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Jonas Grossman, Chief Executive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6" w:name="page267"/>
    <w:bookmarkEnd w:id="266"/>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[Letterhead of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19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 [●]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paragraph 1(i) of the Investment Management Trust Agreement between Chardan NexTech Acquisition 2 Corp. (“Company”) and Continental Stock Transfer &amp; Trust Company (“Trustee”), dated as of [●], 2021 (“Trust Agreement”), this is to advise you that the Company has been unable to effect a Business Combination with a Target Company within the time frame specified in the Company’s Amended and Restated Certificate of Incorporation, as described in the Company’s prospectus relating to its IPO. Capitalized terms used herein and not otherwise defined shall have the meanings set forth in the Trust Agreement.</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the terms of the Trust Agreement, we hereby authorize you to liquidate all the Trust Account investments on [●] and to transfer the total proceeds to the Trust Checking Account at [•] to await distribution to the Public Stockholders. The Company has selected [●] as the effective date for the purpose of determining when the Public Stockholders will be entitled to receive their share of the liquidation proceeds. It is acknowledged that no interest will be earned by the Company on the liquidation proceeds while on deposit in the Trust Checking Account. You agree to be the Paying Agent of record and in your separate capacity as Paying Agent, to distribute said funds directly to the Public Stockholders in accordance with the terms of the Trust Agreement and the Amended and Restated Certificate of Incorporation of the Company. Upon the distribution of all the funds in the Trust Account, your obligations under the Trust Agreement shall be terminated.</w:t>
      </w:r>
    </w:p>
    <w:p>
      <w:pPr>
        <w:spacing w:after="0" w:line="17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Jonas Grossman, 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7" w:name="page268"/>
    <w:bookmarkEnd w:id="267"/>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[Letterhead of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 [●] Withdrawal Instructions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Pursuant to paragraph 2(a) of the Investment Management Trust Agreement between Chardan NexTech Acquisition 2 Corp. (“Company”) and Continental Stock Transfer &amp; Trust Company (“Trustee”), dated as of [●], 2021 (“Trust Agreement”), the Company hereby requests that you deliver to the Company $[●] of the interest income earned on the Property as of the date hereof. The Company needs such funds to pay for its tax obligations as a result of such interest income. In accordance with the terms of the Trust Agreement, you are hereby directed and authorized to transfer (via wire transfer) such funds promptly upon your receipt of this letter to the Company’s operating account at: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[WIRE INSTRUCTION INFORMATION]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Jonas Grossman, Chief Executive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entered into as of the [●] day of [●], 2021, by and among Chardan NexTech Acquisition 2 Corp.,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the undersigned parties listed under Investor on the signature page hereto (each, an “Investor” and collectively, the “</w:t>
      </w:r>
      <w:r>
        <w:rPr>
          <w:rFonts w:ascii="Arial" w:cs="Arial" w:eastAsia="Arial" w:hAnsi="Arial"/>
          <w:sz w:val="18"/>
          <w:szCs w:val="18"/>
          <w:b w:val="1"/>
          <w:bCs w:val="1"/>
          <w:u w:val="single" w:color="auto"/>
          <w:color w:val="auto"/>
        </w:rPr>
        <w:t>Investors</w:t>
      </w:r>
      <w:r>
        <w:rPr>
          <w:rFonts w:ascii="Arial" w:cs="Arial" w:eastAsia="Arial" w:hAnsi="Arial"/>
          <w:sz w:val="18"/>
          <w:szCs w:val="18"/>
          <w:color w:val="auto"/>
        </w:rPr>
        <w:t>”).</w:t>
      </w:r>
    </w:p>
    <w:p>
      <w:pPr>
        <w:spacing w:after="0" w:line="18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Investors and the Company desire to enter into this Agreement to provide the Investors with certain rights relating to the registration of the securities held by them as of the date 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capitalized terms used herein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Agreement, as amended, restated, supplemented, or otherwise modified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Combination</w:t>
      </w:r>
      <w:r>
        <w:rPr>
          <w:rFonts w:ascii="Arial" w:cs="Arial" w:eastAsia="Arial" w:hAnsi="Arial"/>
          <w:sz w:val="18"/>
          <w:szCs w:val="18"/>
          <w:color w:val="auto"/>
        </w:rPr>
        <w:t>” means the acquisition of direct or indirect ownership through a merger, share exchange, asset acquisition, share purchase, recapitalization, reorganization or other similar type of transaction, of one or more businesses or entities.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means the Securities and Exchange Commission, or any other Federal agency then administering the Securities Act or the Exchange 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common stock, par value $0.0001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 Registration</w:t>
      </w:r>
      <w:r>
        <w:rPr>
          <w:rFonts w:ascii="Arial" w:cs="Arial" w:eastAsia="Arial" w:hAnsi="Arial"/>
          <w:sz w:val="18"/>
          <w:szCs w:val="18"/>
          <w:color w:val="auto"/>
        </w:rPr>
        <w:t>” is defined in Section 2.1.1.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Demanding Holder</w:t>
      </w:r>
      <w:r>
        <w:rPr>
          <w:rFonts w:ascii="Arial" w:cs="Arial" w:eastAsia="Arial" w:hAnsi="Arial"/>
          <w:sz w:val="18"/>
          <w:szCs w:val="18"/>
          <w:color w:val="auto"/>
        </w:rPr>
        <w:t>” is defined in Section 2.1.1.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and the rules and regulations of the Commission promulgated thereunder, all as the same shall be in effect at the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S-3</w:t>
      </w:r>
      <w:r>
        <w:rPr>
          <w:rFonts w:ascii="Arial" w:cs="Arial" w:eastAsia="Arial" w:hAnsi="Arial"/>
          <w:sz w:val="18"/>
          <w:szCs w:val="18"/>
          <w:color w:val="auto"/>
        </w:rPr>
        <w:t>” is defined in Section 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Party</w:t>
      </w:r>
      <w:r>
        <w:rPr>
          <w:rFonts w:ascii="Arial" w:cs="Arial" w:eastAsia="Arial" w:hAnsi="Arial"/>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Indemnifying Party</w:t>
      </w:r>
      <w:r>
        <w:rPr>
          <w:rFonts w:ascii="Arial" w:cs="Arial" w:eastAsia="Arial" w:hAnsi="Arial"/>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Initial Shares</w:t>
      </w:r>
      <w:r>
        <w:rPr>
          <w:rFonts w:ascii="Arial" w:cs="Arial" w:eastAsia="Arial" w:hAnsi="Arial"/>
          <w:sz w:val="16"/>
          <w:szCs w:val="16"/>
          <w:color w:val="auto"/>
        </w:rPr>
        <w:t>” means all of the outstanding shares of Common Stock issued prior to the consummation of the Company’s initial public offering.</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 Indemnified Party</w:t>
      </w:r>
      <w:r>
        <w:rPr>
          <w:rFonts w:ascii="Arial" w:cs="Arial" w:eastAsia="Arial" w:hAnsi="Arial"/>
          <w:sz w:val="18"/>
          <w:szCs w:val="18"/>
          <w:color w:val="auto"/>
        </w:rPr>
        <w:t>” is defined in Section 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Number of Shares</w:t>
      </w:r>
      <w:r>
        <w:rPr>
          <w:rFonts w:ascii="Arial" w:cs="Arial" w:eastAsia="Arial" w:hAnsi="Arial"/>
          <w:sz w:val="18"/>
          <w:szCs w:val="18"/>
          <w:color w:val="auto"/>
        </w:rPr>
        <w:t>” is defined in Section 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9" w:name="page270"/>
    <w:bookmarkEnd w:id="26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is defined in Section 6.3.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 is defined in Section 2.2.1.</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Private Warrants</w:t>
      </w:r>
      <w:r>
        <w:rPr>
          <w:rFonts w:ascii="Arial" w:cs="Arial" w:eastAsia="Arial" w:hAnsi="Arial"/>
          <w:sz w:val="17"/>
          <w:szCs w:val="17"/>
          <w:color w:val="auto"/>
        </w:rPr>
        <w:t>” means the 4,200,000 (or up to 4,442,183 depending on the extent to which the Underwriters’ overallotment option is exercised) Warrants the Investors are privately purchasing simultaneously with the consummation of the Company’s initial public offering.</w:t>
      </w:r>
    </w:p>
    <w:p>
      <w:pPr>
        <w:spacing w:after="0" w:line="14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Register</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Registered</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Registration</w:t>
      </w:r>
      <w:r>
        <w:rPr>
          <w:rFonts w:ascii="Arial" w:cs="Arial" w:eastAsia="Arial" w:hAnsi="Arial"/>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Registrable Securities</w:t>
      </w:r>
      <w:r>
        <w:rPr>
          <w:rFonts w:ascii="Arial" w:cs="Arial" w:eastAsia="Arial" w:hAnsi="Arial"/>
          <w:sz w:val="16"/>
          <w:szCs w:val="16"/>
          <w:color w:val="auto"/>
        </w:rPr>
        <w:t>” means (i) the Initial Shares and (ii) the Private Warrants (and underlying shares of Common Stock). Registrable Securities include any warrants, shares of capital stock or other securities of the Company issued as a dividend or other distribution with respect to or in exchange for or in replacement of such Initial Shares and Private Warrants (and underlying shares of Common Stock).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(c) such securities shall have ceased to be outstanding, or (d) the Registrable Securities are freely saleable under Rule 144 without volume limitations.</w:t>
      </w:r>
    </w:p>
    <w:p>
      <w:pPr>
        <w:spacing w:after="0" w:line="15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 Statement</w:t>
      </w:r>
      <w:r>
        <w:rPr>
          <w:rFonts w:ascii="Arial" w:cs="Arial" w:eastAsia="Arial" w:hAnsi="Arial"/>
          <w:sz w:val="17"/>
          <w:szCs w:val="17"/>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Release Date</w:t>
      </w:r>
      <w:r>
        <w:rPr>
          <w:rFonts w:ascii="Arial" w:cs="Arial" w:eastAsia="Arial" w:hAnsi="Arial"/>
          <w:sz w:val="18"/>
          <w:szCs w:val="18"/>
          <w:color w:val="auto"/>
        </w:rPr>
        <w:t>” means the date on which the Initial Shares are disbursed from escrow pursuant to Section 3 of that certain Stock Escrow Agreement dated as of [●], 2021 by and among the Investors and Continental Stock Transfer &amp; Trust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and the rules and regulations of the Commission promulgated thereunder, all as the same shall be in effect at the time.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Units</w:t>
      </w:r>
      <w:r>
        <w:rPr>
          <w:rFonts w:ascii="Arial" w:cs="Arial" w:eastAsia="Arial" w:hAnsi="Arial"/>
          <w:sz w:val="18"/>
          <w:szCs w:val="18"/>
          <w:color w:val="auto"/>
        </w:rPr>
        <w:t>” means the units of the Company, each comprised of one share of Common Stock and one Warrant entitling the holder to purchase one-half of one share of Common Stock.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Warrant(s)</w:t>
      </w:r>
      <w:r>
        <w:rPr>
          <w:rFonts w:ascii="Arial" w:cs="Arial" w:eastAsia="Arial" w:hAnsi="Arial"/>
          <w:sz w:val="18"/>
          <w:szCs w:val="18"/>
          <w:color w:val="auto"/>
        </w:rPr>
        <w:t>” means the warrants of the Company.</w:t>
      </w:r>
    </w:p>
    <w:p>
      <w:pPr>
        <w:spacing w:after="0" w:line="229" w:lineRule="exact"/>
        <w:rPr>
          <w:sz w:val="20"/>
          <w:szCs w:val="20"/>
          <w:color w:val="auto"/>
        </w:rPr>
      </w:pPr>
    </w:p>
    <w:p>
      <w:pPr>
        <w:ind w:left="840" w:hanging="184"/>
        <w:spacing w:after="0"/>
        <w:tabs>
          <w:tab w:leader="none" w:pos="84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87"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At any time and from time to time on or after (i) the date that the Company consummates a Business Combination with respect to the Private Warrants or (ii) three months prior to the Release Date with respect to all other Registrable Securities, but prior to the five-year anniversary of the effective date of the Company’s Form S-1 Registration Statement (File No. 333-254010) (the “</w:t>
      </w:r>
      <w:r>
        <w:rPr>
          <w:rFonts w:ascii="Arial" w:cs="Arial" w:eastAsia="Arial" w:hAnsi="Arial"/>
          <w:sz w:val="16"/>
          <w:szCs w:val="16"/>
          <w:b w:val="1"/>
          <w:bCs w:val="1"/>
          <w:u w:val="single" w:color="auto"/>
          <w:color w:val="auto"/>
        </w:rPr>
        <w:t>Effective Date</w:t>
      </w:r>
      <w:r>
        <w:rPr>
          <w:rFonts w:ascii="Arial" w:cs="Arial" w:eastAsia="Arial" w:hAnsi="Arial"/>
          <w:sz w:val="16"/>
          <w:szCs w:val="16"/>
          <w:color w:val="auto"/>
        </w:rPr>
        <w:t>”), the holders of a majority-in-interest of the Initial Shares, may make a written demand for registration under the Securities Act of all or part of their Private Warrants or other Registrable Securities, as the case may be (a “</w:t>
      </w:r>
      <w:r>
        <w:rPr>
          <w:rFonts w:ascii="Arial" w:cs="Arial" w:eastAsia="Arial" w:hAnsi="Arial"/>
          <w:sz w:val="16"/>
          <w:szCs w:val="16"/>
          <w:b w:val="1"/>
          <w:bCs w:val="1"/>
          <w:u w:val="single" w:color="auto"/>
          <w:color w:val="auto"/>
        </w:rPr>
        <w:t>Demand Registration</w:t>
      </w:r>
      <w:r>
        <w:rPr>
          <w:rFonts w:ascii="Arial" w:cs="Arial" w:eastAsia="Arial" w:hAnsi="Arial"/>
          <w:sz w:val="16"/>
          <w:szCs w:val="16"/>
          <w:color w:val="auto"/>
        </w:rPr>
        <w:t>”). Any demand for a Demand Registration shall specify the number of shares of Registrable Securities proposed to be sold and the intended method(s) of distribution thereof. The Company will notify all holders of Registrable Securities of the demand, and each holder of Registrable Securities who wishes to include all or a portion of such holder’s Registrable Securities in the Demand Registration (each such holder including shares of Registrable Securities in such registration, a “</w:t>
      </w:r>
      <w:r>
        <w:rPr>
          <w:rFonts w:ascii="Arial" w:cs="Arial" w:eastAsia="Arial" w:hAnsi="Arial"/>
          <w:sz w:val="16"/>
          <w:szCs w:val="16"/>
          <w:b w:val="1"/>
          <w:bCs w:val="1"/>
          <w:u w:val="single" w:color="auto"/>
          <w:color w:val="auto"/>
        </w:rPr>
        <w:t>Demanding Holder</w:t>
      </w:r>
      <w:r>
        <w:rPr>
          <w:rFonts w:ascii="Arial" w:cs="Arial" w:eastAsia="Arial" w:hAnsi="Arial"/>
          <w:sz w:val="16"/>
          <w:szCs w:val="16"/>
          <w:color w:val="auto"/>
        </w:rPr>
        <w:t>”) shall so notify the Company within fifteen (15) days after the receipt by the holder of the notice from the Company. Upon any such request, the Demanding Holders shall be entitled to have their Registrable Securities included in the Demand Registration, subject to Section 2.1.4 and the provisos set forth in Section 3.1.1. The Company shall not be obligated to effect more than one (1) Demand Registration under this Section 2.1.1 in respect of all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0" w:name="page271"/>
    <w:bookmarkEnd w:id="270"/>
    <w:p>
      <w:pPr>
        <w:jc w:val="both"/>
        <w:ind w:firstLine="1944"/>
        <w:spacing w:after="0" w:line="271"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178"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If a majority-in-interest of the Demanding Holders so elect and such holders so advise the Company as part of their written demand for a Demand Registration, the offering of such Registrable Securities pursuant to such Demand Registration shall be in the form of an underwritten offering.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a majority-in-interest of the holders initiating the Demand Registration.</w:t>
      </w:r>
    </w:p>
    <w:p>
      <w:pPr>
        <w:spacing w:after="0" w:line="195"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Offering</w:t>
      </w:r>
      <w:r>
        <w:rPr>
          <w:rFonts w:ascii="Arial" w:cs="Arial" w:eastAsia="Arial" w:hAnsi="Arial"/>
          <w:sz w:val="16"/>
          <w:szCs w:val="16"/>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shares of Common Stock or other securities which the Company desires to sell and the shares of Common Stock,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6"/>
          <w:szCs w:val="16"/>
          <w:b w:val="1"/>
          <w:bCs w:val="1"/>
          <w:u w:val="single" w:color="auto"/>
          <w:color w:val="auto"/>
        </w:rPr>
        <w:t>Maximum Number of Shares</w:t>
      </w:r>
      <w:r>
        <w:rPr>
          <w:rFonts w:ascii="Arial" w:cs="Arial" w:eastAsia="Arial" w:hAnsi="Arial"/>
          <w:sz w:val="16"/>
          <w:szCs w:val="16"/>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Arial" w:cs="Arial" w:eastAsia="Arial" w:hAnsi="Arial"/>
          <w:sz w:val="16"/>
          <w:szCs w:val="16"/>
          <w:b w:val="1"/>
          <w:bCs w:val="1"/>
          <w:u w:val="single" w:color="auto"/>
          <w:color w:val="auto"/>
        </w:rPr>
        <w:t>Pro Rata</w:t>
      </w:r>
      <w:r>
        <w:rPr>
          <w:rFonts w:ascii="Arial" w:cs="Arial" w:eastAsia="Arial" w:hAnsi="Arial"/>
          <w:sz w:val="16"/>
          <w:szCs w:val="16"/>
          <w:color w:val="auto"/>
        </w:rPr>
        <w:t>”)) that can be sold without exceeding the Maximum Number of Shares; (ii) second, to the extent that the Maximum Number of Shares has not been reached under the foregoing clause (i), the shares of Common Stock or other securities that the Company desires to sell that can be sold without exceeding the Maximum Number of Shares; and (iii) third, to the extent that the Maximum Number of Shares has not been reached under the foregoing clauses (i) and (ii), the shares of Common Stock or other securities for the account of other persons that the Company is obligated to register pursuant to written contractual arrangements with such persons and that can be sold without exceeding the Maximum Number of Shares.</w:t>
      </w:r>
    </w:p>
    <w:p>
      <w:pPr>
        <w:spacing w:after="0" w:line="171"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Withdrawal</w:t>
      </w:r>
      <w:r>
        <w:rPr>
          <w:rFonts w:ascii="Arial" w:cs="Arial" w:eastAsia="Arial" w:hAnsi="Arial"/>
          <w:sz w:val="18"/>
          <w:szCs w:val="18"/>
          <w:color w:val="auto"/>
        </w:rPr>
        <w:t>. If a majority-in-interest of the Demanding Holders disapprove of the terms of any underwriting or are not entitled to include all of their Registrable Securities in any offering, such majority-in-interest of the Demanding Holders may elect to withdraw from such offering by giving written notice to the Company and the Underwriter or Underwriters of their request to withdraw prior to the effectiveness of the Registration Statement filed with the Commission with respect to such Demand Registration. If the majority-in-interest of the Demanding Holders withdraws from a proposed offering relating to a Demand Registration, then such registration shall not count as a Demand Registration provided for in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1" w:name="page272"/>
    <w:bookmarkEnd w:id="271"/>
    <w:p>
      <w:pPr>
        <w:ind w:left="130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Section 2.1),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 Notwithstanding the provisions set forth in the immediately preceding sentences, the right to a Piggy-Back Registration set forth under this Section 2.2.1 with respect to the Registrable Securities shall terminate on the seventh anniversary of the Effective Date.</w:t>
      </w:r>
    </w:p>
    <w:p>
      <w:pPr>
        <w:spacing w:after="0" w:line="390"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Reduction of Offering</w:t>
      </w:r>
      <w:r>
        <w:rPr>
          <w:rFonts w:ascii="Arial" w:cs="Arial" w:eastAsia="Arial" w:hAnsi="Arial"/>
          <w:sz w:val="18"/>
          <w:szCs w:val="18"/>
          <w:color w:val="auto"/>
        </w:rPr>
        <w:t>. If the managing Underwriter or Underwriters for a Piggy-Back Registration that is to be an underwritten offering advises the Company and the holders of Registrable Securities in writing that the dollar amount or number of shares of Common Stock which the Company desires to sell, taken together with the shares of Common Stock, if any, as to which registration has been demanded pursuant to written contractual arrangements with persons other than the holders of Registrable Securities hereunder, the Registrable Securities as to which registration has been requested under this Section 2.2, and the shares of Common Stock, if any, as to which registration has been requested pursuant to the written contractual piggy-back registration rights of other shareholders of the Company, exceeds the Maximum Number of Shares, then the Company shall include in any such registration:</w:t>
      </w:r>
    </w:p>
    <w:p>
      <w:pPr>
        <w:spacing w:after="0" w:line="195" w:lineRule="exact"/>
        <w:rPr>
          <w:sz w:val="20"/>
          <w:szCs w:val="20"/>
          <w:color w:val="auto"/>
        </w:rPr>
      </w:pPr>
    </w:p>
    <w:p>
      <w:pPr>
        <w:jc w:val="both"/>
        <w:ind w:left="1960" w:firstLine="640"/>
        <w:spacing w:after="0" w:line="270" w:lineRule="auto"/>
        <w:tabs>
          <w:tab w:leader="none" w:pos="289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If the registration is undertaken for the Company’s account: (A) first, the shares of Common Stock or other securities that the Company desires to sell that can be sold without exceeding the Maximum Number of Shares; (B) second,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such security holders, Pro Rata, that can be sold without exceeding the Maximum Number of Shares; and (C) third, to the extent that the Maximum Number of shares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Shares;</w:t>
      </w:r>
    </w:p>
    <w:p>
      <w:pPr>
        <w:spacing w:after="0" w:line="180" w:lineRule="exact"/>
        <w:rPr>
          <w:rFonts w:ascii="Arial" w:cs="Arial" w:eastAsia="Arial" w:hAnsi="Arial"/>
          <w:sz w:val="17"/>
          <w:szCs w:val="17"/>
          <w:color w:val="auto"/>
        </w:rPr>
      </w:pPr>
    </w:p>
    <w:p>
      <w:pPr>
        <w:jc w:val="both"/>
        <w:ind w:left="1960" w:firstLine="640"/>
        <w:spacing w:after="0" w:line="287" w:lineRule="auto"/>
        <w:tabs>
          <w:tab w:leader="none" w:pos="287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If the registration is a “demand” registration undertaken at the demand of persons other than either the holders of Registrable Securities, (A) first, the shares of Common Stock or other securities for the account of the demanding persons that can be sold without exceeding the Maximum Number of Shares; (B) second, to the extent that the Maximum Number of Shares has not been reached under the foregoing clause (A), the shares of Common Stock or other securities that the Company desires to sell that can be sold without exceeding the Maximum Number of Shares; (C) third, to the extent that the Maximum Number of Shares has not been reached under the foregoing clauses (A) and (B), collectively the shares of Common Stock or other securities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2" w:name="page273"/>
    <w:bookmarkEnd w:id="272"/>
    <w:p>
      <w:pPr>
        <w:jc w:val="both"/>
        <w:ind w:firstLine="1944"/>
        <w:spacing w:after="0" w:line="255"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Withdrawal</w:t>
      </w:r>
      <w:r>
        <w:rPr>
          <w:rFonts w:ascii="Arial" w:cs="Arial" w:eastAsia="Arial" w:hAnsi="Arial"/>
          <w:sz w:val="18"/>
          <w:szCs w:val="18"/>
          <w:color w:val="auto"/>
        </w:rPr>
        <w:t>.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Section 3.3.</w:t>
      </w:r>
    </w:p>
    <w:p>
      <w:pPr>
        <w:spacing w:after="0" w:line="192" w:lineRule="exact"/>
        <w:rPr>
          <w:sz w:val="20"/>
          <w:szCs w:val="20"/>
          <w:color w:val="auto"/>
        </w:rPr>
      </w:pPr>
    </w:p>
    <w:p>
      <w:pPr>
        <w:jc w:val="both"/>
        <w:ind w:firstLine="1944"/>
        <w:spacing w:after="0" w:line="287"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Registrations on Form S-3</w:t>
      </w:r>
      <w:r>
        <w:rPr>
          <w:rFonts w:ascii="Arial" w:cs="Arial" w:eastAsia="Arial" w:hAnsi="Arial"/>
          <w:sz w:val="16"/>
          <w:szCs w:val="16"/>
          <w:color w:val="auto"/>
        </w:rPr>
        <w:t>. The holders of Registrable Securities may at any time and from time to time, request in writing that the Company register the resale of any or all of such Registrable Securities on Form S-3 or any similar short-form registration which may be available at such time (“</w:t>
      </w:r>
      <w:r>
        <w:rPr>
          <w:rFonts w:ascii="Arial" w:cs="Arial" w:eastAsia="Arial" w:hAnsi="Arial"/>
          <w:sz w:val="16"/>
          <w:szCs w:val="16"/>
          <w:b w:val="1"/>
          <w:bCs w:val="1"/>
          <w:u w:val="single" w:color="auto"/>
          <w:color w:val="auto"/>
        </w:rPr>
        <w:t>Form S-3</w:t>
      </w:r>
      <w:r>
        <w:rPr>
          <w:rFonts w:ascii="Arial" w:cs="Arial" w:eastAsia="Arial" w:hAnsi="Arial"/>
          <w:sz w:val="16"/>
          <w:szCs w:val="16"/>
          <w:color w:val="auto"/>
        </w:rPr>
        <w:t>”); provided, however, that the Company shall not be obligated to effect such request through an underwritten offering. Upon receipt of such written request, the Company will promptly give written notice of the proposed registration to all other holders of Registrable Securities, and, as soon as practicable thereafter, effect the registration of all or such portion of such holder’s or holders’ Registrable Securities as are specified in such request, together with all or such portion of the Registrable Securities or other securities of the Company, if any, of any other holder or holders joining in such request as are specified in a written request given within fifteen (15) days after receipt of such written notice from the Company; provided, however, that the Company shall not be obligated to effect any such registration pursuant to this Section 2.3: (i) if Form S-3 is not available for such offering; or (ii) if the holders of the Registrable Securities, together with the holders of any other securities of the Company entitled to inclusion in such registration, propose to sell Registrable Securities and such other securities (if any) at any aggregate price to the public of less than $500,000. Registrations effected pursuant to this Section 2.3 shall not be counted as Demand Registrations effected pursuant to Section 2.1.</w:t>
      </w:r>
    </w:p>
    <w:p>
      <w:pPr>
        <w:spacing w:after="0" w:line="172" w:lineRule="exact"/>
        <w:rPr>
          <w:sz w:val="20"/>
          <w:szCs w:val="20"/>
          <w:color w:val="auto"/>
        </w:rPr>
      </w:pPr>
    </w:p>
    <w:p>
      <w:pPr>
        <w:ind w:left="840" w:hanging="184"/>
        <w:spacing w:after="0"/>
        <w:tabs>
          <w:tab w:leader="none" w:pos="84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Filings; Information</w:t>
      </w:r>
      <w:r>
        <w:rPr>
          <w:rFonts w:ascii="Arial" w:cs="Arial" w:eastAsia="Arial" w:hAnsi="Arial"/>
          <w:sz w:val="18"/>
          <w:szCs w:val="18"/>
          <w:color w:val="auto"/>
        </w:rPr>
        <w:t>. Whenever the Company is required to effect the registration of any Registrable Securities pursuant to Section 2, the Company shall use its best efforts to effect the registration and sale of such Registrable Securities in accordance with the intended method(s) of distribution thereof as expeditiously as practicable, and in connection with any such request:</w:t>
      </w:r>
    </w:p>
    <w:p>
      <w:pPr>
        <w:spacing w:after="0" w:line="184" w:lineRule="exact"/>
        <w:rPr>
          <w:sz w:val="20"/>
          <w:szCs w:val="20"/>
          <w:color w:val="auto"/>
        </w:rPr>
      </w:pPr>
    </w:p>
    <w:p>
      <w:pPr>
        <w:jc w:val="both"/>
        <w:ind w:firstLine="1944"/>
        <w:spacing w:after="0" w:line="253"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Filing Registration Statement</w:t>
      </w:r>
      <w:r>
        <w:rPr>
          <w:rFonts w:ascii="Arial" w:cs="Arial" w:eastAsia="Arial" w:hAnsi="Arial"/>
          <w:sz w:val="18"/>
          <w:szCs w:val="18"/>
          <w:color w:val="auto"/>
        </w:rPr>
        <w:t>. The Company shall use its best efforts to, as expeditiously as possible after receipt of a request for a Demand Registration pursuant to Section 2.1,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best efforts to cause such Registration Statement to become effective and use its best efforts to keep it effective for the period required by Section 3.1.3; provided, however, that the Company shall have the right to defer any Demand Registration for up to thirty (30) days, and any Piggy-Back Registration for such period as may be applicable to deferment of any demand registration to which such Piggy-Back Registration relates, in each case if the Company shall furnish to the holders a certificate signed by the President or Chairman of the Company stating that, in the good faith judgment of the Board, it would be materially detrimental to the Company and its shareholders for such Registration Statement to be effected at such time; provided further, however, that the Company shall not have the right to exercise the right set forth in the immediately preceding proviso more than once in any 365-day period in respect of a Demand Registration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3" w:name="page274"/>
    <w:bookmarkEnd w:id="273"/>
    <w:p>
      <w:pPr>
        <w:jc w:val="both"/>
        <w:ind w:firstLine="1944"/>
        <w:spacing w:after="0" w:line="273"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Copies</w:t>
      </w:r>
      <w:r>
        <w:rPr>
          <w:rFonts w:ascii="Arial" w:cs="Arial" w:eastAsia="Arial" w:hAnsi="Arial"/>
          <w:sz w:val="17"/>
          <w:szCs w:val="17"/>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78"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Amendments and Supplements</w:t>
      </w:r>
      <w:r>
        <w:rPr>
          <w:rFonts w:ascii="Arial" w:cs="Arial" w:eastAsia="Arial" w:hAnsi="Arial"/>
          <w:sz w:val="18"/>
          <w:szCs w:val="18"/>
          <w:color w:val="auto"/>
        </w:rPr>
        <w:t>.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until all Registrable Securities and other securities covered by such Registration Statement have been disposed of in accordance with the intended method(s) of distribution set forth in such Registration Statement or such securities have been withdrawn.</w:t>
      </w:r>
    </w:p>
    <w:p>
      <w:pPr>
        <w:spacing w:after="0" w:line="188"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Notification</w:t>
      </w:r>
      <w:r>
        <w:rPr>
          <w:rFonts w:ascii="Arial" w:cs="Arial" w:eastAsia="Arial" w:hAnsi="Arial"/>
          <w:sz w:val="16"/>
          <w:szCs w:val="16"/>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 and the Company shall not file any Registration Statement or prospectus or amendment or supplement thereto, including documents incorporated by reference, to which such holders or their legal counsel shall object.</w:t>
      </w:r>
    </w:p>
    <w:p>
      <w:pPr>
        <w:spacing w:after="0" w:line="167" w:lineRule="exact"/>
        <w:rPr>
          <w:sz w:val="20"/>
          <w:szCs w:val="20"/>
          <w:color w:val="auto"/>
        </w:rPr>
      </w:pPr>
    </w:p>
    <w:p>
      <w:pPr>
        <w:jc w:val="both"/>
        <w:ind w:firstLine="1944"/>
        <w:spacing w:after="0" w:line="271" w:lineRule="auto"/>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u w:val="single" w:color="auto"/>
          <w:color w:val="auto"/>
        </w:rPr>
        <w:t>State Securities Laws Compliance</w:t>
      </w:r>
      <w:r>
        <w:rPr>
          <w:rFonts w:ascii="Arial" w:cs="Arial" w:eastAsia="Arial" w:hAnsi="Arial"/>
          <w:sz w:val="17"/>
          <w:szCs w:val="17"/>
          <w:color w:val="auto"/>
        </w:rPr>
        <w:t>. The Company shall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4" w:name="page275"/>
    <w:bookmarkEnd w:id="274"/>
    <w:p>
      <w:pPr>
        <w:jc w:val="both"/>
        <w:ind w:firstLine="1944"/>
        <w:spacing w:after="0" w:line="271" w:lineRule="auto"/>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u w:val="single" w:color="auto"/>
          <w:color w:val="auto"/>
        </w:rPr>
        <w:t>Agreements for Disposition</w:t>
      </w:r>
      <w:r>
        <w:rPr>
          <w:rFonts w:ascii="Arial" w:cs="Arial" w:eastAsia="Arial" w:hAnsi="Arial"/>
          <w:sz w:val="17"/>
          <w:szCs w:val="17"/>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No holder of Registrable Securities included in such registration statement shall be required to make any representations or warranties in the underwriting agreement except, if applicable, with respect to such holder’s organization, good standing, authority, title to Registrable Securities, lack of conflict of such sale with such holder’s material agreements and organizational documents, and with respect to written information relating to such holder that such holder has furnished in writing expressly for inclusion in such Registration Statement.</w:t>
      </w:r>
    </w:p>
    <w:p>
      <w:pPr>
        <w:spacing w:after="0" w:line="178"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Cooperation</w:t>
      </w:r>
      <w:r>
        <w:rPr>
          <w:rFonts w:ascii="Arial" w:cs="Arial" w:eastAsia="Arial" w:hAnsi="Arial"/>
          <w:sz w:val="18"/>
          <w:szCs w:val="18"/>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w:t>
      </w:r>
    </w:p>
    <w:p>
      <w:pPr>
        <w:spacing w:after="0" w:line="188" w:lineRule="exact"/>
        <w:rPr>
          <w:sz w:val="20"/>
          <w:szCs w:val="20"/>
          <w:color w:val="auto"/>
        </w:rPr>
      </w:pPr>
    </w:p>
    <w:p>
      <w:pPr>
        <w:jc w:val="both"/>
        <w:ind w:firstLine="1944"/>
        <w:spacing w:after="0" w:line="296"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Records</w:t>
      </w:r>
      <w:r>
        <w:rPr>
          <w:rFonts w:ascii="Arial" w:cs="Arial" w:eastAsia="Arial" w:hAnsi="Arial"/>
          <w:sz w:val="16"/>
          <w:szCs w:val="16"/>
          <w:color w:val="auto"/>
        </w:rPr>
        <w:t>.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61"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Opinions and Comfort Letters</w:t>
      </w:r>
      <w:r>
        <w:rPr>
          <w:rFonts w:ascii="Arial" w:cs="Arial" w:eastAsia="Arial" w:hAnsi="Arial"/>
          <w:sz w:val="18"/>
          <w:szCs w:val="18"/>
          <w:color w:val="auto"/>
        </w:rPr>
        <w:t>. Upon request, the Company shall furnish to each holder of Registrable Securities included in any Registration Statement a signed counterpart, addressed to such holder, of (i) any opinion of counsel to the Company delivered to any Underwriter and (ii) any comfort letter from the Company’s independent public accountants delivered to any Underwriter. In the event no legal opinion is delivered to any Underwriter, the Company shall furnish to each holder of Registrable Securities included in such Registration Statement, at any time that such holder elects to use a prospectus, an opinion of counsel to the Company to the effect that the Registration Statement containing such prospectus has been declared effective and that no stop order is in effect.</w:t>
      </w:r>
    </w:p>
    <w:p>
      <w:pPr>
        <w:spacing w:after="0" w:line="192"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3.1.10 </w:t>
      </w: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84"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8"/>
          <w:szCs w:val="18"/>
          <w:color w:val="auto"/>
        </w:rPr>
        <w:t xml:space="preserve">3.1.11 </w:t>
      </w:r>
      <w:r>
        <w:rPr>
          <w:rFonts w:ascii="Arial" w:cs="Arial" w:eastAsia="Arial" w:hAnsi="Arial"/>
          <w:sz w:val="18"/>
          <w:szCs w:val="18"/>
          <w:u w:val="single" w:color="auto"/>
          <w:color w:val="auto"/>
        </w:rPr>
        <w:t>Listing</w:t>
      </w:r>
      <w:r>
        <w:rPr>
          <w:rFonts w:ascii="Arial" w:cs="Arial" w:eastAsia="Arial" w:hAnsi="Arial"/>
          <w:sz w:val="18"/>
          <w:szCs w:val="18"/>
          <w:color w:val="auto"/>
        </w:rPr>
        <w:t>. The Company shall use its best efforts to cause all Registrable Securities included in any registration to be listed on such exchanges or otherwise designated for trading in the same manner as similar securities issued by the Company are then listed or designated or, if no such similar securities are then listed or designated, in a manner satisfactory to the holders of a majority of the Registrable Securities included in such registration.</w:t>
      </w:r>
    </w:p>
    <w:p>
      <w:pPr>
        <w:spacing w:after="0" w:line="187"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3.1.12 </w:t>
      </w:r>
      <w:r>
        <w:rPr>
          <w:rFonts w:ascii="Arial" w:cs="Arial" w:eastAsia="Arial" w:hAnsi="Arial"/>
          <w:sz w:val="18"/>
          <w:szCs w:val="18"/>
          <w:u w:val="single" w:color="auto"/>
          <w:color w:val="auto"/>
        </w:rPr>
        <w:t>Road Show</w:t>
      </w:r>
      <w:r>
        <w:rPr>
          <w:rFonts w:ascii="Arial" w:cs="Arial" w:eastAsia="Arial" w:hAnsi="Arial"/>
          <w:sz w:val="18"/>
          <w:szCs w:val="18"/>
          <w:color w:val="auto"/>
        </w:rPr>
        <w:t>. If the registration involves the registration of Registrable Securities involving gross proceeds in excess of $5,000,000, the Company shall use its reasonable efforts to make available senior executives of the Company to participate in customary “road show” presentations that may be reasonably requested by the Underwriter in any underwritten offering.</w:t>
      </w:r>
    </w:p>
    <w:p>
      <w:pPr>
        <w:spacing w:after="0" w:line="18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Obligation to Suspend Distribution</w:t>
      </w:r>
      <w:r>
        <w:rPr>
          <w:rFonts w:ascii="Arial" w:cs="Arial" w:eastAsia="Arial" w:hAnsi="Arial"/>
          <w:sz w:val="18"/>
          <w:szCs w:val="18"/>
          <w:color w:val="auto"/>
        </w:rPr>
        <w:t>. Upon receipt of any notice from the Company of the happening of any event of the kind described in Section 3.1.4(iv), or, in the case of a resale registration on Form S-3 pursuant to Section 2.3 hereof, upon any suspension by the Company, pursuant to a written insider trading compliance program adopted by the Board,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Section 3.1.4(iv)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5" w:name="page276"/>
    <w:bookmarkEnd w:id="275"/>
    <w:p>
      <w:pPr>
        <w:jc w:val="both"/>
        <w:ind w:firstLine="1296"/>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Company shall bear all costs and expenses incurred in connection with any Demand Registration pursuant to Section 2.1, any Piggy-Back Registration pursuant to Section 2.2, and any registration on Form S-3 effected pursuant to Section 2.3,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Section 3.1.11; (vi) Financial Industry Regulatory Authority fees; (vii) fees and disbursements of counsel for the Company and fees and expenses for independent certified public accountants retained by the Company (including the expenses or costs associated with the delivery of any opinions or comfort letters requested pursuant to Section 3.1.9); (viii) the reasonable fees and expenses of any special experts retained by the Company in connection with such registration and (ix) the reasonable fees and expenses of one legal counsel selected by the holders of a majority-in-interest of the Registrable Securities included in such registration.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 pro rata in proportion to the respective amount of shares each is selling in such offering.</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Information</w:t>
      </w:r>
      <w:r>
        <w:rPr>
          <w:rFonts w:ascii="Arial" w:cs="Arial" w:eastAsia="Arial" w:hAnsi="Arial"/>
          <w:sz w:val="18"/>
          <w:szCs w:val="18"/>
          <w:color w:val="auto"/>
        </w:rPr>
        <w:t>. The holders of Registrable Securities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Section 2 and in connection with the Company’s obligation to comply with Federal and applicable state securities laws.</w:t>
      </w:r>
    </w:p>
    <w:p>
      <w:pPr>
        <w:spacing w:after="0" w:line="187" w:lineRule="exact"/>
        <w:rPr>
          <w:sz w:val="20"/>
          <w:szCs w:val="20"/>
          <w:color w:val="auto"/>
        </w:rPr>
      </w:pPr>
    </w:p>
    <w:p>
      <w:pPr>
        <w:ind w:left="840" w:hanging="184"/>
        <w:spacing w:after="0"/>
        <w:tabs>
          <w:tab w:leader="none" w:pos="84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Arial" w:cs="Arial" w:eastAsia="Arial" w:hAnsi="Arial"/>
          <w:sz w:val="16"/>
          <w:szCs w:val="16"/>
          <w:b w:val="1"/>
          <w:bCs w:val="1"/>
          <w:u w:val="single" w:color="auto"/>
          <w:color w:val="auto"/>
        </w:rPr>
        <w:t>Investor Indemnified Party</w:t>
      </w:r>
      <w:r>
        <w:rPr>
          <w:rFonts w:ascii="Arial" w:cs="Arial" w:eastAsia="Arial" w:hAnsi="Arial"/>
          <w:sz w:val="16"/>
          <w:szCs w:val="16"/>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also shall indemnify any Underwriter of the Registrable Securities, their officers, affiliates, directors, partners, members and agents and each person who controls such Underwriter on substantially the same basis as that of the indemnification provided above in this Section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6" w:name="page277"/>
    <w:bookmarkEnd w:id="276"/>
    <w:p>
      <w:pPr>
        <w:jc w:val="both"/>
        <w:ind w:firstLine="1296"/>
        <w:spacing w:after="0" w:line="28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Indemnification by Holders of Registrable Securities</w:t>
      </w:r>
      <w:r>
        <w:rPr>
          <w:rFonts w:ascii="Arial" w:cs="Arial" w:eastAsia="Arial" w:hAnsi="Arial"/>
          <w:sz w:val="16"/>
          <w:szCs w:val="16"/>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Underwriter (if any), and each other selling holder and each other person, if any, who controls another selling holder or such Underwriter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w:t>
      </w:r>
    </w:p>
    <w:p>
      <w:pPr>
        <w:spacing w:after="0" w:line="174"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Conduct of Indemnification Proceedings</w:t>
      </w:r>
      <w:r>
        <w:rPr>
          <w:rFonts w:ascii="Arial" w:cs="Arial" w:eastAsia="Arial" w:hAnsi="Arial"/>
          <w:sz w:val="17"/>
          <w:szCs w:val="17"/>
          <w:color w:val="auto"/>
        </w:rPr>
        <w:t>. Promptly after receipt by any person of any notice of any loss, claim, damage or liability or any action in respect of which indemnity may be sought pursuant to Section 4.1 or 4.2, such person (the “Indemnified Party”) shall, if a claim in respect thereof is to be made against any other person for indemnification hereunder, notify such other person (the “</w:t>
      </w:r>
      <w:r>
        <w:rPr>
          <w:rFonts w:ascii="Arial" w:cs="Arial" w:eastAsia="Arial" w:hAnsi="Arial"/>
          <w:sz w:val="17"/>
          <w:szCs w:val="17"/>
          <w:b w:val="1"/>
          <w:bCs w:val="1"/>
          <w:u w:val="single" w:color="auto"/>
          <w:color w:val="auto"/>
        </w:rPr>
        <w:t>Indemnifying Party</w:t>
      </w:r>
      <w:r>
        <w:rPr>
          <w:rFonts w:ascii="Arial" w:cs="Arial" w:eastAsia="Arial" w:hAnsi="Arial"/>
          <w:sz w:val="17"/>
          <w:szCs w:val="17"/>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90" w:lineRule="auto"/>
        <w:rPr>
          <w:sz w:val="20"/>
          <w:szCs w:val="20"/>
          <w:color w:val="auto"/>
        </w:rPr>
      </w:pPr>
      <w:r>
        <w:rPr>
          <w:rFonts w:ascii="Arial" w:cs="Arial" w:eastAsia="Arial" w:hAnsi="Arial"/>
          <w:sz w:val="16"/>
          <w:szCs w:val="16"/>
          <w:color w:val="auto"/>
        </w:rPr>
        <w:t>4.4.1 If the indemnification provided for in the foregoing Sections 4.1, 4.2 and 4.3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7" w:name="page278"/>
    <w:bookmarkEnd w:id="277"/>
    <w:p>
      <w:pPr>
        <w:jc w:val="both"/>
        <w:ind w:firstLine="1944"/>
        <w:spacing w:after="0" w:line="263" w:lineRule="auto"/>
        <w:rPr>
          <w:sz w:val="20"/>
          <w:szCs w:val="20"/>
          <w:color w:val="auto"/>
        </w:rPr>
      </w:pPr>
      <w:r>
        <w:rPr>
          <w:rFonts w:ascii="Arial" w:cs="Arial" w:eastAsia="Arial" w:hAnsi="Arial"/>
          <w:sz w:val="18"/>
          <w:szCs w:val="18"/>
          <w:color w:val="auto"/>
        </w:rPr>
        <w:t>4.4.2 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Section 4.4.1.</w:t>
      </w:r>
    </w:p>
    <w:p>
      <w:pPr>
        <w:spacing w:after="0" w:line="184"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Section 4.4,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95" w:lineRule="exact"/>
        <w:rPr>
          <w:sz w:val="20"/>
          <w:szCs w:val="20"/>
          <w:color w:val="auto"/>
        </w:rPr>
      </w:pPr>
    </w:p>
    <w:p>
      <w:pPr>
        <w:ind w:left="840" w:hanging="184"/>
        <w:spacing w:after="0"/>
        <w:tabs>
          <w:tab w:leader="none" w:pos="84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RULE 144</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Rule 144</w:t>
      </w:r>
      <w:r>
        <w:rPr>
          <w:rFonts w:ascii="Arial" w:cs="Arial" w:eastAsia="Arial" w:hAnsi="Arial"/>
          <w:sz w:val="16"/>
          <w:szCs w:val="16"/>
          <w:color w:val="auto"/>
        </w:rPr>
        <w:t>. The Company covenants that it shall file any reports required to be filed by it under the Securities Act and the Exchange Act and shall take such further action as the holders of Registrable Securities may reasonably request, all to the extent required from time to time to enable such holders to sell Registrable Securities without registration under the Securities Act within the limitation of the exemptions provided by Rule 144 under the Securities Act, as such Rules may be amended from time to time, or any similar rule or regulation hereafter adopted by the Commission.</w:t>
      </w:r>
    </w:p>
    <w:p>
      <w:pPr>
        <w:spacing w:after="0" w:line="157" w:lineRule="exact"/>
        <w:rPr>
          <w:sz w:val="20"/>
          <w:szCs w:val="20"/>
          <w:color w:val="auto"/>
        </w:rPr>
      </w:pPr>
    </w:p>
    <w:p>
      <w:pPr>
        <w:ind w:left="840" w:hanging="184"/>
        <w:spacing w:after="0"/>
        <w:tabs>
          <w:tab w:leader="none" w:pos="84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Other Registration Rights</w:t>
      </w:r>
      <w:r>
        <w:rPr>
          <w:rFonts w:ascii="Arial" w:cs="Arial" w:eastAsia="Arial" w:hAnsi="Arial"/>
          <w:sz w:val="18"/>
          <w:szCs w:val="18"/>
          <w:color w:val="auto"/>
        </w:rPr>
        <w:t>. The Company represents and warrants that, except as disclosed in the Company’s registration statement on Form S-1 (File No. 333-254010), no person, other than the holders of the Registrable Securities, has any right to require the Company to register any shares of the Company’s capital stock for sale or to include shares of the Company’s capital stock in any registration filed by the Company for the sale of shares of capital stock for its own account or for the account of any other person.</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Limitation on Registration Rights</w:t>
      </w:r>
      <w:r>
        <w:rPr>
          <w:rFonts w:ascii="Arial" w:cs="Arial" w:eastAsia="Arial" w:hAnsi="Arial"/>
          <w:sz w:val="18"/>
          <w:szCs w:val="18"/>
          <w:color w:val="auto"/>
        </w:rPr>
        <w:t>. Notwithstanding anything herein to the contrary, Chardan Capital Markets, LLC and its related persons may not, with respect to the Private Warrants purchased by Chardan NexTech Investments 2 LLC, (i) have more than one (1) Demand Registration at the Company’s expense, (ii) exercise a Demand Registration more than five (5) years from the Effective Date, and (iii) exercise a Piggy-Back Registration more than seven (7) years from the Effective Date, as long as Chardan Capital Markets, LLC or any of its related persons are beneficial owners of the Private Warrants held by Chardan NexTech Investments 2 LLC.</w:t>
      </w:r>
    </w:p>
    <w:p>
      <w:pPr>
        <w:spacing w:after="0" w:line="188"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transfer of Registrable Securities by any such holder. This Agreement and the provisions hereof shall be binding upon and shall inure to the benefit of each of the parties, to the permitted assigns of the Investors or holder of Registrable Securities or of any assignee of the Investors or holder of Registrable Securities. This Agreement is not intended to confer any rights or benefits on any persons that are not party hereto other than as expressly set forth in Article 4 and this Section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8" w:name="page279"/>
    <w:bookmarkEnd w:id="278"/>
    <w:p>
      <w:pPr>
        <w:jc w:val="both"/>
        <w:ind w:firstLine="1296"/>
        <w:spacing w:after="0" w:line="29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demands, requests, consents, approvals or other communications (collectively,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Ari Edelman, Esq.</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an Investor, to the address set forth below such Investor’s name on Exhibit A hereto.</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an original, and all of which taken together shall constitute one and the same instrument.</w:t>
      </w:r>
    </w:p>
    <w:p>
      <w:pPr>
        <w:spacing w:after="0" w:line="170" w:lineRule="exact"/>
        <w:rPr>
          <w:sz w:val="20"/>
          <w:szCs w:val="20"/>
          <w:color w:val="auto"/>
        </w:rPr>
      </w:pPr>
    </w:p>
    <w:p>
      <w:pPr>
        <w:jc w:val="both"/>
        <w:ind w:right="20" w:firstLine="1296"/>
        <w:spacing w:after="0" w:line="286"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terminate on the seven-year anniversary of the date hereof.</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No amendment, modification or termination of this Agreement shall be binding upon any party unless executed in writing by such party.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Titles and headings of sections of this Agreement are for convenience only and shall not affect the construction of any provision of this Agreement. No amendment, modification or termination of this Agreement shall be binding upon the holders of the Registrable Securities unless executed in writing by the holders of the majority Registrable Securities.</w:t>
      </w:r>
    </w:p>
    <w:p>
      <w:pPr>
        <w:spacing w:after="0" w:line="184"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Waivers and Extensions</w:t>
      </w:r>
      <w:r>
        <w:rPr>
          <w:rFonts w:ascii="Arial" w:cs="Arial" w:eastAsia="Arial" w:hAnsi="Arial"/>
          <w:sz w:val="17"/>
          <w:szCs w:val="17"/>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9" w:name="page280"/>
    <w:bookmarkEnd w:id="279"/>
    <w:p>
      <w:pPr>
        <w:jc w:val="both"/>
        <w:ind w:firstLine="1296"/>
        <w:spacing w:after="0" w:line="254"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In the event that the Company fails to observe or perform any covenant or agreement to be observed or performed under this Agreement, the Investor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9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interpreted under, and construed in accordance with the internal laws of the State of New York applicable to agreements made and to be performed within the State of New York, without giving effect to any choice-of-law provisions thereof that would compel the application of the substantive laws of any other jurisdiction.</w:t>
      </w:r>
    </w:p>
    <w:p>
      <w:pPr>
        <w:spacing w:after="0" w:line="184" w:lineRule="exact"/>
        <w:rPr>
          <w:sz w:val="20"/>
          <w:szCs w:val="20"/>
          <w:color w:val="auto"/>
        </w:rPr>
      </w:pPr>
    </w:p>
    <w:p>
      <w:pPr>
        <w:jc w:val="both"/>
        <w:ind w:right="20" w:firstLine="1296"/>
        <w:spacing w:after="0" w:line="286"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Waiver of Trial by Jury</w:t>
      </w:r>
      <w:r>
        <w:rPr>
          <w:rFonts w:ascii="Arial" w:cs="Arial" w:eastAsia="Arial" w:hAnsi="Arial"/>
          <w:sz w:val="17"/>
          <w:szCs w:val="17"/>
          <w:color w:val="auto"/>
        </w:rPr>
        <w:t>.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Investor in the negotiation, administration, performance or enforcement hereof.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0" w:name="page281"/>
    <w:bookmarkEnd w:id="280"/>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Registration Rights Agreement to be executed and delivered by their duly authorized representatives as of the date first written above.</w:t>
      </w:r>
    </w:p>
    <w:p>
      <w:pPr>
        <w:spacing w:after="0" w:line="1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-130175</wp:posOffset>
            </wp:positionV>
            <wp:extent cx="329184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CHARDAN NEXTECH INVESTMENTS 2 LLC.</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-121920</wp:posOffset>
            </wp:positionV>
            <wp:extent cx="329184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908" w:right="799" w:bottom="1440" w:gutter="0" w:footer="0" w:header="0"/>
        </w:sectPr>
      </w:pPr>
    </w:p>
    <w:bookmarkStart w:id="281" w:name="page282"/>
    <w:bookmarkEnd w:id="281"/>
    <w:p>
      <w:pPr>
        <w:jc w:val="right"/>
        <w:ind w:right="403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Name of Investor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Investments 2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82" w:name="page283"/>
    <w:bookmarkEnd w:id="282"/>
    <w:p>
      <w:pPr>
        <w:jc w:val="right"/>
        <w:spacing w:after="0"/>
        <w:rPr>
          <w:sz w:val="20"/>
          <w:szCs w:val="20"/>
          <w:color w:val="auto"/>
        </w:rPr>
      </w:pPr>
      <w:r>
        <w:rPr>
          <w:rFonts w:ascii="Arial" w:cs="Arial" w:eastAsia="Arial" w:hAnsi="Arial"/>
          <w:sz w:val="22"/>
          <w:szCs w:val="22"/>
          <w:b w:val="1"/>
          <w:bCs w:val="1"/>
          <w:color w:val="auto"/>
        </w:rPr>
        <w:t>Exhibit 10.9</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Chardan NexTech Acquisition 2 Corp. (the “</w:t>
      </w:r>
      <w:r>
        <w:rPr>
          <w:rFonts w:ascii="Arial" w:cs="Arial" w:eastAsia="Arial" w:hAnsi="Arial"/>
          <w:sz w:val="17"/>
          <w:szCs w:val="17"/>
          <w:b w:val="1"/>
          <w:bCs w:val="1"/>
          <w:color w:val="auto"/>
        </w:rPr>
        <w:t>Company</w:t>
      </w:r>
      <w:r>
        <w:rPr>
          <w:rFonts w:ascii="Arial" w:cs="Arial" w:eastAsia="Arial" w:hAnsi="Arial"/>
          <w:sz w:val="17"/>
          <w:szCs w:val="17"/>
          <w:color w:val="auto"/>
        </w:rPr>
        <w:t>”), a blank check company formed for the purpose of acquiring one or more businesses or entities (a “</w:t>
      </w:r>
      <w:r>
        <w:rPr>
          <w:rFonts w:ascii="Arial" w:cs="Arial" w:eastAsia="Arial" w:hAnsi="Arial"/>
          <w:sz w:val="17"/>
          <w:szCs w:val="17"/>
          <w:b w:val="1"/>
          <w:bCs w:val="1"/>
          <w:color w:val="auto"/>
        </w:rPr>
        <w:t>Business Combination</w:t>
      </w:r>
      <w:r>
        <w:rPr>
          <w:rFonts w:ascii="Arial" w:cs="Arial" w:eastAsia="Arial" w:hAnsi="Arial"/>
          <w:sz w:val="17"/>
          <w:szCs w:val="17"/>
          <w:color w:val="auto"/>
        </w:rPr>
        <w:t>”), intends to register its securities under the Securities Act of 1933, as amended (“</w:t>
      </w:r>
      <w:r>
        <w:rPr>
          <w:rFonts w:ascii="Arial" w:cs="Arial" w:eastAsia="Arial" w:hAnsi="Arial"/>
          <w:sz w:val="17"/>
          <w:szCs w:val="17"/>
          <w:b w:val="1"/>
          <w:bCs w:val="1"/>
          <w:color w:val="auto"/>
        </w:rPr>
        <w:t>Securities Act</w:t>
      </w:r>
      <w:r>
        <w:rPr>
          <w:rFonts w:ascii="Arial" w:cs="Arial" w:eastAsia="Arial" w:hAnsi="Arial"/>
          <w:sz w:val="17"/>
          <w:szCs w:val="17"/>
          <w:color w:val="auto"/>
        </w:rPr>
        <w:t>”), in connection with its initial public offering (“</w:t>
      </w:r>
      <w:r>
        <w:rPr>
          <w:rFonts w:ascii="Arial" w:cs="Arial" w:eastAsia="Arial" w:hAnsi="Arial"/>
          <w:sz w:val="17"/>
          <w:szCs w:val="17"/>
          <w:b w:val="1"/>
          <w:bCs w:val="1"/>
          <w:color w:val="auto"/>
        </w:rPr>
        <w:t>IPO</w:t>
      </w:r>
      <w:r>
        <w:rPr>
          <w:rFonts w:ascii="Arial" w:cs="Arial" w:eastAsia="Arial" w:hAnsi="Arial"/>
          <w:sz w:val="17"/>
          <w:szCs w:val="17"/>
          <w:color w:val="auto"/>
        </w:rPr>
        <w:t>”), pursuant to a registration statement on Form S-1 (“</w:t>
      </w:r>
      <w:r>
        <w:rPr>
          <w:rFonts w:ascii="Arial" w:cs="Arial" w:eastAsia="Arial" w:hAnsi="Arial"/>
          <w:sz w:val="17"/>
          <w:szCs w:val="17"/>
          <w:b w:val="1"/>
          <w:bCs w:val="1"/>
          <w:color w:val="auto"/>
        </w:rPr>
        <w:t>Registration Statement</w:t>
      </w:r>
      <w:r>
        <w:rPr>
          <w:rFonts w:ascii="Arial" w:cs="Arial" w:eastAsia="Arial" w:hAnsi="Arial"/>
          <w:sz w:val="17"/>
          <w:szCs w:val="17"/>
          <w:color w:val="auto"/>
        </w:rPr>
        <w:t>”).</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hereby commits that it will purchase an aggregate of 4,200,000 (or up to 4,442,183, depending on the extent to which the underwriters’ over-allotment option is exercised) warrants of the Company (“</w:t>
      </w:r>
      <w:r>
        <w:rPr>
          <w:rFonts w:ascii="Arial" w:cs="Arial" w:eastAsia="Arial" w:hAnsi="Arial"/>
          <w:sz w:val="18"/>
          <w:szCs w:val="18"/>
          <w:b w:val="1"/>
          <w:bCs w:val="1"/>
          <w:color w:val="auto"/>
        </w:rPr>
        <w:t>Private Warrants</w:t>
      </w:r>
      <w:r>
        <w:rPr>
          <w:rFonts w:ascii="Arial" w:cs="Arial" w:eastAsia="Arial" w:hAnsi="Arial"/>
          <w:sz w:val="18"/>
          <w:szCs w:val="18"/>
          <w:color w:val="auto"/>
        </w:rPr>
        <w:t>”), at a price of approximately $0.93 per warrant for an aggregate purchase price of $3,902,000 (or up to $4,127,000, depending on the extent to which the underwriters’ over-allotment option is exercised) (the “</w:t>
      </w:r>
      <w:r>
        <w:rPr>
          <w:rFonts w:ascii="Arial" w:cs="Arial" w:eastAsia="Arial" w:hAnsi="Arial"/>
          <w:sz w:val="18"/>
          <w:szCs w:val="18"/>
          <w:b w:val="1"/>
          <w:bCs w:val="1"/>
          <w:color w:val="auto"/>
        </w:rPr>
        <w:t>Private Warrant Purchase Price</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consummation of the purchase and issuance of the Private Warrants shall occur simultaneously with the consummation of the IPO. Simultaneously with the consummation of the IPO, Continental Stock Transfer &amp; Trust Company shall deposit the Private Warrant Purchase Price, without interest or deduction, into the trust fund (“</w:t>
      </w:r>
      <w:r>
        <w:rPr>
          <w:rFonts w:ascii="Arial" w:cs="Arial" w:eastAsia="Arial" w:hAnsi="Arial"/>
          <w:sz w:val="18"/>
          <w:szCs w:val="18"/>
          <w:b w:val="1"/>
          <w:bCs w:val="1"/>
          <w:color w:val="auto"/>
        </w:rPr>
        <w:t>Trust Fund</w:t>
      </w:r>
      <w:r>
        <w:rPr>
          <w:rFonts w:ascii="Arial" w:cs="Arial" w:eastAsia="Arial" w:hAnsi="Arial"/>
          <w:sz w:val="18"/>
          <w:szCs w:val="18"/>
          <w:color w:val="auto"/>
        </w:rPr>
        <w:t>”) established by the Company for the benefit of the Company’s public stockholders as described in the Registration Statement.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Additionally, the undersigned agrees:</w:t>
      </w:r>
    </w:p>
    <w:p>
      <w:pPr>
        <w:spacing w:after="0" w:line="225" w:lineRule="exact"/>
        <w:rPr>
          <w:sz w:val="20"/>
          <w:szCs w:val="20"/>
          <w:color w:val="auto"/>
        </w:rPr>
      </w:pPr>
    </w:p>
    <w:p>
      <w:pPr>
        <w:jc w:val="both"/>
        <w:ind w:left="1300" w:hanging="320"/>
        <w:spacing w:after="0" w:line="271" w:lineRule="auto"/>
        <w:tabs>
          <w:tab w:leader="none" w:pos="130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not to propose, or vote in favor of, an amendment to the Company’s Amended and Restated Certificate of Incorporation that would affect the substance or timing of the Company’s obligation to redeem 100% of the Company’s shares of common stock, par value $0.0001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sold in the IPO if the Company does not complete an initial Business Combination within 12 months from the closing of the IPO (or up to 18 months if such date is extended in full as described in the prospectus relating to the IPO) unless the Company provides the holders of shares of Common Stock sold in the IPO with the opportunity to redeem their shares of Common Stock upon approval of any such amendment at a per-share price, payable in cash, equal to the aggregate amount of the Trust Fund, including interest earned on Trust Fund and not previously released to the Company to pay the Company’s franchise and income taxes, divided by the number of then outstanding shares of Common Stock sold in the IPO;</w:t>
      </w:r>
    </w:p>
    <w:p>
      <w:pPr>
        <w:spacing w:after="0" w:line="178" w:lineRule="exact"/>
        <w:rPr>
          <w:rFonts w:ascii="Arial" w:cs="Arial" w:eastAsia="Arial" w:hAnsi="Arial"/>
          <w:sz w:val="17"/>
          <w:szCs w:val="17"/>
          <w:color w:val="auto"/>
        </w:rPr>
      </w:pPr>
    </w:p>
    <w:p>
      <w:pPr>
        <w:jc w:val="both"/>
        <w:ind w:left="1300" w:hanging="320"/>
        <w:spacing w:after="0" w:line="263" w:lineRule="auto"/>
        <w:tabs>
          <w:tab w:leader="none" w:pos="13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undersigned will not participate in any liquidation distribution with respect to the Private Warrants (but will participate in liquidation distributions with respect to any units or Common Stock purchased by the undersigned in the IPO or in the open market) if the Company fails to consummate a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83" w:name="page284"/>
    <w:bookmarkEnd w:id="283"/>
    <w:p>
      <w:pPr>
        <w:jc w:val="both"/>
        <w:ind w:left="1300" w:hanging="320"/>
        <w:spacing w:after="0" w:line="268" w:lineRule="auto"/>
        <w:tabs>
          <w:tab w:leader="none" w:pos="13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that the Private Warrants and underlying securities will not be transferable or saleable until 30 days after the consummation of a Business Combination except ((a) to the Company’s officers or directors, any affiliates or family members of any of the Company’s officers or directors, any members of the undersigned, Chardan NexTech Investments 2 LLC (“</w:t>
      </w:r>
      <w:r>
        <w:rPr>
          <w:rFonts w:ascii="Arial" w:cs="Arial" w:eastAsia="Arial" w:hAnsi="Arial"/>
          <w:sz w:val="17"/>
          <w:szCs w:val="17"/>
          <w:b w:val="1"/>
          <w:bCs w:val="1"/>
          <w:color w:val="auto"/>
        </w:rPr>
        <w:t>Sponsor</w:t>
      </w:r>
      <w:r>
        <w:rPr>
          <w:rFonts w:ascii="Arial" w:cs="Arial" w:eastAsia="Arial" w:hAnsi="Arial"/>
          <w:sz w:val="17"/>
          <w:szCs w:val="17"/>
          <w:color w:val="auto"/>
        </w:rPr>
        <w:t>”), or any of their respective affiliates;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the Company’s liquidation prior to the completion of an initial Business Combination; or (g) by virtue of the laws of Delaware or the applicable limited liability company agreement upon dissolution of the undersigned,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the undersigned, Sponsor, officers, and directors of the Company, as the case may be, with respect to such securities (including provisions relating to voting, the trust account and liquidation distributions described elsewhere in this prospectus);</w:t>
      </w:r>
    </w:p>
    <w:p>
      <w:pPr>
        <w:spacing w:after="0" w:line="184" w:lineRule="exact"/>
        <w:rPr>
          <w:rFonts w:ascii="Arial" w:cs="Arial" w:eastAsia="Arial" w:hAnsi="Arial"/>
          <w:sz w:val="17"/>
          <w:szCs w:val="17"/>
          <w:color w:val="auto"/>
        </w:rPr>
      </w:pPr>
    </w:p>
    <w:p>
      <w:pPr>
        <w:jc w:val="both"/>
        <w:ind w:left="1300" w:hanging="320"/>
        <w:spacing w:after="0" w:line="279" w:lineRule="auto"/>
        <w:tabs>
          <w:tab w:leader="none" w:pos="13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Private Warrants and underlying securities are considered underwriting compensation and, as provided in FINRA Rule 5110(e)(1), may not be sold, transferred, assigned, pledged, or hypothecated, or be the subject of any hedging, short sale, derivative, put, or call transaction that would result in the effective economic disposition of such securities for a period of 180 days immediately following the date of effectiveness of the Registration Statement, except as provided in FINRA Rule 5110(e)(2); and</w:t>
      </w:r>
    </w:p>
    <w:p>
      <w:pPr>
        <w:spacing w:after="0" w:line="198" w:lineRule="exact"/>
        <w:rPr>
          <w:rFonts w:ascii="Arial" w:cs="Arial" w:eastAsia="Arial" w:hAnsi="Arial"/>
          <w:sz w:val="17"/>
          <w:szCs w:val="17"/>
          <w:color w:val="auto"/>
        </w:rPr>
      </w:pPr>
    </w:p>
    <w:p>
      <w:pPr>
        <w:jc w:val="both"/>
        <w:ind w:left="1300" w:hanging="320"/>
        <w:spacing w:after="0" w:line="263" w:lineRule="auto"/>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Private Warrants will include any additional terms or restrictions as is customary in other similarly structured blank check company offerings or as may be reasonably required by the underwriters in the IPO in order to consummate the IPO, each of which will be set forth in the Registration Statement.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acknowledges and agrees that the purchaser of the Private Warrants will execute agreements in form and substance typical for transactions of this nature necessary to effectuate the foregoing agreements and obligations prior to the consummation of the IPO as are reasonably acceptable to the undersigned, including but not limited to an insider letter.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represents and warrants that:</w:t>
      </w:r>
    </w:p>
    <w:p>
      <w:pPr>
        <w:spacing w:after="0" w:line="225" w:lineRule="exact"/>
        <w:rPr>
          <w:sz w:val="20"/>
          <w:szCs w:val="20"/>
          <w:color w:val="auto"/>
        </w:rPr>
      </w:pPr>
    </w:p>
    <w:p>
      <w:pPr>
        <w:ind w:left="900" w:hanging="244"/>
        <w:spacing w:after="0"/>
        <w:tabs>
          <w:tab w:leader="none" w:pos="900" w:val="left"/>
        </w:tabs>
        <w:numPr>
          <w:ilvl w:val="0"/>
          <w:numId w:val="163"/>
        </w:numPr>
        <w:rPr>
          <w:rFonts w:ascii="Arial" w:cs="Arial" w:eastAsia="Arial" w:hAnsi="Arial"/>
          <w:sz w:val="18"/>
          <w:szCs w:val="18"/>
          <w:color w:val="010000"/>
        </w:rPr>
      </w:pPr>
      <w:r>
        <w:rPr>
          <w:rFonts w:ascii="Arial" w:cs="Arial" w:eastAsia="Arial" w:hAnsi="Arial"/>
          <w:sz w:val="18"/>
          <w:szCs w:val="18"/>
          <w:color w:val="auto"/>
        </w:rPr>
        <w:t>it has been advised that the Private Warrants have not been registered under the Securities Act;</w:t>
      </w:r>
    </w:p>
    <w:p>
      <w:pPr>
        <w:spacing w:after="0" w:line="225" w:lineRule="exact"/>
        <w:rPr>
          <w:rFonts w:ascii="Arial" w:cs="Arial" w:eastAsia="Arial" w:hAnsi="Arial"/>
          <w:sz w:val="18"/>
          <w:szCs w:val="18"/>
          <w:color w:val="010000"/>
        </w:rPr>
      </w:pPr>
    </w:p>
    <w:p>
      <w:pPr>
        <w:ind w:left="920" w:hanging="264"/>
        <w:spacing w:after="0"/>
        <w:tabs>
          <w:tab w:leader="none" w:pos="920" w:val="left"/>
        </w:tabs>
        <w:numPr>
          <w:ilvl w:val="0"/>
          <w:numId w:val="163"/>
        </w:numPr>
        <w:rPr>
          <w:rFonts w:ascii="Arial" w:cs="Arial" w:eastAsia="Arial" w:hAnsi="Arial"/>
          <w:sz w:val="18"/>
          <w:szCs w:val="18"/>
          <w:color w:val="010000"/>
        </w:rPr>
      </w:pPr>
      <w:r>
        <w:rPr>
          <w:rFonts w:ascii="Arial" w:cs="Arial" w:eastAsia="Arial" w:hAnsi="Arial"/>
          <w:sz w:val="18"/>
          <w:szCs w:val="18"/>
          <w:color w:val="auto"/>
        </w:rPr>
        <w:t>it will be acquiring the Private Warrants for its account for investment purposes only;</w:t>
      </w:r>
    </w:p>
    <w:p>
      <w:pPr>
        <w:spacing w:after="0" w:line="225" w:lineRule="exact"/>
        <w:rPr>
          <w:rFonts w:ascii="Arial" w:cs="Arial" w:eastAsia="Arial" w:hAnsi="Arial"/>
          <w:sz w:val="18"/>
          <w:szCs w:val="18"/>
          <w:color w:val="010000"/>
        </w:rPr>
      </w:pPr>
    </w:p>
    <w:p>
      <w:pPr>
        <w:ind w:left="900" w:hanging="244"/>
        <w:spacing w:after="0"/>
        <w:tabs>
          <w:tab w:leader="none" w:pos="900" w:val="left"/>
        </w:tabs>
        <w:numPr>
          <w:ilvl w:val="0"/>
          <w:numId w:val="163"/>
        </w:numPr>
        <w:rPr>
          <w:rFonts w:ascii="Arial" w:cs="Arial" w:eastAsia="Arial" w:hAnsi="Arial"/>
          <w:sz w:val="17"/>
          <w:szCs w:val="17"/>
          <w:color w:val="010000"/>
        </w:rPr>
      </w:pPr>
      <w:r>
        <w:rPr>
          <w:rFonts w:ascii="Arial" w:cs="Arial" w:eastAsia="Arial" w:hAnsi="Arial"/>
          <w:sz w:val="17"/>
          <w:szCs w:val="17"/>
          <w:color w:val="auto"/>
        </w:rPr>
        <w:t>it has no present intention of selling or otherwise disposing of the Private Warrants in violation of the securities laws of the United States;</w:t>
      </w:r>
    </w:p>
    <w:p>
      <w:pPr>
        <w:spacing w:after="0" w:line="236" w:lineRule="exact"/>
        <w:rPr>
          <w:rFonts w:ascii="Arial" w:cs="Arial" w:eastAsia="Arial" w:hAnsi="Arial"/>
          <w:sz w:val="17"/>
          <w:szCs w:val="17"/>
          <w:color w:val="010000"/>
        </w:rPr>
      </w:pPr>
    </w:p>
    <w:p>
      <w:pPr>
        <w:ind w:left="920" w:hanging="264"/>
        <w:spacing w:after="0"/>
        <w:tabs>
          <w:tab w:leader="none" w:pos="920" w:val="left"/>
        </w:tabs>
        <w:numPr>
          <w:ilvl w:val="0"/>
          <w:numId w:val="163"/>
        </w:numPr>
        <w:rPr>
          <w:rFonts w:ascii="Arial" w:cs="Arial" w:eastAsia="Arial" w:hAnsi="Arial"/>
          <w:sz w:val="18"/>
          <w:szCs w:val="18"/>
          <w:color w:val="010000"/>
        </w:rPr>
      </w:pPr>
      <w:r>
        <w:rPr>
          <w:rFonts w:ascii="Arial" w:cs="Arial" w:eastAsia="Arial" w:hAnsi="Arial"/>
          <w:sz w:val="18"/>
          <w:szCs w:val="18"/>
          <w:color w:val="auto"/>
        </w:rPr>
        <w:t>it is an “accredited investor” as defined by Rule 501 of Regulation D promulgated under the Securities Act of 1933, as amended;</w:t>
      </w:r>
    </w:p>
    <w:p>
      <w:pPr>
        <w:spacing w:after="0" w:line="225" w:lineRule="exact"/>
        <w:rPr>
          <w:rFonts w:ascii="Arial" w:cs="Arial" w:eastAsia="Arial" w:hAnsi="Arial"/>
          <w:sz w:val="18"/>
          <w:szCs w:val="18"/>
          <w:color w:val="010000"/>
        </w:rPr>
      </w:pPr>
    </w:p>
    <w:p>
      <w:pPr>
        <w:ind w:firstLine="656"/>
        <w:spacing w:after="0" w:line="277" w:lineRule="auto"/>
        <w:tabs>
          <w:tab w:leader="none" w:pos="892" w:val="left"/>
        </w:tabs>
        <w:numPr>
          <w:ilvl w:val="0"/>
          <w:numId w:val="163"/>
        </w:numPr>
        <w:rPr>
          <w:rFonts w:ascii="Arial" w:cs="Arial" w:eastAsia="Arial" w:hAnsi="Arial"/>
          <w:sz w:val="18"/>
          <w:szCs w:val="18"/>
          <w:color w:val="010000"/>
        </w:rPr>
      </w:pPr>
      <w:r>
        <w:rPr>
          <w:rFonts w:ascii="Arial" w:cs="Arial" w:eastAsia="Arial" w:hAnsi="Arial"/>
          <w:sz w:val="18"/>
          <w:szCs w:val="18"/>
          <w:color w:val="auto"/>
        </w:rPr>
        <w:t>it has had both the opportunity to ask questions and receive answers from the officers and directors of the Company and all persons acting on its behalf concerning the terms and conditions of the offer made hereunder;</w:t>
      </w:r>
    </w:p>
    <w:p>
      <w:pPr>
        <w:spacing w:after="0" w:line="170" w:lineRule="exact"/>
        <w:rPr>
          <w:rFonts w:ascii="Arial" w:cs="Arial" w:eastAsia="Arial" w:hAnsi="Arial"/>
          <w:sz w:val="18"/>
          <w:szCs w:val="18"/>
          <w:color w:val="010000"/>
        </w:rPr>
      </w:pPr>
    </w:p>
    <w:p>
      <w:pPr>
        <w:ind w:left="880" w:hanging="224"/>
        <w:spacing w:after="0"/>
        <w:tabs>
          <w:tab w:leader="none" w:pos="880" w:val="left"/>
        </w:tabs>
        <w:numPr>
          <w:ilvl w:val="0"/>
          <w:numId w:val="163"/>
        </w:numPr>
        <w:rPr>
          <w:rFonts w:ascii="Arial" w:cs="Arial" w:eastAsia="Arial" w:hAnsi="Arial"/>
          <w:sz w:val="18"/>
          <w:szCs w:val="18"/>
          <w:color w:val="010000"/>
        </w:rPr>
      </w:pPr>
      <w:r>
        <w:rPr>
          <w:rFonts w:ascii="Arial" w:cs="Arial" w:eastAsia="Arial" w:hAnsi="Arial"/>
          <w:sz w:val="18"/>
          <w:szCs w:val="18"/>
          <w:color w:val="auto"/>
        </w:rPr>
        <w:t>it is familiar with the proposed business, management, financial condition and affairs of the Company;</w:t>
      </w:r>
    </w:p>
    <w:p>
      <w:pPr>
        <w:spacing w:after="0" w:line="225" w:lineRule="exact"/>
        <w:rPr>
          <w:rFonts w:ascii="Arial" w:cs="Arial" w:eastAsia="Arial" w:hAnsi="Arial"/>
          <w:sz w:val="18"/>
          <w:szCs w:val="18"/>
          <w:color w:val="010000"/>
        </w:rPr>
      </w:pPr>
    </w:p>
    <w:p>
      <w:pPr>
        <w:ind w:firstLine="656"/>
        <w:spacing w:after="0" w:line="277" w:lineRule="auto"/>
        <w:tabs>
          <w:tab w:leader="none" w:pos="930" w:val="left"/>
        </w:tabs>
        <w:numPr>
          <w:ilvl w:val="0"/>
          <w:numId w:val="163"/>
        </w:numPr>
        <w:rPr>
          <w:rFonts w:ascii="Arial" w:cs="Arial" w:eastAsia="Arial" w:hAnsi="Arial"/>
          <w:sz w:val="18"/>
          <w:szCs w:val="18"/>
          <w:color w:val="010000"/>
        </w:rPr>
      </w:pPr>
      <w:r>
        <w:rPr>
          <w:rFonts w:ascii="Arial" w:cs="Arial" w:eastAsia="Arial" w:hAnsi="Arial"/>
          <w:sz w:val="18"/>
          <w:szCs w:val="18"/>
          <w:color w:val="auto"/>
        </w:rPr>
        <w:t>it has full power, authority and legal capacity to execute and deliver this letter and any documents contemplated herein or needed to consummate the transactions contemplated in this letter; and</w:t>
      </w:r>
    </w:p>
    <w:p>
      <w:pPr>
        <w:spacing w:after="0" w:line="170" w:lineRule="exact"/>
        <w:rPr>
          <w:rFonts w:ascii="Arial" w:cs="Arial" w:eastAsia="Arial" w:hAnsi="Arial"/>
          <w:sz w:val="18"/>
          <w:szCs w:val="18"/>
          <w:color w:val="010000"/>
        </w:rPr>
      </w:pPr>
    </w:p>
    <w:p>
      <w:pPr>
        <w:ind w:left="920" w:hanging="264"/>
        <w:spacing w:after="0"/>
        <w:tabs>
          <w:tab w:leader="none" w:pos="920" w:val="left"/>
        </w:tabs>
        <w:numPr>
          <w:ilvl w:val="0"/>
          <w:numId w:val="163"/>
        </w:numPr>
        <w:rPr>
          <w:rFonts w:ascii="Arial" w:cs="Arial" w:eastAsia="Arial" w:hAnsi="Arial"/>
          <w:sz w:val="18"/>
          <w:szCs w:val="18"/>
          <w:color w:val="010000"/>
        </w:rPr>
      </w:pPr>
      <w:r>
        <w:rPr>
          <w:rFonts w:ascii="Arial" w:cs="Arial" w:eastAsia="Arial" w:hAnsi="Arial"/>
          <w:sz w:val="18"/>
          <w:szCs w:val="18"/>
          <w:color w:val="auto"/>
        </w:rPr>
        <w:t>this letter constitutes its legal, valid and binding obligation, and is enforceable against it.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letter agreement constitutes the entire agreement between the undersigned and the Company with respect to the purchase of the Private Warrants, and supersedes all prior and contemporaneous understandings, agreements, representations and warranties, both written and oral, with respect to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4" w:name="page285"/>
    <w:bookmarkEnd w:id="284"/>
    <w:p>
      <w:pPr>
        <w:ind w:left="586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CHARDAN NEXTECH 2 WARRANT HOLDINGS LLC</w:t>
      </w:r>
    </w:p>
    <w:p>
      <w:pPr>
        <w:spacing w:after="0" w:line="22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42900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8">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use in the Prospectus constituting a part of this Registration Statement on Amendment No. 6 to Form S-1 of our report dated June 4, 2021, relating to the financial statements of Chardan NexTech Acquisition 2 Corp., which is contained in that Prospectus. We also consent to the reference to us under the caption “Experts” in the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330624"/>
    <w:multiLevelType w:val="hybridMultilevel"/>
    <w:lvl w:ilvl="0">
      <w:lvlJc w:val="left"/>
      <w:lvlText w:val="(%1)"/>
      <w:numFmt w:val="decimal"/>
      <w:start w:val="1"/>
    </w:lvl>
  </w:abstractNum>
  <w:abstractNum w:abstractNumId="1">
    <w:nsid w:val="7FFFCA11"/>
    <w:multiLevelType w:val="hybridMultilevel"/>
    <w:lvl w:ilvl="0">
      <w:lvlJc w:val="left"/>
      <w:lvlText w:val="(%1)"/>
      <w:numFmt w:val="decimal"/>
      <w:start w:val="1"/>
    </w:lvl>
  </w:abstractNum>
  <w:abstractNum w:abstractNumId="2">
    <w:nsid w:val="1A27709E"/>
    <w:multiLevelType w:val="hybridMultilevel"/>
    <w:lvl w:ilvl="0">
      <w:lvlJc w:val="left"/>
      <w:lvlText w:val="•"/>
      <w:numFmt w:val="bullet"/>
      <w:start w:val="1"/>
    </w:lvl>
  </w:abstractNum>
  <w:abstractNum w:abstractNumId="3">
    <w:nsid w:val="71EA1109"/>
    <w:multiLevelType w:val="hybridMultilevel"/>
    <w:lvl w:ilvl="0">
      <w:lvlJc w:val="left"/>
      <w:lvlText w:val="(%1)"/>
      <w:numFmt w:val="decimal"/>
      <w:start w:val="4"/>
    </w:lvl>
  </w:abstractNum>
  <w:abstractNum w:abstractNumId="4">
    <w:nsid w:val="100F59DC"/>
    <w:multiLevelType w:val="hybridMultilevel"/>
    <w:lvl w:ilvl="0">
      <w:lvlJc w:val="left"/>
      <w:lvlText w:val="•"/>
      <w:numFmt w:val="bullet"/>
      <w:start w:val="1"/>
    </w:lvl>
  </w:abstractNum>
  <w:abstractNum w:abstractNumId="5">
    <w:nsid w:val="7FB7E0AA"/>
    <w:multiLevelType w:val="hybridMultilevel"/>
    <w:lvl w:ilvl="0">
      <w:lvlJc w:val="left"/>
      <w:lvlText w:val="•"/>
      <w:numFmt w:val="bullet"/>
      <w:start w:val="1"/>
    </w:lvl>
  </w:abstractNum>
  <w:abstractNum w:abstractNumId="6">
    <w:nsid w:val="6EB5BD4"/>
    <w:multiLevelType w:val="hybridMultilevel"/>
    <w:lvl w:ilvl="0">
      <w:lvlJc w:val="left"/>
      <w:lvlText w:val="(%1)"/>
      <w:numFmt w:val="lowerLetter"/>
      <w:start w:val="1"/>
    </w:lvl>
  </w:abstractNum>
  <w:abstractNum w:abstractNumId="7">
    <w:nsid w:val="6F6DD9AC"/>
    <w:multiLevelType w:val="hybridMultilevel"/>
    <w:lvl w:ilvl="0">
      <w:lvlJc w:val="left"/>
      <w:lvlText w:val="(%1)"/>
      <w:numFmt w:val="decimal"/>
      <w:start w:val="1"/>
    </w:lvl>
  </w:abstractNum>
  <w:abstractNum w:abstractNumId="8">
    <w:nsid w:val="94211F2"/>
    <w:multiLevelType w:val="hybridMultilevel"/>
    <w:lvl w:ilvl="0">
      <w:lvlJc w:val="left"/>
      <w:lvlText w:val="(%1)"/>
      <w:numFmt w:val="decimal"/>
      <w:start w:val="1"/>
    </w:lvl>
  </w:abstractNum>
  <w:abstractNum w:abstractNumId="9">
    <w:nsid w:val="885E1B"/>
    <w:multiLevelType w:val="hybridMultilevel"/>
    <w:lvl w:ilvl="0">
      <w:lvlJc w:val="left"/>
      <w:lvlText w:val="•"/>
      <w:numFmt w:val="bullet"/>
      <w:start w:val="1"/>
    </w:lvl>
  </w:abstractNum>
  <w:abstractNum w:abstractNumId="10">
    <w:nsid w:val="76272110"/>
    <w:multiLevelType w:val="hybridMultilevel"/>
    <w:lvl w:ilvl="0">
      <w:lvlJc w:val="left"/>
      <w:lvlText w:val="•"/>
      <w:numFmt w:val="bullet"/>
      <w:start w:val="1"/>
    </w:lvl>
  </w:abstractNum>
  <w:abstractNum w:abstractNumId="11">
    <w:nsid w:val="4C04A8AF"/>
    <w:multiLevelType w:val="hybridMultilevel"/>
    <w:lvl w:ilvl="0">
      <w:lvlJc w:val="left"/>
      <w:lvlText w:val="(%1)"/>
      <w:numFmt w:val="lowerRoman"/>
      <w:start w:val="3"/>
    </w:lvl>
  </w:abstractNum>
  <w:abstractNum w:abstractNumId="12">
    <w:nsid w:val="1716703B"/>
    <w:multiLevelType w:val="hybridMultilevel"/>
    <w:lvl w:ilvl="0">
      <w:lvlJc w:val="left"/>
      <w:lvlText w:val="(%1)"/>
      <w:numFmt w:val="decimal"/>
      <w:start w:val="1"/>
    </w:lvl>
  </w:abstractNum>
  <w:abstractNum w:abstractNumId="13">
    <w:nsid w:val="14E17E33"/>
    <w:multiLevelType w:val="hybridMultilevel"/>
    <w:lvl w:ilvl="0">
      <w:lvlJc w:val="left"/>
      <w:lvlText w:val="•"/>
      <w:numFmt w:val="bullet"/>
      <w:start w:val="1"/>
    </w:lvl>
  </w:abstractNum>
  <w:abstractNum w:abstractNumId="14">
    <w:nsid w:val="3222E7CD"/>
    <w:multiLevelType w:val="hybridMultilevel"/>
    <w:lvl w:ilvl="0">
      <w:lvlJc w:val="left"/>
      <w:lvlText w:val="%1."/>
      <w:numFmt w:val="upperLetter"/>
      <w:start w:val="9"/>
    </w:lvl>
  </w:abstractNum>
  <w:abstractNum w:abstractNumId="15">
    <w:nsid w:val="74DE0EE3"/>
    <w:multiLevelType w:val="hybridMultilevel"/>
    <w:lvl w:ilvl="0">
      <w:lvlJc w:val="left"/>
      <w:lvlText w:val="(%1)"/>
      <w:numFmt w:val="lowerRoman"/>
      <w:start w:val="1"/>
    </w:lvl>
  </w:abstractNum>
  <w:abstractNum w:abstractNumId="16">
    <w:nsid w:val="68EBC550"/>
    <w:multiLevelType w:val="hybridMultilevel"/>
    <w:lvl w:ilvl="0">
      <w:lvlJc w:val="left"/>
      <w:lvlText w:val="•"/>
      <w:numFmt w:val="bullet"/>
      <w:start w:val="1"/>
    </w:lvl>
  </w:abstractNum>
  <w:abstractNum w:abstractNumId="17">
    <w:nsid w:val="2DF6D648"/>
    <w:multiLevelType w:val="hybridMultilevel"/>
    <w:lvl w:ilvl="0">
      <w:lvlJc w:val="left"/>
      <w:lvlText w:val="•"/>
      <w:numFmt w:val="bullet"/>
      <w:start w:val="1"/>
    </w:lvl>
  </w:abstractNum>
  <w:abstractNum w:abstractNumId="18">
    <w:nsid w:val="46B7D447"/>
    <w:multiLevelType w:val="hybridMultilevel"/>
    <w:lvl w:ilvl="0">
      <w:lvlJc w:val="left"/>
      <w:lvlText w:val="•"/>
      <w:numFmt w:val="bullet"/>
      <w:start w:val="1"/>
    </w:lvl>
  </w:abstractNum>
  <w:abstractNum w:abstractNumId="19">
    <w:nsid w:val="4A2AC315"/>
    <w:multiLevelType w:val="hybridMultilevel"/>
    <w:lvl w:ilvl="0">
      <w:lvlJc w:val="left"/>
      <w:lvlText w:val="•"/>
      <w:numFmt w:val="bullet"/>
      <w:start w:val="1"/>
    </w:lvl>
  </w:abstractNum>
  <w:abstractNum w:abstractNumId="20">
    <w:nsid w:val="39EE015C"/>
    <w:multiLevelType w:val="hybridMultilevel"/>
    <w:lvl w:ilvl="0">
      <w:lvlJc w:val="left"/>
      <w:lvlText w:val="•"/>
      <w:numFmt w:val="bullet"/>
      <w:start w:val="1"/>
    </w:lvl>
  </w:abstractNum>
  <w:abstractNum w:abstractNumId="21">
    <w:nsid w:val="57FC4FBB"/>
    <w:multiLevelType w:val="hybridMultilevel"/>
    <w:lvl w:ilvl="0">
      <w:lvlJc w:val="left"/>
      <w:lvlText w:val="%1."/>
      <w:numFmt w:val="upperLetter"/>
      <w:start w:val="35"/>
    </w:lvl>
  </w:abstractNum>
  <w:abstractNum w:abstractNumId="22">
    <w:nsid w:val="CC1016F"/>
    <w:multiLevelType w:val="hybridMultilevel"/>
    <w:lvl w:ilvl="0">
      <w:lvlJc w:val="left"/>
      <w:lvlText w:val="(%1)"/>
      <w:numFmt w:val="upperLetter"/>
      <w:start w:val="1"/>
    </w:lvl>
  </w:abstractNum>
  <w:abstractNum w:abstractNumId="23">
    <w:nsid w:val="43F18422"/>
    <w:multiLevelType w:val="hybridMultilevel"/>
    <w:lvl w:ilvl="0">
      <w:lvlJc w:val="left"/>
      <w:lvlText w:val="•"/>
      <w:numFmt w:val="bullet"/>
      <w:start w:val="1"/>
    </w:lvl>
  </w:abstractNum>
  <w:abstractNum w:abstractNumId="24">
    <w:nsid w:val="60EF0119"/>
    <w:multiLevelType w:val="hybridMultilevel"/>
    <w:lvl w:ilvl="0">
      <w:lvlJc w:val="left"/>
      <w:lvlText w:val="•"/>
      <w:numFmt w:val="bullet"/>
      <w:start w:val="1"/>
    </w:lvl>
  </w:abstractNum>
  <w:abstractNum w:abstractNumId="25">
    <w:nsid w:val="26F324BA"/>
    <w:multiLevelType w:val="hybridMultilevel"/>
    <w:lvl w:ilvl="0">
      <w:lvlJc w:val="left"/>
      <w:lvlText w:val="(%1)"/>
      <w:numFmt w:val="lowerRoman"/>
      <w:start w:val="3"/>
    </w:lvl>
  </w:abstractNum>
  <w:abstractNum w:abstractNumId="26">
    <w:nsid w:val="7F01579B"/>
    <w:multiLevelType w:val="hybridMultilevel"/>
    <w:lvl w:ilvl="0">
      <w:lvlJc w:val="left"/>
      <w:lvlText w:val="•"/>
      <w:numFmt w:val="bullet"/>
      <w:start w:val="1"/>
    </w:lvl>
  </w:abstractNum>
  <w:abstractNum w:abstractNumId="27">
    <w:nsid w:val="49DA307D"/>
    <w:multiLevelType w:val="hybridMultilevel"/>
    <w:lvl w:ilvl="0">
      <w:lvlJc w:val="left"/>
      <w:lvlText w:val="•"/>
      <w:numFmt w:val="bullet"/>
      <w:start w:val="1"/>
    </w:lvl>
  </w:abstractNum>
  <w:abstractNum w:abstractNumId="28">
    <w:nsid w:val="7055A5F5"/>
    <w:multiLevelType w:val="hybridMultilevel"/>
    <w:lvl w:ilvl="0">
      <w:lvlJc w:val="left"/>
      <w:lvlText w:val="(%1)"/>
      <w:numFmt w:val="decimal"/>
      <w:start w:val="1"/>
    </w:lvl>
  </w:abstractNum>
  <w:abstractNum w:abstractNumId="29">
    <w:nsid w:val="5FB8370B"/>
    <w:multiLevelType w:val="hybridMultilevel"/>
    <w:lvl w:ilvl="0">
      <w:lvlJc w:val="left"/>
      <w:lvlText w:val="(%1)"/>
      <w:numFmt w:val="decimal"/>
      <w:start w:val="1"/>
    </w:lvl>
  </w:abstractNum>
  <w:abstractNum w:abstractNumId="30">
    <w:nsid w:val="50801EE1"/>
    <w:multiLevelType w:val="hybridMultilevel"/>
    <w:lvl w:ilvl="0">
      <w:lvlJc w:val="left"/>
      <w:lvlText w:val="•"/>
      <w:numFmt w:val="bullet"/>
      <w:start w:val="1"/>
    </w:lvl>
  </w:abstractNum>
  <w:abstractNum w:abstractNumId="31">
    <w:nsid w:val="488AC1A"/>
    <w:multiLevelType w:val="hybridMultilevel"/>
    <w:lvl w:ilvl="0">
      <w:lvlJc w:val="left"/>
      <w:lvlText w:val="•"/>
      <w:numFmt w:val="bullet"/>
      <w:start w:val="1"/>
    </w:lvl>
  </w:abstractNum>
  <w:abstractNum w:abstractNumId="32">
    <w:nsid w:val="5FB8011C"/>
    <w:multiLevelType w:val="hybridMultilevel"/>
    <w:lvl w:ilvl="0">
      <w:lvlJc w:val="left"/>
      <w:lvlText w:val="•"/>
      <w:numFmt w:val="bullet"/>
      <w:start w:val="1"/>
    </w:lvl>
  </w:abstractNum>
  <w:abstractNum w:abstractNumId="33">
    <w:nsid w:val="6AA78F7F"/>
    <w:multiLevelType w:val="hybridMultilevel"/>
    <w:lvl w:ilvl="0">
      <w:lvlJc w:val="left"/>
      <w:lvlText w:val="•"/>
      <w:numFmt w:val="bullet"/>
      <w:start w:val="1"/>
    </w:lvl>
  </w:abstractNum>
  <w:abstractNum w:abstractNumId="34">
    <w:nsid w:val="7672BD23"/>
    <w:multiLevelType w:val="hybridMultilevel"/>
    <w:lvl w:ilvl="0">
      <w:lvlJc w:val="left"/>
      <w:lvlText w:val="(%1)"/>
      <w:numFmt w:val="decimal"/>
      <w:start w:val="2"/>
    </w:lvl>
  </w:abstractNum>
  <w:abstractNum w:abstractNumId="35">
    <w:nsid w:val="6FC75AF8"/>
    <w:multiLevelType w:val="hybridMultilevel"/>
    <w:lvl w:ilvl="0">
      <w:lvlJc w:val="left"/>
      <w:lvlText w:val="%1."/>
      <w:numFmt w:val="upperLetter"/>
      <w:start w:val="22"/>
    </w:lvl>
  </w:abstractNum>
  <w:abstractNum w:abstractNumId="36">
    <w:nsid w:val="6A5F7029"/>
    <w:multiLevelType w:val="hybridMultilevel"/>
    <w:lvl w:ilvl="0">
      <w:lvlJc w:val="left"/>
      <w:lvlText w:val="•"/>
      <w:numFmt w:val="bullet"/>
      <w:start w:val="1"/>
    </w:lvl>
  </w:abstractNum>
  <w:abstractNum w:abstractNumId="37">
    <w:nsid w:val="7D5E18F8"/>
    <w:multiLevelType w:val="hybridMultilevel"/>
    <w:lvl w:ilvl="0">
      <w:lvlJc w:val="left"/>
      <w:lvlText w:val="(%1)"/>
      <w:numFmt w:val="decimal"/>
      <w:start w:val="1"/>
    </w:lvl>
  </w:abstractNum>
  <w:abstractNum w:abstractNumId="38">
    <w:nsid w:val="5F3534A4"/>
    <w:multiLevelType w:val="hybridMultilevel"/>
    <w:lvl w:ilvl="0">
      <w:lvlJc w:val="left"/>
      <w:lvlText w:val="(%1)"/>
      <w:numFmt w:val="decimal"/>
      <w:start w:val="2"/>
    </w:lvl>
  </w:abstractNum>
  <w:abstractNum w:abstractNumId="39">
    <w:nsid w:val="73A1821B"/>
    <w:multiLevelType w:val="hybridMultilevel"/>
    <w:lvl w:ilvl="0">
      <w:lvlJc w:val="left"/>
      <w:lvlText w:val="(%1)"/>
      <w:numFmt w:val="decimal"/>
      <w:start w:val="1"/>
    </w:lvl>
  </w:abstractNum>
  <w:abstractNum w:abstractNumId="40">
    <w:nsid w:val="7DE67713"/>
    <w:multiLevelType w:val="hybridMultilevel"/>
    <w:lvl w:ilvl="0">
      <w:lvlJc w:val="left"/>
      <w:lvlText w:val="(%1)"/>
      <w:numFmt w:val="decimal"/>
      <w:start w:val="1"/>
    </w:lvl>
  </w:abstractNum>
  <w:abstractNum w:abstractNumId="41">
    <w:nsid w:val="555C55B5"/>
    <w:multiLevelType w:val="hybridMultilevel"/>
    <w:lvl w:ilvl="0">
      <w:lvlJc w:val="left"/>
      <w:lvlText w:val="(%1)"/>
      <w:numFmt w:val="decimal"/>
      <w:start w:val="1"/>
    </w:lvl>
  </w:abstractNum>
  <w:abstractNum w:abstractNumId="42">
    <w:nsid w:val="3FA62ACA"/>
    <w:multiLevelType w:val="hybridMultilevel"/>
    <w:lvl w:ilvl="0">
      <w:lvlJc w:val="left"/>
      <w:lvlText w:val="•"/>
      <w:numFmt w:val="bullet"/>
      <w:start w:val="1"/>
    </w:lvl>
  </w:abstractNum>
  <w:abstractNum w:abstractNumId="43">
    <w:nsid w:val="14FCE74E"/>
    <w:multiLevelType w:val="hybridMultilevel"/>
    <w:lvl w:ilvl="0">
      <w:lvlJc w:val="left"/>
      <w:lvlText w:val="•"/>
      <w:numFmt w:val="bullet"/>
      <w:start w:val="1"/>
    </w:lvl>
  </w:abstractNum>
  <w:abstractNum w:abstractNumId="44">
    <w:nsid w:val="6A3DD3E8"/>
    <w:multiLevelType w:val="hybridMultilevel"/>
    <w:lvl w:ilvl="0">
      <w:lvlJc w:val="left"/>
      <w:lvlText w:val="•"/>
      <w:numFmt w:val="bullet"/>
      <w:start w:val="1"/>
    </w:lvl>
  </w:abstractNum>
  <w:abstractNum w:abstractNumId="45">
    <w:nsid w:val="71C91298"/>
    <w:multiLevelType w:val="hybridMultilevel"/>
    <w:lvl w:ilvl="0">
      <w:lvlJc w:val="left"/>
      <w:lvlText w:val="•"/>
      <w:numFmt w:val="bullet"/>
      <w:start w:val="1"/>
    </w:lvl>
  </w:abstractNum>
  <w:abstractNum w:abstractNumId="46">
    <w:nsid w:val="9DAF632"/>
    <w:multiLevelType w:val="hybridMultilevel"/>
    <w:lvl w:ilvl="0">
      <w:lvlJc w:val="left"/>
      <w:lvlText w:val="•"/>
      <w:numFmt w:val="bullet"/>
      <w:start w:val="1"/>
    </w:lvl>
  </w:abstractNum>
  <w:abstractNum w:abstractNumId="47">
    <w:nsid w:val="53299938"/>
    <w:multiLevelType w:val="hybridMultilevel"/>
    <w:lvl w:ilvl="0">
      <w:lvlJc w:val="left"/>
      <w:lvlText w:val="(%1)"/>
      <w:numFmt w:val="decimal"/>
      <w:start w:val="4"/>
    </w:lvl>
  </w:abstractNum>
  <w:abstractNum w:abstractNumId="48">
    <w:nsid w:val="1FBFE8E0"/>
    <w:multiLevelType w:val="hybridMultilevel"/>
    <w:lvl w:ilvl="0">
      <w:lvlJc w:val="left"/>
      <w:lvlText w:val="•"/>
      <w:numFmt w:val="bullet"/>
      <w:start w:val="1"/>
    </w:lvl>
  </w:abstractNum>
  <w:abstractNum w:abstractNumId="49">
    <w:nsid w:val="5092CA79"/>
    <w:multiLevelType w:val="hybridMultilevel"/>
    <w:lvl w:ilvl="0">
      <w:lvlJc w:val="left"/>
      <w:lvlText w:val="•"/>
      <w:numFmt w:val="bullet"/>
      <w:start w:val="1"/>
    </w:lvl>
  </w:abstractNum>
  <w:abstractNum w:abstractNumId="50">
    <w:nsid w:val="1D545C4D"/>
    <w:multiLevelType w:val="hybridMultilevel"/>
    <w:lvl w:ilvl="0">
      <w:lvlJc w:val="left"/>
      <w:lvlText w:val="•"/>
      <w:numFmt w:val="bullet"/>
      <w:start w:val="1"/>
    </w:lvl>
  </w:abstractNum>
  <w:abstractNum w:abstractNumId="51">
    <w:nsid w:val="59ADEA3D"/>
    <w:multiLevelType w:val="hybridMultilevel"/>
    <w:lvl w:ilvl="0">
      <w:lvlJc w:val="left"/>
      <w:lvlText w:val="(%1)"/>
      <w:numFmt w:val="decimal"/>
      <w:start w:val="3"/>
    </w:lvl>
  </w:abstractNum>
  <w:abstractNum w:abstractNumId="52">
    <w:nsid w:val="288F1A34"/>
    <w:multiLevelType w:val="hybridMultilevel"/>
    <w:lvl w:ilvl="0">
      <w:lvlJc w:val="left"/>
      <w:lvlText w:val="•"/>
      <w:numFmt w:val="bullet"/>
      <w:start w:val="1"/>
    </w:lvl>
  </w:abstractNum>
  <w:abstractNum w:abstractNumId="53">
    <w:nsid w:val="2A155DBC"/>
    <w:multiLevelType w:val="hybridMultilevel"/>
    <w:lvl w:ilvl="0">
      <w:lvlJc w:val="left"/>
      <w:lvlText w:val="•"/>
      <w:numFmt w:val="bullet"/>
      <w:start w:val="1"/>
    </w:lvl>
  </w:abstractNum>
  <w:abstractNum w:abstractNumId="54">
    <w:nsid w:val="1D9F6E5F"/>
    <w:multiLevelType w:val="hybridMultilevel"/>
    <w:lvl w:ilvl="0">
      <w:lvlJc w:val="left"/>
      <w:lvlText w:val="•"/>
      <w:numFmt w:val="bullet"/>
      <w:start w:val="1"/>
    </w:lvl>
  </w:abstractNum>
  <w:abstractNum w:abstractNumId="55">
    <w:nsid w:val="97E1B4E"/>
    <w:multiLevelType w:val="hybridMultilevel"/>
    <w:lvl w:ilvl="0">
      <w:lvlJc w:val="left"/>
      <w:lvlText w:val="•"/>
      <w:numFmt w:val="bullet"/>
      <w:start w:val="1"/>
    </w:lvl>
  </w:abstractNum>
  <w:abstractNum w:abstractNumId="56">
    <w:nsid w:val="51088277"/>
    <w:multiLevelType w:val="hybridMultilevel"/>
    <w:lvl w:ilvl="0">
      <w:lvlJc w:val="left"/>
      <w:lvlText w:val="•"/>
      <w:numFmt w:val="bullet"/>
      <w:start w:val="1"/>
    </w:lvl>
  </w:abstractNum>
  <w:abstractNum w:abstractNumId="57">
    <w:nsid w:val="1CA0C5FA"/>
    <w:multiLevelType w:val="hybridMultilevel"/>
    <w:lvl w:ilvl="0">
      <w:lvlJc w:val="left"/>
      <w:lvlText w:val="@"/>
      <w:numFmt w:val="bullet"/>
      <w:start w:val="1"/>
    </w:lvl>
  </w:abstractNum>
  <w:abstractNum w:abstractNumId="58">
    <w:nsid w:val="53584BCB"/>
    <w:multiLevelType w:val="hybridMultilevel"/>
    <w:lvl w:ilvl="0">
      <w:lvlJc w:val="left"/>
      <w:lvlText w:val="•"/>
      <w:numFmt w:val="bullet"/>
      <w:start w:val="1"/>
    </w:lvl>
  </w:abstractNum>
  <w:abstractNum w:abstractNumId="59">
    <w:nsid w:val="415E286C"/>
    <w:multiLevelType w:val="hybridMultilevel"/>
    <w:lvl w:ilvl="0">
      <w:lvlJc w:val="left"/>
      <w:lvlText w:val="•"/>
      <w:numFmt w:val="bullet"/>
      <w:start w:val="1"/>
    </w:lvl>
  </w:abstractNum>
  <w:abstractNum w:abstractNumId="60">
    <w:nsid w:val="7C58FD05"/>
    <w:multiLevelType w:val="hybridMultilevel"/>
    <w:lvl w:ilvl="0">
      <w:lvlJc w:val="left"/>
      <w:lvlText w:val="•"/>
      <w:numFmt w:val="bullet"/>
      <w:start w:val="1"/>
    </w:lvl>
  </w:abstractNum>
  <w:abstractNum w:abstractNumId="61">
    <w:nsid w:val="23D86AAC"/>
    <w:multiLevelType w:val="hybridMultilevel"/>
    <w:lvl w:ilvl="0">
      <w:lvlJc w:val="left"/>
      <w:lvlText w:val="•"/>
      <w:numFmt w:val="bullet"/>
      <w:start w:val="1"/>
    </w:lvl>
  </w:abstractNum>
  <w:abstractNum w:abstractNumId="62">
    <w:nsid w:val="45E6D486"/>
    <w:multiLevelType w:val="hybridMultilevel"/>
    <w:lvl w:ilvl="0">
      <w:lvlJc w:val="left"/>
      <w:lvlText w:val="•"/>
      <w:numFmt w:val="bullet"/>
      <w:start w:val="1"/>
    </w:lvl>
  </w:abstractNum>
  <w:abstractNum w:abstractNumId="63">
    <w:nsid w:val="5C10FE21"/>
    <w:multiLevelType w:val="hybridMultilevel"/>
    <w:lvl w:ilvl="0">
      <w:lvlJc w:val="left"/>
      <w:lvlText w:val="•"/>
      <w:numFmt w:val="bullet"/>
      <w:start w:val="1"/>
    </w:lvl>
  </w:abstractNum>
  <w:abstractNum w:abstractNumId="64">
    <w:nsid w:val="E7FFA2B"/>
    <w:multiLevelType w:val="hybridMultilevel"/>
    <w:lvl w:ilvl="0">
      <w:lvlJc w:val="left"/>
      <w:lvlText w:val="•"/>
      <w:numFmt w:val="bullet"/>
      <w:start w:val="1"/>
    </w:lvl>
  </w:abstractNum>
  <w:abstractNum w:abstractNumId="65">
    <w:nsid w:val="3C5991AA"/>
    <w:multiLevelType w:val="hybridMultilevel"/>
    <w:lvl w:ilvl="0">
      <w:lvlJc w:val="left"/>
      <w:lvlText w:val="*"/>
      <w:numFmt w:val="bullet"/>
      <w:start w:val="1"/>
    </w:lvl>
  </w:abstractNum>
  <w:abstractNum w:abstractNumId="66">
    <w:nsid w:val="4BD8591A"/>
    <w:multiLevelType w:val="hybridMultilevel"/>
    <w:lvl w:ilvl="0">
      <w:lvlJc w:val="left"/>
      <w:lvlText w:val="(%1)"/>
      <w:numFmt w:val="decimal"/>
      <w:start w:val="1"/>
    </w:lvl>
  </w:abstractNum>
  <w:abstractNum w:abstractNumId="67">
    <w:nsid w:val="78DF6A55"/>
    <w:multiLevelType w:val="hybridMultilevel"/>
    <w:lvl w:ilvl="0">
      <w:lvlJc w:val="left"/>
      <w:lvlText w:val="(%1)"/>
      <w:numFmt w:val="decimal"/>
      <w:start w:val="2"/>
    </w:lvl>
  </w:abstractNum>
  <w:abstractNum w:abstractNumId="68">
    <w:nsid w:val="39B7AAA2"/>
    <w:multiLevelType w:val="hybridMultilevel"/>
    <w:lvl w:ilvl="0">
      <w:lvlJc w:val="left"/>
      <w:lvlText w:val="•"/>
      <w:numFmt w:val="bullet"/>
      <w:start w:val="1"/>
    </w:lvl>
  </w:abstractNum>
  <w:abstractNum w:abstractNumId="69">
    <w:nsid w:val="2B0D8DBE"/>
    <w:multiLevelType w:val="hybridMultilevel"/>
    <w:lvl w:ilvl="0">
      <w:lvlJc w:val="left"/>
      <w:lvlText w:val="•"/>
      <w:numFmt w:val="bullet"/>
      <w:start w:val="1"/>
    </w:lvl>
  </w:abstractNum>
  <w:abstractNum w:abstractNumId="70">
    <w:nsid w:val="6C80EC70"/>
    <w:multiLevelType w:val="hybridMultilevel"/>
    <w:lvl w:ilvl="0">
      <w:lvlJc w:val="left"/>
      <w:lvlText w:val="(%1)"/>
      <w:numFmt w:val="lowerRoman"/>
      <w:start w:val="1"/>
    </w:lvl>
  </w:abstractNum>
  <w:abstractNum w:abstractNumId="71">
    <w:nsid w:val="379E21B5"/>
    <w:multiLevelType w:val="hybridMultilevel"/>
    <w:lvl w:ilvl="0">
      <w:lvlJc w:val="left"/>
      <w:lvlText w:val="•"/>
      <w:numFmt w:val="bullet"/>
      <w:start w:val="1"/>
    </w:lvl>
  </w:abstractNum>
  <w:abstractNum w:abstractNumId="72">
    <w:nsid w:val="69E373"/>
    <w:multiLevelType w:val="hybridMultilevel"/>
    <w:lvl w:ilvl="0">
      <w:lvlJc w:val="left"/>
      <w:lvlText w:val="•"/>
      <w:numFmt w:val="bullet"/>
      <w:start w:val="1"/>
    </w:lvl>
  </w:abstractNum>
  <w:abstractNum w:abstractNumId="73">
    <w:nsid w:val="2C27173B"/>
    <w:multiLevelType w:val="hybridMultilevel"/>
    <w:lvl w:ilvl="0">
      <w:lvlJc w:val="left"/>
      <w:lvlText w:val="•"/>
      <w:numFmt w:val="bullet"/>
      <w:start w:val="1"/>
    </w:lvl>
  </w:abstractNum>
  <w:abstractNum w:abstractNumId="74">
    <w:nsid w:val="4C9B0904"/>
    <w:multiLevelType w:val="hybridMultilevel"/>
    <w:lvl w:ilvl="0">
      <w:lvlJc w:val="left"/>
      <w:lvlText w:val="•"/>
      <w:numFmt w:val="bullet"/>
      <w:start w:val="1"/>
    </w:lvl>
  </w:abstractNum>
  <w:abstractNum w:abstractNumId="75">
    <w:nsid w:val="6AA7B75C"/>
    <w:multiLevelType w:val="hybridMultilevel"/>
    <w:lvl w:ilvl="0">
      <w:lvlJc w:val="left"/>
      <w:lvlText w:val="•"/>
      <w:numFmt w:val="bullet"/>
      <w:start w:val="1"/>
    </w:lvl>
  </w:abstractNum>
  <w:abstractNum w:abstractNumId="76">
    <w:nsid w:val="1DF029D3"/>
    <w:multiLevelType w:val="hybridMultilevel"/>
    <w:lvl w:ilvl="0">
      <w:lvlJc w:val="left"/>
      <w:lvlText w:val="(%1)"/>
      <w:numFmt w:val="lowerLetter"/>
      <w:start w:val="3"/>
    </w:lvl>
  </w:abstractNum>
  <w:abstractNum w:abstractNumId="77">
    <w:nsid w:val="5675FF36"/>
    <w:multiLevelType w:val="hybridMultilevel"/>
    <w:lvl w:ilvl="0">
      <w:lvlJc w:val="left"/>
      <w:lvlText w:val="•"/>
      <w:numFmt w:val="bullet"/>
      <w:start w:val="1"/>
    </w:lvl>
  </w:abstractNum>
  <w:abstractNum w:abstractNumId="78">
    <w:nsid w:val="3DD15094"/>
    <w:multiLevelType w:val="hybridMultilevel"/>
    <w:lvl w:ilvl="0">
      <w:lvlJc w:val="left"/>
      <w:lvlText w:val="•"/>
      <w:numFmt w:val="bullet"/>
      <w:start w:val="1"/>
    </w:lvl>
  </w:abstractNum>
  <w:abstractNum w:abstractNumId="79">
    <w:nsid w:val="3DB012B3"/>
    <w:multiLevelType w:val="hybridMultilevel"/>
    <w:lvl w:ilvl="0">
      <w:lvlJc w:val="left"/>
      <w:lvlText w:val="•"/>
      <w:numFmt w:val="bullet"/>
      <w:start w:val="1"/>
    </w:lvl>
  </w:abstractNum>
  <w:abstractNum w:abstractNumId="80">
    <w:nsid w:val="2708C9AF"/>
    <w:multiLevelType w:val="hybridMultilevel"/>
    <w:lvl w:ilvl="0">
      <w:lvlJc w:val="left"/>
      <w:lvlText w:val="•"/>
      <w:numFmt w:val="bullet"/>
      <w:start w:val="1"/>
    </w:lvl>
  </w:abstractNum>
  <w:abstractNum w:abstractNumId="81">
    <w:nsid w:val="5B25ACE2"/>
    <w:multiLevelType w:val="hybridMultilevel"/>
    <w:lvl w:ilvl="0">
      <w:lvlJc w:val="left"/>
      <w:lvlText w:val="(%1)"/>
      <w:numFmt w:val="lowerRoman"/>
      <w:start w:val="1"/>
    </w:lvl>
  </w:abstractNum>
  <w:abstractNum w:abstractNumId="82">
    <w:nsid w:val="175DFCF0"/>
    <w:multiLevelType w:val="hybridMultilevel"/>
    <w:lvl w:ilvl="0">
      <w:lvlJc w:val="left"/>
      <w:lvlText w:val="•"/>
      <w:numFmt w:val="bullet"/>
      <w:start w:val="1"/>
    </w:lvl>
  </w:abstractNum>
  <w:abstractNum w:abstractNumId="83">
    <w:nsid w:val="4F97E3E4"/>
    <w:multiLevelType w:val="hybridMultilevel"/>
    <w:lvl w:ilvl="0">
      <w:lvlJc w:val="left"/>
      <w:lvlText w:val="\emdash "/>
      <w:numFmt w:val="bullet"/>
      <w:start w:val="1"/>
    </w:lvl>
  </w:abstractNum>
  <w:abstractNum w:abstractNumId="84">
    <w:nsid w:val="53B0A9E"/>
    <w:multiLevelType w:val="hybridMultilevel"/>
    <w:lvl w:ilvl="0">
      <w:lvlJc w:val="left"/>
      <w:lvlText w:val="(%1)"/>
      <w:numFmt w:val="decimal"/>
      <w:start w:val="1"/>
    </w:lvl>
  </w:abstractNum>
  <w:abstractNum w:abstractNumId="85">
    <w:nsid w:val="34FD6B4F"/>
    <w:multiLevelType w:val="hybridMultilevel"/>
    <w:lvl w:ilvl="0">
      <w:lvlJc w:val="left"/>
      <w:lvlText w:val="•"/>
      <w:numFmt w:val="bullet"/>
      <w:start w:val="1"/>
    </w:lvl>
  </w:abstractNum>
  <w:abstractNum w:abstractNumId="86">
    <w:nsid w:val="5915FF32"/>
    <w:multiLevelType w:val="hybridMultilevel"/>
    <w:lvl w:ilvl="0">
      <w:lvlJc w:val="left"/>
      <w:lvlText w:val="•"/>
      <w:numFmt w:val="bullet"/>
      <w:start w:val="1"/>
    </w:lvl>
  </w:abstractNum>
  <w:abstractNum w:abstractNumId="87">
    <w:nsid w:val="56438D15"/>
    <w:multiLevelType w:val="hybridMultilevel"/>
    <w:lvl w:ilvl="0">
      <w:lvlJc w:val="left"/>
      <w:lvlText w:val="•"/>
      <w:numFmt w:val="bullet"/>
      <w:start w:val="1"/>
    </w:lvl>
  </w:abstractNum>
  <w:abstractNum w:abstractNumId="88">
    <w:nsid w:val="519E3149"/>
    <w:multiLevelType w:val="hybridMultilevel"/>
    <w:lvl w:ilvl="0">
      <w:lvlJc w:val="left"/>
      <w:lvlText w:val="•"/>
      <w:numFmt w:val="bullet"/>
      <w:start w:val="1"/>
    </w:lvl>
  </w:abstractNum>
  <w:abstractNum w:abstractNumId="89">
    <w:nsid w:val="2C6E4AFD"/>
    <w:multiLevelType w:val="hybridMultilevel"/>
    <w:lvl w:ilvl="0">
      <w:lvlJc w:val="left"/>
      <w:lvlText w:val="(%1)"/>
      <w:numFmt w:val="upperLetter"/>
      <w:start w:val="6"/>
    </w:lvl>
  </w:abstractNum>
  <w:abstractNum w:abstractNumId="90">
    <w:nsid w:val="17A1B582"/>
    <w:multiLevelType w:val="hybridMultilevel"/>
    <w:lvl w:ilvl="0">
      <w:lvlJc w:val="left"/>
      <w:lvlText w:val="(%1)"/>
      <w:numFmt w:val="upperLetter"/>
      <w:start w:val="6"/>
    </w:lvl>
  </w:abstractNum>
  <w:abstractNum w:abstractNumId="91">
    <w:nsid w:val="4DF72E4E"/>
    <w:multiLevelType w:val="hybridMultilevel"/>
    <w:lvl w:ilvl="0">
      <w:lvlJc w:val="left"/>
      <w:lvlText w:val="(%1)"/>
      <w:numFmt w:val="upperLetter"/>
      <w:start w:val="6"/>
    </w:lvl>
  </w:abstractNum>
  <w:abstractNum w:abstractNumId="92">
    <w:nsid w:val="5046B5A9"/>
    <w:multiLevelType w:val="hybridMultilevel"/>
    <w:lvl w:ilvl="0">
      <w:lvlJc w:val="left"/>
      <w:lvlText w:val="(%1)"/>
      <w:numFmt w:val="lowerLetter"/>
      <w:start w:val="1"/>
    </w:lvl>
  </w:abstractNum>
  <w:abstractNum w:abstractNumId="93">
    <w:nsid w:val="5D888A08"/>
    <w:multiLevelType w:val="hybridMultilevel"/>
    <w:lvl w:ilvl="0">
      <w:lvlJc w:val="left"/>
      <w:lvlText w:val="(%1)"/>
      <w:numFmt w:val="lowerLetter"/>
      <w:start w:val="3"/>
    </w:lvl>
  </w:abstractNum>
  <w:abstractNum w:abstractNumId="94">
    <w:nsid w:val="2A082C70"/>
    <w:multiLevelType w:val="hybridMultilevel"/>
    <w:lvl w:ilvl="0">
      <w:lvlJc w:val="left"/>
      <w:lvlText w:val="(%1)"/>
      <w:numFmt w:val="lowerLetter"/>
      <w:start w:val="9"/>
    </w:lvl>
  </w:abstractNum>
  <w:abstractNum w:abstractNumId="95">
    <w:nsid w:val="5EC6AFD4"/>
    <w:multiLevelType w:val="hybridMultilevel"/>
    <w:lvl w:ilvl="0">
      <w:lvlJc w:val="left"/>
      <w:lvlText w:val="*"/>
      <w:numFmt w:val="bullet"/>
      <w:start w:val="1"/>
    </w:lvl>
    <w:lvl w:ilvl="1">
      <w:lvlJc w:val="left"/>
      <w:lvlText w:val="(%2)"/>
      <w:numFmt w:val="lowerLetter"/>
      <w:start w:val="2"/>
    </w:lvl>
  </w:abstractNum>
  <w:abstractNum w:abstractNumId="96">
    <w:nsid w:val="19E21BB2"/>
    <w:multiLevelType w:val="hybridMultilevel"/>
    <w:lvl w:ilvl="0">
      <w:lvlJc w:val="left"/>
      <w:lvlText w:val="(%1)"/>
      <w:numFmt w:val="lowerLetter"/>
      <w:start w:val="1"/>
    </w:lvl>
    <w:lvl w:ilvl="1">
      <w:lvlJc w:val="left"/>
      <w:lvlText w:val="(%2)"/>
      <w:numFmt w:val="decimal"/>
      <w:start w:val="1"/>
    </w:lvl>
  </w:abstractNum>
  <w:abstractNum w:abstractNumId="97">
    <w:nsid w:val="75E0858A"/>
    <w:multiLevelType w:val="hybridMultilevel"/>
    <w:lvl w:ilvl="0">
      <w:lvlJc w:val="left"/>
      <w:lvlText w:val="(%1)"/>
      <w:numFmt w:val="decimal"/>
      <w:start w:val="2"/>
    </w:lvl>
    <w:lvl w:ilvl="1">
      <w:lvlJc w:val="left"/>
      <w:lvlText w:val="(%2)"/>
      <w:numFmt w:val="lowerRoman"/>
      <w:start w:val="1"/>
    </w:lvl>
  </w:abstractNum>
  <w:abstractNum w:abstractNumId="98">
    <w:nsid w:val="57A61A29"/>
    <w:multiLevelType w:val="hybridMultilevel"/>
    <w:lvl w:ilvl="0">
      <w:lvlJc w:val="left"/>
      <w:lvlText w:val="%1."/>
      <w:numFmt w:val="decimal"/>
      <w:start w:val="1"/>
    </w:lvl>
  </w:abstractNum>
  <w:abstractNum w:abstractNumId="99">
    <w:nsid w:val="5399C654"/>
    <w:multiLevelType w:val="hybridMultilevel"/>
    <w:lvl w:ilvl="0">
      <w:lvlJc w:val="left"/>
      <w:lvlText w:val="(%1)"/>
      <w:numFmt w:val="decimal"/>
      <w:start w:val="30"/>
    </w:lvl>
  </w:abstractNum>
  <w:abstractNum w:abstractNumId="100">
    <w:nsid w:val="20EE1348"/>
    <w:multiLevelType w:val="hybridMultilevel"/>
    <w:lvl w:ilvl="0">
      <w:lvlJc w:val="left"/>
      <w:lvlText w:val="%1."/>
      <w:numFmt w:val="decimal"/>
      <w:start w:val="2"/>
    </w:lvl>
  </w:abstractNum>
  <w:abstractNum w:abstractNumId="101">
    <w:nsid w:val="4427069A"/>
    <w:multiLevelType w:val="hybridMultilevel"/>
    <w:lvl w:ilvl="0">
      <w:lvlJc w:val="left"/>
      <w:lvlText w:val="%1."/>
      <w:numFmt w:val="decimal"/>
      <w:start w:val="3"/>
    </w:lvl>
  </w:abstractNum>
  <w:abstractNum w:abstractNumId="102">
    <w:nsid w:val="B37E80A"/>
    <w:multiLevelType w:val="hybridMultilevel"/>
    <w:lvl w:ilvl="0">
      <w:lvlJc w:val="left"/>
      <w:lvlText w:val="(%1)"/>
      <w:numFmt w:val="lowerRoman"/>
      <w:start w:val="5"/>
    </w:lvl>
  </w:abstractNum>
  <w:abstractNum w:abstractNumId="103">
    <w:nsid w:val="2157F6BC"/>
    <w:multiLevelType w:val="hybridMultilevel"/>
    <w:lvl w:ilvl="0">
      <w:lvlJc w:val="left"/>
      <w:lvlText w:val="[●]"/>
      <w:numFmt w:val="bullet"/>
      <w:start w:val="1"/>
    </w:lvl>
  </w:abstractNum>
  <w:abstractNum w:abstractNumId="104">
    <w:nsid w:val="704E1DD5"/>
    <w:multiLevelType w:val="hybridMultilevel"/>
    <w:lvl w:ilvl="0">
      <w:lvlJc w:val="left"/>
      <w:lvlText w:val="(%1)"/>
      <w:numFmt w:val="lowerRoman"/>
      <w:start w:val="1"/>
    </w:lvl>
  </w:abstractNum>
  <w:abstractNum w:abstractNumId="105">
    <w:nsid w:val="57D2F10E"/>
    <w:multiLevelType w:val="hybridMultilevel"/>
    <w:lvl w:ilvl="0">
      <w:lvlJc w:val="left"/>
      <w:lvlText w:val="(%1)"/>
      <w:numFmt w:val="decimal"/>
      <w:start w:val="4"/>
    </w:lvl>
  </w:abstractNum>
  <w:abstractNum w:abstractNumId="106">
    <w:nsid w:val="BFFAE18"/>
    <w:multiLevelType w:val="hybridMultilevel"/>
    <w:lvl w:ilvl="0">
      <w:lvlJc w:val="left"/>
      <w:lvlText w:val="%1."/>
      <w:numFmt w:val="decimal"/>
      <w:start w:val="4"/>
    </w:lvl>
  </w:abstractNum>
  <w:abstractNum w:abstractNumId="107">
    <w:nsid w:val="E3E47A8"/>
    <w:multiLevelType w:val="hybridMultilevel"/>
    <w:lvl w:ilvl="0">
      <w:lvlJc w:val="left"/>
      <w:lvlText w:val="(%1)"/>
      <w:numFmt w:val="lowerLetter"/>
      <w:start w:val="1"/>
    </w:lvl>
  </w:abstractNum>
  <w:abstractNum w:abstractNumId="108">
    <w:nsid w:val="2E48F044"/>
    <w:multiLevelType w:val="hybridMultilevel"/>
    <w:lvl w:ilvl="0">
      <w:lvlJc w:val="left"/>
      <w:lvlText w:val="%1."/>
      <w:numFmt w:val="decimal"/>
      <w:start w:val="5"/>
    </w:lvl>
  </w:abstractNum>
  <w:abstractNum w:abstractNumId="109">
    <w:nsid w:val="49D0FEAC"/>
    <w:multiLevelType w:val="hybridMultilevel"/>
    <w:lvl w:ilvl="0">
      <w:lvlJc w:val="left"/>
      <w:lvlText w:val="%1."/>
      <w:numFmt w:val="decimal"/>
      <w:start w:val="6"/>
    </w:lvl>
  </w:abstractNum>
  <w:abstractNum w:abstractNumId="110">
    <w:nsid w:val="4BEE5A5B"/>
    <w:multiLevelType w:val="hybridMultilevel"/>
    <w:lvl w:ilvl="0">
      <w:lvlJc w:val="left"/>
      <w:lvlText w:val="%1."/>
      <w:numFmt w:val="decimal"/>
      <w:start w:val="7"/>
    </w:lvl>
  </w:abstractNum>
  <w:abstractNum w:abstractNumId="111">
    <w:nsid w:val="5551B9F3"/>
    <w:multiLevelType w:val="hybridMultilevel"/>
    <w:lvl w:ilvl="0">
      <w:lvlJc w:val="left"/>
      <w:lvlText w:val="%1."/>
      <w:numFmt w:val="decimal"/>
      <w:start w:val="8"/>
    </w:lvl>
  </w:abstractNum>
  <w:abstractNum w:abstractNumId="112">
    <w:nsid w:val="24F6AB8E"/>
    <w:multiLevelType w:val="hybridMultilevel"/>
    <w:lvl w:ilvl="0">
      <w:lvlJc w:val="left"/>
      <w:lvlText w:val="(%1)"/>
      <w:numFmt w:val="lowerRoman"/>
      <w:start w:val="6"/>
    </w:lvl>
  </w:abstractNum>
  <w:abstractNum w:abstractNumId="113">
    <w:nsid w:val="634C574C"/>
    <w:multiLevelType w:val="hybridMultilevel"/>
    <w:lvl w:ilvl="0">
      <w:lvlJc w:val="left"/>
      <w:lvlText w:val="%1."/>
      <w:numFmt w:val="decimal"/>
      <w:start w:val="10"/>
    </w:lvl>
  </w:abstractNum>
  <w:abstractNum w:abstractNumId="114">
    <w:nsid w:val="24E99DD7"/>
    <w:multiLevelType w:val="hybridMultilevel"/>
    <w:lvl w:ilvl="0">
      <w:lvlJc w:val="left"/>
      <w:lvlText w:val="%1"/>
      <w:numFmt w:val="decimal"/>
      <w:start w:val="1"/>
    </w:lvl>
    <w:lvl w:ilvl="1">
      <w:lvlJc w:val="left"/>
      <w:lvlText w:val="%2."/>
      <w:numFmt w:val="decimal"/>
      <w:start w:val="1"/>
    </w:lvl>
  </w:abstractNum>
  <w:abstractNum w:abstractNumId="115">
    <w:nsid w:val="2A31B62D"/>
    <w:multiLevelType w:val="hybridMultilevel"/>
    <w:lvl w:ilvl="0">
      <w:lvlJc w:val="left"/>
      <w:lvlText w:val="%1."/>
      <w:numFmt w:val="decimal"/>
      <w:start w:val="2"/>
    </w:lvl>
    <w:lvl w:ilvl="1">
      <w:lvlJc w:val="left"/>
      <w:lvlText w:val="%2"/>
      <w:numFmt w:val="decimal"/>
      <w:start w:val="1"/>
    </w:lvl>
  </w:abstractNum>
  <w:abstractNum w:abstractNumId="116">
    <w:nsid w:val="1849C29B"/>
    <w:multiLevelType w:val="hybridMultilevel"/>
    <w:lvl w:ilvl="0">
      <w:lvlJc w:val="left"/>
      <w:lvlText w:val="(%1)"/>
      <w:numFmt w:val="lowerRoman"/>
      <w:start w:val="2"/>
    </w:lvl>
  </w:abstractNum>
  <w:abstractNum w:abstractNumId="117">
    <w:nsid w:val="7DFF9D09"/>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18">
    <w:nsid w:val="754342"/>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119">
    <w:nsid w:val="69E7F3E5"/>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20">
    <w:nsid w:val="2A6DE806"/>
    <w:multiLevelType w:val="hybridMultilevel"/>
    <w:lvl w:ilvl="0">
      <w:lvlJc w:val="left"/>
      <w:lvlText w:val="%1."/>
      <w:numFmt w:val="lowerLetter"/>
      <w:start w:val="1"/>
    </w:lvl>
    <w:lvl w:ilvl="1">
      <w:lvlJc w:val="left"/>
      <w:lvlText w:val="(%2)"/>
      <w:numFmt w:val="lowerRoman"/>
      <w:start w:val="3"/>
    </w:lvl>
  </w:abstractNum>
  <w:abstractNum w:abstractNumId="121">
    <w:nsid w:val="1816F8C4"/>
    <w:multiLevelType w:val="hybridMultilevel"/>
    <w:lvl w:ilvl="0">
      <w:lvlJc w:val="left"/>
      <w:lvlText w:val="%1."/>
      <w:numFmt w:val="decimal"/>
      <w:start w:val="4"/>
    </w:lvl>
  </w:abstractNum>
  <w:abstractNum w:abstractNumId="122">
    <w:nsid w:val="37DF2233"/>
    <w:multiLevelType w:val="hybridMultilevel"/>
    <w:lvl w:ilvl="0">
      <w:lvlJc w:val="left"/>
      <w:lvlText w:val="%1."/>
      <w:numFmt w:val="lowerLetter"/>
      <w:start w:val="1"/>
    </w:lvl>
  </w:abstractNum>
  <w:abstractNum w:abstractNumId="123">
    <w:nsid w:val="7AB49DAF"/>
    <w:multiLevelType w:val="hybridMultilevel"/>
    <w:lvl w:ilvl="0">
      <w:lvlJc w:val="left"/>
      <w:lvlText w:val="%1."/>
      <w:numFmt w:val="decimal"/>
      <w:start w:val="8"/>
    </w:lvl>
  </w:abstractNum>
  <w:abstractNum w:abstractNumId="124">
    <w:nsid w:val="759F82CD"/>
    <w:multiLevelType w:val="hybridMultilevel"/>
    <w:lvl w:ilvl="0">
      <w:lvlJc w:val="left"/>
      <w:lvlText w:val="%1."/>
      <w:numFmt w:val="decimal"/>
      <w:start w:val="1"/>
    </w:lvl>
  </w:abstractNum>
  <w:abstractNum w:abstractNumId="125">
    <w:nsid w:val="61E74EA3"/>
    <w:multiLevelType w:val="hybridMultilevel"/>
    <w:lvl w:ilvl="0">
      <w:lvlJc w:val="left"/>
      <w:lvlText w:val="(%1)"/>
      <w:numFmt w:val="decimal"/>
      <w:start w:val="180"/>
    </w:lvl>
  </w:abstractNum>
  <w:abstractNum w:abstractNumId="126">
    <w:nsid w:val="597B4D84"/>
    <w:multiLevelType w:val="hybridMultilevel"/>
    <w:lvl w:ilvl="0">
      <w:lvlJc w:val="left"/>
      <w:lvlText w:val="%1."/>
      <w:numFmt w:val="decimal"/>
      <w:start w:val="3"/>
    </w:lvl>
  </w:abstractNum>
  <w:abstractNum w:abstractNumId="127">
    <w:nsid w:val="F819E7F"/>
    <w:multiLevelType w:val="hybridMultilevel"/>
    <w:lvl w:ilvl="0">
      <w:lvlJc w:val="left"/>
      <w:lvlText w:val="(%1)"/>
      <w:numFmt w:val="lowerRoman"/>
      <w:start w:val="1"/>
    </w:lvl>
  </w:abstractNum>
  <w:abstractNum w:abstractNumId="128">
    <w:nsid w:val="57C7D42D"/>
    <w:multiLevelType w:val="hybridMultilevel"/>
    <w:lvl w:ilvl="0">
      <w:lvlJc w:val="left"/>
      <w:lvlText w:val="(%1)"/>
      <w:numFmt w:val="lowerRoman"/>
      <w:start w:val="2"/>
    </w:lvl>
  </w:abstractNum>
  <w:abstractNum w:abstractNumId="129">
    <w:nsid w:val="312167AD"/>
    <w:multiLevelType w:val="hybridMultilevel"/>
    <w:lvl w:ilvl="0">
      <w:lvlJc w:val="left"/>
      <w:lvlText w:val="(%1)"/>
      <w:numFmt w:val="decimal"/>
      <w:start w:val="3"/>
    </w:lvl>
  </w:abstractNum>
  <w:abstractNum w:abstractNumId="130">
    <w:nsid w:val="631B64D4"/>
    <w:multiLevelType w:val="hybridMultilevel"/>
    <w:lvl w:ilvl="0">
      <w:lvlJc w:val="left"/>
      <w:lvlText w:val="%1."/>
      <w:numFmt w:val="decimal"/>
      <w:start w:val="4"/>
    </w:lvl>
  </w:abstractNum>
  <w:abstractNum w:abstractNumId="131">
    <w:nsid w:val="78B5E776"/>
    <w:multiLevelType w:val="hybridMultilevel"/>
    <w:lvl w:ilvl="0">
      <w:lvlJc w:val="left"/>
      <w:lvlText w:val="%1."/>
      <w:numFmt w:val="decimal"/>
      <w:start w:val="5"/>
    </w:lvl>
  </w:abstractNum>
  <w:abstractNum w:abstractNumId="132">
    <w:nsid w:val="75486E47"/>
    <w:multiLevelType w:val="hybridMultilevel"/>
    <w:lvl w:ilvl="0">
      <w:lvlJc w:val="left"/>
      <w:lvlText w:val="%1."/>
      <w:numFmt w:val="decimal"/>
      <w:start w:val="6"/>
    </w:lvl>
  </w:abstractNum>
  <w:abstractNum w:abstractNumId="133">
    <w:nsid w:val="6E534CDE"/>
    <w:multiLevelType w:val="hybridMultilevel"/>
    <w:lvl w:ilvl="0">
      <w:lvlJc w:val="left"/>
      <w:lvlText w:val="%1."/>
      <w:numFmt w:val="decimal"/>
      <w:start w:val="7"/>
    </w:lvl>
  </w:abstractNum>
  <w:abstractNum w:abstractNumId="134">
    <w:nsid w:val="1A0DDE32"/>
    <w:multiLevelType w:val="hybridMultilevel"/>
    <w:lvl w:ilvl="0">
      <w:lvlJc w:val="left"/>
      <w:lvlText w:val="%1."/>
      <w:numFmt w:val="decimal"/>
      <w:start w:val="8"/>
    </w:lvl>
  </w:abstractNum>
  <w:abstractNum w:abstractNumId="135">
    <w:nsid w:val="65968C1C"/>
    <w:multiLevelType w:val="hybridMultilevel"/>
    <w:lvl w:ilvl="0">
      <w:lvlJc w:val="left"/>
      <w:lvlText w:val="%1."/>
      <w:numFmt w:val="decimal"/>
      <w:start w:val="9"/>
    </w:lvl>
  </w:abstractNum>
  <w:abstractNum w:abstractNumId="136">
    <w:nsid w:val="46263DEC"/>
    <w:multiLevelType w:val="hybridMultilevel"/>
    <w:lvl w:ilvl="0">
      <w:lvlJc w:val="left"/>
      <w:lvlText w:val="%1."/>
      <w:numFmt w:val="decimal"/>
      <w:start w:val="1"/>
    </w:lvl>
    <w:lvl w:ilvl="1">
      <w:lvlJc w:val="left"/>
      <w:lvlText w:val="(%2)"/>
      <w:numFmt w:val="lowerLetter"/>
      <w:start w:val="2"/>
    </w:lvl>
  </w:abstractNum>
  <w:abstractNum w:abstractNumId="137">
    <w:nsid w:val="260D8C4A"/>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38">
    <w:nsid w:val="73D4D3C4"/>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39">
    <w:nsid w:val="746F2E30"/>
    <w:multiLevelType w:val="hybridMultilevel"/>
    <w:lvl w:ilvl="0">
      <w:lvlJc w:val="left"/>
      <w:lvlText w:val="%1"/>
      <w:numFmt w:val="lowerLetter"/>
      <w:start w:val="1"/>
    </w:lvl>
    <w:lvl w:ilvl="1">
      <w:lvlJc w:val="left"/>
      <w:lvlText w:val="%2."/>
      <w:numFmt w:val="decimal"/>
      <w:start w:val="10"/>
    </w:lvl>
    <w:lvl w:ilvl="2">
      <w:lvlJc w:val="left"/>
      <w:lvlText w:val="-"/>
      <w:numFmt w:val="bullet"/>
      <w:start w:val="1"/>
    </w:lvl>
  </w:abstractNum>
  <w:abstractNum w:abstractNumId="140">
    <w:nsid w:val="6FDE8AF6"/>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141">
    <w:nsid w:val="3FC32E20"/>
    <w:multiLevelType w:val="hybridMultilevel"/>
    <w:lvl w:ilvl="0">
      <w:lvlJc w:val="left"/>
      <w:lvlText w:val="(%1)"/>
      <w:numFmt w:val="lowerLetter"/>
      <w:start w:val="11"/>
    </w:lvl>
  </w:abstractNum>
  <w:abstractNum w:abstractNumId="142">
    <w:nsid w:val="49C0E823"/>
    <w:multiLevelType w:val="hybridMultilevel"/>
    <w:lvl w:ilvl="0">
      <w:lvlJc w:val="left"/>
      <w:lvlText w:val="%1."/>
      <w:numFmt w:val="decimal"/>
      <w:start w:val="11"/>
    </w:lvl>
    <w:lvl w:ilvl="1">
      <w:lvlJc w:val="left"/>
      <w:lvlText w:val="-"/>
      <w:numFmt w:val="bullet"/>
      <w:start w:val="1"/>
    </w:lvl>
  </w:abstractNum>
  <w:abstractNum w:abstractNumId="143">
    <w:nsid w:val="14D53685"/>
    <w:multiLevelType w:val="hybridMultilevel"/>
    <w:lvl w:ilvl="0">
      <w:lvlJc w:val="left"/>
      <w:lvlText w:val="%1."/>
      <w:numFmt w:val="decimal"/>
      <w:start w:val="13"/>
    </w:lvl>
  </w:abstractNum>
  <w:abstractNum w:abstractNumId="144">
    <w:nsid w:val="230F856C"/>
    <w:multiLevelType w:val="hybridMultilevel"/>
    <w:lvl w:ilvl="0">
      <w:lvlJc w:val="left"/>
      <w:lvlText w:val="%1."/>
      <w:numFmt w:val="decimal"/>
      <w:start w:val="17"/>
    </w:lvl>
  </w:abstractNum>
  <w:abstractNum w:abstractNumId="145">
    <w:nsid w:val="6EAA85FB"/>
    <w:multiLevelType w:val="hybridMultilevel"/>
    <w:lvl w:ilvl="0">
      <w:lvlJc w:val="left"/>
      <w:lvlText w:val="%1."/>
      <w:numFmt w:val="decimal"/>
      <w:start w:val="1"/>
    </w:lvl>
    <w:lvl w:ilvl="1">
      <w:lvlJc w:val="left"/>
      <w:lvlText w:val="(%2)"/>
      <w:numFmt w:val="lowerLetter"/>
      <w:start w:val="1"/>
    </w:lvl>
  </w:abstractNum>
  <w:abstractNum w:abstractNumId="146">
    <w:nsid w:val="3F06ECB2"/>
    <w:multiLevelType w:val="hybridMultilevel"/>
    <w:lvl w:ilvl="0">
      <w:lvlJc w:val="left"/>
      <w:lvlText w:val="%1"/>
      <w:numFmt w:val="decimal"/>
      <w:start w:val="1"/>
    </w:lvl>
    <w:lvl w:ilvl="1">
      <w:lvlJc w:val="left"/>
      <w:lvlText w:val="(%2)"/>
      <w:numFmt w:val="lowerLetter"/>
      <w:start w:val="8"/>
    </w:lvl>
  </w:abstractNum>
  <w:abstractNum w:abstractNumId="147">
    <w:nsid w:val="3B594807"/>
    <w:multiLevelType w:val="hybridMultilevel"/>
    <w:lvl w:ilvl="0">
      <w:lvlJc w:val="left"/>
      <w:lvlText w:val="%1."/>
      <w:numFmt w:val="decimal"/>
      <w:start w:val="2"/>
    </w:lvl>
    <w:lvl w:ilvl="1">
      <w:lvlJc w:val="left"/>
      <w:lvlText w:val="(%2)"/>
      <w:numFmt w:val="lowerLetter"/>
      <w:start w:val="1"/>
    </w:lvl>
  </w:abstractNum>
  <w:abstractNum w:abstractNumId="148">
    <w:nsid w:val="6CAA2304"/>
    <w:multiLevelType w:val="hybridMultilevel"/>
    <w:lvl w:ilvl="0">
      <w:lvlJc w:val="left"/>
      <w:lvlText w:val="%1"/>
      <w:numFmt w:val="decimal"/>
      <w:start w:val="1"/>
    </w:lvl>
    <w:lvl w:ilvl="1">
      <w:lvlJc w:val="left"/>
      <w:lvlText w:val="(%2)"/>
      <w:numFmt w:val="lowerLetter"/>
      <w:start w:val="4"/>
    </w:lvl>
  </w:abstractNum>
  <w:abstractNum w:abstractNumId="149">
    <w:nsid w:val="3F7C2FF4"/>
    <w:multiLevelType w:val="hybridMultilevel"/>
    <w:lvl w:ilvl="0">
      <w:lvlJc w:val="left"/>
      <w:lvlText w:val="%1."/>
      <w:numFmt w:val="decimal"/>
      <w:start w:val="4"/>
    </w:lvl>
    <w:lvl w:ilvl="1">
      <w:lvlJc w:val="left"/>
      <w:lvlText w:val="(%2)"/>
      <w:numFmt w:val="lowerLetter"/>
      <w:start w:val="1"/>
    </w:lvl>
  </w:abstractNum>
  <w:abstractNum w:abstractNumId="150">
    <w:nsid w:val="25413BEC"/>
    <w:multiLevelType w:val="hybridMultilevel"/>
    <w:lvl w:ilvl="0">
      <w:lvlJc w:val="left"/>
      <w:lvlText w:val="%1"/>
      <w:numFmt w:val="decimal"/>
      <w:start w:val="1"/>
    </w:lvl>
    <w:lvl w:ilvl="1">
      <w:lvlJc w:val="left"/>
      <w:lvlText w:val="(%2)"/>
      <w:numFmt w:val="lowerLetter"/>
      <w:start w:val="9"/>
    </w:lvl>
  </w:abstractNum>
  <w:abstractNum w:abstractNumId="151">
    <w:nsid w:val="17180B0B"/>
    <w:multiLevelType w:val="hybridMultilevel"/>
    <w:lvl w:ilvl="0">
      <w:lvlJc w:val="left"/>
      <w:lvlText w:val="%1."/>
      <w:numFmt w:val="decimal"/>
      <w:start w:val="5"/>
    </w:lvl>
    <w:lvl w:ilvl="1">
      <w:lvlJc w:val="left"/>
      <w:lvlText w:val="(%2)"/>
      <w:numFmt w:val="lowerLetter"/>
      <w:start w:val="1"/>
    </w:lvl>
  </w:abstractNum>
  <w:abstractNum w:abstractNumId="152">
    <w:nsid w:val="579328B9"/>
    <w:multiLevelType w:val="hybridMultilevel"/>
    <w:lvl w:ilvl="0">
      <w:lvlJc w:val="left"/>
      <w:lvlText w:val="(%1)"/>
      <w:numFmt w:val="lowerLetter"/>
      <w:start w:val="4"/>
    </w:lvl>
  </w:abstractNum>
  <w:abstractNum w:abstractNumId="153">
    <w:nsid w:val="5D205E20"/>
    <w:multiLevelType w:val="hybridMultilevel"/>
    <w:lvl w:ilvl="0">
      <w:lvlJc w:val="left"/>
      <w:lvlText w:val="(%1)"/>
      <w:numFmt w:val="lowerLetter"/>
      <w:start w:val="6"/>
    </w:lvl>
  </w:abstractNum>
  <w:abstractNum w:abstractNumId="154">
    <w:nsid w:val="11CCA8BA"/>
    <w:multiLevelType w:val="hybridMultilevel"/>
    <w:lvl w:ilvl="0">
      <w:lvlJc w:val="left"/>
      <w:lvlText w:val="%1."/>
      <w:numFmt w:val="decimal"/>
      <w:start w:val="2"/>
    </w:lvl>
  </w:abstractNum>
  <w:abstractNum w:abstractNumId="155">
    <w:nsid w:val="4D32AB86"/>
    <w:multiLevelType w:val="hybridMultilevel"/>
    <w:lvl w:ilvl="0">
      <w:lvlJc w:val="left"/>
      <w:lvlText w:val="(%1)"/>
      <w:numFmt w:val="lowerLetter"/>
      <w:start w:val="1"/>
    </w:lvl>
  </w:abstractNum>
  <w:abstractNum w:abstractNumId="156">
    <w:nsid w:val="3F07ACC3"/>
    <w:multiLevelType w:val="hybridMultilevel"/>
    <w:lvl w:ilvl="0">
      <w:lvlJc w:val="left"/>
      <w:lvlText w:val="%1."/>
      <w:numFmt w:val="decimal"/>
      <w:start w:val="3"/>
    </w:lvl>
  </w:abstractNum>
  <w:abstractNum w:abstractNumId="157">
    <w:nsid w:val="6B47F63E"/>
    <w:multiLevelType w:val="hybridMultilevel"/>
    <w:lvl w:ilvl="0">
      <w:lvlJc w:val="left"/>
      <w:lvlText w:val="%1."/>
      <w:numFmt w:val="decimal"/>
      <w:start w:val="4"/>
    </w:lvl>
  </w:abstractNum>
  <w:abstractNum w:abstractNumId="158">
    <w:nsid w:val="5CB44A05"/>
    <w:multiLevelType w:val="hybridMultilevel"/>
    <w:lvl w:ilvl="0">
      <w:lvlJc w:val="left"/>
      <w:lvlText w:val="%1."/>
      <w:numFmt w:val="decimal"/>
      <w:start w:val="5"/>
    </w:lvl>
  </w:abstractNum>
  <w:abstractNum w:abstractNumId="159">
    <w:nsid w:val="16CF80F1"/>
    <w:multiLevelType w:val="hybridMultilevel"/>
    <w:lvl w:ilvl="0">
      <w:lvlJc w:val="left"/>
      <w:lvlText w:val="%1."/>
      <w:numFmt w:val="decimal"/>
      <w:start w:val="6"/>
    </w:lvl>
  </w:abstractNum>
  <w:abstractNum w:abstractNumId="160">
    <w:nsid w:val="1C695DEC"/>
    <w:multiLevelType w:val="hybridMultilevel"/>
    <w:lvl w:ilvl="0">
      <w:lvlJc w:val="left"/>
      <w:lvlText w:val="·"/>
      <w:numFmt w:val="bullet"/>
      <w:start w:val="1"/>
    </w:lvl>
  </w:abstractNum>
  <w:abstractNum w:abstractNumId="161">
    <w:nsid w:val="3FCFAED9"/>
    <w:multiLevelType w:val="hybridMultilevel"/>
    <w:lvl w:ilvl="0">
      <w:lvlJc w:val="left"/>
      <w:lvlText w:val="·"/>
      <w:numFmt w:val="bullet"/>
      <w:start w:val="1"/>
    </w:lvl>
  </w:abstractNum>
  <w:abstractNum w:abstractNumId="162">
    <w:nsid w:val="F85686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305" Type="http://schemas.openxmlformats.org/officeDocument/2006/relationships/image" Target="media/image290.png"/><Relationship Id="rId321" Type="http://schemas.openxmlformats.org/officeDocument/2006/relationships/image" Target="media/image291.png"/><Relationship Id="rId322" Type="http://schemas.openxmlformats.org/officeDocument/2006/relationships/image" Target="media/image292.png"/><Relationship Id="rId323" Type="http://schemas.openxmlformats.org/officeDocument/2006/relationships/image" Target="media/image293.png"/><Relationship Id="rId324" Type="http://schemas.openxmlformats.org/officeDocument/2006/relationships/image" Target="media/image294.png"/><Relationship Id="rId325" Type="http://schemas.openxmlformats.org/officeDocument/2006/relationships/image" Target="media/image295.png"/><Relationship Id="rId326" Type="http://schemas.openxmlformats.org/officeDocument/2006/relationships/image" Target="media/image296.png"/><Relationship Id="rId327" Type="http://schemas.openxmlformats.org/officeDocument/2006/relationships/image" Target="media/image297.png"/><Relationship Id="rId328" Type="http://schemas.openxmlformats.org/officeDocument/2006/relationships/image" Target="media/image298.png"/><Relationship Id="rId329" Type="http://schemas.openxmlformats.org/officeDocument/2006/relationships/image" Target="media/image299.png"/><Relationship Id="rId330" Type="http://schemas.openxmlformats.org/officeDocument/2006/relationships/image" Target="media/image300.png"/><Relationship Id="rId331" Type="http://schemas.openxmlformats.org/officeDocument/2006/relationships/image" Target="media/image301.png"/><Relationship Id="rId332" Type="http://schemas.openxmlformats.org/officeDocument/2006/relationships/image" Target="media/image302.png"/><Relationship Id="rId333" Type="http://schemas.openxmlformats.org/officeDocument/2006/relationships/image" Target="media/image303.png"/><Relationship Id="rId334" Type="http://schemas.openxmlformats.org/officeDocument/2006/relationships/image" Target="media/image304.png"/><Relationship Id="rId335" Type="http://schemas.openxmlformats.org/officeDocument/2006/relationships/image" Target="media/image305.png"/><Relationship Id="rId336" Type="http://schemas.openxmlformats.org/officeDocument/2006/relationships/image" Target="media/image306.png"/><Relationship Id="rId337" Type="http://schemas.openxmlformats.org/officeDocument/2006/relationships/image" Target="media/image307.png"/><Relationship Id="rId338" Type="http://schemas.openxmlformats.org/officeDocument/2006/relationships/image" Target="media/image308.png"/><Relationship Id="rId339" Type="http://schemas.openxmlformats.org/officeDocument/2006/relationships/image" Target="media/image309.png"/><Relationship Id="rId340" Type="http://schemas.openxmlformats.org/officeDocument/2006/relationships/image" Target="media/image310.png"/><Relationship Id="rId341" Type="http://schemas.openxmlformats.org/officeDocument/2006/relationships/image" Target="media/image311.png"/><Relationship Id="rId342" Type="http://schemas.openxmlformats.org/officeDocument/2006/relationships/image" Target="media/image312.png"/><Relationship Id="rId343" Type="http://schemas.openxmlformats.org/officeDocument/2006/relationships/image" Target="media/image313.png"/><Relationship Id="rId344" Type="http://schemas.openxmlformats.org/officeDocument/2006/relationships/image" Target="media/image314.png"/><Relationship Id="rId345" Type="http://schemas.openxmlformats.org/officeDocument/2006/relationships/image" Target="media/image315.png"/><Relationship Id="rId346" Type="http://schemas.openxmlformats.org/officeDocument/2006/relationships/image" Target="media/image316.png"/><Relationship Id="rId347" Type="http://schemas.openxmlformats.org/officeDocument/2006/relationships/image" Target="media/image317.png"/><Relationship Id="rId348" Type="http://schemas.openxmlformats.org/officeDocument/2006/relationships/image" Target="media/image318.png"/><Relationship Id="rId349" Type="http://schemas.openxmlformats.org/officeDocument/2006/relationships/image" Target="media/image319.png"/><Relationship Id="rId350" Type="http://schemas.openxmlformats.org/officeDocument/2006/relationships/image" Target="media/image320.png"/><Relationship Id="rId351" Type="http://schemas.openxmlformats.org/officeDocument/2006/relationships/image" Target="media/image321.png"/><Relationship Id="rId352" Type="http://schemas.openxmlformats.org/officeDocument/2006/relationships/image" Target="media/image322.png"/><Relationship Id="rId353" Type="http://schemas.openxmlformats.org/officeDocument/2006/relationships/image" Target="media/image323.png"/><Relationship Id="rId354" Type="http://schemas.openxmlformats.org/officeDocument/2006/relationships/image" Target="media/image324.png"/><Relationship Id="rId355" Type="http://schemas.openxmlformats.org/officeDocument/2006/relationships/image" Target="media/image325.png"/><Relationship Id="rId356" Type="http://schemas.openxmlformats.org/officeDocument/2006/relationships/image" Target="media/image326.png"/><Relationship Id="rId357" Type="http://schemas.openxmlformats.org/officeDocument/2006/relationships/image" Target="media/image327.png"/><Relationship Id="rId358" Type="http://schemas.openxmlformats.org/officeDocument/2006/relationships/image" Target="media/image328.png"/><Relationship Id="rId359" Type="http://schemas.openxmlformats.org/officeDocument/2006/relationships/image" Target="media/image329.png"/><Relationship Id="rId360" Type="http://schemas.openxmlformats.org/officeDocument/2006/relationships/image" Target="media/image330.png"/><Relationship Id="rId361" Type="http://schemas.openxmlformats.org/officeDocument/2006/relationships/image" Target="media/image331.png"/><Relationship Id="rId362" Type="http://schemas.openxmlformats.org/officeDocument/2006/relationships/image" Target="media/image332.png"/><Relationship Id="rId363" Type="http://schemas.openxmlformats.org/officeDocument/2006/relationships/image" Target="media/image333.png"/><Relationship Id="rId364" Type="http://schemas.openxmlformats.org/officeDocument/2006/relationships/image" Target="media/image334.png"/><Relationship Id="rId365" Type="http://schemas.openxmlformats.org/officeDocument/2006/relationships/image" Target="media/image335.png"/><Relationship Id="rId366" Type="http://schemas.openxmlformats.org/officeDocument/2006/relationships/image" Target="media/image336.png"/><Relationship Id="rId367" Type="http://schemas.openxmlformats.org/officeDocument/2006/relationships/image" Target="media/image337.png"/><Relationship Id="rId368" Type="http://schemas.openxmlformats.org/officeDocument/2006/relationships/image" Target="media/image338.png"/><Relationship Id="rId369" Type="http://schemas.openxmlformats.org/officeDocument/2006/relationships/image" Target="media/image339.png"/><Relationship Id="rId370" Type="http://schemas.openxmlformats.org/officeDocument/2006/relationships/image" Target="media/image340.png"/><Relationship Id="rId371" Type="http://schemas.openxmlformats.org/officeDocument/2006/relationships/image" Target="media/image341.png"/><Relationship Id="rId372" Type="http://schemas.openxmlformats.org/officeDocument/2006/relationships/image" Target="media/image342.png"/><Relationship Id="rId373" Type="http://schemas.openxmlformats.org/officeDocument/2006/relationships/image" Target="media/image343.png"/><Relationship Id="rId374" Type="http://schemas.openxmlformats.org/officeDocument/2006/relationships/image" Target="media/image344.png"/><Relationship Id="rId375" Type="http://schemas.openxmlformats.org/officeDocument/2006/relationships/image" Target="media/image345.png"/><Relationship Id="rId376" Type="http://schemas.openxmlformats.org/officeDocument/2006/relationships/image" Target="media/image346.png"/><Relationship Id="rId377" Type="http://schemas.openxmlformats.org/officeDocument/2006/relationships/image" Target="media/image347.png"/><Relationship Id="rId378" Type="http://schemas.openxmlformats.org/officeDocument/2006/relationships/image" Target="media/image348.png"/><Relationship Id="rId379" Type="http://schemas.openxmlformats.org/officeDocument/2006/relationships/image" Target="media/image349.png"/><Relationship Id="rId380" Type="http://schemas.openxmlformats.org/officeDocument/2006/relationships/image" Target="media/image350.png"/><Relationship Id="rId381" Type="http://schemas.openxmlformats.org/officeDocument/2006/relationships/image" Target="media/image351.png"/><Relationship Id="rId382" Type="http://schemas.openxmlformats.org/officeDocument/2006/relationships/image" Target="media/image352.png"/><Relationship Id="rId383" Type="http://schemas.openxmlformats.org/officeDocument/2006/relationships/image" Target="media/image353.png"/><Relationship Id="rId384" Type="http://schemas.openxmlformats.org/officeDocument/2006/relationships/image" Target="media/image354.png"/><Relationship Id="rId385" Type="http://schemas.openxmlformats.org/officeDocument/2006/relationships/image" Target="media/image355.png"/><Relationship Id="rId386" Type="http://schemas.openxmlformats.org/officeDocument/2006/relationships/image" Target="media/image356.png"/><Relationship Id="rId387" Type="http://schemas.openxmlformats.org/officeDocument/2006/relationships/image" Target="media/image357.png"/><Relationship Id="rId388" Type="http://schemas.openxmlformats.org/officeDocument/2006/relationships/image" Target="media/image358.png"/><Relationship Id="rId389" Type="http://schemas.openxmlformats.org/officeDocument/2006/relationships/image" Target="media/image359.png"/><Relationship Id="rId390" Type="http://schemas.openxmlformats.org/officeDocument/2006/relationships/image" Target="media/image360.png"/><Relationship Id="rId391" Type="http://schemas.openxmlformats.org/officeDocument/2006/relationships/image" Target="media/image361.png"/><Relationship Id="rId392" Type="http://schemas.openxmlformats.org/officeDocument/2006/relationships/image" Target="media/image362.png"/><Relationship Id="rId393" Type="http://schemas.openxmlformats.org/officeDocument/2006/relationships/image" Target="media/image363.png"/><Relationship Id="rId394" Type="http://schemas.openxmlformats.org/officeDocument/2006/relationships/image" Target="media/image364.png"/><Relationship Id="rId395" Type="http://schemas.openxmlformats.org/officeDocument/2006/relationships/image" Target="media/image365.png"/><Relationship Id="rId396" Type="http://schemas.openxmlformats.org/officeDocument/2006/relationships/image" Target="media/image366.png"/><Relationship Id="rId397" Type="http://schemas.openxmlformats.org/officeDocument/2006/relationships/image" Target="media/image367.png"/><Relationship Id="rId398" Type="http://schemas.openxmlformats.org/officeDocument/2006/relationships/image" Target="media/image368.png"/><Relationship Id="rId399" Type="http://schemas.openxmlformats.org/officeDocument/2006/relationships/image" Target="media/image369.png"/><Relationship Id="rId400" Type="http://schemas.openxmlformats.org/officeDocument/2006/relationships/image" Target="media/image370.png"/><Relationship Id="rId401" Type="http://schemas.openxmlformats.org/officeDocument/2006/relationships/image" Target="media/image371.png"/><Relationship Id="rId402" Type="http://schemas.openxmlformats.org/officeDocument/2006/relationships/image" Target="media/image372.png"/><Relationship Id="rId403" Type="http://schemas.openxmlformats.org/officeDocument/2006/relationships/image" Target="media/image373.png"/><Relationship Id="rId404" Type="http://schemas.openxmlformats.org/officeDocument/2006/relationships/image" Target="media/image374.png"/><Relationship Id="rId405" Type="http://schemas.openxmlformats.org/officeDocument/2006/relationships/image" Target="media/image375.png"/><Relationship Id="rId406" Type="http://schemas.openxmlformats.org/officeDocument/2006/relationships/image" Target="media/image376.png"/><Relationship Id="rId407" Type="http://schemas.openxmlformats.org/officeDocument/2006/relationships/image" Target="media/image377.png"/><Relationship Id="rId408" Type="http://schemas.openxmlformats.org/officeDocument/2006/relationships/image" Target="media/image378.png"/><Relationship Id="rId409" Type="http://schemas.openxmlformats.org/officeDocument/2006/relationships/image" Target="media/image379.png"/><Relationship Id="rId410" Type="http://schemas.openxmlformats.org/officeDocument/2006/relationships/image" Target="media/image380.png"/><Relationship Id="rId411" Type="http://schemas.openxmlformats.org/officeDocument/2006/relationships/image" Target="media/image381.png"/><Relationship Id="rId412" Type="http://schemas.openxmlformats.org/officeDocument/2006/relationships/image" Target="media/image382.png"/><Relationship Id="rId413" Type="http://schemas.openxmlformats.org/officeDocument/2006/relationships/image" Target="media/image383.png"/><Relationship Id="rId414" Type="http://schemas.openxmlformats.org/officeDocument/2006/relationships/image" Target="media/image384.png"/><Relationship Id="rId415" Type="http://schemas.openxmlformats.org/officeDocument/2006/relationships/image" Target="media/image385.png"/><Relationship Id="rId416" Type="http://schemas.openxmlformats.org/officeDocument/2006/relationships/image" Target="media/image386.png"/><Relationship Id="rId417" Type="http://schemas.openxmlformats.org/officeDocument/2006/relationships/image" Target="media/image387.png"/><Relationship Id="rId418" Type="http://schemas.openxmlformats.org/officeDocument/2006/relationships/image" Target="media/image388.png"/><Relationship Id="rId419" Type="http://schemas.openxmlformats.org/officeDocument/2006/relationships/image" Target="media/image389.png"/><Relationship Id="rId420" Type="http://schemas.openxmlformats.org/officeDocument/2006/relationships/image" Target="media/image390.png"/><Relationship Id="rId421" Type="http://schemas.openxmlformats.org/officeDocument/2006/relationships/image" Target="media/image391.png"/><Relationship Id="rId422" Type="http://schemas.openxmlformats.org/officeDocument/2006/relationships/image" Target="media/image392.png"/><Relationship Id="rId423" Type="http://schemas.openxmlformats.org/officeDocument/2006/relationships/image" Target="media/image393.png"/><Relationship Id="rId424" Type="http://schemas.openxmlformats.org/officeDocument/2006/relationships/image" Target="media/image394.png"/><Relationship Id="rId425" Type="http://schemas.openxmlformats.org/officeDocument/2006/relationships/image" Target="media/image395.png"/><Relationship Id="rId426" Type="http://schemas.openxmlformats.org/officeDocument/2006/relationships/image" Target="media/image396.png"/><Relationship Id="rId427" Type="http://schemas.openxmlformats.org/officeDocument/2006/relationships/image" Target="media/image397.png"/><Relationship Id="rId428" Type="http://schemas.openxmlformats.org/officeDocument/2006/relationships/image" Target="media/image398.png"/><Relationship Id="rId429" Type="http://schemas.openxmlformats.org/officeDocument/2006/relationships/image" Target="media/image399.png"/><Relationship Id="rId430" Type="http://schemas.openxmlformats.org/officeDocument/2006/relationships/image" Target="media/image400.png"/><Relationship Id="rId431" Type="http://schemas.openxmlformats.org/officeDocument/2006/relationships/image" Target="media/image401.png"/><Relationship Id="rId432" Type="http://schemas.openxmlformats.org/officeDocument/2006/relationships/image" Target="media/image402.png"/><Relationship Id="rId433" Type="http://schemas.openxmlformats.org/officeDocument/2006/relationships/image" Target="media/image403.png"/><Relationship Id="rId434" Type="http://schemas.openxmlformats.org/officeDocument/2006/relationships/image" Target="media/image404.png"/><Relationship Id="rId435" Type="http://schemas.openxmlformats.org/officeDocument/2006/relationships/image" Target="media/image405.png"/><Relationship Id="rId436" Type="http://schemas.openxmlformats.org/officeDocument/2006/relationships/image" Target="media/image406.png"/><Relationship Id="rId437" Type="http://schemas.openxmlformats.org/officeDocument/2006/relationships/image" Target="media/image407.png"/><Relationship Id="rId438" Type="http://schemas.openxmlformats.org/officeDocument/2006/relationships/image" Target="media/image408.png"/><Relationship Id="rId439" Type="http://schemas.openxmlformats.org/officeDocument/2006/relationships/image" Target="media/image409.png"/><Relationship Id="rId440" Type="http://schemas.openxmlformats.org/officeDocument/2006/relationships/image" Target="media/image410.png"/><Relationship Id="rId297" Type="http://schemas.openxmlformats.org/officeDocument/2006/relationships/hyperlink" Target="http://www.sec.gov/Archives/edgar/data/1847986/000110465921048248/tm2112475d1_ex1-2.htm" TargetMode="External"/><Relationship Id="rId298" Type="http://schemas.openxmlformats.org/officeDocument/2006/relationships/hyperlink" Target="http://www.sec.gov/Archives/edgar/data/1847986/000110465921033384/tm218972d1_ex3-1.htm" TargetMode="External"/><Relationship Id="rId299" Type="http://schemas.openxmlformats.org/officeDocument/2006/relationships/hyperlink" Target="http://www.sec.gov/Archives/edgar/data/1847986/000110465921033384/tm218972d1_ex3-2.htm" TargetMode="External"/><Relationship Id="rId300" Type="http://schemas.openxmlformats.org/officeDocument/2006/relationships/hyperlink" Target="http://www.sec.gov/Archives/edgar/data/1847986/000110465921033384/tm218972d1_ex3-4.htm" TargetMode="External"/><Relationship Id="rId301" Type="http://schemas.openxmlformats.org/officeDocument/2006/relationships/hyperlink" Target="http://www.sec.gov/Archives/edgar/data/1847986/000110465921048248/tm2112475d1_ex4-1.htm" TargetMode="External"/><Relationship Id="rId302" Type="http://schemas.openxmlformats.org/officeDocument/2006/relationships/hyperlink" Target="http://www.sec.gov/Archives/edgar/data/1847986/000110465921048248/tm2112475d1_ex4-2.htm" TargetMode="External"/><Relationship Id="rId303" Type="http://schemas.openxmlformats.org/officeDocument/2006/relationships/hyperlink" Target="http://www.sec.gov/Archives/edgar/data/0001847986/000110465921091769/tm2118460d2_ex4-3.htm" TargetMode="External"/><Relationship Id="rId304" Type="http://schemas.openxmlformats.org/officeDocument/2006/relationships/hyperlink" Target="http://www.sec.gov/Archives/edgar/data/0001847986/000110465921091769/tm2118460d2_ex5-1.htm" TargetMode="External"/><Relationship Id="rId306" Type="http://schemas.openxmlformats.org/officeDocument/2006/relationships/hyperlink" Target="http://www.sec.gov/Archives/edgar/data/1847986/000110465921048248/tm2112475d1_ex10-3.htm" TargetMode="External"/><Relationship Id="rId307" Type="http://schemas.openxmlformats.org/officeDocument/2006/relationships/hyperlink" Target="http://www.sec.gov/Archives/edgar/data/1847986/000110465921048248/tm2112475d1_ex10-5.htm" TargetMode="External"/><Relationship Id="rId308" Type="http://schemas.openxmlformats.org/officeDocument/2006/relationships/hyperlink" Target="http://www.sec.gov/Archives/edgar/data/1847986/000110465921033384/tm218972d1_ex10-6.htm" TargetMode="External"/><Relationship Id="rId309" Type="http://schemas.openxmlformats.org/officeDocument/2006/relationships/hyperlink" Target="http://www.sec.gov/Archives/edgar/data/1847986/000110465921033384/tm218972d1_ex10-7.htm" TargetMode="External"/><Relationship Id="rId310" Type="http://schemas.openxmlformats.org/officeDocument/2006/relationships/hyperlink" Target="http://www.sec.gov/Archives/edgar/data/1847986/000110465921048248/tm2112475d1_ex10-8.htm" TargetMode="External"/><Relationship Id="rId311" Type="http://schemas.openxmlformats.org/officeDocument/2006/relationships/hyperlink" Target="http://www.sec.gov/Archives/edgar/data/1847986/000110465921048248/tm2112475d1_ex14.htm" TargetMode="External"/><Relationship Id="rId312" Type="http://schemas.openxmlformats.org/officeDocument/2006/relationships/hyperlink" Target="http://www.sec.gov/Archives/edgar/data/1847986/000110465921033384/tm218972d1_s1.htm#POWEROFATTORNEY" TargetMode="External"/><Relationship Id="rId313" Type="http://schemas.openxmlformats.org/officeDocument/2006/relationships/hyperlink" Target="http://www.sec.gov/Archives/edgar/data/1847986/000110465921048248/tm2112475d1_ex99-1.htm" TargetMode="External"/><Relationship Id="rId314" Type="http://schemas.openxmlformats.org/officeDocument/2006/relationships/hyperlink" Target="http://www.sec.gov/Archives/edgar/data/1847986/000110465921048248/tm2112475d1_ex99-2.htm" TargetMode="External"/><Relationship Id="rId315" Type="http://schemas.openxmlformats.org/officeDocument/2006/relationships/hyperlink" Target="http://www.sec.gov/Archives/edgar/data/1847986/000110465921048248/tm2112475d1_ex99-3.htm" TargetMode="External"/><Relationship Id="rId316" Type="http://schemas.openxmlformats.org/officeDocument/2006/relationships/hyperlink" Target="http://www.sec.gov/Archives/edgar/data/1847986/000110465921048248/tm2112475d1_ex99-4.htm" TargetMode="External"/><Relationship Id="rId317" Type="http://schemas.openxmlformats.org/officeDocument/2006/relationships/hyperlink" Target="http://www.sec.gov/Archives/edgar/data/1847986/000110465921048248/tm2112475d1_ex99-5.htm" TargetMode="External"/><Relationship Id="rId318" Type="http://schemas.openxmlformats.org/officeDocument/2006/relationships/hyperlink" Target="http://www.sec.gov/Archives/edgar/data/1847986/000110465921048248/tm2112475d1_ex99-6.htm" TargetMode="External"/><Relationship Id="rId319" Type="http://schemas.openxmlformats.org/officeDocument/2006/relationships/hyperlink" Target="http://www.sec.gov/Archives/edgar/data/0001847986/000110465921091769/tm2118460d2_ex99-7.htm" TargetMode="External"/><Relationship Id="rId320" Type="http://schemas.openxmlformats.org/officeDocument/2006/relationships/hyperlink" Target="http://www.sec.gov/Archives/edgar/data/0001847986/000110465921091769/tm2118460d2_ex99-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2021-08-03T05:34:59Z</dcterms:created>
  <dcterms:modified xsi:type="dcterms:W3CDTF">2021-08-03T05:34:59Z</dcterms:modified>
</cp:coreProperties>
</file>