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31212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December 12, 2023</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3"/>
      <w:bookmarkEnd w:id="4"/>
      <w:r>
        <w:rPr>
          <w:rFonts w:ascii="Times New Roman;Times;Serif" w:hAnsi="Times New Roman;Times;Serif"/>
          <w:b/>
          <w:i w:val="false"/>
          <w:caps w:val="false"/>
          <w:smallCaps w:val="false"/>
          <w:sz w:val="36"/>
        </w:rPr>
        <w:t>DRAGONFLY ENERGY HOLDINGS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31212"/>
            <w:bookmarkEnd w:id="6"/>
            <w:r>
              <w:rPr>
                <w:rFonts w:ascii="Times New Roman;Times;Serif" w:hAnsi="Times New Roman;Times;Serif"/>
                <w:b/>
                <w:sz w:val="20"/>
              </w:rPr>
              <w:t>001-40730</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85-1873463</w:t>
            </w:r>
          </w:p>
        </w:tc>
      </w:tr>
      <w:tr>
        <w:trPr/>
        <w:tc>
          <w:tcPr>
            <w:tcW w:w="2270"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pBdr/>
        <w:bidi w:val="0"/>
        <w:spacing w:lineRule="auto" w:line="256"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rFonts w:ascii="Times New Roman;Times;Serif" w:hAnsi="Times New Roman;Times;Serif"/>
                <w:b/>
                <w:sz w:val="20"/>
              </w:rPr>
            </w:pPr>
            <w:bookmarkStart w:id="8" w:name="xdx_902_edei--EntityAddressAddressLine1_"/>
            <w:bookmarkEnd w:id="8"/>
            <w:r>
              <w:rPr>
                <w:rFonts w:ascii="Times New Roman;Times;Serif" w:hAnsi="Times New Roman;Times;Serif"/>
                <w:b/>
                <w:sz w:val="20"/>
              </w:rPr>
              <w:t>1190 Trademark Drive, #108</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pPr>
            <w:r>
              <w:rPr/>
              <w:t> </w:t>
            </w:r>
          </w:p>
        </w:tc>
      </w:tr>
      <w:tr>
        <w:trPr/>
        <w:tc>
          <w:tcPr>
            <w:tcW w:w="32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9" w:name="xdx_902_edei--EntityAddressCityOrTown_c2"/>
            <w:bookmarkEnd w:id="9"/>
            <w:r>
              <w:rPr>
                <w:rFonts w:ascii="Times New Roman;Times;Serif" w:hAnsi="Times New Roman;Times;Serif"/>
                <w:b/>
                <w:sz w:val="20"/>
              </w:rPr>
              <w:t xml:space="preserve">Reno, </w:t>
            </w:r>
            <w:bookmarkStart w:id="10" w:name="xdx_90F_edei--EntityAddressStateOrProvin"/>
            <w:bookmarkEnd w:id="10"/>
            <w:r>
              <w:rPr>
                <w:rFonts w:ascii="Times New Roman;Times;Serif" w:hAnsi="Times New Roman;Times;Serif"/>
                <w:b/>
                <w:sz w:val="20"/>
              </w:rPr>
              <w:t>Nevada</w:t>
            </w:r>
          </w:p>
        </w:tc>
        <w:tc>
          <w:tcPr>
            <w:tcW w:w="60" w:type="dxa"/>
            <w:tcBorders/>
            <w:vAlign w:val="center"/>
          </w:tcPr>
          <w:p>
            <w:pPr>
              <w:pStyle w:val="TableContents"/>
              <w:bidi w:val="0"/>
              <w:spacing w:before="0" w:after="283"/>
              <w:jc w:val="center"/>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1" w:name="xdx_90D_edei--EntityAddressPostalZipCode"/>
            <w:bookmarkEnd w:id="11"/>
            <w:r>
              <w:rPr>
                <w:rFonts w:ascii="Times New Roman;Times;Serif" w:hAnsi="Times New Roman;Times;Serif"/>
                <w:b/>
                <w:sz w:val="20"/>
              </w:rPr>
              <w:t>89521</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pBdr/>
        <w:bidi w:val="0"/>
        <w:spacing w:lineRule="auto" w:line="256" w:before="0" w:after="0"/>
        <w:jc w:val="center"/>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75"/>
        <w:gridCol w:w="4475"/>
        <w:gridCol w:w="75"/>
      </w:tblGrid>
      <w:tr>
        <w:trPr/>
        <w:tc>
          <w:tcPr>
            <w:tcW w:w="75" w:type="dxa"/>
            <w:tcBorders/>
            <w:vAlign w:val="center"/>
          </w:tcPr>
          <w:p>
            <w:pPr>
              <w:pStyle w:val="TableContents"/>
              <w:bidi w:val="0"/>
              <w:spacing w:before="0" w:after="283"/>
              <w:jc w:val="left"/>
              <w:rPr/>
            </w:pPr>
            <w:r>
              <w:rPr/>
              <w:t> </w:t>
            </w:r>
          </w:p>
        </w:tc>
        <w:tc>
          <w:tcPr>
            <w:tcW w:w="44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bookmarkStart w:id="12" w:name="xdx_90C_edei--CityAreaCode_c20231212__20"/>
            <w:bookmarkEnd w:id="12"/>
            <w:r>
              <w:rPr>
                <w:rFonts w:ascii="Times New Roman;Times;Serif" w:hAnsi="Times New Roman;Times;Serif"/>
                <w:b/>
                <w:sz w:val="20"/>
              </w:rPr>
              <w:t xml:space="preserve">775) </w:t>
            </w:r>
            <w:bookmarkStart w:id="13" w:name="xdx_903_edei--LocalPhoneNumber_c20231212"/>
            <w:bookmarkEnd w:id="13"/>
            <w:r>
              <w:rPr>
                <w:rFonts w:ascii="Times New Roman;Times;Serif" w:hAnsi="Times New Roman;Times;Serif"/>
                <w:b/>
                <w:sz w:val="20"/>
              </w:rPr>
              <w:t>622 – 3448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C_edei--SolicitingMaterial_c20231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46"/>
        <w:gridCol w:w="60"/>
        <w:gridCol w:w="1256"/>
        <w:gridCol w:w="60"/>
        <w:gridCol w:w="2583"/>
      </w:tblGrid>
      <w:tr>
        <w:trPr/>
        <w:tc>
          <w:tcPr>
            <w:tcW w:w="624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3" w:type="dxa"/>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24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3_edei--Security12bTitle_c20231212"/>
            <w:bookmarkEnd w:id="18"/>
            <w:r>
              <w:rPr>
                <w:rFonts w:ascii="Times New Roman;Times;Serif" w:hAnsi="Times New Roman;Times;Serif"/>
                <w:b/>
                <w:i w:val="false"/>
                <w:caps w:val="false"/>
                <w:smallCaps w:val="false"/>
                <w:sz w:val="20"/>
              </w:rPr>
              <w:t>Common Stock, par value $0.0001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2_edei--TradingSymbol_c20231212__2"/>
            <w:bookmarkEnd w:id="19"/>
            <w:r>
              <w:rPr>
                <w:rFonts w:ascii="Times New Roman;Times;Serif" w:hAnsi="Times New Roman;Times;Serif"/>
                <w:b/>
                <w:i w:val="false"/>
                <w:caps w:val="false"/>
                <w:smallCaps w:val="false"/>
                <w:sz w:val="20"/>
              </w:rPr>
              <w:t>DFLI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5_edei--SecurityExchangeName_c2023"/>
            <w:bookmarkEnd w:id="20"/>
            <w:r>
              <w:rPr>
                <w:rFonts w:ascii="Times New Roman;Times;Serif" w:hAnsi="Times New Roman;Times;Serif"/>
                <w:b/>
                <w:i w:val="false"/>
                <w:caps w:val="false"/>
                <w:smallCaps w:val="false"/>
                <w:sz w:val="20"/>
              </w:rPr>
              <w:t>Nasdaq Global Market</w:t>
            </w:r>
          </w:p>
        </w:tc>
      </w:tr>
      <w:tr>
        <w:trPr/>
        <w:tc>
          <w:tcPr>
            <w:tcW w:w="624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5_edei--Security12bTitle_c20231212"/>
            <w:bookmarkEnd w:id="21"/>
            <w:r>
              <w:rPr>
                <w:rFonts w:ascii="Times New Roman;Times;Serif" w:hAnsi="Times New Roman;Times;Serif"/>
                <w:b/>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2" w:name="xdx_905_edei--TradingSymbol_c20231212__2"/>
            <w:bookmarkEnd w:id="22"/>
            <w:r>
              <w:rPr>
                <w:rFonts w:ascii="Times New Roman;Times;Serif" w:hAnsi="Times New Roman;Times;Serif"/>
                <w:b/>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3" w:name="xdx_905_edei--SecurityExchangeName_c2023"/>
            <w:bookmarkEnd w:id="23"/>
            <w:r>
              <w:rPr>
                <w:rFonts w:ascii="Times New Roman;Times;Serif" w:hAnsi="Times New Roman;Times;Serif"/>
                <w:b/>
                <w:i w:val="false"/>
                <w:caps w:val="false"/>
                <w:smallCaps w:val="false"/>
                <w:sz w:val="20"/>
              </w:rPr>
              <w:t>Nasdaq Capital Market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5_edei--EntityEmergingGrowthCompan"/>
      <w:bookmarkEnd w:id="24"/>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8_edei--EntityExTransitionPeriod_c"/>
      <w:bookmarkEnd w:id="25"/>
      <w:r>
        <w:rPr>
          <w:rFonts w:ascii="Times New Roman;Times;Serif" w:hAnsi="Times New Roman;Times;Serif"/>
          <w:b w:val="false"/>
          <w:i w:val="false"/>
          <w:caps w:val="false"/>
          <w:smallCaps w:val="false"/>
          <w:sz w:val="20"/>
        </w:rPr>
        <w:t>☐</w:t>
      </w:r>
    </w:p>
    <w:p>
      <w:pPr>
        <w:pStyle w:val="TextBody"/>
        <w:pBdr/>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2023,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received a written notice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from the Listing Qualifications Department of 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indicating that the Company is not in compliance with the $1.00 Minimum Bid Price requirement set forth in Nasdaq Listing Rule 5450(a)(1) for continued listing on The Nasdaq Global Market (the “</w:t>
      </w:r>
      <w:r>
        <w:rPr>
          <w:rFonts w:ascii="Times New Roman;Times;Serif" w:hAnsi="Times New Roman;Times;Serif"/>
          <w:b/>
          <w:i w:val="false"/>
          <w:caps w:val="false"/>
          <w:smallCaps w:val="false"/>
          <w:sz w:val="20"/>
        </w:rPr>
        <w:t>Bid Price Requirement</w:t>
      </w:r>
      <w:r>
        <w:rPr>
          <w:rFonts w:ascii="Times New Roman;Times;Serif" w:hAnsi="Times New Roman;Times;Serif"/>
          <w:b w:val="false"/>
          <w:i w:val="false"/>
          <w:caps w:val="false"/>
          <w:smallCaps w:val="false"/>
          <w:sz w:val="20"/>
        </w:rPr>
        <w:t>”). The Notice does not result in the immediate delisting of the Company’s common stock from The Nasdaq Global Market.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Listing Rules require listed securities to maintain a minimum bid price of $1.00 per share and, based upon the closing bid price of the Company’s common stock for the 30 consecutive business days preceding the receipt of the Notice, the Company no longer meets the Bid Price Requirement. The Notice indicated that the Company will be provided an initial period of 180 calendar days, or until June 10, 2024, to regain compliance with the Bid Price Requirement pursuant to Nasdaq Listing Rule 5810(c)(3)(A). If at any time during this period the bid price of the Company’s common stock closes at or above $1.00 per share for a minimum of ten consecutive business days, the Nasdaq staff (the “</w:t>
      </w:r>
      <w:r>
        <w:rPr>
          <w:rFonts w:ascii="Times New Roman;Times;Serif" w:hAnsi="Times New Roman;Times;Serif"/>
          <w:b/>
          <w:i w:val="false"/>
          <w:caps w:val="false"/>
          <w:smallCaps w:val="false"/>
          <w:sz w:val="20"/>
        </w:rPr>
        <w:t>Staff</w:t>
      </w:r>
      <w:r>
        <w:rPr>
          <w:rFonts w:ascii="Times New Roman;Times;Serif" w:hAnsi="Times New Roman;Times;Serif"/>
          <w:b w:val="false"/>
          <w:i w:val="false"/>
          <w:caps w:val="false"/>
          <w:smallCaps w:val="false"/>
          <w:sz w:val="20"/>
        </w:rPr>
        <w:t>”) will provide the Company with a written confirmation of compliance and the matter will be closed.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the Company fails to regain compliance with Rule 5450(a)(1) prior to the expiration of the initial 180 calendar day period, the Company may be eligible for a second 180 calendar day compliance period, provided the Company (i) transfers the listing of its common stock to The Nasdaq Capital Market, (ii) meets the continued listing requirement for market value of publicly held shares and all other initial listing standards for The Nasdaq Capital Market (except for the Bid Price Requirement) and (iii) provides written notice to Nasdaq of its intention to cure this deficiency during the second compliance period by effecting a reverse stock split, if necessary. In the event the Company fails to regain compliance with Rule 5450(a)(1) prior to the expiration of the initial 180 calendar day period, and if it appears to the Staff that the Company will not be able to cure the deficiency, or if the Company is not otherwise eligible, the Staff will provide the Company with written notification that its common stock will be subject to delisting. At that time, the Company may appeal the Staff’s delisting determination to a Nasdaq hearings panel. However, there can be no assurance that, if the Company receives a delisting notice and appeals the delisting determination, that such an appeal would be successful.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its common stock and is considering its options to regain compliance with the Bid Price Requirement. The Company’s receipt of the Notice does not affect the Company’s business, operations or reporting requirements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including the below update to its risk factors, for the purpose of supplementing and updating the disclosure contained in its Annual Report on Form 10-K for the fiscal year ended December 31, 2022, filed with the SEC on April 17, 2023, as amended by the Form 10-K/A on May 1, 2023, and its Quarterly Reports on Form 10-Q for the period ended March 31, 2023, filed with the SEC on May 15, 2023, for the period ended June 30, 2023, filed with the SEC on August 21, 2023, and for the period ended September 30, 2023, filed with the SEC on November 14, 2023.</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75"/>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not currently in compliance with the continued listing requirements for The Nasdaq Global Market. If the Company does not regain compliance and continue to meet the continued listing requirements, the Company’s common stock may be delisted, which could affect the market price and liquidity for the Company’s common stock and reduce the Company’s ability to raise additional capital.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2023, the Company received a letter from the Listing Qualifications Staff of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indicating that, based upon the closing bid price of its common stock for the 30 consecutive business days preceding the date of the Notice, the Company is not in compliance with the requirement to maintain a minimum bid price of $1.00 per share for continued listing on the Nasdaq Global Market, as set forth in Nasdaq Listing Rule 5450(a)(1)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The Company was provided a compliance period of 180 calendar days from the date of the Notice, or until June 10, 2024, to regain compliance with the minimum closing bid requirement, pursuant to Nasdaq Listing Rule 5810(c)(3)(A).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67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monitor the closing bid price of its common stock and seek to regain compliance with all applicable Nasdaq requirements within the allotted compliance periods and may, if appropriate, consider available options, including implementation of a reverse stock split, to regain compliance with the minimum closing bid requirement. If the Company seeks to implement a reverse stock split in order to remain listed on The Nasdaq Global Market, the announcement or implementation of such a reverse stock split could negatively affect the price of its common stock. If the Company does not regain compliance within the allotted compliance periods, including any extensions that may be granted by Nasdaq, Nasdaq will provide notice that its common stock will be subject to delisting. The Company would then be entitled to appeal that determination to a Nasdaq hearings panel. There can be no assurance that the Company will regain compliance with the minimum bid price requirement during the 180-day compliance period or maintain compliance with the other Nasdaq listing requirements. A delisting could substantially decrease trading in the Company’s common stock, adversely affect the market liquidity of the Company’s common stock as a result of the loss of market efficiencies associated with Nasdaq and the loss of federal preemption of state securities laws, adversely affect its ability to obtain financing on acceptable terms, if at all, and may result in the potential loss of confidence by investors, suppliers, customers and employees and fewer business development opportunities. Additionally, the market price of the Company’s common stock may decline further and stockholders may lose some or all of their investment.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for Forward-Looking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communication may constitute forward-looking statements within the meaning of Section 27A of the Securities Act of 1933 and Section 21E of the Securities Exchange Act of 1934. All statements, other than statements of historical fact, are statements that could be deemed forward-looking statements, including statements containing the words “predicts,” “plans,” “expects,” “anticipates,” “believes,” “goal,” “target,” “estimate,” “potential,” “may,” “might,” “could,” “see,” “seek,” “forecast,” and similar words. Forward-looking statements are based on the Company’s current plans and expectations and involve risks and uncertainties which are, in many instances, beyond the Company’s control, and which could cause actual results to differ materially from those included in or contemplated or implied by the forward-looking statements. Such risks and uncertainties include, among others, the Company’s ability to regain compliance with the Bid Price Requirement, and the other risks, uncertainties and factors detailed in the Company’s filings with the SEC, including in the Company’s Annual Report on Form 10-K for the year ended December 31, 2022, which was filed with the SEC on April 17, 2023. As a result of such risks, uncertainties and factors, the Company’s actual results may differ materially from any future results, performance or achievements discussed in or implied by the forward-looking statements contained herein. The Company is providing the information in this communication as of this date and assumes no obligations to update the information included in this communication or revise any forward-looking statements, whether as a result of new information, future events or otherwise.</w:t>
      </w:r>
    </w:p>
    <w:p>
      <w:pPr>
        <w:pStyle w:val="TextBody"/>
        <w:pBd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center"/>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195"/>
        <w:gridCol w:w="320"/>
        <w:gridCol w:w="4835"/>
      </w:tblGrid>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51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DRAGONFLY ENERGY HOLDINGS, CORP.</w:t>
            </w:r>
            <w:r>
              <w:rPr>
                <w:rFonts w:ascii="Times New Roman;Times;Serif" w:hAnsi="Times New Roman;Times;Serif"/>
                <w:b w:val="false"/>
                <w:i w:val="false"/>
                <w:caps w:val="false"/>
                <w:smallCaps w:val="false"/>
                <w:sz w:val="20"/>
              </w:rPr>
              <w:t xml:space="preserve"> </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December 15, 2023</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bl>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1690</Words>
  <Characters>9108</Characters>
  <CharactersWithSpaces>10817</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