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both"/>
        <w:ind w:left="6220" w:hanging="1618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Filed by Chardan NexTech Acquisition 2 Corp. pursuant to Rule 425 under the Securities Act of 1933 and deemed filed pursuant to Rule 14a-12 under the Securities Exchange Act of 1934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right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Subject Company: Chardan NexTech Acquisition 2 Corp.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3304540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-302895</wp:posOffset>
            </wp:positionH>
            <wp:positionV relativeFrom="paragraph">
              <wp:posOffset>149860</wp:posOffset>
            </wp:positionV>
            <wp:extent cx="6292215" cy="2674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267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20"/>
      </w:cols>
      <w:pgMar w:left="1440" w:top="459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2022-05-17T05:23:31Z</dcterms:created>
  <dcterms:modified xsi:type="dcterms:W3CDTF">2022-05-17T05:23:31Z</dcterms:modified>
</cp:coreProperties>
</file>