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GROSSMAN JONAS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4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Chardan NexTech Acquisition 2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CNTQ</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CHARDAN NEXTECH</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ACQUISITION 2 CORP.</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7"/>
          <w:szCs w:val="17"/>
          <w:color w:val="0000FF"/>
        </w:rPr>
        <w:t>17 STATE STREET, 21ST FLOOR</w:t>
      </w:r>
    </w:p>
    <w:p>
      <w:pPr>
        <w:spacing w:after="0" w:line="3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10004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460" w:type="dxa"/>
            <w:vAlign w:val="bottom"/>
          </w:tcPr>
          <w:p>
            <w:pPr>
              <w:ind w:left="20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460" w:type="dxa"/>
            <w:vAlign w:val="bottom"/>
          </w:tcPr>
          <w:p>
            <w:pPr>
              <w:ind w:left="52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12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460" w:type="dxa"/>
            <w:vAlign w:val="bottom"/>
            <w:vMerge w:val="restart"/>
          </w:tcPr>
          <w:p>
            <w:pPr>
              <w:ind w:left="52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343"/>
        <w:spacing w:after="0"/>
        <w:rPr>
          <w:sz w:val="20"/>
          <w:szCs w:val="20"/>
          <w:color w:val="auto"/>
        </w:rPr>
      </w:pPr>
      <w:r>
        <w:rPr>
          <w:rFonts w:ascii="Arial" w:cs="Arial" w:eastAsia="Arial" w:hAnsi="Arial"/>
          <w:sz w:val="18"/>
          <w:szCs w:val="18"/>
          <w:color w:val="0000FF"/>
        </w:rPr>
        <w:t>CEO, President, Secy. &amp; Treas.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rPr>
              <w:t>Common Stock, par value $0.0001</w:t>
            </w:r>
          </w:p>
        </w:tc>
        <w:tc>
          <w:tcPr>
            <w:tcW w:w="9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380"/>
              <w:spacing w:after="0"/>
              <w:rPr>
                <w:sz w:val="20"/>
                <w:szCs w:val="20"/>
                <w:color w:val="auto"/>
              </w:rPr>
            </w:pPr>
            <w:r>
              <w:rPr>
                <w:rFonts w:ascii="Arial" w:cs="Arial" w:eastAsia="Arial" w:hAnsi="Arial"/>
                <w:sz w:val="20"/>
                <w:szCs w:val="20"/>
                <w:color w:val="0000FF"/>
              </w:rPr>
              <w:t>3,030,500</w:t>
            </w:r>
            <w:r>
              <w:rPr>
                <w:rFonts w:ascii="Arial" w:cs="Arial" w:eastAsia="Arial" w:hAnsi="Arial"/>
                <w:sz w:val="25"/>
                <w:szCs w:val="25"/>
                <w:color w:val="008000"/>
                <w:vertAlign w:val="superscript"/>
              </w:rPr>
              <w:t>(1)</w:t>
            </w: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90"/>
              </w:rPr>
              <w:t>See footnote.</w:t>
            </w:r>
            <w:r>
              <w:rPr>
                <w:rFonts w:ascii="Arial" w:cs="Arial" w:eastAsia="Arial" w:hAnsi="Arial"/>
                <w:sz w:val="25"/>
                <w:szCs w:val="25"/>
                <w:color w:val="008000"/>
                <w:w w:val="90"/>
                <w:vertAlign w:val="superscript"/>
              </w:rPr>
              <w:t>(2)</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60" w:type="dxa"/>
            <w:vAlign w:val="bottom"/>
            <w:vMerge w:val="restart"/>
          </w:tcPr>
          <w:p>
            <w:pPr>
              <w:ind w:left="2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ind w:left="28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860" w:type="dxa"/>
            <w:vAlign w:val="bottom"/>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2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As described in Chardan NexTech Acquisition 2 Corp.'s (the "Issuer") registration statement on Form S-1 (File No. 333-254010), as amended (the "Registration Statement"), such amount includes 412,500 shares of common stock, par value $0.0001 per share (the "Common Stock"), of the Issuer subject to forfeiture to the extent that the underwriters do not fully or partially exercise their over-allotment option in the Issuer's initial public offering of the Common Stock.</w:t>
      </w:r>
    </w:p>
    <w:p>
      <w:pPr>
        <w:spacing w:after="0" w:line="35" w:lineRule="exact"/>
        <w:rPr>
          <w:rFonts w:ascii="Arial" w:cs="Arial" w:eastAsia="Arial" w:hAnsi="Arial"/>
          <w:sz w:val="15"/>
          <w:szCs w:val="15"/>
          <w:color w:val="008000"/>
        </w:rPr>
      </w:pPr>
    </w:p>
    <w:p>
      <w:pPr>
        <w:ind w:left="40" w:right="140" w:firstLine="5"/>
        <w:spacing w:after="0" w:line="297"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As described in the Registration Statement, Chardan NexTech Investments 2 LLC, a Delaware limited liability company (the "Sponsor"), is the record holder of such shares. Mr. Grossman is the sole member of our sponsor. As such, Mr. Grossman may be deemed to have beneficial ownership of the Common Stock held directly by the Sponsor. Mr. Grossman disclaims any beneficial ownership of the reported shares other than to the extent of any pecuniary interest they may have therein, directly or indirectly.</w:t>
      </w:r>
    </w:p>
    <w:p>
      <w:pPr>
        <w:spacing w:after="0" w:line="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3"/>
              </w:rPr>
              <w:t>/s/ Jonas Grossman</w:t>
            </w:r>
          </w:p>
        </w:tc>
        <w:tc>
          <w:tcPr>
            <w:tcW w:w="6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08/10/2021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23905" TargetMode="External"/><Relationship Id="rId11"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2021-08-10T21:06:59Z</dcterms:created>
  <dcterms:modified xsi:type="dcterms:W3CDTF">2021-08-10T21:06:59Z</dcterms:modified>
</cp:coreProperties>
</file>