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252095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August 5, 2022 ( August 5,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Chardan NexTech Acquisition 2 Corp.</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3" w:right="339" w:bottom="1440" w:gutter="0" w:footer="0" w:header="0"/>
        </w:sectPr>
      </w:pPr>
    </w:p>
    <w:p>
      <w:pPr>
        <w:spacing w:after="0" w:line="350"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p>
      <w:pPr>
        <w:spacing w:after="0" w:line="9"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spacing w:after="0" w:line="330"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8"/>
          <w:szCs w:val="18"/>
          <w:b w:val="1"/>
          <w:bCs w:val="1"/>
          <w:color w:val="auto"/>
        </w:rPr>
        <w:t>001-40730</w:t>
      </w:r>
    </w:p>
    <w:p>
      <w:pPr>
        <w:spacing w:after="0" w:line="31"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8"/>
          <w:szCs w:val="18"/>
          <w:b w:val="1"/>
          <w:bCs w:val="1"/>
          <w:color w:val="auto"/>
        </w:rPr>
        <w:t>(Commission</w:t>
      </w:r>
    </w:p>
    <w:p>
      <w:pPr>
        <w:spacing w:after="0" w:line="9"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7"/>
          <w:szCs w:val="17"/>
          <w:b w:val="1"/>
          <w:bCs w:val="1"/>
          <w:color w:val="auto"/>
        </w:rPr>
        <w:t>File Number)</w:t>
      </w:r>
    </w:p>
    <w:p>
      <w:pPr>
        <w:spacing w:after="0" w:line="20" w:lineRule="exact"/>
        <w:rPr>
          <w:sz w:val="24"/>
          <w:szCs w:val="24"/>
          <w:color w:val="auto"/>
        </w:rPr>
      </w:pPr>
      <w:r>
        <w:rPr>
          <w:sz w:val="24"/>
          <w:szCs w:val="24"/>
          <w:color w:val="auto"/>
        </w:rPr>
        <w:br w:type="column"/>
      </w:r>
    </w:p>
    <w:p>
      <w:pPr>
        <w:spacing w:after="0" w:line="330"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85-1873463</w:t>
      </w:r>
    </w:p>
    <w:p>
      <w:pPr>
        <w:spacing w:after="0" w:line="3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9"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Identification No.)</w:t>
      </w:r>
    </w:p>
    <w:p>
      <w:pPr>
        <w:spacing w:after="0" w:line="135" w:lineRule="exact"/>
        <w:rPr>
          <w:sz w:val="24"/>
          <w:szCs w:val="24"/>
          <w:color w:val="auto"/>
        </w:rPr>
      </w:pPr>
    </w:p>
    <w:p>
      <w:pPr>
        <w:sectPr>
          <w:pgSz w:w="11900" w:h="16838" w:orient="portrait"/>
          <w:cols w:equalWidth="0" w:num="3">
            <w:col w:w="4400" w:space="720"/>
            <w:col w:w="2840" w:space="720"/>
            <w:col w:w="2560"/>
          </w:cols>
          <w:pgMar w:left="320" w:top="583" w:right="339" w:bottom="1440" w:gutter="0" w:footer="0" w:header="0"/>
          <w:type w:val="continuous"/>
        </w:sect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17 State Street, 21st Floor</w:t>
      </w:r>
    </w:p>
    <w:p>
      <w:pPr>
        <w:spacing w:after="0" w:line="31"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New York, NY</w:t>
      </w:r>
    </w:p>
    <w:p>
      <w:pPr>
        <w:spacing w:after="0" w:line="9"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jc w:val="center"/>
        <w:ind w:right="2400"/>
        <w:spacing w:after="0"/>
        <w:rPr>
          <w:sz w:val="20"/>
          <w:szCs w:val="20"/>
          <w:color w:val="auto"/>
        </w:rPr>
      </w:pPr>
      <w:r>
        <w:rPr>
          <w:rFonts w:ascii="Times New Roman" w:cs="Times New Roman" w:eastAsia="Times New Roman" w:hAnsi="Times New Roman"/>
          <w:sz w:val="18"/>
          <w:szCs w:val="18"/>
          <w:b w:val="1"/>
          <w:bCs w:val="1"/>
          <w:color w:val="auto"/>
        </w:rPr>
        <w:t>10004</w:t>
      </w:r>
    </w:p>
    <w:p>
      <w:pPr>
        <w:spacing w:after="0" w:line="31" w:lineRule="exact"/>
        <w:rPr>
          <w:sz w:val="24"/>
          <w:szCs w:val="24"/>
          <w:color w:val="auto"/>
        </w:rPr>
      </w:pPr>
    </w:p>
    <w:p>
      <w:pPr>
        <w:jc w:val="center"/>
        <w:ind w:right="2400"/>
        <w:spacing w:after="0"/>
        <w:rPr>
          <w:sz w:val="20"/>
          <w:szCs w:val="20"/>
          <w:color w:val="auto"/>
        </w:rPr>
      </w:pPr>
      <w:r>
        <w:rPr>
          <w:rFonts w:ascii="Times New Roman" w:cs="Times New Roman" w:eastAsia="Times New Roman" w:hAnsi="Times New Roman"/>
          <w:sz w:val="17"/>
          <w:szCs w:val="17"/>
          <w:b w:val="1"/>
          <w:bCs w:val="1"/>
          <w:color w:val="auto"/>
        </w:rPr>
        <w:t>(Zip Code)</w:t>
      </w:r>
    </w:p>
    <w:p>
      <w:pPr>
        <w:spacing w:after="0" w:line="147" w:lineRule="exact"/>
        <w:rPr>
          <w:sz w:val="24"/>
          <w:szCs w:val="24"/>
          <w:color w:val="auto"/>
        </w:rPr>
      </w:pPr>
    </w:p>
    <w:p>
      <w:pPr>
        <w:sectPr>
          <w:pgSz w:w="11900" w:h="16838" w:orient="portrait"/>
          <w:cols w:equalWidth="0" w:num="2">
            <w:col w:w="7300" w:space="720"/>
            <w:col w:w="3220"/>
          </w:cols>
          <w:pgMar w:left="320" w:top="583"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(646) 465-9000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94"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8"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right="2860" w:firstLine="8"/>
        <w:spacing w:after="0" w:line="420" w:lineRule="auto"/>
        <w:tabs>
          <w:tab w:leader="none" w:pos="3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64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5"/>
              </w:rPr>
              <w:t>Trading</w:t>
            </w: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c>
          <w:tcPr>
            <w:tcW w:w="0" w:type="dxa"/>
            <w:vAlign w:val="bottom"/>
          </w:tcPr>
          <w:p>
            <w:pPr>
              <w:spacing w:after="0"/>
              <w:rPr>
                <w:sz w:val="1"/>
                <w:szCs w:val="1"/>
                <w:color w:val="auto"/>
              </w:rPr>
            </w:pPr>
          </w:p>
        </w:tc>
      </w:tr>
      <w:tr>
        <w:trPr>
          <w:trHeight w:val="238"/>
        </w:trPr>
        <w:tc>
          <w:tcPr>
            <w:tcW w:w="6420" w:type="dxa"/>
            <w:vAlign w:val="bottom"/>
            <w:gridSpan w:val="2"/>
            <w:vMerge w:val="continue"/>
          </w:tcPr>
          <w:p>
            <w:pPr>
              <w:spacing w:after="0"/>
              <w:rPr>
                <w:sz w:val="20"/>
                <w:szCs w:val="20"/>
                <w:color w:val="auto"/>
              </w:rPr>
            </w:pP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c>
          <w:tcPr>
            <w:tcW w:w="0" w:type="dxa"/>
            <w:vAlign w:val="bottom"/>
          </w:tcPr>
          <w:p>
            <w:pPr>
              <w:spacing w:after="0"/>
              <w:rPr>
                <w:sz w:val="1"/>
                <w:szCs w:val="1"/>
                <w:color w:val="auto"/>
              </w:rPr>
            </w:pPr>
          </w:p>
        </w:tc>
      </w:tr>
      <w:tr>
        <w:trPr>
          <w:trHeight w:val="191"/>
        </w:trPr>
        <w:tc>
          <w:tcPr>
            <w:tcW w:w="63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Units, each consisting of one share of Common Stock, $0.0001 par value, and three-</w:t>
            </w:r>
          </w:p>
        </w:tc>
        <w:tc>
          <w:tcPr>
            <w:tcW w:w="120" w:type="dxa"/>
            <w:vAlign w:val="bottom"/>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quarters of one Redeemable Warrant</w:t>
            </w: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CNTQU</w:t>
            </w: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c>
          <w:tcPr>
            <w:tcW w:w="0" w:type="dxa"/>
            <w:vAlign w:val="bottom"/>
          </w:tcPr>
          <w:p>
            <w:pPr>
              <w:spacing w:after="0"/>
              <w:rPr>
                <w:sz w:val="1"/>
                <w:szCs w:val="1"/>
                <w:color w:val="auto"/>
              </w:rPr>
            </w:pPr>
          </w:p>
        </w:tc>
      </w:tr>
      <w:tr>
        <w:trPr>
          <w:trHeight w:val="216"/>
        </w:trPr>
        <w:tc>
          <w:tcPr>
            <w:tcW w:w="64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Common Stock, par value $0.0001 per share, included as part of the Units</w:t>
            </w: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CNTQ</w:t>
            </w: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c>
          <w:tcPr>
            <w:tcW w:w="0" w:type="dxa"/>
            <w:vAlign w:val="bottom"/>
          </w:tcPr>
          <w:p>
            <w:pPr>
              <w:spacing w:after="0"/>
              <w:rPr>
                <w:sz w:val="1"/>
                <w:szCs w:val="1"/>
                <w:color w:val="auto"/>
              </w:rPr>
            </w:pPr>
          </w:p>
        </w:tc>
      </w:tr>
      <w:tr>
        <w:trPr>
          <w:trHeight w:val="216"/>
        </w:trPr>
        <w:tc>
          <w:tcPr>
            <w:tcW w:w="64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Redeemable Warrants included as part of the Units, each exercisable for one share of</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4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Common Stock for $11.50 per share</w:t>
            </w: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CNTQW</w:t>
            </w: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c>
          <w:tcPr>
            <w:tcW w:w="0" w:type="dxa"/>
            <w:vAlign w:val="bottom"/>
          </w:tcPr>
          <w:p>
            <w:pPr>
              <w:spacing w:after="0"/>
              <w:rPr>
                <w:sz w:val="1"/>
                <w:szCs w:val="1"/>
                <w:color w:val="auto"/>
              </w:rPr>
            </w:pPr>
          </w:p>
        </w:tc>
      </w:tr>
    </w:tbl>
    <w:p>
      <w:pPr>
        <w:spacing w:after="0" w:line="130"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86"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107950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553720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3"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5, 2022, in connection with its Special Meeting (as defined below), Chardan NexTech Acquisition 2 Corp. (“CNTQ,” or, the “Company”) and Continental Stock Transfer &amp; Trust Company (the “Trustee”) entered into Amendment No. 1 to the Investment Management Trust Agreement (the “Trust Agreement Amendment”), which amends the Investment Management Trust Agreement, dated August 10, 2021 (the “Trust Agreement”), to authorize the Extension (as defined below) and its implementation by the Company.</w:t>
      </w:r>
    </w:p>
    <w:p>
      <w:pPr>
        <w:spacing w:after="0" w:line="17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5.03</w:t>
      </w:r>
      <w:r>
        <w:rPr>
          <w:sz w:val="20"/>
          <w:szCs w:val="20"/>
          <w:color w:val="auto"/>
        </w:rPr>
        <w:tab/>
      </w:r>
      <w:r>
        <w:rPr>
          <w:rFonts w:ascii="Times New Roman" w:cs="Times New Roman" w:eastAsia="Times New Roman" w:hAnsi="Times New Roman"/>
          <w:sz w:val="17"/>
          <w:szCs w:val="17"/>
          <w:b w:val="1"/>
          <w:bCs w:val="1"/>
          <w:color w:val="auto"/>
        </w:rPr>
        <w:t>Amendments to Articles of Incorporation or Bylaws; Change in Fiscal Year.</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disclosed in Item 5.07 of this Current Report on Form 8-K under the heading “Proposal 1” is incorporated by reference into this Item 5.03 to the extent required herein.</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Special Meeting</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August 5, 2022, CNTQ held a special meeting (the “Special Meeting”), at which holders of 11,331,512 shares of CNTQ common stock, par value $0.0001 per share (“CNTQ common stock”), were present in person or by proxy, representing approximately 71.66% of the voting power of the 15,812,500 shares of CNTQ common stock issued and outstanding entitled to vote at the Special Meeting at the close of business on July 11, 2022, which was the record date (the “Record Date”) for the Special Meeting. Stockholders of record as of the close of business on the Record Date are referred to herein as “Stockholders”. In connection with the Charter Amendment (as defined below), Stockholders elected to redeem 9,556,652 shares of CNTQ common stock, representing approximately 60.44% of the issued and outstanding shares of CNTQ common stock and 75.55% of the issued outstanding CNTQ common stock sold in the IPO.</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Proposal 1</w:t>
      </w:r>
    </w:p>
    <w:p>
      <w:pPr>
        <w:spacing w:after="0" w:line="2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Stockholders approved the proposal to amend the Company’s Amended and Restated Certificate of Incorporation (the “Charter”) to provide the Company’s officers, directors, initial stockholders and Chardan NexTech 2 Warrant Holdings, LLC (collectively, the “Insiders”) the ability to extend the date by which the Company must complete a business combination up to three (3) times for an additional one (1) month each time (for a maximum of three</w:t>
      </w:r>
    </w:p>
    <w:p>
      <w:pPr>
        <w:spacing w:after="0" w:line="1" w:lineRule="exact"/>
        <w:rPr>
          <w:sz w:val="20"/>
          <w:szCs w:val="20"/>
          <w:color w:val="auto"/>
        </w:rPr>
      </w:pPr>
    </w:p>
    <w:p>
      <w:pPr>
        <w:ind w:firstLine="8"/>
        <w:spacing w:after="0" w:line="260" w:lineRule="auto"/>
        <w:tabs>
          <w:tab w:leader="none" w:pos="26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one-month extensions) upon the deposit into the trust account (the “Trust Account”) by the Insiders, their affiliates or designees of $200,000 upon five days’ advance notice prior to August 13, 2022 (or such other applicable deadline) (the “Extension,” and such proposal, the “Charter Amendment”).</w:t>
      </w:r>
    </w:p>
    <w:p>
      <w:pPr>
        <w:spacing w:after="0" w:line="191"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3060" w:type="dxa"/>
            <w:vAlign w:val="bottom"/>
            <w:gridSpan w:val="2"/>
          </w:tcPr>
          <w:p>
            <w:pPr>
              <w:ind w:left="1340"/>
              <w:spacing w:after="0"/>
              <w:rPr>
                <w:sz w:val="20"/>
                <w:szCs w:val="20"/>
                <w:color w:val="auto"/>
              </w:rPr>
            </w:pPr>
            <w:r>
              <w:rPr>
                <w:rFonts w:ascii="Times New Roman" w:cs="Times New Roman" w:eastAsia="Times New Roman" w:hAnsi="Times New Roman"/>
                <w:sz w:val="18"/>
                <w:szCs w:val="18"/>
                <w:b w:val="1"/>
                <w:bCs w:val="1"/>
                <w:color w:val="auto"/>
              </w:rPr>
              <w:t>For</w:t>
            </w:r>
          </w:p>
        </w:tc>
        <w:tc>
          <w:tcPr>
            <w:tcW w:w="3060" w:type="dxa"/>
            <w:vAlign w:val="bottom"/>
            <w:gridSpan w:val="2"/>
          </w:tcPr>
          <w:p>
            <w:pPr>
              <w:ind w:left="118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860" w:type="dxa"/>
            <w:vAlign w:val="bottom"/>
          </w:tcPr>
          <w:p>
            <w:pPr>
              <w:jc w:val="right"/>
              <w:ind w:right="1050"/>
              <w:spacing w:after="0"/>
              <w:rPr>
                <w:sz w:val="20"/>
                <w:szCs w:val="20"/>
                <w:color w:val="auto"/>
              </w:rPr>
            </w:pPr>
            <w:r>
              <w:rPr>
                <w:rFonts w:ascii="Times New Roman" w:cs="Times New Roman" w:eastAsia="Times New Roman" w:hAnsi="Times New Roman"/>
                <w:sz w:val="18"/>
                <w:szCs w:val="18"/>
                <w:b w:val="1"/>
                <w:bCs w:val="1"/>
                <w:color w:val="auto"/>
              </w:rPr>
              <w:t>Abstain</w:t>
            </w:r>
          </w:p>
        </w:tc>
      </w:tr>
      <w:tr>
        <w:trPr>
          <w:trHeight w:val="210"/>
        </w:trPr>
        <w:tc>
          <w:tcPr>
            <w:tcW w:w="2980" w:type="dxa"/>
            <w:vAlign w:val="bottom"/>
            <w:tcBorders>
              <w:top w:val="single" w:sz="8" w:color="auto"/>
            </w:tcBorders>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rPr>
              <w:t>9,502,515</w:t>
            </w:r>
          </w:p>
        </w:tc>
        <w:tc>
          <w:tcPr>
            <w:tcW w:w="80" w:type="dxa"/>
            <w:vAlign w:val="bottom"/>
            <w:tcBorders>
              <w:top w:val="single" w:sz="8" w:color="CCEEFF"/>
            </w:tcBorders>
            <w:shd w:val="clear" w:color="auto" w:fill="CCEEFF"/>
          </w:tcPr>
          <w:p>
            <w:pPr>
              <w:spacing w:after="0"/>
              <w:rPr>
                <w:sz w:val="18"/>
                <w:szCs w:val="18"/>
                <w:color w:val="auto"/>
              </w:rPr>
            </w:pPr>
          </w:p>
        </w:tc>
        <w:tc>
          <w:tcPr>
            <w:tcW w:w="2980" w:type="dxa"/>
            <w:vAlign w:val="bottom"/>
            <w:tcBorders>
              <w:top w:val="single" w:sz="8" w:color="auto"/>
            </w:tcBorders>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1,530,476</w:t>
            </w:r>
          </w:p>
        </w:tc>
        <w:tc>
          <w:tcPr>
            <w:tcW w:w="80" w:type="dxa"/>
            <w:vAlign w:val="bottom"/>
            <w:tcBorders>
              <w:top w:val="single" w:sz="8" w:color="CCEEFF"/>
            </w:tcBorders>
            <w:shd w:val="clear" w:color="auto" w:fill="CCEEFF"/>
          </w:tcPr>
          <w:p>
            <w:pPr>
              <w:spacing w:after="0"/>
              <w:rPr>
                <w:sz w:val="18"/>
                <w:szCs w:val="18"/>
                <w:color w:val="auto"/>
              </w:rPr>
            </w:pPr>
          </w:p>
        </w:tc>
        <w:tc>
          <w:tcPr>
            <w:tcW w:w="2860" w:type="dxa"/>
            <w:vAlign w:val="bottom"/>
            <w:tcBorders>
              <w:top w:val="single" w:sz="8" w:color="auto"/>
            </w:tcBorders>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rPr>
              <w:t>298,521</w:t>
            </w: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29, 2022, to effectuate the Charter Amendment, the board of directors of the Company (the “Board”) approved and adopted the Second Amended and Restated Memorandum and Articles of Association of the Company (the “Second A&amp;R Charter”). The foregoing description of the Second A&amp;R Charter does not purport to be complete and is qualified in its entirety by the terms of the Second A&amp;R Charter, a copy of which is attached hereto as Exhibit 3.1 and incorporated herein by reference.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Proposal 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Stockholders approved the proposal to amend Trust Agreement and, pursuant to such amendment, authorize the Trust Amendment Proposal.</w:t>
      </w:r>
    </w:p>
    <w:p>
      <w:pPr>
        <w:spacing w:after="0" w:line="216"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3060" w:type="dxa"/>
            <w:vAlign w:val="bottom"/>
            <w:gridSpan w:val="2"/>
          </w:tcPr>
          <w:p>
            <w:pPr>
              <w:ind w:left="1340"/>
              <w:spacing w:after="0"/>
              <w:rPr>
                <w:sz w:val="20"/>
                <w:szCs w:val="20"/>
                <w:color w:val="auto"/>
              </w:rPr>
            </w:pPr>
            <w:r>
              <w:rPr>
                <w:rFonts w:ascii="Times New Roman" w:cs="Times New Roman" w:eastAsia="Times New Roman" w:hAnsi="Times New Roman"/>
                <w:sz w:val="18"/>
                <w:szCs w:val="18"/>
                <w:b w:val="1"/>
                <w:bCs w:val="1"/>
                <w:color w:val="auto"/>
              </w:rPr>
              <w:t>For</w:t>
            </w:r>
          </w:p>
        </w:tc>
        <w:tc>
          <w:tcPr>
            <w:tcW w:w="3060" w:type="dxa"/>
            <w:vAlign w:val="bottom"/>
            <w:gridSpan w:val="2"/>
          </w:tcPr>
          <w:p>
            <w:pPr>
              <w:ind w:left="118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860" w:type="dxa"/>
            <w:vAlign w:val="bottom"/>
          </w:tcPr>
          <w:p>
            <w:pPr>
              <w:jc w:val="right"/>
              <w:ind w:right="1050"/>
              <w:spacing w:after="0"/>
              <w:rPr>
                <w:sz w:val="20"/>
                <w:szCs w:val="20"/>
                <w:color w:val="auto"/>
              </w:rPr>
            </w:pPr>
            <w:r>
              <w:rPr>
                <w:rFonts w:ascii="Times New Roman" w:cs="Times New Roman" w:eastAsia="Times New Roman" w:hAnsi="Times New Roman"/>
                <w:sz w:val="18"/>
                <w:szCs w:val="18"/>
                <w:b w:val="1"/>
                <w:bCs w:val="1"/>
                <w:color w:val="auto"/>
              </w:rPr>
              <w:t>Abstain</w:t>
            </w:r>
          </w:p>
        </w:tc>
      </w:tr>
      <w:tr>
        <w:trPr>
          <w:trHeight w:val="209"/>
        </w:trPr>
        <w:tc>
          <w:tcPr>
            <w:tcW w:w="2980" w:type="dxa"/>
            <w:vAlign w:val="bottom"/>
            <w:tcBorders>
              <w:top w:val="single" w:sz="8" w:color="auto"/>
            </w:tcBorders>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rPr>
              <w:t>6,340,015</w:t>
            </w:r>
          </w:p>
        </w:tc>
        <w:tc>
          <w:tcPr>
            <w:tcW w:w="80" w:type="dxa"/>
            <w:vAlign w:val="bottom"/>
            <w:tcBorders>
              <w:top w:val="single" w:sz="8" w:color="CCEEFF"/>
            </w:tcBorders>
            <w:shd w:val="clear" w:color="auto" w:fill="CCEEFF"/>
          </w:tcPr>
          <w:p>
            <w:pPr>
              <w:spacing w:after="0"/>
              <w:rPr>
                <w:sz w:val="18"/>
                <w:szCs w:val="18"/>
                <w:color w:val="auto"/>
              </w:rPr>
            </w:pPr>
          </w:p>
        </w:tc>
        <w:tc>
          <w:tcPr>
            <w:tcW w:w="2980" w:type="dxa"/>
            <w:vAlign w:val="bottom"/>
            <w:tcBorders>
              <w:top w:val="single" w:sz="8" w:color="auto"/>
            </w:tcBorders>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1,530,377</w:t>
            </w:r>
          </w:p>
        </w:tc>
        <w:tc>
          <w:tcPr>
            <w:tcW w:w="80" w:type="dxa"/>
            <w:vAlign w:val="bottom"/>
            <w:tcBorders>
              <w:top w:val="single" w:sz="8" w:color="CCEEFF"/>
            </w:tcBorders>
            <w:shd w:val="clear" w:color="auto" w:fill="CCEEFF"/>
          </w:tcPr>
          <w:p>
            <w:pPr>
              <w:spacing w:after="0"/>
              <w:rPr>
                <w:sz w:val="18"/>
                <w:szCs w:val="18"/>
                <w:color w:val="auto"/>
              </w:rPr>
            </w:pPr>
          </w:p>
        </w:tc>
        <w:tc>
          <w:tcPr>
            <w:tcW w:w="2860" w:type="dxa"/>
            <w:vAlign w:val="bottom"/>
            <w:tcBorders>
              <w:top w:val="single" w:sz="8" w:color="auto"/>
            </w:tcBorders>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rPr>
              <w:t>298,521</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29, 2022, to effectuate the Trust Amendment Proposal, the Board approved and adopted the Trust Agreement Amendment. The foregoing description of the Trust Agreement Amendment does not purport to be complete and is qualified in its entirety by the terms of the Trust Agreement Amendment, a copy of which is attached hereto as Exhibit 10.1 and incorporated herein by reference.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auto"/>
        </w:rPr>
        <w:t>Proposal 3</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Stockholders approved the proposal to approve the adjournment of the Special Meeting to a later date or dates to permit further solicitation and vote of proxies in the event that there were insufficient votes for, or otherwise in connection with, the approval of the Charter Amendment and the Trust Amendment Proposal (the “Adjournment Proposal”).</w:t>
      </w:r>
    </w:p>
    <w:p>
      <w:pPr>
        <w:spacing w:after="0" w:line="195"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3060" w:type="dxa"/>
            <w:vAlign w:val="bottom"/>
            <w:gridSpan w:val="2"/>
          </w:tcPr>
          <w:p>
            <w:pPr>
              <w:ind w:left="1340"/>
              <w:spacing w:after="0"/>
              <w:rPr>
                <w:sz w:val="20"/>
                <w:szCs w:val="20"/>
                <w:color w:val="auto"/>
              </w:rPr>
            </w:pPr>
            <w:r>
              <w:rPr>
                <w:rFonts w:ascii="Times New Roman" w:cs="Times New Roman" w:eastAsia="Times New Roman" w:hAnsi="Times New Roman"/>
                <w:sz w:val="18"/>
                <w:szCs w:val="18"/>
                <w:b w:val="1"/>
                <w:bCs w:val="1"/>
                <w:color w:val="auto"/>
              </w:rPr>
              <w:t>For</w:t>
            </w:r>
          </w:p>
        </w:tc>
        <w:tc>
          <w:tcPr>
            <w:tcW w:w="3060" w:type="dxa"/>
            <w:vAlign w:val="bottom"/>
            <w:gridSpan w:val="2"/>
          </w:tcPr>
          <w:p>
            <w:pPr>
              <w:ind w:left="118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860" w:type="dxa"/>
            <w:vAlign w:val="bottom"/>
          </w:tcPr>
          <w:p>
            <w:pPr>
              <w:jc w:val="right"/>
              <w:ind w:right="1050"/>
              <w:spacing w:after="0"/>
              <w:rPr>
                <w:sz w:val="20"/>
                <w:szCs w:val="20"/>
                <w:color w:val="auto"/>
              </w:rPr>
            </w:pPr>
            <w:r>
              <w:rPr>
                <w:rFonts w:ascii="Times New Roman" w:cs="Times New Roman" w:eastAsia="Times New Roman" w:hAnsi="Times New Roman"/>
                <w:sz w:val="18"/>
                <w:szCs w:val="18"/>
                <w:b w:val="1"/>
                <w:bCs w:val="1"/>
                <w:color w:val="auto"/>
              </w:rPr>
              <w:t>Abstain</w:t>
            </w:r>
          </w:p>
        </w:tc>
      </w:tr>
      <w:tr>
        <w:trPr>
          <w:trHeight w:val="210"/>
        </w:trPr>
        <w:tc>
          <w:tcPr>
            <w:tcW w:w="2980" w:type="dxa"/>
            <w:vAlign w:val="bottom"/>
            <w:tcBorders>
              <w:top w:val="single" w:sz="8" w:color="auto"/>
            </w:tcBorders>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rPr>
              <w:t>9,500,849</w:t>
            </w:r>
          </w:p>
        </w:tc>
        <w:tc>
          <w:tcPr>
            <w:tcW w:w="80" w:type="dxa"/>
            <w:vAlign w:val="bottom"/>
            <w:tcBorders>
              <w:top w:val="single" w:sz="8" w:color="CCEEFF"/>
            </w:tcBorders>
            <w:shd w:val="clear" w:color="auto" w:fill="CCEEFF"/>
          </w:tcPr>
          <w:p>
            <w:pPr>
              <w:spacing w:after="0"/>
              <w:rPr>
                <w:sz w:val="18"/>
                <w:szCs w:val="18"/>
                <w:color w:val="auto"/>
              </w:rPr>
            </w:pPr>
          </w:p>
        </w:tc>
        <w:tc>
          <w:tcPr>
            <w:tcW w:w="2980" w:type="dxa"/>
            <w:vAlign w:val="bottom"/>
            <w:tcBorders>
              <w:top w:val="single" w:sz="8" w:color="auto"/>
            </w:tcBorders>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1,532,141</w:t>
            </w:r>
          </w:p>
        </w:tc>
        <w:tc>
          <w:tcPr>
            <w:tcW w:w="80" w:type="dxa"/>
            <w:vAlign w:val="bottom"/>
            <w:tcBorders>
              <w:top w:val="single" w:sz="8" w:color="CCEEFF"/>
            </w:tcBorders>
            <w:shd w:val="clear" w:color="auto" w:fill="CCEEFF"/>
          </w:tcPr>
          <w:p>
            <w:pPr>
              <w:spacing w:after="0"/>
              <w:rPr>
                <w:sz w:val="18"/>
                <w:szCs w:val="18"/>
                <w:color w:val="auto"/>
              </w:rPr>
            </w:pPr>
          </w:p>
        </w:tc>
        <w:tc>
          <w:tcPr>
            <w:tcW w:w="2860" w:type="dxa"/>
            <w:vAlign w:val="bottom"/>
            <w:tcBorders>
              <w:top w:val="single" w:sz="8" w:color="auto"/>
            </w:tcBorders>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rPr>
              <w:t>298,522</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Current Report on Form 8-K contains certain “forward-looking statements” within the meaning of the United States Private Securities Litigation Reform Act of 1995, Section 27A of the Securities Act of 1933, as amended (the “Securities Act”) and Section 21E of the Securities Exchange Act of 1934, as amended, including certain financial forecasts and projections. All statements other than statements of historical fact contained in this Current Report on Form 8-K, including statements as to the transactions contemplated by the business combination and related agreements, future results of operations and financial position, revenue and other metrics, planned products and services, business strategy and plans, objectives of management for future operations of Dragonfly, market size and growth opportunities, competitive position and technological and market trends, are forward-looking statements. Some of these forward-looking statements can be identified by the use of forward-looking words, including “may,” “should,” “expect,” “intend,” “will,” “estimate,” “anticipate,” “believe,” “predict,” “plan,” “targets,” “projects,” “could,” “would,” “continue,” “forecast” or the negatives of these terms or variations of them or similar expressions. All forward-looking statements are subject to risks, uncertainties, and other factors (some of which are beyond the control of Dragonfly or CNTQ) which could cause actual results to differ materially from those expressed or implied by such forward-looking statements. All forward-looking statements are based upon estimates, forecasts and assumptions that, while considered reasonable by CNTQ and its management, and Dragonfly and its management, as the case may be, are inherently uncertain and many factors may cause the actual results to differ materially from current expectations which include, but are not limited to: 1) the occurrence of any event, change or other circumstances that could give rise to the termination of the definitive merger agreement with respect to the business combination; 2) the outcome of any legal proceedings that may be instituted against Dragonfly, CNTQ, the combined company or others following the announcement of the business combination and the transactions contemplated thereby; 3) the inability to complete the business combination due to the failure to obtain approval of the stockholders of CNTQ, or to satisfy other conditions to closing the business combination; 4) changes to the proposed structure of the business combination that may be required or appropriate as a result of applicable laws or regulations or as a condition to obtaining regulatory approval of the business combination; 5) the ability to meet Nasdaq's listing standards following the consummation of the business combination; 6) the risk that the business combination disrupts current plans and operations of Dragonfly as a result of the announcement and consummation of the business combination; 7) the inability to recognize the anticipated benefits of the business combination; 8) ability of Dragonfly to successfully increase market penetration into its target markets; 9) the addressable markets that Dragonfly intends to target do not grow as expected; 10) the loss of any key executives; 11) the loss of any relationships with key suppliers including suppliers in China; 12) the loss of any relationships with key customers; 13) the inability to protect Dragonfly’s patents and other intellectual property; 14) the failure to successfully optimize solid state cells or to produce commercially viable solid state cells in a timely manner or at all, or to scale to mass production; 15) costs related to the business combination; 16) changes in applicable laws or regulations; 17) the possibility that Dragonfly or the combined company may be adversely affected by other economic, business and/or competitive factors; 18) Dragonfly’s estimates of its growth and projected financial results for 2022 and 2023 and meeting or satisfying the underlying assumptions with respect thereto; 19) the risk that the business combination may not be completed in a timely manner or at all, which may adversely affect the price of CNTQ’s securities; 20) the risk that the transaction may not be completed by CNTQ’s business combination deadline (as may be extended pursuant to CNTQ’s governing documents); 21) the impact of the novel coronavirus disease pandemic, including any mutations or variants thereof and the Russian/Ukrainian conflict, and any resulting effect on business and financial conditions; 22) inability to complete the PIPE investment, the term loan and equity line (ChEF) in connection with the business combination; 23) the potential for events or circumstances that result in Dragonfly’s failure to timely achieve the anticipated benefits of Dragonfly’s customer arrangements with Thor; and 24) other risks and uncertainties set forth in the sections entitled “Risk Factors” and “Cautionary Note Regarding Forward-Looking Statements” in CNTQ’s Form S-1 (File Nos. 333-252449 and 333-253016), Annual Report on Form 10-K for the year ended December 31, 2021, Quarterly Report on Form 10-Q for the three months ended March 31, 2022 and registration statement on Form S-4 (File No. 333-266273) filed with the SEC on July 22, 2022, which is subject to change and will include a document that serves as a prospectus and proxy statement of CNTQ, referred to as a proxy statement/prospectus and other documents filed by CNTQ from time to time with the SEC. These filings identify and address other important risks and uncertainties that could cause actual events and results to differ materially from those contained in the forward-looking statements. Nothing in this Current Report on Form 8-K should be regarded as a representation by any person that the forward-looking statements set forth herein will be achieved or that any of the contemplated results of such forward looking statements will be achieved. You should not place undue reliance on forward-looking statements, which speak only as of the date they are made. Neither CNTQ nor Dragonfly gives any assurance that either CNTQ or Dragonfly or the combined company will achieve its expected results. Neither CNTQ nor Dragonfly undertakes any duty to update these forward-looking statements, except as otherwise required by law. For additional information, see “Risk Considerations” in the investor presentation, filed on a Current Report on Form 8-K by CNTQ with the SEC and available at www.sec.gov.</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Current Report on Form 8-K relates to the definitive proxy statement filed by CNTQ with the Securities and Exchange Commission (the “SEC”) on July 22, 2022 (the “Definitive Proxy Statement”). The Definitive Proxy Statement was mailed to all CNTQ stockholders on or around July 22, 2022. Before making any voting decision, investors and security holders of CNTQ are urged to read the Definitive Proxy Statement and all other relevant documents filed or that will be filed with the SEC because they contain important information. a proposed transaction between CNTQ and Dragonfly. CNTQ filed a registration statement on Form S-4 (File No. 333-266273) with the SEC on July 22, 2022, which is subject to change and includes a document that serves as a prospectus and proxy statement of CNTQ, referred to as a proxy statement/prospectus. The definitive proxy statement/prospectus will be sent to all CNTQ stockholders. CNTQ has also filed other documents regarding the proposed transaction with the SEC. Before making any voting decision, investors and security holders of CNTQ are urged to read the registration statement, the proxy statement/prospectus and all other relevant documents filed or that will be filed with the SEC in connection with the proposed transaction because they contain important information about the proposed transaction.</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Investors and security holders are able to obtain free copies of the registration statement, the proxy statement/prospectus and all other relevant documents filed or that will be filed with the SEC by CNTQ through the website maintained by the SEC at www.sec.gov.</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documents filed by CNTQ with the SEC also may be obtained by contacting Chardan NexTech Acquisition 2 Corp. at 17 State Street, 21st Floor, New York, New York 10004, or by calling (646) 465-9001.</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NEITHER THE SEC NOR ANY STATE SECURITIES REGULATORY AGENCY HAS APPROVED OR DISAPPROVED THE TRANSACTIONS DESCRIBED IN THIS CURRENT REPORT ON FORM 8-K, PASSED UPON THE MERITS OR FAIRNESS OF THE BUSINESS COMBINATION OR RELATED TRANSACTIONS OR PASSED UPON THE ADEQUACY OR ACCURACY OF THE DISCLOSURE IN THIS CURRENT REPORT ON FORM 8-K. ANY REPRESENTATION TO THE CONTRARY CONSTITUTES A CRIMINAL OFFENSE.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Dragonfly, CNTQ and certain of their respective directors, executive officers and other members of management and employees may, under SEC rules, be deemed to be participants in the solicitation of proxies from CNTQ’s stockholders in connection with the proposed business combination. A list of the names of such persons and information regarding their interests in the proposed business combination are contained in the definitive proxy statement/prospectus. You may obtain free copies of these documents free of charge by directing a written request to CNTQ or Dragonfly. The definitive proxy statement will be mailed to CNTQ’s stockholders as of a record date to be established for voting on the proposed business combination when it becomes available.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Current Report on Form 8-K is and the information contained therein are not intended to and does not constitute an offer to sell or the solicitation of an offer to buy, sell or solicit any securities or any proxy, vote or approval, nor shall there be any sale of securities in any jurisdiction in which such offer, solicitation or sale would be unlawful prior to registration or qualification under the securities laws of any such jurisdiction. No offer of securities shall be deemed to be made except by means of a prospectus meeting the requirements of Section 10 of the Securities Act or an exemption therefrom.</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1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10140" w:type="dxa"/>
            <w:vAlign w:val="bottom"/>
          </w:tcPr>
          <w:p>
            <w:pPr>
              <w:spacing w:after="0"/>
              <w:rPr>
                <w:sz w:val="24"/>
                <w:szCs w:val="24"/>
                <w:color w:val="auto"/>
              </w:rPr>
            </w:pPr>
          </w:p>
        </w:tc>
      </w:tr>
      <w:tr>
        <w:trPr>
          <w:trHeight w:val="410"/>
        </w:trPr>
        <w:tc>
          <w:tcPr>
            <w:tcW w:w="11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140" w:type="dxa"/>
            <w:vAlign w:val="bottom"/>
          </w:tcPr>
          <w:p>
            <w:pPr>
              <w:spacing w:after="0"/>
              <w:rPr>
                <w:sz w:val="24"/>
                <w:szCs w:val="24"/>
                <w:color w:val="auto"/>
              </w:rPr>
            </w:pPr>
          </w:p>
        </w:tc>
      </w:tr>
      <w:tr>
        <w:trPr>
          <w:trHeight w:val="238"/>
        </w:trPr>
        <w:tc>
          <w:tcPr>
            <w:tcW w:w="5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No.</w:t>
            </w:r>
          </w:p>
        </w:tc>
        <w:tc>
          <w:tcPr>
            <w:tcW w:w="6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140" w:type="dxa"/>
            <w:vAlign w:val="bottom"/>
            <w:tcBorders>
              <w:bottom w:val="single" w:sz="8" w:color="auto"/>
            </w:tcBorders>
          </w:tcPr>
          <w:p>
            <w:pPr>
              <w:ind w:left="4400"/>
              <w:spacing w:after="0"/>
              <w:rPr>
                <w:sz w:val="20"/>
                <w:szCs w:val="20"/>
                <w:color w:val="auto"/>
              </w:rPr>
            </w:pPr>
            <w:r>
              <w:rPr>
                <w:rFonts w:ascii="Times New Roman" w:cs="Times New Roman" w:eastAsia="Times New Roman" w:hAnsi="Times New Roman"/>
                <w:sz w:val="18"/>
                <w:szCs w:val="18"/>
                <w:b w:val="1"/>
                <w:bCs w:val="1"/>
                <w:color w:val="auto"/>
              </w:rPr>
              <w:t>Description</w:t>
            </w:r>
          </w:p>
        </w:tc>
      </w:tr>
    </w:tbl>
    <w:p>
      <w:pPr>
        <w:spacing w:after="0" w:line="19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u w:val="single" w:color="auto"/>
          <w:color w:val="0000EE"/>
        </w:rPr>
        <w:t>3.1</w:t>
      </w:r>
      <w:r>
        <w:rPr>
          <w:sz w:val="20"/>
          <w:szCs w:val="20"/>
          <w:color w:val="auto"/>
        </w:rPr>
        <w:tab/>
      </w:r>
      <w:r>
        <w:rPr>
          <w:rFonts w:ascii="Times New Roman" w:cs="Times New Roman" w:eastAsia="Times New Roman" w:hAnsi="Times New Roman"/>
          <w:sz w:val="17"/>
          <w:szCs w:val="17"/>
          <w:u w:val="single" w:color="auto"/>
          <w:color w:val="0000EE"/>
        </w:rPr>
        <w:t>Second Amended and Restated Memorandum and Articles of Association of the Company</w:t>
      </w:r>
    </w:p>
    <w:p>
      <w:pPr>
        <w:spacing w:after="0" w:line="27" w:lineRule="exact"/>
        <w:rPr>
          <w:sz w:val="20"/>
          <w:szCs w:val="20"/>
          <w:color w:val="auto"/>
        </w:rPr>
      </w:pPr>
    </w:p>
    <w:p>
      <w:pPr>
        <w:jc w:val="both"/>
        <w:ind w:left="64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u w:val="single" w:color="auto"/>
          <w:color w:val="0000EE"/>
        </w:rPr>
        <w:t>10.1</w:t>
      </w:r>
      <w:r>
        <w:rPr>
          <w:sz w:val="20"/>
          <w:szCs w:val="20"/>
          <w:color w:val="auto"/>
        </w:rPr>
        <w:tab/>
      </w:r>
      <w:r>
        <w:rPr>
          <w:rFonts w:ascii="Times New Roman" w:cs="Times New Roman" w:eastAsia="Times New Roman" w:hAnsi="Times New Roman"/>
          <w:sz w:val="18"/>
          <w:szCs w:val="18"/>
          <w:u w:val="single" w:color="auto"/>
          <w:color w:val="0000EE"/>
        </w:rPr>
        <w:t>Amendment No. 1 to Investment Management Trust Agreement, dated as of August 10, 2021, by and between the Company and Continental Stock Transfer &amp; Trust Company, as trustee</w:t>
      </w:r>
    </w:p>
    <w:p>
      <w:pPr>
        <w:spacing w:after="0" w:line="1" w:lineRule="exact"/>
        <w:rPr>
          <w:sz w:val="20"/>
          <w:szCs w:val="20"/>
          <w:color w:val="auto"/>
        </w:rPr>
      </w:pPr>
    </w:p>
    <w:p>
      <w:pPr>
        <w:ind w:left="5580" w:right="4820" w:hanging="5572"/>
        <w:spacing w:after="0" w:line="530" w:lineRule="auto"/>
        <w:tabs>
          <w:tab w:leader="none" w:pos="643"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 Page Interactive Data File (embedded within the Inline XBRL document)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768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Chardan NexTech Acquisition 2 Corp.</w:t>
            </w:r>
          </w:p>
        </w:tc>
      </w:tr>
      <w:tr>
        <w:trPr>
          <w:trHeight w:val="648"/>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August 5, 2022</w:t>
            </w:r>
          </w:p>
        </w:tc>
        <w:tc>
          <w:tcPr>
            <w:tcW w:w="768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By: /s/ Jonas Grossman</w:t>
            </w:r>
          </w:p>
        </w:tc>
      </w:tr>
      <w:tr>
        <w:trPr>
          <w:trHeight w:val="191"/>
        </w:trPr>
        <w:tc>
          <w:tcPr>
            <w:tcW w:w="356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2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Jonas Grossman</w:t>
            </w:r>
          </w:p>
        </w:tc>
      </w:tr>
      <w:tr>
        <w:trPr>
          <w:trHeight w:val="234"/>
        </w:trPr>
        <w:tc>
          <w:tcPr>
            <w:tcW w:w="35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Title:  Chief Executive Officer</w:t>
            </w:r>
          </w:p>
        </w:tc>
      </w:tr>
      <w:tr>
        <w:trPr>
          <w:trHeight w:val="648"/>
        </w:trPr>
        <w:tc>
          <w:tcPr>
            <w:tcW w:w="35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6</w:t>
            </w:r>
          </w:p>
        </w:tc>
        <w:tc>
          <w:tcPr>
            <w:tcW w:w="5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22"/>
          <w:szCs w:val="22"/>
          <w:b w:val="1"/>
          <w:bCs w:val="1"/>
          <w:color w:val="auto"/>
        </w:rPr>
        <w:t>Exhibit 3.1</w:t>
      </w:r>
    </w:p>
    <w:p>
      <w:pPr>
        <w:spacing w:after="0" w:line="243" w:lineRule="exact"/>
        <w:rPr>
          <w:sz w:val="20"/>
          <w:szCs w:val="20"/>
          <w:color w:val="auto"/>
        </w:rPr>
      </w:pPr>
    </w:p>
    <w:p>
      <w:pPr>
        <w:jc w:val="center"/>
        <w:ind w:left="340" w:right="2700"/>
        <w:spacing w:after="0" w:line="268" w:lineRule="auto"/>
        <w:rPr>
          <w:sz w:val="20"/>
          <w:szCs w:val="20"/>
          <w:color w:val="auto"/>
        </w:rPr>
      </w:pPr>
      <w:r>
        <w:rPr>
          <w:rFonts w:ascii="Times New Roman" w:cs="Times New Roman" w:eastAsia="Times New Roman" w:hAnsi="Times New Roman"/>
          <w:sz w:val="18"/>
          <w:szCs w:val="18"/>
          <w:b w:val="1"/>
          <w:bCs w:val="1"/>
          <w:color w:val="auto"/>
        </w:rPr>
        <w:t>CERTIFICATE OF AMENDMENT OF AMENDED AND RESTATED CERTIFICATE OF INCORPORATION OF CHARDAN NEXTECH ACQUISITION 2 CORP.</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Chardan NexTech Acquisition 2 Corp.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a corporation organized and existing under the General Corporation Law of the State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hereby certifies as follows: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FIRST: Article FIFTH, Section E of the Amended and Restated Certificate of Incorporation of the Corporation (the “</w:t>
      </w:r>
      <w:r>
        <w:rPr>
          <w:rFonts w:ascii="Times New Roman" w:cs="Times New Roman" w:eastAsia="Times New Roman" w:hAnsi="Times New Roman"/>
          <w:sz w:val="18"/>
          <w:szCs w:val="18"/>
          <w:u w:val="single" w:color="auto"/>
          <w:color w:val="auto"/>
        </w:rPr>
        <w:t>Charter</w:t>
      </w:r>
      <w:r>
        <w:rPr>
          <w:rFonts w:ascii="Times New Roman" w:cs="Times New Roman" w:eastAsia="Times New Roman" w:hAnsi="Times New Roman"/>
          <w:sz w:val="18"/>
          <w:szCs w:val="18"/>
          <w:color w:val="auto"/>
        </w:rPr>
        <w:t>”) is hereby amended in its entirety to read as follows: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 In the event that the Corporation does not consummate a Business Combination by August 13, 2022 (if not extended by one month each time (but in no event more than three months in the aggregate) upon the deposit into the trust account by the Corporation's insiders, their affiliates or designees of $200,000 upon five days' advance notice prior to August 13, 2022, or such other deadline, as applicable) (such date being referred to as the “Termination Date”), the Corporation shall (i) cease all operations except for the purposes of winding up, (ii) as promptly as reasonably possible but not more than ten business days thereafter redeem 100% of the IPO Shares for cash for a redemption price per share as described below (which redemption will completely extinguish such holders’ rights as stockholders, including the right to receive further liquidation distributions, if any), and (iii) as promptly as reasonably possible following such redemption, subject to approval of the Corporation’s then stockholders and subject to the requirements of the GCL, including the adoption of a resolution by the Board of Directors pursuant to Section 275(a) of the GCL finding the dissolution of the Corporation advisable and the provision of such notices as are required by said Section 275(a) of the GCL, dissolve and liquidate the balance of the Corporation’s net assets to its remaining stockholders, as part of the Corporation’s plan of dissolution and liquidation, subject (in the case of (ii) and (iii) above) to the Corporation’s obligations under the GCL to provide for claims of creditors and other requirements of applicable law. In such event, the per-share redemption price shall be equal to a pro rata share of the Trust Fund plus any pro rata interest earned on the funds held in the Trust Fund and not previously released to the Corporation for its working capital requirements or necessary to pay its taxes divided by the total number of IPO Shares then outstanding."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SECOND: That said amendment was duly adopted in accordance with the applicable provisions of Section 242 of the DGCL.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Corporation has caused this certificate to be signed by a duly authorized officer this 5th day of August, 2022.</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CHARDAN NEXTECH ACQUISITION 2 CORP.</w:t>
      </w:r>
    </w:p>
    <w:p>
      <w:pPr>
        <w:spacing w:after="0" w:line="200" w:lineRule="exact"/>
        <w:rPr>
          <w:sz w:val="20"/>
          <w:szCs w:val="20"/>
          <w:color w:val="auto"/>
        </w:rPr>
      </w:pPr>
    </w:p>
    <w:p>
      <w:pPr>
        <w:spacing w:after="0" w:line="24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Jonas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Jonas Grossman</w:t>
      </w:r>
    </w:p>
    <w:p>
      <w:pPr>
        <w:spacing w:after="0" w:line="23"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PROPOSED AMENDMENT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INVESTMENT MANAGEMENT TRUST AGREEMENT</w:t>
      </w:r>
    </w:p>
    <w:p>
      <w:pPr>
        <w:spacing w:after="0" w:line="207"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This Amendment No. 1 (this “Amendment”), dated as of August 5, 2022, to the Investment Management Trust Agreement (the “Trust Agreement”) is made by and between Chardan NexTech Acquisition 2 Corp. (the “Company”) and Continental Stock Transfer &amp; Trust Company, as trustee (“Trustee”). All terms used but not defined herein shall have the meanings assigned to them in the Trust Agreement.</w:t>
      </w:r>
    </w:p>
    <w:p>
      <w:pPr>
        <w:spacing w:after="0" w:line="1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WHEREAS, the Company and the Trustee entered into the Trust Agreement on August 10, 2021;</w:t>
      </w:r>
    </w:p>
    <w:p>
      <w:pPr>
        <w:spacing w:after="0" w:line="225" w:lineRule="exact"/>
        <w:rPr>
          <w:sz w:val="20"/>
          <w:szCs w:val="20"/>
          <w:color w:val="auto"/>
        </w:rPr>
      </w:pPr>
    </w:p>
    <w:p>
      <w:pPr>
        <w:jc w:val="both"/>
        <w:ind w:firstLine="360"/>
        <w:spacing w:after="0" w:line="282" w:lineRule="auto"/>
        <w:rPr>
          <w:sz w:val="20"/>
          <w:szCs w:val="20"/>
          <w:color w:val="auto"/>
        </w:rPr>
      </w:pPr>
      <w:r>
        <w:rPr>
          <w:rFonts w:ascii="Times New Roman" w:cs="Times New Roman" w:eastAsia="Times New Roman" w:hAnsi="Times New Roman"/>
          <w:sz w:val="18"/>
          <w:szCs w:val="18"/>
          <w:color w:val="auto"/>
        </w:rPr>
        <w:t>WHEREAS, Section 1(i) of the Trust Agreement sets forth the terms that govern the liquidation of the Trust Account under the circumstances described therein;</w:t>
      </w:r>
    </w:p>
    <w:p>
      <w:pPr>
        <w:spacing w:after="0" w:line="162"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18"/>
          <w:szCs w:val="18"/>
          <w:color w:val="auto"/>
        </w:rPr>
        <w:t>WHEREAS, at an special meeting of the Company held on August 5, 2022, the Company’s stockholders approved (i) a proposal to amend the Company’s Amended and Restated Certificate of Incorporation (the “A&amp;R COI”) to authorize the Company to extend the date up to three (3) times for an additional one (1) month each time (for a maximum of three one-month extensions) by which the Company must (a) consummate a merger, capital stock exchange, asset, stock purchase, reorganization or other similar business combination, which we refer to as our initial business combination, (b) cease its operations except for the purpose of winding up if it fails to complete such initial business combination, or (c) redeem all of the shares of common stock, par value $0.0001 per share, of the Company included as part of the units sold in the Company’s initial public offering that was consummated on August 13, 2021, upon the deposit into the trust account by the Company’s insiders, their affiliates or designees of $200,000 upon five days’ advance notice prior to August 13, 2022, or such other date as may be extended (the “Extension”) and (ii) a proposal to amend the Trust Agreement to authorize the Extension and its implementation by the Company; and</w:t>
      </w:r>
    </w:p>
    <w:p>
      <w:pPr>
        <w:spacing w:after="0" w:line="18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NOW THEREFORE, IT IS AGREED:</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1.  Section 1(i) of the Trust Agreement is hereby amended and restated in its entirety as follows:</w:t>
      </w:r>
    </w:p>
    <w:p>
      <w:pPr>
        <w:spacing w:after="0" w:line="225"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18"/>
          <w:szCs w:val="18"/>
          <w:color w:val="auto"/>
        </w:rPr>
        <w:t>“(i) Commence liquidation of the Trust Account only after and promptly after receipt of, and only in accordance with, the terms of a letter (“Termination Letter”), in a form substantially similar to that attached hereto as either Exhibit A or Exhibit B, signed on behalf of the Company by its President, Chief Executive Officer or Chairman of the Board and Secretary or Assistant Secretary and, in the case of a Termination Letter in a form substantially similar to that attached hereto as Exhibit A, and complete the liquidation of the Trust Account and distribute the Property in the Trust Account only as directed in the Termination Letter and the other documents referred to therein; provided, however, that in the event that a Termination Letter has not been received by the Trustee by (1) the 12-month anniversary of the closing of the IPO (“Closing”) (or the 18-month anniversary of the Closing if extended in full as described in the prospectus relating to the IPO) (“Last Date”), or (2) if the Company’s Board of Directors extends the time to complete the Business Combination up to three (3) times for an additional one (1) month each time (for a maximum of three one-month extensions), upon the deposit into the Trust Account of $200,000 by the Company’s insiders, their affiliates or designees upon five days’ advance notice prior to August 13, 2022 or such other date as may be extended, the Trust Account shall be liquidated in accordance with the procedures set forth in the Termination Letter attached as Exhibit B hereto and distributed to the Public Stockholders as of the Last Date.”</w:t>
      </w:r>
    </w:p>
    <w:p>
      <w:pPr>
        <w:spacing w:after="0" w:line="192" w:lineRule="exact"/>
        <w:rPr>
          <w:sz w:val="20"/>
          <w:szCs w:val="20"/>
          <w:color w:val="auto"/>
        </w:rPr>
      </w:pPr>
    </w:p>
    <w:p>
      <w:pPr>
        <w:ind w:left="640" w:hanging="272"/>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B of the Trust Agreement is hereby amended and restated in its entirety as follows:</w:t>
      </w:r>
    </w:p>
    <w:p>
      <w:pPr>
        <w:spacing w:after="0" w:line="221" w:lineRule="exact"/>
        <w:rPr>
          <w:rFonts w:ascii="Times New Roman" w:cs="Times New Roman" w:eastAsia="Times New Roman" w:hAnsi="Times New Roman"/>
          <w:sz w:val="18"/>
          <w:szCs w:val="18"/>
          <w:color w:val="auto"/>
        </w:rPr>
      </w:pPr>
    </w:p>
    <w:p>
      <w:pPr>
        <w:ind w:left="4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[Letterhead of Company]</w:t>
      </w:r>
    </w:p>
    <w:p>
      <w:pPr>
        <w:spacing w:after="0" w:line="225" w:lineRule="exact"/>
        <w:rPr>
          <w:rFonts w:ascii="Times New Roman" w:cs="Times New Roman" w:eastAsia="Times New Roman" w:hAnsi="Times New Roman"/>
          <w:sz w:val="18"/>
          <w:szCs w:val="18"/>
          <w:color w:val="auto"/>
        </w:rPr>
      </w:pPr>
    </w:p>
    <w:p>
      <w:pPr>
        <w:ind w:left="5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[Date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Continental Stock Transfer &amp; Trust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State Street, 30th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10004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Francis Wolf and Celeste Gonzalez</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  </w:t>
      </w:r>
      <w:r>
        <w:rPr>
          <w:rFonts w:ascii="Times New Roman" w:cs="Times New Roman" w:eastAsia="Times New Roman" w:hAnsi="Times New Roman"/>
          <w:sz w:val="18"/>
          <w:szCs w:val="18"/>
          <w:u w:val="single" w:color="auto"/>
          <w:color w:val="auto"/>
        </w:rPr>
        <w:t>Trust Account — Termination Letter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&amp; Gentlemen:</w:t>
      </w:r>
    </w:p>
    <w:p>
      <w:pPr>
        <w:spacing w:after="0" w:line="225"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Pursuant to paragraph 1(i) of the Investment Management Trust Agreement between Chardan NexTech Acquisition 2 Corp. (“Company”) and Continental Stock Transfer &amp; Trust Company (“Trustee”), dated as of August 10, 2021 (the “Trust Agreement”), this is to advise you that the Company has been unable to effect a Business Combination with a Target Company within the time frame specified in the Company’s Amended and Restated Certificate of Incorporation, as amended. Capitalized terms used herein and not otherwise defined shall have the meanings set forth in the Trust Agreement.</w:t>
      </w:r>
    </w:p>
    <w:p>
      <w:pPr>
        <w:spacing w:after="0" w:line="180"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18"/>
          <w:szCs w:val="18"/>
          <w:color w:val="auto"/>
        </w:rPr>
        <w:t>In accordance with the terms of the Trust Agreement, we hereby authorize you to liquidate all the Trust Account investments and to transfer the total proceeds to the Trust Operating Account at J.P. Morgan Chase Bank, N.A to await distribution to the Public Stockholders. The Company has selected July 11, 2022 as the effective date for the purpose of determining when the Public Stockholders will be entitled to receive their share of the liquidation proceeds. It is acknowledged that no interest will be earned by the Company on the liquidation proceeds while on deposit in the Trust Checking Account. You agree to be the Paying Agent of record and in your separate capacity as Paying Agent, to distribute said funds directly to the Public Stockholders in accordance with the terms of the Trust Agreement and the Amended and Restated Certificate of Incorporation of the Company. Upon the distribution of all the funds in the Trust Account, your obligations under the Trust Agreement shall be terminated.</w:t>
      </w:r>
    </w:p>
    <w:p>
      <w:pPr>
        <w:spacing w:after="0" w:line="18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CHARDAN NEXTECH ACQUISITION 2 CORP.</w:t>
      </w:r>
    </w:p>
    <w:p>
      <w:pPr>
        <w:spacing w:after="0" w:line="200" w:lineRule="exact"/>
        <w:rPr>
          <w:sz w:val="20"/>
          <w:szCs w:val="20"/>
          <w:color w:val="auto"/>
        </w:rPr>
      </w:pPr>
    </w:p>
    <w:p>
      <w:pPr>
        <w:spacing w:after="0" w:line="24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Jonas Grossman, Chief Executive Officer and Secretary</w:t>
      </w:r>
    </w:p>
    <w:p>
      <w:pPr>
        <w:spacing w:after="0" w:line="220" w:lineRule="exact"/>
        <w:rPr>
          <w:sz w:val="20"/>
          <w:szCs w:val="20"/>
          <w:color w:val="auto"/>
        </w:rPr>
      </w:pPr>
    </w:p>
    <w:p>
      <w:pPr>
        <w:ind w:left="360" w:hanging="352"/>
        <w:spacing w:after="0"/>
        <w:tabs>
          <w:tab w:leader="none" w:pos="3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Chardan Capital Markets, LLC</w:t>
      </w:r>
    </w:p>
    <w:p>
      <w:pPr>
        <w:spacing w:after="0" w:line="225" w:lineRule="exact"/>
        <w:rPr>
          <w:rFonts w:ascii="Times New Roman" w:cs="Times New Roman" w:eastAsia="Times New Roman" w:hAnsi="Times New Roman"/>
          <w:sz w:val="18"/>
          <w:szCs w:val="18"/>
          <w:color w:val="auto"/>
        </w:rPr>
      </w:pPr>
    </w:p>
    <w:p>
      <w:pPr>
        <w:ind w:left="620" w:hanging="252"/>
        <w:spacing w:after="0"/>
        <w:tabs>
          <w:tab w:leader="none" w:pos="6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provisions of the Trust Agreement shall remain unaffected by the terms hereof.</w:t>
      </w:r>
    </w:p>
    <w:p>
      <w:pPr>
        <w:spacing w:after="0" w:line="225" w:lineRule="exact"/>
        <w:rPr>
          <w:rFonts w:ascii="Times New Roman" w:cs="Times New Roman" w:eastAsia="Times New Roman" w:hAnsi="Times New Roman"/>
          <w:sz w:val="18"/>
          <w:szCs w:val="18"/>
          <w:color w:val="auto"/>
        </w:rPr>
      </w:pPr>
    </w:p>
    <w:p>
      <w:pPr>
        <w:jc w:val="both"/>
        <w:ind w:firstLine="368"/>
        <w:spacing w:after="0" w:line="266" w:lineRule="auto"/>
        <w:tabs>
          <w:tab w:leader="none" w:pos="637"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may be signed in any number of counterparts, each of which shall be an original and all of which shall be deemed to be one and the same instrument, with the same effect as if the signatures thereto and hereto were upon the same instrument. A facsimile signature or electronic signature shall be deemed to be an original signature for purposes of this Amendment.</w:t>
      </w:r>
    </w:p>
    <w:p>
      <w:pPr>
        <w:spacing w:after="0" w:line="175" w:lineRule="exact"/>
        <w:rPr>
          <w:rFonts w:ascii="Times New Roman" w:cs="Times New Roman" w:eastAsia="Times New Roman" w:hAnsi="Times New Roman"/>
          <w:sz w:val="18"/>
          <w:szCs w:val="18"/>
          <w:color w:val="auto"/>
        </w:rPr>
      </w:pPr>
    </w:p>
    <w:p>
      <w:pPr>
        <w:jc w:val="both"/>
        <w:ind w:firstLine="368"/>
        <w:spacing w:after="0" w:line="266" w:lineRule="auto"/>
        <w:tabs>
          <w:tab w:leader="none" w:pos="633"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is intended to be in full compliance with the requirements for an Amendment to the Trust Agreement as required by Section 7(c) of the Trust Agreement, and every defect in fulfilling such requirements for an effective amendment to the Trust Agreement is hereby ratified, intentionally waived and relinquished by all parties hereto.</w:t>
      </w:r>
    </w:p>
    <w:p>
      <w:pPr>
        <w:spacing w:after="0" w:line="175" w:lineRule="exact"/>
        <w:rPr>
          <w:rFonts w:ascii="Times New Roman" w:cs="Times New Roman" w:eastAsia="Times New Roman" w:hAnsi="Times New Roman"/>
          <w:sz w:val="18"/>
          <w:szCs w:val="18"/>
          <w:color w:val="auto"/>
        </w:rPr>
      </w:pPr>
    </w:p>
    <w:p>
      <w:pPr>
        <w:ind w:right="20" w:firstLine="368"/>
        <w:spacing w:after="0" w:line="282" w:lineRule="auto"/>
        <w:tabs>
          <w:tab w:leader="none" w:pos="639"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shall be governed by and construed and enforced in accordance with the laws of the State of New York, without giving effect to conflicts of law principles that would result in the application of the substantive laws of another jurisdiction.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IN WITNESS WHEREOF, the parties have duly executed this Amendment to the Trust Agreement as of the date first written above.</w:t>
      </w:r>
    </w:p>
    <w:p>
      <w:pPr>
        <w:spacing w:after="0" w:line="22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7"/>
          <w:szCs w:val="17"/>
          <w:b w:val="1"/>
          <w:bCs w:val="1"/>
          <w:color w:val="auto"/>
        </w:rPr>
        <w:t>CONTINENTAL STOCK TRANSFER &amp; TRUST COMPANY, as</w:t>
      </w:r>
    </w:p>
    <w:p>
      <w:pPr>
        <w:spacing w:after="0" w:line="4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Trustee</w:t>
      </w:r>
    </w:p>
    <w:p>
      <w:pPr>
        <w:spacing w:after="0" w:line="200" w:lineRule="exact"/>
        <w:rPr>
          <w:sz w:val="20"/>
          <w:szCs w:val="20"/>
          <w:color w:val="auto"/>
        </w:rPr>
      </w:pPr>
    </w:p>
    <w:p>
      <w:pPr>
        <w:spacing w:after="0" w:line="22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By: /s/ Francis Wolf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3556635</wp:posOffset>
            </wp:positionH>
            <wp:positionV relativeFrom="paragraph">
              <wp:posOffset>17145</wp:posOffset>
            </wp:positionV>
            <wp:extent cx="335153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Francis Wolf, Vice President</w:t>
      </w:r>
    </w:p>
    <w:p>
      <w:pPr>
        <w:spacing w:after="0" w:line="21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200" w:lineRule="exact"/>
        <w:rPr>
          <w:sz w:val="20"/>
          <w:szCs w:val="20"/>
          <w:color w:val="auto"/>
        </w:rPr>
      </w:pPr>
    </w:p>
    <w:p>
      <w:pPr>
        <w:spacing w:after="0" w:line="245"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By: /s/ Jonas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3556635</wp:posOffset>
            </wp:positionH>
            <wp:positionV relativeFrom="paragraph">
              <wp:posOffset>17145</wp:posOffset>
            </wp:positionV>
            <wp:extent cx="335153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Jonas Grossman, Chief Executive Officer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288925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0660"/>
      </w:cols>
      <w:pgMar w:left="680" w:top="904"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decimal"/>
      <w:start w:val="3"/>
    </w:lvl>
  </w:abstractNum>
  <w:abstractNum w:abstractNumId="3">
    <w:nsid w:val="46E87CCD"/>
    <w:multiLevelType w:val="hybridMultilevel"/>
    <w:lvl w:ilvl="0">
      <w:lvlJc w:val="left"/>
      <w:lvlText w:val="%1"/>
      <w:numFmt w:val="decimal"/>
      <w:start w:val="104"/>
    </w:lvl>
  </w:abstractNum>
  <w:abstractNum w:abstractNumId="4">
    <w:nsid w:val="3D1B58BA"/>
    <w:multiLevelType w:val="hybridMultilevel"/>
    <w:lvl w:ilvl="0">
      <w:lvlJc w:val="left"/>
      <w:lvlText w:val="%1."/>
      <w:numFmt w:val="decimal"/>
      <w:start w:val="2"/>
    </w:lvl>
  </w:abstractNum>
  <w:abstractNum w:abstractNumId="5">
    <w:nsid w:val="507ED7AB"/>
    <w:multiLevelType w:val="hybridMultilevel"/>
    <w:lvl w:ilvl="0">
      <w:lvlJc w:val="left"/>
      <w:lvlText w:val="%1:"/>
      <w:numFmt w:val="lowerLetter"/>
      <w:start w:val="29"/>
    </w:lvl>
    <w:lvl w:ilvl="1">
      <w:lvlJc w:val="left"/>
      <w:lvlText w:val="%2."/>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2022-08-05T16:40:38Z</dcterms:created>
  <dcterms:modified xsi:type="dcterms:W3CDTF">2022-08-05T16:40:38Z</dcterms:modified>
</cp:coreProperties>
</file>