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159561109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80" w:hanging="776"/>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580" w:hanging="776"/>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80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57" w:lineRule="exact"/>
        <w:rPr>
          <w:sz w:val="24"/>
          <w:szCs w:val="24"/>
          <w:color w:val="auto"/>
        </w:rPr>
      </w:pPr>
    </w:p>
    <w:p>
      <w:pPr>
        <w:ind w:left="800" w:right="20" w:hanging="796"/>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120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159561109</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Chardan NexTech Investments 2 LLC</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w:t>
      </w:r>
    </w:p>
    <w:p>
      <w:pPr>
        <w:spacing w:after="0" w:line="4"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2" w:lineRule="exact"/>
        <w:rPr>
          <w:sz w:val="20"/>
          <w:szCs w:val="20"/>
          <w:color w:val="auto"/>
        </w:rPr>
      </w:pPr>
    </w:p>
    <w:p>
      <w:pPr>
        <w:ind w:left="560" w:hanging="367"/>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CITIZENSHIP OR PLACE OF ORGANIZATION</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Delaware</w:t>
      </w:r>
    </w:p>
    <w:p>
      <w:pPr>
        <w:ind w:left="2260" w:hanging="375"/>
        <w:spacing w:after="0" w:line="208" w:lineRule="auto"/>
        <w:tabs>
          <w:tab w:leader="none" w:pos="2260" w:val="left"/>
        </w:tabs>
        <w:numPr>
          <w:ilvl w:val="0"/>
          <w:numId w:val="4"/>
        </w:numPr>
        <w:rPr>
          <w:rFonts w:ascii="Arial" w:cs="Arial" w:eastAsia="Arial" w:hAnsi="Arial"/>
          <w:sz w:val="36"/>
          <w:szCs w:val="36"/>
          <w:b w:val="1"/>
          <w:bCs w:val="1"/>
          <w:color w:val="auto"/>
          <w:vertAlign w:val="subscript"/>
        </w:rPr>
      </w:pPr>
      <w:r>
        <w:rPr>
          <w:rFonts w:ascii="Arial" w:cs="Arial" w:eastAsia="Arial" w:hAnsi="Arial"/>
          <w:sz w:val="18"/>
          <w:szCs w:val="18"/>
          <w:color w:val="auto"/>
        </w:rPr>
        <w:t>SOLE VOTING POWER</w:t>
      </w:r>
    </w:p>
    <w:p>
      <w:pPr>
        <w:spacing w:after="0" w:line="365" w:lineRule="exact"/>
        <w:rPr>
          <w:sz w:val="20"/>
          <w:szCs w:val="20"/>
          <w:color w:val="auto"/>
        </w:rPr>
      </w:pPr>
    </w:p>
    <w:tbl>
      <w:tblPr>
        <w:tblLayout w:type="fixed"/>
        <w:tblInd w:w="140" w:type="dxa"/>
        <w:tblCellMar>
          <w:top w:w="0" w:type="dxa"/>
          <w:left w:w="0" w:type="dxa"/>
          <w:bottom w:w="0" w:type="dxa"/>
          <w:right w:w="0" w:type="dxa"/>
        </w:tblCellMar>
      </w:tblPr>
      <w:tr>
        <w:trPr>
          <w:trHeight w:val="225"/>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9540" w:type="dxa"/>
            <w:vAlign w:val="bottom"/>
          </w:tcPr>
          <w:p>
            <w:pPr>
              <w:ind w:left="6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2"/>
        </w:trPr>
        <w:tc>
          <w:tcPr>
            <w:tcW w:w="1500" w:type="dxa"/>
            <w:vAlign w:val="bottom"/>
            <w:vMerge w:val="continue"/>
          </w:tcPr>
          <w:p>
            <w:pPr>
              <w:spacing w:after="0"/>
              <w:rPr>
                <w:sz w:val="9"/>
                <w:szCs w:val="9"/>
                <w:color w:val="auto"/>
              </w:rPr>
            </w:pPr>
          </w:p>
        </w:tc>
        <w:tc>
          <w:tcPr>
            <w:tcW w:w="95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98"/>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SHARES</w:t>
            </w:r>
          </w:p>
        </w:tc>
        <w:tc>
          <w:tcPr>
            <w:tcW w:w="9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500" w:type="dxa"/>
            <w:vAlign w:val="bottom"/>
            <w:vMerge w:val="continue"/>
          </w:tcPr>
          <w:p>
            <w:pPr>
              <w:spacing w:after="0"/>
              <w:rPr>
                <w:sz w:val="10"/>
                <w:szCs w:val="10"/>
                <w:color w:val="auto"/>
              </w:rPr>
            </w:pPr>
          </w:p>
        </w:tc>
        <w:tc>
          <w:tcPr>
            <w:tcW w:w="9540" w:type="dxa"/>
            <w:vAlign w:val="bottom"/>
            <w:vMerge w:val="restart"/>
          </w:tcPr>
          <w:p>
            <w:pPr>
              <w:ind w:left="620"/>
              <w:spacing w:after="0" w:line="294" w:lineRule="exact"/>
              <w:rPr>
                <w:sz w:val="20"/>
                <w:szCs w:val="20"/>
                <w:color w:val="auto"/>
              </w:rPr>
            </w:pPr>
            <w:r>
              <w:rPr>
                <w:rFonts w:ascii="Arial" w:cs="Arial" w:eastAsia="Arial" w:hAnsi="Arial"/>
                <w:sz w:val="18"/>
                <w:szCs w:val="18"/>
                <w:color w:val="auto"/>
              </w:rPr>
              <w:t>3,030,500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76"/>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rPr>
              <w:t>BENEFICIALLY</w:t>
            </w:r>
          </w:p>
        </w:tc>
        <w:tc>
          <w:tcPr>
            <w:tcW w:w="9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50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7"/>
              </w:rPr>
              <w:t>OWNED BY</w:t>
            </w:r>
          </w:p>
        </w:tc>
        <w:tc>
          <w:tcPr>
            <w:tcW w:w="9540" w:type="dxa"/>
            <w:vAlign w:val="bottom"/>
            <w:vMerge w:val="restart"/>
          </w:tcPr>
          <w:p>
            <w:pPr>
              <w:ind w:left="6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7"/>
        </w:trPr>
        <w:tc>
          <w:tcPr>
            <w:tcW w:w="15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EACH</w:t>
            </w:r>
          </w:p>
        </w:tc>
        <w:tc>
          <w:tcPr>
            <w:tcW w:w="9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500" w:type="dxa"/>
            <w:vAlign w:val="bottom"/>
            <w:vMerge w:val="continue"/>
          </w:tcPr>
          <w:p>
            <w:pPr>
              <w:spacing w:after="0"/>
              <w:rPr>
                <w:sz w:val="12"/>
                <w:szCs w:val="12"/>
                <w:color w:val="auto"/>
              </w:rPr>
            </w:pPr>
          </w:p>
        </w:tc>
        <w:tc>
          <w:tcPr>
            <w:tcW w:w="95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81"/>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REPORTING</w:t>
            </w:r>
          </w:p>
        </w:tc>
        <w:tc>
          <w:tcPr>
            <w:tcW w:w="9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00" w:type="dxa"/>
            <w:vAlign w:val="bottom"/>
            <w:vMerge w:val="continue"/>
          </w:tcPr>
          <w:p>
            <w:pPr>
              <w:spacing w:after="0"/>
              <w:rPr>
                <w:sz w:val="11"/>
                <w:szCs w:val="11"/>
                <w:color w:val="auto"/>
              </w:rPr>
            </w:pPr>
          </w:p>
        </w:tc>
        <w:tc>
          <w:tcPr>
            <w:tcW w:w="9540" w:type="dxa"/>
            <w:vAlign w:val="bottom"/>
            <w:vMerge w:val="restart"/>
          </w:tcPr>
          <w:p>
            <w:pPr>
              <w:ind w:left="6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500" w:type="dxa"/>
            <w:vAlign w:val="bottom"/>
            <w:vMerge w:val="restart"/>
          </w:tcPr>
          <w:p>
            <w:pPr>
              <w:jc w:val="center"/>
              <w:ind w:right="90"/>
              <w:spacing w:after="0" w:line="157" w:lineRule="exact"/>
              <w:rPr>
                <w:sz w:val="20"/>
                <w:szCs w:val="20"/>
                <w:color w:val="auto"/>
              </w:rPr>
            </w:pPr>
            <w:r>
              <w:rPr>
                <w:rFonts w:ascii="Arial" w:cs="Arial" w:eastAsia="Arial" w:hAnsi="Arial"/>
                <w:sz w:val="18"/>
                <w:szCs w:val="18"/>
                <w:color w:val="auto"/>
                <w:w w:val="94"/>
              </w:rPr>
              <w:t>PERSON WITH</w:t>
            </w:r>
          </w:p>
        </w:tc>
        <w:tc>
          <w:tcPr>
            <w:tcW w:w="9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4"/>
                <w:szCs w:val="24"/>
                <w:color w:val="auto"/>
              </w:rPr>
            </w:pPr>
          </w:p>
        </w:tc>
        <w:tc>
          <w:tcPr>
            <w:tcW w:w="9540" w:type="dxa"/>
            <w:vAlign w:val="bottom"/>
          </w:tcPr>
          <w:p>
            <w:pPr>
              <w:ind w:left="6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ind w:left="1880"/>
        <w:spacing w:after="0"/>
        <w:rPr>
          <w:sz w:val="20"/>
          <w:szCs w:val="20"/>
          <w:color w:val="auto"/>
        </w:rPr>
      </w:pPr>
      <w:r>
        <w:rPr>
          <w:rFonts w:ascii="Arial" w:cs="Arial" w:eastAsia="Arial" w:hAnsi="Arial"/>
          <w:sz w:val="18"/>
          <w:szCs w:val="18"/>
          <w:b w:val="1"/>
          <w:bCs w:val="1"/>
          <w:color w:val="auto"/>
        </w:rPr>
        <w:t>8</w:t>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3,030,500</w:t>
      </w:r>
      <w:r>
        <w:rPr>
          <w:rFonts w:ascii="Arial" w:cs="Arial" w:eastAsia="Arial" w:hAnsi="Arial"/>
          <w:sz w:val="29"/>
          <w:szCs w:val="29"/>
          <w:color w:val="auto"/>
          <w:vertAlign w:val="superscript"/>
        </w:rPr>
        <w:t>(1)(2)</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3,030,500</w:t>
      </w:r>
      <w:r>
        <w:rPr>
          <w:rFonts w:ascii="Arial" w:cs="Arial" w:eastAsia="Arial" w:hAnsi="Arial"/>
          <w:sz w:val="29"/>
          <w:szCs w:val="29"/>
          <w:color w:val="auto"/>
          <w:vertAlign w:val="superscript"/>
        </w:rPr>
        <w:t>(1)(2)</w:t>
      </w:r>
    </w:p>
    <w:p>
      <w:pPr>
        <w:spacing w:after="0" w:line="45"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10</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footnote (2) below.</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w:t>
      </w:r>
    </w:p>
    <w:p>
      <w:pPr>
        <w:ind w:left="560"/>
        <w:spacing w:after="0" w:line="184" w:lineRule="auto"/>
        <w:rPr>
          <w:sz w:val="20"/>
          <w:szCs w:val="20"/>
          <w:color w:val="auto"/>
        </w:rPr>
      </w:pPr>
      <w:r>
        <w:rPr>
          <w:rFonts w:ascii="Arial" w:cs="Arial" w:eastAsia="Arial" w:hAnsi="Arial"/>
          <w:sz w:val="30"/>
          <w:szCs w:val="30"/>
          <w:color w:val="auto"/>
          <w:vertAlign w:val="subscript"/>
        </w:rPr>
        <w:t>19.2%</w:t>
      </w:r>
      <w:r>
        <w:rPr>
          <w:rFonts w:ascii="Arial" w:cs="Arial" w:eastAsia="Arial" w:hAnsi="Arial"/>
          <w:sz w:val="14"/>
          <w:szCs w:val="14"/>
          <w:color w:val="auto"/>
        </w:rPr>
        <w:t>(1)(2)(3)</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717550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99" w:right="339" w:bottom="1440" w:gutter="0" w:footer="0" w:header="0"/>
        </w:sectPr>
      </w:pPr>
    </w:p>
    <w:bookmarkStart w:id="2" w:name="page3"/>
    <w:bookmarkEnd w:id="2"/>
    <w:p>
      <w:pPr>
        <w:ind w:left="60"/>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249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249035"/>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159561109</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Jonas Grossman</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w:t>
      </w:r>
    </w:p>
    <w:p>
      <w:pPr>
        <w:spacing w:after="0" w:line="7" w:lineRule="exact"/>
        <w:rPr>
          <w:sz w:val="20"/>
          <w:szCs w:val="20"/>
          <w:color w:val="auto"/>
        </w:rPr>
      </w:pPr>
    </w:p>
    <w:p>
      <w:pPr>
        <w:ind w:left="620"/>
        <w:spacing w:after="0" w:line="207" w:lineRule="exact"/>
        <w:tabs>
          <w:tab w:leader="none" w:pos="12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ab/>
        <w:t xml:space="preserve">(b) </w:t>
      </w:r>
      <w:r>
        <w:rPr>
          <w:rFonts w:ascii="MS PGothic" w:cs="MS PGothic" w:eastAsia="MS PGothic" w:hAnsi="MS PGothic"/>
          <w:sz w:val="18"/>
          <w:szCs w:val="18"/>
          <w:color w:val="auto"/>
        </w:rPr>
        <w:t>☐</w:t>
      </w:r>
    </w:p>
    <w:p>
      <w:pPr>
        <w:spacing w:after="0" w:line="170" w:lineRule="exact"/>
        <w:rPr>
          <w:sz w:val="20"/>
          <w:szCs w:val="20"/>
          <w:color w:val="auto"/>
        </w:rPr>
      </w:pPr>
    </w:p>
    <w:p>
      <w:pPr>
        <w:ind w:left="620" w:hanging="367"/>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CITIZENSHIP OR PLACE OF ORGANIZATION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1290"/>
              <w:spacing w:after="0"/>
              <w:rPr>
                <w:sz w:val="20"/>
                <w:szCs w:val="20"/>
                <w:color w:val="auto"/>
              </w:rPr>
            </w:pPr>
            <w:r>
              <w:rPr>
                <w:rFonts w:ascii="Arial" w:cs="Arial" w:eastAsia="Arial" w:hAnsi="Arial"/>
                <w:sz w:val="18"/>
                <w:szCs w:val="18"/>
                <w:b w:val="1"/>
                <w:bCs w:val="1"/>
                <w:color w:val="auto"/>
              </w:rPr>
              <w:t>4</w:t>
            </w:r>
          </w:p>
        </w:tc>
        <w:tc>
          <w:tcPr>
            <w:tcW w:w="56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right"/>
              <w:ind w:right="30"/>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89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89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right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7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9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2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10"/>
                <w:szCs w:val="10"/>
                <w:color w:val="auto"/>
              </w:rPr>
            </w:pPr>
          </w:p>
        </w:tc>
        <w:tc>
          <w:tcPr>
            <w:tcW w:w="8960" w:type="dxa"/>
            <w:vAlign w:val="bottom"/>
            <w:vMerge w:val="restart"/>
          </w:tcPr>
          <w:p>
            <w:pPr>
              <w:ind w:left="40"/>
              <w:spacing w:after="0"/>
              <w:rPr>
                <w:sz w:val="20"/>
                <w:szCs w:val="20"/>
                <w:color w:val="auto"/>
              </w:rPr>
            </w:pPr>
            <w:r>
              <w:rPr>
                <w:rFonts w:ascii="Arial" w:cs="Arial" w:eastAsia="Arial" w:hAnsi="Arial"/>
                <w:sz w:val="18"/>
                <w:szCs w:val="18"/>
                <w:color w:val="auto"/>
              </w:rPr>
              <w:t>3,030,500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tcPr>
          <w:p>
            <w:pPr>
              <w:spacing w:after="0"/>
              <w:rPr>
                <w:sz w:val="15"/>
                <w:szCs w:val="15"/>
                <w:color w:val="auto"/>
              </w:rPr>
            </w:pPr>
          </w:p>
        </w:tc>
        <w:tc>
          <w:tcPr>
            <w:tcW w:w="89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w:t>
            </w:r>
          </w:p>
        </w:tc>
        <w:tc>
          <w:tcPr>
            <w:tcW w:w="560" w:type="dxa"/>
            <w:vAlign w:val="bottom"/>
            <w:tcBorders>
              <w:right w:val="single" w:sz="8" w:color="auto"/>
            </w:tcBorders>
            <w:vMerge w:val="continue"/>
          </w:tcPr>
          <w:p>
            <w:pPr>
              <w:spacing w:after="0"/>
              <w:rPr>
                <w:sz w:val="8"/>
                <w:szCs w:val="8"/>
                <w:color w:val="auto"/>
              </w:rPr>
            </w:pPr>
          </w:p>
        </w:tc>
        <w:tc>
          <w:tcPr>
            <w:tcW w:w="89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560" w:type="dxa"/>
            <w:vAlign w:val="bottom"/>
            <w:tcBorders>
              <w:right w:val="single" w:sz="8" w:color="auto"/>
            </w:tcBorders>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vMerge w:val="continue"/>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89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9"/>
        </w:trPr>
        <w:tc>
          <w:tcPr>
            <w:tcW w:w="17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960" w:type="dxa"/>
            <w:vAlign w:val="bottom"/>
            <w:vMerge w:val="restart"/>
          </w:tcPr>
          <w:p>
            <w:pPr>
              <w:ind w:left="40"/>
              <w:spacing w:after="0"/>
              <w:rPr>
                <w:sz w:val="20"/>
                <w:szCs w:val="20"/>
                <w:color w:val="auto"/>
              </w:rPr>
            </w:pPr>
            <w:r>
              <w:rPr>
                <w:rFonts w:ascii="Arial" w:cs="Arial" w:eastAsia="Arial" w:hAnsi="Arial"/>
                <w:sz w:val="18"/>
                <w:szCs w:val="18"/>
                <w:color w:val="auto"/>
              </w:rPr>
              <w:t>3,030,500</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324"/>
        </w:trPr>
        <w:tc>
          <w:tcPr>
            <w:tcW w:w="1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9</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3,030,500</w:t>
      </w:r>
      <w:r>
        <w:rPr>
          <w:rFonts w:ascii="Arial" w:cs="Arial" w:eastAsia="Arial" w:hAnsi="Arial"/>
          <w:sz w:val="29"/>
          <w:szCs w:val="29"/>
          <w:color w:val="auto"/>
          <w:vertAlign w:val="superscript"/>
        </w:rPr>
        <w:t>(1)(2)</w:t>
      </w:r>
    </w:p>
    <w:p>
      <w:pPr>
        <w:spacing w:after="0" w:line="45"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footnote (2) below.</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w:t>
      </w:r>
    </w:p>
    <w:p>
      <w:pPr>
        <w:ind w:left="620"/>
        <w:spacing w:after="0" w:line="184" w:lineRule="auto"/>
        <w:rPr>
          <w:sz w:val="20"/>
          <w:szCs w:val="20"/>
          <w:color w:val="auto"/>
        </w:rPr>
      </w:pPr>
      <w:r>
        <w:rPr>
          <w:rFonts w:ascii="Arial" w:cs="Arial" w:eastAsia="Arial" w:hAnsi="Arial"/>
          <w:sz w:val="30"/>
          <w:szCs w:val="30"/>
          <w:color w:val="auto"/>
          <w:vertAlign w:val="subscript"/>
        </w:rPr>
        <w:t>19.2%</w:t>
      </w:r>
      <w:r>
        <w:rPr>
          <w:rFonts w:ascii="Arial" w:cs="Arial" w:eastAsia="Arial" w:hAnsi="Arial"/>
          <w:sz w:val="14"/>
          <w:szCs w:val="14"/>
          <w:color w:val="auto"/>
        </w:rPr>
        <w:t>(1)(2)(3)</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0" w:right="20" w:hanging="538"/>
        <w:spacing w:after="0" w:line="25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Item 4. These are the Issuer’s shares of common stock issued in a private placement prior to the initial public offering of the Issuer. Terms of these shares are more fully described under the heading “Description of Securities-Founder Shares” in the Issuer’s registration statement on Form S-1 (File Nos. 333-254010 and 333-258699). Jonas Grossman is the managing member of Chardan NexTech Investments 2 LLC. Consequently, he may be deemed the beneficial owner of the shares held by Chardan NexTech Investments 2 LLC and share voting and dispositive control over such securities.</w:t>
      </w:r>
    </w:p>
    <w:p>
      <w:pPr>
        <w:spacing w:after="0" w:line="187" w:lineRule="exact"/>
        <w:rPr>
          <w:rFonts w:ascii="Arial" w:cs="Arial" w:eastAsia="Arial" w:hAnsi="Arial"/>
          <w:sz w:val="18"/>
          <w:szCs w:val="18"/>
          <w:color w:val="auto"/>
        </w:rPr>
      </w:pPr>
    </w:p>
    <w:p>
      <w:pPr>
        <w:ind w:left="600" w:hanging="538"/>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4,627,858 shares which may be purchased by exercising warrants that are not presently exercisable.</w:t>
      </w:r>
    </w:p>
    <w:p>
      <w:pPr>
        <w:spacing w:after="0" w:line="225" w:lineRule="exact"/>
        <w:rPr>
          <w:rFonts w:ascii="Arial" w:cs="Arial" w:eastAsia="Arial" w:hAnsi="Arial"/>
          <w:sz w:val="18"/>
          <w:szCs w:val="18"/>
          <w:color w:val="auto"/>
        </w:rPr>
      </w:pPr>
    </w:p>
    <w:p>
      <w:pPr>
        <w:ind w:left="600" w:right="400" w:hanging="538"/>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15,812,500 shares of common stock issued and outstanding as of November 10, 2021 as reported in the Issuer’s Quarterly Report on Form 10-Q filed with the Securities and Exchange Commission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60" w:type="dxa"/>
            <w:vAlign w:val="bottom"/>
          </w:tcPr>
          <w:p>
            <w:pPr>
              <w:spacing w:after="0"/>
              <w:rPr>
                <w:sz w:val="24"/>
                <w:szCs w:val="24"/>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Chardan NexTech Acquisition 2 Corp. (the “Issuer”)</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Address of the Issuer’s Principal Executive Offices</w:t>
            </w:r>
          </w:p>
        </w:tc>
      </w:tr>
      <w:tr>
        <w:trPr>
          <w:trHeight w:val="418"/>
        </w:trPr>
        <w:tc>
          <w:tcPr>
            <w:tcW w:w="1060" w:type="dxa"/>
            <w:vAlign w:val="bottom"/>
          </w:tcPr>
          <w:p>
            <w:pPr>
              <w:spacing w:after="0"/>
              <w:rPr>
                <w:sz w:val="24"/>
                <w:szCs w:val="24"/>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17 State Street, 21st Floor</w:t>
            </w:r>
          </w:p>
        </w:tc>
      </w:tr>
      <w:tr>
        <w:trPr>
          <w:trHeight w:val="230"/>
        </w:trPr>
        <w:tc>
          <w:tcPr>
            <w:tcW w:w="1060" w:type="dxa"/>
            <w:vAlign w:val="bottom"/>
          </w:tcPr>
          <w:p>
            <w:pPr>
              <w:spacing w:after="0"/>
              <w:rPr>
                <w:sz w:val="20"/>
                <w:szCs w:val="20"/>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New York, NY 10004</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Names of Persons Filing</w:t>
            </w:r>
          </w:p>
        </w:tc>
      </w:tr>
      <w:tr>
        <w:trPr>
          <w:trHeight w:val="432"/>
        </w:trPr>
        <w:tc>
          <w:tcPr>
            <w:tcW w:w="1060" w:type="dxa"/>
            <w:vAlign w:val="bottom"/>
          </w:tcPr>
          <w:p>
            <w:pPr>
              <w:spacing w:after="0"/>
              <w:rPr>
                <w:sz w:val="24"/>
                <w:szCs w:val="24"/>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Chardan NexTech Investments 2 LLC and Jonas Grossman (collectively, the “Reporting Persons”)</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Address of the Principal Business Office, or if none, Residence:</w:t>
            </w:r>
          </w:p>
        </w:tc>
      </w:tr>
      <w:tr>
        <w:trPr>
          <w:trHeight w:val="418"/>
        </w:trPr>
        <w:tc>
          <w:tcPr>
            <w:tcW w:w="1060" w:type="dxa"/>
            <w:vAlign w:val="bottom"/>
          </w:tcPr>
          <w:p>
            <w:pPr>
              <w:spacing w:after="0"/>
              <w:rPr>
                <w:sz w:val="24"/>
                <w:szCs w:val="24"/>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17 State Street, 21st Floor</w:t>
            </w:r>
          </w:p>
        </w:tc>
      </w:tr>
      <w:tr>
        <w:trPr>
          <w:trHeight w:val="230"/>
        </w:trPr>
        <w:tc>
          <w:tcPr>
            <w:tcW w:w="1060" w:type="dxa"/>
            <w:vAlign w:val="bottom"/>
          </w:tcPr>
          <w:p>
            <w:pPr>
              <w:spacing w:after="0"/>
              <w:rPr>
                <w:sz w:val="20"/>
                <w:szCs w:val="20"/>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New York, NY 10004</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60" w:type="dxa"/>
            <w:vAlign w:val="bottom"/>
          </w:tcPr>
          <w:p>
            <w:pPr>
              <w:spacing w:after="0"/>
              <w:rPr>
                <w:sz w:val="24"/>
                <w:szCs w:val="24"/>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w w:val="95"/>
              </w:rPr>
              <w:t>Chardan NexTech Investments 2 LLC is a limited liability company formed in Delaware. Jonas Grossman is a citizen of the United</w:t>
            </w:r>
          </w:p>
        </w:tc>
      </w:tr>
      <w:tr>
        <w:trPr>
          <w:trHeight w:val="230"/>
        </w:trPr>
        <w:tc>
          <w:tcPr>
            <w:tcW w:w="1060" w:type="dxa"/>
            <w:vAlign w:val="bottom"/>
          </w:tcPr>
          <w:p>
            <w:pPr>
              <w:spacing w:after="0"/>
              <w:rPr>
                <w:sz w:val="20"/>
                <w:szCs w:val="20"/>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States of America.</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60" w:type="dxa"/>
            <w:vAlign w:val="bottom"/>
          </w:tcPr>
          <w:p>
            <w:pPr>
              <w:spacing w:after="0"/>
              <w:rPr>
                <w:sz w:val="24"/>
                <w:szCs w:val="24"/>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Common Stock, $0.0001 par value per share.</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60" w:type="dxa"/>
            <w:vAlign w:val="bottom"/>
          </w:tcPr>
          <w:p>
            <w:pPr>
              <w:spacing w:after="0"/>
              <w:rPr>
                <w:sz w:val="24"/>
                <w:szCs w:val="24"/>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rPr>
              <w:t>159561109</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80" w:type="dxa"/>
            <w:vAlign w:val="bottom"/>
            <w:gridSpan w:val="2"/>
          </w:tcPr>
          <w:p>
            <w:pPr>
              <w:ind w:left="30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r>
        <w:trPr>
          <w:trHeight w:val="45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(a) Broker or Dealer registered under Section 15 of the Exchange Act.</w:t>
            </w:r>
          </w:p>
        </w:tc>
      </w:tr>
      <w:tr>
        <w:trPr>
          <w:trHeight w:val="43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(b) Bank as defined in Section 3(a)(b) or the Exchange Act.</w:t>
            </w:r>
          </w:p>
        </w:tc>
      </w:tr>
      <w:tr>
        <w:trPr>
          <w:trHeight w:val="43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(c) Insurance company as defined in Section 3(a)(19) of the Exchange Act.</w:t>
            </w:r>
          </w:p>
        </w:tc>
      </w:tr>
      <w:tr>
        <w:trPr>
          <w:trHeight w:val="43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(d) Investment company registered under Section 8 of the Investment Company Act.</w:t>
            </w:r>
          </w:p>
        </w:tc>
      </w:tr>
      <w:tr>
        <w:trPr>
          <w:trHeight w:val="43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(e) An Investment adviser in accordance with Rule 13d-1 (b)(1)(ii)(e).</w:t>
            </w:r>
          </w:p>
        </w:tc>
      </w:tr>
      <w:tr>
        <w:trPr>
          <w:trHeight w:val="43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(f) An employee benefit plan or endowment fund in accordance with Rule 13d 1(b)(1)(ii)(f).</w:t>
            </w:r>
          </w:p>
        </w:tc>
      </w:tr>
      <w:tr>
        <w:trPr>
          <w:trHeight w:val="43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(g) A Parent Holding Company or control person in accordance with Rule 13d 1(b)(1)(ii)(g).</w:t>
            </w:r>
          </w:p>
        </w:tc>
      </w:tr>
      <w:tr>
        <w:trPr>
          <w:trHeight w:val="43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(h) A Savings Association as defined in Section 3(b) of the Federal Deposit Insurance Act.</w:t>
            </w:r>
          </w:p>
        </w:tc>
      </w:tr>
      <w:tr>
        <w:trPr>
          <w:trHeight w:val="398"/>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w w:val="96"/>
              </w:rPr>
              <w:t>(i) A Church Plan that is excluded from the definition of an investment company under Section 3 (c)(14) of the Investment</w:t>
            </w:r>
          </w:p>
        </w:tc>
      </w:tr>
      <w:tr>
        <w:trPr>
          <w:trHeight w:val="230"/>
        </w:trPr>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Company Act.</w:t>
            </w:r>
          </w:p>
        </w:tc>
      </w:tr>
      <w:tr>
        <w:trPr>
          <w:trHeight w:val="452"/>
        </w:trPr>
        <w:tc>
          <w:tcPr>
            <w:tcW w:w="1060" w:type="dxa"/>
            <w:vAlign w:val="bottom"/>
          </w:tcPr>
          <w:p>
            <w:pPr>
              <w:spacing w:after="0"/>
              <w:rPr>
                <w:sz w:val="24"/>
                <w:szCs w:val="24"/>
                <w:color w:val="auto"/>
              </w:rPr>
            </w:pP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9520" w:type="dxa"/>
            <w:vAlign w:val="bottom"/>
          </w:tcPr>
          <w:p>
            <w:pPr>
              <w:ind w:left="200"/>
              <w:spacing w:after="0"/>
              <w:rPr>
                <w:sz w:val="20"/>
                <w:szCs w:val="20"/>
                <w:color w:val="auto"/>
              </w:rPr>
            </w:pPr>
            <w:r>
              <w:rPr>
                <w:rFonts w:ascii="Arial" w:cs="Arial" w:eastAsia="Arial" w:hAnsi="Arial"/>
                <w:sz w:val="18"/>
                <w:szCs w:val="18"/>
                <w:color w:val="auto"/>
              </w:rPr>
              <w:t>(j) Group, in accordance with Rule 13d-1 (b)(1)(ii)(j).</w:t>
            </w:r>
          </w:p>
        </w:tc>
      </w:tr>
      <w:tr>
        <w:trPr>
          <w:trHeight w:val="412"/>
        </w:trPr>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675"/>
        </w:trPr>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rPr>
              <w:t>Ownership</w:t>
            </w:r>
          </w:p>
        </w:tc>
      </w:tr>
      <w:tr>
        <w:trPr>
          <w:trHeight w:val="432"/>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The responses to Items 5-11 of the cover pages of this Schedule 13G are incorporated herein by reference.</w:t>
            </w:r>
          </w:p>
        </w:tc>
      </w:tr>
      <w:tr>
        <w:trPr>
          <w:trHeight w:val="418"/>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1"/>
              </w:rPr>
              <w:t>As of December 31, 2021, the Reporting Persons may be deemed to beneficially own 3,030,500 shares of the Issuer’s Common Stock,</w:t>
            </w:r>
          </w:p>
        </w:tc>
      </w:tr>
      <w:tr>
        <w:trPr>
          <w:trHeight w:val="216"/>
        </w:trPr>
        <w:tc>
          <w:tcPr>
            <w:tcW w:w="1000" w:type="dxa"/>
            <w:vAlign w:val="bottom"/>
          </w:tcPr>
          <w:p>
            <w:pPr>
              <w:spacing w:after="0"/>
              <w:rPr>
                <w:sz w:val="18"/>
                <w:szCs w:val="18"/>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3"/>
              </w:rPr>
              <w:t>representing 19.2% of the total of shares of Common Stock issued and outstanding. The terms of such shares of Common Stock are</w:t>
            </w:r>
          </w:p>
        </w:tc>
      </w:tr>
      <w:tr>
        <w:trPr>
          <w:trHeight w:val="216"/>
        </w:trPr>
        <w:tc>
          <w:tcPr>
            <w:tcW w:w="1000" w:type="dxa"/>
            <w:vAlign w:val="bottom"/>
          </w:tcPr>
          <w:p>
            <w:pPr>
              <w:spacing w:after="0"/>
              <w:rPr>
                <w:sz w:val="18"/>
                <w:szCs w:val="18"/>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3"/>
              </w:rPr>
              <w:t>more fully described under the heading “Description of Securities-Founder Shares” in the Issuer’s registration statement on Form S-1</w:t>
            </w:r>
          </w:p>
        </w:tc>
      </w:tr>
      <w:tr>
        <w:trPr>
          <w:trHeight w:val="230"/>
        </w:trPr>
        <w:tc>
          <w:tcPr>
            <w:tcW w:w="1000" w:type="dxa"/>
            <w:vAlign w:val="bottom"/>
          </w:tcPr>
          <w:p>
            <w:pPr>
              <w:spacing w:after="0"/>
              <w:rPr>
                <w:sz w:val="20"/>
                <w:szCs w:val="20"/>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(File Nos. 333-254010 and 333-258699).</w:t>
            </w:r>
          </w:p>
        </w:tc>
      </w:tr>
      <w:tr>
        <w:trPr>
          <w:trHeight w:val="418"/>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4"/>
              </w:rPr>
              <w:t>The percentage of the shares of Common Stock held by the Reporting Persons is based on 15,812,500 Common Stock issued and</w:t>
            </w:r>
          </w:p>
        </w:tc>
      </w:tr>
      <w:tr>
        <w:trPr>
          <w:trHeight w:val="216"/>
        </w:trPr>
        <w:tc>
          <w:tcPr>
            <w:tcW w:w="1000" w:type="dxa"/>
            <w:vAlign w:val="bottom"/>
          </w:tcPr>
          <w:p>
            <w:pPr>
              <w:spacing w:after="0"/>
              <w:rPr>
                <w:sz w:val="18"/>
                <w:szCs w:val="18"/>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1"/>
              </w:rPr>
              <w:t>outstanding as of November 10, 2021 as reported in the Issuer’s Quarterly Report on Form 10-Q filed with the Securities and Exchange</w:t>
            </w:r>
          </w:p>
        </w:tc>
      </w:tr>
      <w:tr>
        <w:trPr>
          <w:trHeight w:val="230"/>
        </w:trPr>
        <w:tc>
          <w:tcPr>
            <w:tcW w:w="1000" w:type="dxa"/>
            <w:vAlign w:val="bottom"/>
          </w:tcPr>
          <w:p>
            <w:pPr>
              <w:spacing w:after="0"/>
              <w:rPr>
                <w:sz w:val="20"/>
                <w:szCs w:val="20"/>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Commission on November 15, 2021.</w:t>
            </w:r>
          </w:p>
        </w:tc>
      </w:tr>
      <w:tr>
        <w:trPr>
          <w:trHeight w:val="418"/>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2"/>
              </w:rPr>
              <w:t>Chardan NexTech Investments 2 LLC is the record holder of the shares reported herein. Jonas Grossman is the managing member of</w:t>
            </w:r>
          </w:p>
        </w:tc>
      </w:tr>
      <w:tr>
        <w:trPr>
          <w:trHeight w:val="216"/>
        </w:trPr>
        <w:tc>
          <w:tcPr>
            <w:tcW w:w="1000" w:type="dxa"/>
            <w:vAlign w:val="bottom"/>
          </w:tcPr>
          <w:p>
            <w:pPr>
              <w:spacing w:after="0"/>
              <w:rPr>
                <w:sz w:val="18"/>
                <w:szCs w:val="18"/>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1"/>
              </w:rPr>
              <w:t>Chardan NexTech Investments 2 LLC. Consequently, he may be deemed the beneficial owner of the shares held by Chardan NexTech</w:t>
            </w:r>
          </w:p>
        </w:tc>
      </w:tr>
      <w:tr>
        <w:trPr>
          <w:trHeight w:val="230"/>
        </w:trPr>
        <w:tc>
          <w:tcPr>
            <w:tcW w:w="1000" w:type="dxa"/>
            <w:vAlign w:val="bottom"/>
          </w:tcPr>
          <w:p>
            <w:pPr>
              <w:spacing w:after="0"/>
              <w:rPr>
                <w:sz w:val="20"/>
                <w:szCs w:val="20"/>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Investments 2 LLC and share voting and dispositive control over such securities.</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32"/>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w w:val="95"/>
              </w:rPr>
              <w:t>Identification and Classification of the Subsidiary Which Acquired the Security Being Reported on By the Parent Holding</w:t>
            </w:r>
          </w:p>
        </w:tc>
      </w:tr>
      <w:tr>
        <w:trPr>
          <w:trHeight w:val="234"/>
        </w:trPr>
        <w:tc>
          <w:tcPr>
            <w:tcW w:w="1000" w:type="dxa"/>
            <w:vAlign w:val="bottom"/>
          </w:tcPr>
          <w:p>
            <w:pPr>
              <w:spacing w:after="0"/>
              <w:rPr>
                <w:sz w:val="20"/>
                <w:szCs w:val="20"/>
                <w:color w:val="auto"/>
              </w:rPr>
            </w:pP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4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432"/>
        </w:trPr>
        <w:tc>
          <w:tcPr>
            <w:tcW w:w="1000" w:type="dxa"/>
            <w:vAlign w:val="bottom"/>
          </w:tcPr>
          <w:p>
            <w:pPr>
              <w:spacing w:after="0"/>
              <w:rPr>
                <w:sz w:val="24"/>
                <w:szCs w:val="24"/>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675"/>
        </w:trPr>
        <w:tc>
          <w:tcPr>
            <w:tcW w:w="10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INVESTMENTS 2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2846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Jonas Grossman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2846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(See 18 U.S.C. 1001)</w:t>
      </w:r>
    </w:p>
    <w:p>
      <w:pPr>
        <w:spacing w:after="0" w:line="200" w:lineRule="exact"/>
        <w:rPr>
          <w:sz w:val="20"/>
          <w:szCs w:val="20"/>
          <w:color w:val="auto"/>
        </w:rPr>
      </w:pPr>
    </w:p>
    <w:p>
      <w:pPr>
        <w:spacing w:after="0" w:line="22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Exhibit A</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Joint Filing Agreement, dated as of February 24,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any and all amendments thereto) with respect to the Common Stock, $0.0001 par value per share, of Chardan NexTech Acquisition 2 Corp., and further agree that this Joint Filing Agreement shall be included as an exhibit to such joint filings.</w:t>
      </w:r>
    </w:p>
    <w:p>
      <w:pPr>
        <w:spacing w:after="0" w:line="14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Joint Filing Agreement may be signed in counterparts with the same effect as if the signature on each counterpart were upon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February 24,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INVESTMENTS 2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2846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Jonas Grossman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5"/>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2022-02-24T16:13:28Z</dcterms:created>
  <dcterms:modified xsi:type="dcterms:W3CDTF">2022-02-24T16:13:28Z</dcterms:modified>
</cp:coreProperties>
</file>