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285750</wp:posOffset>
            </wp:positionV>
            <wp:extent cx="716470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1333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Section 13 or 15(d) of the Securities Exchange Act of 1934</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May 7, 2024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DRAGONFLY ENERGY HOLDINGS CORP.</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40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2040" w:type="dxa"/>
            <w:vAlign w:val="bottom"/>
            <w:gridSpan w:val="4"/>
          </w:tcPr>
          <w:p>
            <w:pPr>
              <w:jc w:val="center"/>
              <w:ind w:left="1131"/>
              <w:spacing w:after="0"/>
              <w:rPr>
                <w:sz w:val="20"/>
                <w:szCs w:val="20"/>
                <w:color w:val="auto"/>
              </w:rPr>
            </w:pPr>
            <w:r>
              <w:rPr>
                <w:rFonts w:ascii="Times New Roman" w:cs="Times New Roman" w:eastAsia="Times New Roman" w:hAnsi="Times New Roman"/>
                <w:sz w:val="14"/>
                <w:szCs w:val="14"/>
                <w:b w:val="1"/>
                <w:bCs w:val="1"/>
                <w:color w:val="auto"/>
                <w:w w:val="98"/>
              </w:rPr>
              <w:t>001-40730</w:t>
            </w: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85-1873463</w:t>
            </w:r>
          </w:p>
        </w:tc>
      </w:tr>
      <w:tr>
        <w:trPr>
          <w:trHeight w:val="153"/>
        </w:trPr>
        <w:tc>
          <w:tcPr>
            <w:tcW w:w="362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(State or other jurisdiction</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240" w:type="dxa"/>
            <w:vAlign w:val="bottom"/>
            <w:tcBorders>
              <w:top w:val="single" w:sz="8" w:color="auto"/>
            </w:tcBorders>
            <w:gridSpan w:val="4"/>
          </w:tcPr>
          <w:p>
            <w:pPr>
              <w:jc w:val="center"/>
              <w:ind w:right="1380"/>
              <w:spacing w:after="0" w:line="153" w:lineRule="exact"/>
              <w:rPr>
                <w:sz w:val="20"/>
                <w:szCs w:val="20"/>
                <w:color w:val="auto"/>
              </w:rPr>
            </w:pPr>
            <w:r>
              <w:rPr>
                <w:rFonts w:ascii="Times New Roman" w:cs="Times New Roman" w:eastAsia="Times New Roman" w:hAnsi="Times New Roman"/>
                <w:sz w:val="14"/>
                <w:szCs w:val="14"/>
                <w:color w:val="auto"/>
                <w:w w:val="97"/>
              </w:rPr>
              <w:t>(Commission</w:t>
            </w:r>
          </w:p>
        </w:tc>
        <w:tc>
          <w:tcPr>
            <w:tcW w:w="220" w:type="dxa"/>
            <w:vAlign w:val="bottom"/>
          </w:tcPr>
          <w:p>
            <w:pPr>
              <w:spacing w:after="0"/>
              <w:rPr>
                <w:sz w:val="13"/>
                <w:szCs w:val="13"/>
                <w:color w:val="auto"/>
              </w:rPr>
            </w:pPr>
          </w:p>
        </w:tc>
        <w:tc>
          <w:tcPr>
            <w:tcW w:w="360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(IRS Employer</w:t>
            </w:r>
          </w:p>
        </w:tc>
      </w:tr>
      <w:tr>
        <w:trPr>
          <w:trHeight w:val="179"/>
        </w:trPr>
        <w:tc>
          <w:tcPr>
            <w:tcW w:w="40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w w:val="98"/>
              </w:rPr>
              <w:t>of incorporation)</w:t>
            </w:r>
          </w:p>
        </w:tc>
        <w:tc>
          <w:tcPr>
            <w:tcW w:w="1180" w:type="dxa"/>
            <w:vAlign w:val="bottom"/>
          </w:tcPr>
          <w:p>
            <w:pPr>
              <w:spacing w:after="0"/>
              <w:rPr>
                <w:sz w:val="15"/>
                <w:szCs w:val="15"/>
                <w:color w:val="auto"/>
              </w:rPr>
            </w:pPr>
          </w:p>
        </w:tc>
        <w:tc>
          <w:tcPr>
            <w:tcW w:w="2460" w:type="dxa"/>
            <w:vAlign w:val="bottom"/>
            <w:gridSpan w:val="5"/>
          </w:tcPr>
          <w:p>
            <w:pPr>
              <w:jc w:val="center"/>
              <w:ind w:right="1600"/>
              <w:spacing w:after="0"/>
              <w:rPr>
                <w:sz w:val="20"/>
                <w:szCs w:val="20"/>
                <w:color w:val="auto"/>
              </w:rPr>
            </w:pPr>
            <w:r>
              <w:rPr>
                <w:rFonts w:ascii="Times New Roman" w:cs="Times New Roman" w:eastAsia="Times New Roman" w:hAnsi="Times New Roman"/>
                <w:sz w:val="14"/>
                <w:szCs w:val="14"/>
                <w:color w:val="auto"/>
                <w:w w:val="97"/>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Identification No.)</w:t>
            </w:r>
          </w:p>
        </w:tc>
      </w:tr>
      <w:tr>
        <w:trPr>
          <w:trHeight w:val="313"/>
        </w:trPr>
        <w:tc>
          <w:tcPr>
            <w:tcW w:w="4040" w:type="dxa"/>
            <w:vAlign w:val="bottom"/>
            <w:gridSpan w:val="3"/>
          </w:tcPr>
          <w:p>
            <w:pPr>
              <w:jc w:val="center"/>
              <w:ind w:left="1451"/>
              <w:spacing w:after="0"/>
              <w:rPr>
                <w:sz w:val="20"/>
                <w:szCs w:val="20"/>
                <w:color w:val="auto"/>
              </w:rPr>
            </w:pPr>
            <w:r>
              <w:rPr>
                <w:rFonts w:ascii="Times New Roman" w:cs="Times New Roman" w:eastAsia="Times New Roman" w:hAnsi="Times New Roman"/>
                <w:sz w:val="14"/>
                <w:szCs w:val="14"/>
                <w:b w:val="1"/>
                <w:bCs w:val="1"/>
                <w:color w:val="auto"/>
                <w:w w:val="97"/>
              </w:rPr>
              <w:t>1190 Trademark Drive, #108</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83"/>
        </w:trPr>
        <w:tc>
          <w:tcPr>
            <w:tcW w:w="4040" w:type="dxa"/>
            <w:vAlign w:val="bottom"/>
            <w:tcBorders>
              <w:bottom w:val="single" w:sz="8" w:color="auto"/>
            </w:tcBorders>
            <w:gridSpan w:val="3"/>
          </w:tcPr>
          <w:p>
            <w:pPr>
              <w:jc w:val="center"/>
              <w:ind w:left="1431"/>
              <w:spacing w:after="0"/>
              <w:rPr>
                <w:sz w:val="20"/>
                <w:szCs w:val="20"/>
                <w:color w:val="auto"/>
              </w:rPr>
            </w:pPr>
            <w:r>
              <w:rPr>
                <w:rFonts w:ascii="Times New Roman" w:cs="Times New Roman" w:eastAsia="Times New Roman" w:hAnsi="Times New Roman"/>
                <w:sz w:val="14"/>
                <w:szCs w:val="14"/>
                <w:b w:val="1"/>
                <w:bCs w:val="1"/>
                <w:color w:val="auto"/>
                <w:w w:val="98"/>
              </w:rPr>
              <w:t>Reno, Nevada</w:t>
            </w:r>
          </w:p>
        </w:tc>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jc w:val="right"/>
              <w:ind w:right="2511"/>
              <w:spacing w:after="0"/>
              <w:rPr>
                <w:sz w:val="20"/>
                <w:szCs w:val="20"/>
                <w:color w:val="auto"/>
              </w:rPr>
            </w:pPr>
            <w:r>
              <w:rPr>
                <w:rFonts w:ascii="Times New Roman" w:cs="Times New Roman" w:eastAsia="Times New Roman" w:hAnsi="Times New Roman"/>
                <w:sz w:val="14"/>
                <w:szCs w:val="14"/>
                <w:b w:val="1"/>
                <w:bCs w:val="1"/>
                <w:color w:val="auto"/>
              </w:rPr>
              <w:t>89521</w:t>
            </w:r>
          </w:p>
        </w:tc>
      </w:tr>
      <w:tr>
        <w:trPr>
          <w:trHeight w:val="179"/>
        </w:trPr>
        <w:tc>
          <w:tcPr>
            <w:tcW w:w="4040" w:type="dxa"/>
            <w:vAlign w:val="bottom"/>
            <w:gridSpan w:val="3"/>
          </w:tcPr>
          <w:p>
            <w:pPr>
              <w:jc w:val="center"/>
              <w:ind w:left="1431"/>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tcPr>
          <w:p>
            <w:pPr>
              <w:jc w:val="center"/>
              <w:ind w:right="1851"/>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286"/>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4"/>
          </w:tcPr>
          <w:p>
            <w:pPr>
              <w:jc w:val="center"/>
              <w:ind w:left="1111"/>
              <w:spacing w:after="0"/>
              <w:rPr>
                <w:sz w:val="20"/>
                <w:szCs w:val="20"/>
                <w:color w:val="auto"/>
              </w:rPr>
            </w:pPr>
            <w:r>
              <w:rPr>
                <w:rFonts w:ascii="Times New Roman" w:cs="Times New Roman" w:eastAsia="Times New Roman" w:hAnsi="Times New Roman"/>
                <w:sz w:val="14"/>
                <w:szCs w:val="14"/>
                <w:b w:val="1"/>
                <w:bCs w:val="1"/>
                <w:color w:val="auto"/>
                <w:w w:val="98"/>
              </w:rPr>
              <w:t>(775) 622-3448</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177"/>
        </w:trPr>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4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color w:val="auto"/>
                <w:w w:val="97"/>
              </w:rPr>
              <w:t>Registrant’s telephone number, including area code</w:t>
            </w:r>
          </w:p>
        </w:tc>
        <w:tc>
          <w:tcPr>
            <w:tcW w:w="3600" w:type="dxa"/>
            <w:vAlign w:val="bottom"/>
          </w:tcPr>
          <w:p>
            <w:pPr>
              <w:spacing w:after="0"/>
              <w:rPr>
                <w:sz w:val="15"/>
                <w:szCs w:val="15"/>
                <w:color w:val="auto"/>
              </w:rPr>
            </w:pPr>
          </w:p>
        </w:tc>
      </w:tr>
    </w:tbl>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N/A</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9" w:lineRule="exact"/>
        <w:rPr>
          <w:rFonts w:ascii="MS PGothic" w:cs="MS PGothic" w:eastAsia="MS PGothic" w:hAnsi="MS PGothic"/>
          <w:sz w:val="14"/>
          <w:szCs w:val="14"/>
          <w:color w:val="auto"/>
        </w:rPr>
      </w:pPr>
    </w:p>
    <w:p>
      <w:pPr>
        <w:ind w:right="4880" w:firstLine="3"/>
        <w:spacing w:after="0" w:line="492" w:lineRule="auto"/>
        <w:tabs>
          <w:tab w:leader="none" w:pos="24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Name of each exchange on which registered</w:t>
            </w:r>
          </w:p>
        </w:tc>
      </w:tr>
      <w:tr>
        <w:trPr>
          <w:trHeight w:val="153"/>
        </w:trPr>
        <w:tc>
          <w:tcPr>
            <w:tcW w:w="520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Common stock, par value $0.0001 per share</w:t>
            </w:r>
          </w:p>
        </w:tc>
        <w:tc>
          <w:tcPr>
            <w:tcW w:w="220" w:type="dxa"/>
            <w:vAlign w:val="bottom"/>
          </w:tcPr>
          <w:p>
            <w:pPr>
              <w:spacing w:after="0"/>
              <w:rPr>
                <w:sz w:val="13"/>
                <w:szCs w:val="13"/>
                <w:color w:val="auto"/>
              </w:rPr>
            </w:pPr>
          </w:p>
        </w:tc>
        <w:tc>
          <w:tcPr>
            <w:tcW w:w="204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6"/>
              </w:rPr>
              <w:t>DFLI</w:t>
            </w:r>
          </w:p>
        </w:tc>
        <w:tc>
          <w:tcPr>
            <w:tcW w:w="220" w:type="dxa"/>
            <w:vAlign w:val="bottom"/>
          </w:tcPr>
          <w:p>
            <w:pPr>
              <w:spacing w:after="0"/>
              <w:rPr>
                <w:sz w:val="13"/>
                <w:szCs w:val="13"/>
                <w:color w:val="auto"/>
              </w:rPr>
            </w:pPr>
          </w:p>
        </w:tc>
        <w:tc>
          <w:tcPr>
            <w:tcW w:w="360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The Nasdaq Global Market</w:t>
            </w:r>
          </w:p>
        </w:tc>
      </w:tr>
      <w:tr>
        <w:trPr>
          <w:trHeight w:val="165"/>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Redeemable warrants, exercisable for common stock at an exercise price of $11.50 per share,</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DFLIW</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The Nasdaq Capital Market</w:t>
            </w:r>
          </w:p>
        </w:tc>
      </w:tr>
      <w:tr>
        <w:trPr>
          <w:trHeight w:val="179"/>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subject to adjustment</w:t>
            </w: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tcPr>
          <w:p>
            <w:pPr>
              <w:spacing w:after="0"/>
              <w:rPr>
                <w:sz w:val="15"/>
                <w:szCs w:val="15"/>
                <w:color w:val="auto"/>
              </w:rPr>
            </w:pPr>
          </w:p>
        </w:tc>
      </w:tr>
    </w:tbl>
    <w:p>
      <w:pPr>
        <w:spacing w:after="0" w:line="152"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164705"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118110</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361315</wp:posOffset>
            </wp:positionV>
            <wp:extent cx="716470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99" w:right="319" w:bottom="1440" w:gutter="0" w:footer="0" w:header="0"/>
        </w:sectPr>
      </w:pPr>
    </w:p>
    <w:bookmarkStart w:id="1" w:name="page2"/>
    <w:bookmarkEnd w:id="1"/>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 xml:space="preserve">On May 7, 2024, Dragonfly Energy Holdings Corp. (the “Company”) posted presentation materials (the “Investor Presentation”) on the Investor Relations section of its website, which is located at </w:t>
      </w:r>
      <w:r>
        <w:rPr>
          <w:rFonts w:ascii="Times New Roman" w:cs="Times New Roman" w:eastAsia="Times New Roman" w:hAnsi="Times New Roman"/>
          <w:sz w:val="14"/>
          <w:szCs w:val="14"/>
          <w:u w:val="single" w:color="auto"/>
          <w:color w:val="auto"/>
        </w:rPr>
        <w:t>https://investors.dragonflyenergy.com/events-and-presentations/default.aspx</w:t>
      </w:r>
      <w:r>
        <w:rPr>
          <w:rFonts w:ascii="Times New Roman" w:cs="Times New Roman" w:eastAsia="Times New Roman" w:hAnsi="Times New Roman"/>
          <w:sz w:val="14"/>
          <w:szCs w:val="14"/>
          <w:color w:val="auto"/>
        </w:rPr>
        <w:t>. A copy of the Investor Presentation is attached as Exhibit 99.1 hereto.</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information in this Current Report on Form 8-K under Item 7.01, including the information contained in Exhibit 99.1, is being furnished to the Securities and Exchange Commission, and shall not be deemed to be “filed” for the purposes of Section 18 of the Securities Exchange Act of 1934 (the “Exchange Act”)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spacing w:after="0" w:line="13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described above, the following exhibits are furnished as part of this report: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15"/>
                <w:szCs w:val="15"/>
                <w:color w:val="auto"/>
              </w:rPr>
            </w:pPr>
          </w:p>
        </w:tc>
        <w:tc>
          <w:tcPr>
            <w:tcW w:w="10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34"/>
        </w:trPr>
        <w:tc>
          <w:tcPr>
            <w:tcW w:w="7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99.1</w:t>
            </w:r>
          </w:p>
        </w:tc>
        <w:tc>
          <w:tcPr>
            <w:tcW w:w="100" w:type="dxa"/>
            <w:vAlign w:val="bottom"/>
          </w:tcPr>
          <w:p>
            <w:pPr>
              <w:spacing w:after="0"/>
              <w:rPr>
                <w:sz w:val="11"/>
                <w:szCs w:val="11"/>
                <w:color w:val="auto"/>
              </w:rPr>
            </w:pPr>
          </w:p>
        </w:tc>
        <w:tc>
          <w:tcPr>
            <w:tcW w:w="104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0000EE"/>
              </w:rPr>
              <w:t>Investor Presentation</w:t>
            </w: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17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0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351"/>
        </w:trPr>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40" w:type="dxa"/>
            <w:vAlign w:val="bottom"/>
          </w:tcPr>
          <w:p>
            <w:pPr>
              <w:spacing w:after="0"/>
              <w:rPr>
                <w:sz w:val="15"/>
                <w:szCs w:val="15"/>
                <w:color w:val="auto"/>
              </w:rPr>
            </w:pPr>
          </w:p>
        </w:tc>
        <w:tc>
          <w:tcPr>
            <w:tcW w:w="7940" w:type="dxa"/>
            <w:vAlign w:val="bottom"/>
            <w:gridSpan w:val="2"/>
          </w:tcPr>
          <w:p>
            <w:pPr>
              <w:ind w:left="2320"/>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tc>
      </w:tr>
      <w:tr>
        <w:trPr>
          <w:trHeight w:val="331"/>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Date: May 7, 2024</w:t>
            </w:r>
          </w:p>
        </w:tc>
        <w:tc>
          <w:tcPr>
            <w:tcW w:w="288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Denis Phares</w:t>
            </w:r>
          </w:p>
        </w:tc>
      </w:tr>
      <w:tr>
        <w:trPr>
          <w:trHeight w:val="153"/>
        </w:trPr>
        <w:tc>
          <w:tcPr>
            <w:tcW w:w="3340" w:type="dxa"/>
            <w:vAlign w:val="bottom"/>
          </w:tcPr>
          <w:p>
            <w:pPr>
              <w:spacing w:after="0"/>
              <w:rPr>
                <w:sz w:val="13"/>
                <w:szCs w:val="13"/>
                <w:color w:val="auto"/>
              </w:rPr>
            </w:pPr>
          </w:p>
        </w:tc>
        <w:tc>
          <w:tcPr>
            <w:tcW w:w="2880" w:type="dxa"/>
            <w:vAlign w:val="bottom"/>
          </w:tcPr>
          <w:p>
            <w:pPr>
              <w:ind w:left="2320"/>
              <w:spacing w:after="0" w:line="15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Denis Phares</w:t>
            </w:r>
          </w:p>
        </w:tc>
      </w:tr>
      <w:tr>
        <w:trPr>
          <w:trHeight w:val="179"/>
        </w:trPr>
        <w:tc>
          <w:tcPr>
            <w:tcW w:w="3340" w:type="dxa"/>
            <w:vAlign w:val="bottom"/>
          </w:tcPr>
          <w:p>
            <w:pPr>
              <w:spacing w:after="0"/>
              <w:rPr>
                <w:sz w:val="15"/>
                <w:szCs w:val="15"/>
                <w:color w:val="auto"/>
              </w:rPr>
            </w:pPr>
          </w:p>
        </w:tc>
        <w:tc>
          <w:tcPr>
            <w:tcW w:w="288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and Interim Chief Financial Officer</w:t>
            </w:r>
          </w:p>
        </w:tc>
      </w:tr>
      <w:tr>
        <w:trPr>
          <w:trHeight w:val="331"/>
        </w:trPr>
        <w:tc>
          <w:tcPr>
            <w:tcW w:w="3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3" w:name="page4"/>
    <w:bookmarkEnd w:id="3"/>
    <w:p>
      <w:pPr>
        <w:ind w:left="9440"/>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125730</wp:posOffset>
            </wp:positionV>
            <wp:extent cx="7211695" cy="3719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1695" cy="3719830"/>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4635500</wp:posOffset>
            </wp:positionV>
            <wp:extent cx="7164705"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3719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1695" cy="3719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2024-05-07T07:14:02Z</dcterms:created>
  <dcterms:modified xsi:type="dcterms:W3CDTF">2024-05-07T07:14:02Z</dcterms:modified>
</cp:coreProperties>
</file>