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206375</wp:posOffset>
            </wp:positionH>
            <wp:positionV relativeFrom="page">
              <wp:posOffset>155575</wp:posOffset>
            </wp:positionV>
            <wp:extent cx="71532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3275" cy="298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13G</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Under the Securities Exchange Act of 1934</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(Amendment No. )*</w:t>
      </w:r>
    </w:p>
    <w:p>
      <w:pPr>
        <w:spacing w:after="0" w:line="186" w:lineRule="exact"/>
        <w:rPr>
          <w:sz w:val="24"/>
          <w:szCs w:val="24"/>
          <w:color w:val="auto"/>
        </w:rPr>
      </w:pPr>
    </w:p>
    <w:p>
      <w:pPr>
        <w:jc w:val="center"/>
        <w:spacing w:after="0"/>
        <w:rPr>
          <w:sz w:val="20"/>
          <w:szCs w:val="20"/>
          <w:color w:val="auto"/>
        </w:rPr>
      </w:pPr>
      <w:r>
        <w:rPr>
          <w:rFonts w:ascii="Arial" w:cs="Arial" w:eastAsia="Arial" w:hAnsi="Arial"/>
          <w:sz w:val="32"/>
          <w:szCs w:val="32"/>
          <w:b w:val="1"/>
          <w:bCs w:val="1"/>
          <w:u w:val="single" w:color="auto"/>
          <w:color w:val="auto"/>
        </w:rPr>
        <w:t>Chardan Nextech Acquisition 2 Corp.</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(Name of Issuer)</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Common Stock, par value $0.0001 per share</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(Title of Class of Securities)</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159561109</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(CUSIP Number)</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December 31, 2021</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(Date of Event which Requires Filing of this Statement)</w:t>
      </w:r>
    </w:p>
    <w:p>
      <w:pPr>
        <w:spacing w:after="0" w:line="188"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06" w:lineRule="exact"/>
        <w:rPr>
          <w:sz w:val="24"/>
          <w:szCs w:val="24"/>
          <w:color w:val="auto"/>
        </w:rPr>
      </w:pPr>
    </w:p>
    <w:p>
      <w:pPr>
        <w:jc w:val="both"/>
        <w:ind w:left="660" w:right="8960" w:hanging="4"/>
        <w:spacing w:after="0" w:line="504" w:lineRule="auto"/>
        <w:tabs>
          <w:tab w:leader="none" w:pos="1068" w:val="left"/>
        </w:tabs>
        <w:numPr>
          <w:ilvl w:val="0"/>
          <w:numId w:val="1"/>
        </w:numPr>
        <w:rPr>
          <w:rFonts w:ascii="Arial" w:cs="Arial" w:eastAsia="Arial" w:hAnsi="Arial"/>
          <w:sz w:val="19"/>
          <w:szCs w:val="19"/>
          <w:color w:val="auto"/>
        </w:rPr>
      </w:pPr>
      <w:r>
        <w:rPr>
          <w:rFonts w:ascii="Arial" w:cs="Arial" w:eastAsia="Arial" w:hAnsi="Arial"/>
          <w:sz w:val="19"/>
          <w:szCs w:val="19"/>
          <w:color w:val="auto"/>
        </w:rPr>
        <w:t>Rule 13d-1(b) [_] Rule 13d-1(c)</w:t>
      </w:r>
    </w:p>
    <w:p>
      <w:pPr>
        <w:ind w:left="660"/>
        <w:spacing w:after="0"/>
        <w:rPr>
          <w:rFonts w:ascii="Arial" w:cs="Arial" w:eastAsia="Arial" w:hAnsi="Arial"/>
          <w:sz w:val="19"/>
          <w:szCs w:val="19"/>
          <w:color w:val="auto"/>
        </w:rPr>
      </w:pPr>
      <w:r>
        <w:rPr>
          <w:rFonts w:ascii="Arial" w:cs="Arial" w:eastAsia="Arial" w:hAnsi="Arial"/>
          <w:sz w:val="22"/>
          <w:szCs w:val="22"/>
          <w:color w:val="auto"/>
        </w:rPr>
        <w:t>[_] Rule 13d-1(d)</w:t>
      </w:r>
    </w:p>
    <w:p>
      <w:pPr>
        <w:spacing w:after="0" w:line="206" w:lineRule="exact"/>
        <w:rPr>
          <w:sz w:val="24"/>
          <w:szCs w:val="24"/>
          <w:color w:val="auto"/>
        </w:rPr>
      </w:pPr>
    </w:p>
    <w:p>
      <w:pPr>
        <w:jc w:val="both"/>
        <w:spacing w:after="0"/>
        <w:rPr>
          <w:sz w:val="20"/>
          <w:szCs w:val="20"/>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jc w:val="both"/>
        <w:spacing w:after="0"/>
        <w:rPr>
          <w:sz w:val="20"/>
          <w:szCs w:val="20"/>
          <w:color w:val="auto"/>
        </w:rPr>
      </w:pPr>
      <w:r>
        <w:rPr>
          <w:rFonts w:ascii="Arial" w:cs="Arial" w:eastAsia="Arial" w:hAnsi="Arial"/>
          <w:sz w:val="22"/>
          <w:szCs w:val="22"/>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w:t>
      </w:r>
      <w:r>
        <w:rPr>
          <w:rFonts w:ascii="Arial" w:cs="Arial" w:eastAsia="Arial" w:hAnsi="Arial"/>
          <w:sz w:val="22"/>
          <w:szCs w:val="22"/>
          <w:i w:val="1"/>
          <w:iCs w:val="1"/>
          <w:color w:val="auto"/>
        </w:rPr>
        <w:t>Notes</w:t>
      </w:r>
      <w:r>
        <w:rPr>
          <w:rFonts w:ascii="Arial" w:cs="Arial" w:eastAsia="Arial" w:hAnsi="Arial"/>
          <w:sz w:val="22"/>
          <w:szCs w:val="2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129540</wp:posOffset>
            </wp:positionV>
            <wp:extent cx="7153275" cy="469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814"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311"/>
        </w:trPr>
        <w:tc>
          <w:tcPr>
            <w:tcW w:w="37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159561109</w:t>
            </w:r>
          </w:p>
        </w:tc>
        <w:tc>
          <w:tcPr>
            <w:tcW w:w="3740" w:type="dxa"/>
            <w:vAlign w:val="bottom"/>
            <w:tcBorders>
              <w:right w:val="single" w:sz="8" w:color="auto"/>
            </w:tcBorders>
          </w:tcPr>
          <w:p>
            <w:pPr>
              <w:ind w:left="1700"/>
              <w:spacing w:after="0"/>
              <w:rPr>
                <w:sz w:val="20"/>
                <w:szCs w:val="20"/>
                <w:color w:val="auto"/>
              </w:rPr>
            </w:pPr>
            <w:r>
              <w:rPr>
                <w:rFonts w:ascii="Arial" w:cs="Arial" w:eastAsia="Arial" w:hAnsi="Arial"/>
                <w:sz w:val="18"/>
                <w:szCs w:val="18"/>
                <w:b w:val="1"/>
                <w:bCs w:val="1"/>
                <w:color w:val="auto"/>
              </w:rPr>
              <w:t>13G</w:t>
            </w:r>
          </w:p>
        </w:tc>
        <w:tc>
          <w:tcPr>
            <w:tcW w:w="374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Page 2 of 5 Pages</w:t>
            </w:r>
          </w:p>
        </w:tc>
      </w:tr>
      <w:tr>
        <w:trPr>
          <w:trHeight w:val="81"/>
        </w:trPr>
        <w:tc>
          <w:tcPr>
            <w:tcW w:w="3760" w:type="dxa"/>
            <w:vAlign w:val="bottom"/>
            <w:tcBorders>
              <w:left w:val="single" w:sz="8" w:color="auto"/>
              <w:bottom w:val="single" w:sz="8" w:color="auto"/>
              <w:right w:val="single" w:sz="8" w:color="auto"/>
            </w:tcBorders>
          </w:tcPr>
          <w:p>
            <w:pPr>
              <w:spacing w:after="0"/>
              <w:rPr>
                <w:sz w:val="7"/>
                <w:szCs w:val="7"/>
                <w:color w:val="auto"/>
              </w:rPr>
            </w:pPr>
          </w:p>
        </w:tc>
        <w:tc>
          <w:tcPr>
            <w:tcW w:w="3740" w:type="dxa"/>
            <w:vAlign w:val="bottom"/>
            <w:tcBorders>
              <w:right w:val="single" w:sz="8" w:color="auto"/>
            </w:tcBorders>
          </w:tcPr>
          <w:p>
            <w:pPr>
              <w:spacing w:after="0"/>
              <w:rPr>
                <w:sz w:val="7"/>
                <w:szCs w:val="7"/>
                <w:color w:val="auto"/>
              </w:rPr>
            </w:pPr>
          </w:p>
        </w:tc>
        <w:tc>
          <w:tcPr>
            <w:tcW w:w="3740" w:type="dxa"/>
            <w:vAlign w:val="bottom"/>
            <w:tcBorders>
              <w:bottom w:val="single" w:sz="8" w:color="auto"/>
              <w:right w:val="single" w:sz="8" w:color="auto"/>
            </w:tcBorders>
          </w:tcPr>
          <w:p>
            <w:pPr>
              <w:spacing w:after="0"/>
              <w:rPr>
                <w:sz w:val="7"/>
                <w:szCs w:val="7"/>
                <w:color w:val="auto"/>
              </w:rPr>
            </w:pPr>
          </w:p>
        </w:tc>
      </w:tr>
    </w:tbl>
    <w:p>
      <w:pPr>
        <w:spacing w:after="0" w:line="238" w:lineRule="exact"/>
        <w:rPr>
          <w:sz w:val="20"/>
          <w:szCs w:val="20"/>
          <w:color w:val="auto"/>
        </w:rPr>
      </w:pPr>
    </w:p>
    <w:p>
      <w:pPr>
        <w:ind w:left="780" w:hanging="669"/>
        <w:spacing w:after="0"/>
        <w:tabs>
          <w:tab w:leader="none" w:pos="7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5186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5186045"/>
                    </a:xfrm>
                    <a:prstGeom prst="rect">
                      <a:avLst/>
                    </a:prstGeom>
                    <a:noFill/>
                  </pic:spPr>
                </pic:pic>
              </a:graphicData>
            </a:graphic>
          </wp:anchor>
        </w:drawing>
      </w:r>
    </w:p>
    <w:p>
      <w:pPr>
        <w:spacing w:after="0" w:line="20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Polar Asset Management Partners Inc.</w:t>
      </w:r>
    </w:p>
    <w:p>
      <w:pPr>
        <w:spacing w:after="0" w:line="23" w:lineRule="exact"/>
        <w:rPr>
          <w:sz w:val="20"/>
          <w:szCs w:val="20"/>
          <w:color w:val="auto"/>
        </w:rPr>
      </w:pPr>
    </w:p>
    <w:p>
      <w:pPr>
        <w:ind w:left="780" w:hanging="669"/>
        <w:spacing w:after="0"/>
        <w:tabs>
          <w:tab w:leader="none" w:pos="7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 (see instructions)</w:t>
      </w:r>
    </w:p>
    <w:p>
      <w:pPr>
        <w:spacing w:after="0" w:line="224" w:lineRule="exact"/>
        <w:rPr>
          <w:rFonts w:ascii="Arial" w:cs="Arial" w:eastAsia="Arial" w:hAnsi="Arial"/>
          <w:sz w:val="18"/>
          <w:szCs w:val="18"/>
          <w:b w:val="1"/>
          <w:bCs w:val="1"/>
          <w:color w:val="auto"/>
        </w:rPr>
      </w:pPr>
    </w:p>
    <w:p>
      <w:pPr>
        <w:ind w:left="1380" w:hanging="286"/>
        <w:spacing w:after="0"/>
        <w:tabs>
          <w:tab w:leader="none" w:pos="1380" w:val="left"/>
        </w:tabs>
        <w:numPr>
          <w:ilvl w:val="1"/>
          <w:numId w:val="3"/>
        </w:numPr>
        <w:rPr>
          <w:rFonts w:ascii="Arial" w:cs="Arial" w:eastAsia="Arial" w:hAnsi="Arial"/>
          <w:sz w:val="18"/>
          <w:szCs w:val="18"/>
          <w:color w:val="auto"/>
        </w:rPr>
      </w:pPr>
      <w:r>
        <w:rPr>
          <w:rFonts w:ascii="Arial" w:cs="Arial" w:eastAsia="Arial" w:hAnsi="Arial"/>
          <w:sz w:val="18"/>
          <w:szCs w:val="18"/>
          <w:color w:val="auto"/>
        </w:rPr>
        <w:t>[ ]</w:t>
      </w:r>
    </w:p>
    <w:p>
      <w:pPr>
        <w:spacing w:after="0" w:line="23" w:lineRule="exact"/>
        <w:rPr>
          <w:rFonts w:ascii="Arial" w:cs="Arial" w:eastAsia="Arial" w:hAnsi="Arial"/>
          <w:sz w:val="18"/>
          <w:szCs w:val="18"/>
          <w:color w:val="auto"/>
        </w:rPr>
      </w:pPr>
    </w:p>
    <w:p>
      <w:pPr>
        <w:ind w:left="1400" w:hanging="306"/>
        <w:spacing w:after="0"/>
        <w:tabs>
          <w:tab w:leader="none" w:pos="1400" w:val="left"/>
        </w:tabs>
        <w:numPr>
          <w:ilvl w:val="1"/>
          <w:numId w:val="3"/>
        </w:numPr>
        <w:rPr>
          <w:rFonts w:ascii="Arial" w:cs="Arial" w:eastAsia="Arial" w:hAnsi="Arial"/>
          <w:sz w:val="18"/>
          <w:szCs w:val="18"/>
          <w:color w:val="auto"/>
        </w:rPr>
      </w:pPr>
      <w:r>
        <w:rPr>
          <w:rFonts w:ascii="Arial" w:cs="Arial" w:eastAsia="Arial" w:hAnsi="Arial"/>
          <w:sz w:val="18"/>
          <w:szCs w:val="18"/>
          <w:color w:val="auto"/>
        </w:rPr>
        <w:t>[ ]</w:t>
      </w:r>
    </w:p>
    <w:p>
      <w:pPr>
        <w:spacing w:after="0" w:line="9" w:lineRule="exact"/>
        <w:rPr>
          <w:sz w:val="20"/>
          <w:szCs w:val="20"/>
          <w:color w:val="auto"/>
        </w:rPr>
      </w:pPr>
    </w:p>
    <w:p>
      <w:pPr>
        <w:ind w:left="780" w:hanging="669"/>
        <w:spacing w:after="0"/>
        <w:tabs>
          <w:tab w:leader="none" w:pos="7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00" w:lineRule="exact"/>
        <w:rPr>
          <w:sz w:val="20"/>
          <w:szCs w:val="20"/>
          <w:color w:val="auto"/>
        </w:rPr>
      </w:pPr>
    </w:p>
    <w:p>
      <w:pPr>
        <w:spacing w:after="0" w:line="250" w:lineRule="exact"/>
        <w:rPr>
          <w:sz w:val="20"/>
          <w:szCs w:val="20"/>
          <w:color w:val="auto"/>
        </w:rPr>
      </w:pPr>
    </w:p>
    <w:p>
      <w:pPr>
        <w:ind w:left="780" w:hanging="669"/>
        <w:spacing w:after="0"/>
        <w:tabs>
          <w:tab w:leader="none" w:pos="7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 or Place of Organization</w:t>
      </w:r>
    </w:p>
    <w:p>
      <w:pPr>
        <w:spacing w:after="0" w:line="229" w:lineRule="exact"/>
        <w:rPr>
          <w:rFonts w:ascii="Arial" w:cs="Arial" w:eastAsia="Arial" w:hAnsi="Arial"/>
          <w:sz w:val="18"/>
          <w:szCs w:val="18"/>
          <w:b w:val="1"/>
          <w:bCs w:val="1"/>
          <w:color w:val="auto"/>
        </w:rPr>
      </w:pPr>
    </w:p>
    <w:p>
      <w:pPr>
        <w:ind w:left="780"/>
        <w:spacing w:after="0"/>
        <w:rPr>
          <w:rFonts w:ascii="Arial" w:cs="Arial" w:eastAsia="Arial" w:hAnsi="Arial"/>
          <w:sz w:val="18"/>
          <w:szCs w:val="18"/>
          <w:b w:val="1"/>
          <w:bCs w:val="1"/>
          <w:color w:val="auto"/>
        </w:rPr>
      </w:pPr>
      <w:r>
        <w:rPr>
          <w:rFonts w:ascii="Arial" w:cs="Arial" w:eastAsia="Arial" w:hAnsi="Arial"/>
          <w:sz w:val="18"/>
          <w:szCs w:val="18"/>
          <w:color w:val="auto"/>
        </w:rPr>
        <w:t>Canada</w:t>
      </w:r>
    </w:p>
    <w:p>
      <w:pPr>
        <w:spacing w:after="0" w:line="23" w:lineRule="exact"/>
        <w:rPr>
          <w:rFonts w:ascii="Arial" w:cs="Arial" w:eastAsia="Arial" w:hAnsi="Arial"/>
          <w:sz w:val="18"/>
          <w:szCs w:val="18"/>
          <w:b w:val="1"/>
          <w:bCs w:val="1"/>
          <w:color w:val="auto"/>
        </w:rPr>
      </w:pPr>
    </w:p>
    <w:p>
      <w:pPr>
        <w:ind w:left="23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5</w:t>
      </w:r>
      <w:r>
        <w:rPr>
          <w:rFonts w:ascii="Arial" w:cs="Arial" w:eastAsia="Arial" w:hAnsi="Arial"/>
          <w:sz w:val="15"/>
          <w:szCs w:val="15"/>
          <w:b w:val="1"/>
          <w:bCs w:val="1"/>
          <w:color w:val="auto"/>
        </w:rPr>
        <w:t>Sole Voting Power</w:t>
      </w:r>
    </w:p>
    <w:p>
      <w:pPr>
        <w:spacing w:after="0" w:line="224" w:lineRule="exact"/>
        <w:rPr>
          <w:sz w:val="20"/>
          <w:szCs w:val="20"/>
          <w:color w:val="auto"/>
        </w:rPr>
      </w:pPr>
    </w:p>
    <w:tbl>
      <w:tblPr>
        <w:tblLayout w:type="fixed"/>
        <w:tblInd w:w="440" w:type="dxa"/>
        <w:tblCellMar>
          <w:top w:w="0" w:type="dxa"/>
          <w:left w:w="0" w:type="dxa"/>
          <w:bottom w:w="0" w:type="dxa"/>
          <w:right w:w="0" w:type="dxa"/>
        </w:tblCellMar>
      </w:tblPr>
      <w:tr>
        <w:trPr>
          <w:trHeight w:val="230"/>
        </w:trPr>
        <w:tc>
          <w:tcPr>
            <w:tcW w:w="1800" w:type="dxa"/>
            <w:vAlign w:val="bottom"/>
            <w:vMerge w:val="restart"/>
          </w:tcPr>
          <w:p>
            <w:pPr>
              <w:jc w:val="center"/>
              <w:ind w:right="350"/>
              <w:spacing w:after="0"/>
              <w:rPr>
                <w:sz w:val="20"/>
                <w:szCs w:val="20"/>
                <w:color w:val="auto"/>
              </w:rPr>
            </w:pPr>
            <w:r>
              <w:rPr>
                <w:rFonts w:ascii="Arial" w:cs="Arial" w:eastAsia="Arial" w:hAnsi="Arial"/>
                <w:sz w:val="18"/>
                <w:szCs w:val="18"/>
                <w:b w:val="1"/>
                <w:bCs w:val="1"/>
                <w:color w:val="auto"/>
                <w:w w:val="93"/>
              </w:rPr>
              <w:t>Number of</w:t>
            </w:r>
          </w:p>
        </w:tc>
        <w:tc>
          <w:tcPr>
            <w:tcW w:w="480" w:type="dxa"/>
            <w:vAlign w:val="bottom"/>
            <w:tcBorders>
              <w:bottom w:val="single" w:sz="8" w:color="auto"/>
            </w:tcBorders>
          </w:tcPr>
          <w:p>
            <w:pPr>
              <w:spacing w:after="0"/>
              <w:rPr>
                <w:sz w:val="20"/>
                <w:szCs w:val="20"/>
                <w:color w:val="auto"/>
              </w:rPr>
            </w:pPr>
          </w:p>
        </w:tc>
        <w:tc>
          <w:tcPr>
            <w:tcW w:w="852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834,996</w:t>
            </w:r>
          </w:p>
        </w:tc>
        <w:tc>
          <w:tcPr>
            <w:tcW w:w="0" w:type="dxa"/>
            <w:vAlign w:val="bottom"/>
          </w:tcPr>
          <w:p>
            <w:pPr>
              <w:spacing w:after="0"/>
              <w:rPr>
                <w:sz w:val="1"/>
                <w:szCs w:val="1"/>
                <w:color w:val="auto"/>
              </w:rPr>
            </w:pPr>
          </w:p>
        </w:tc>
      </w:tr>
      <w:tr>
        <w:trPr>
          <w:trHeight w:val="191"/>
        </w:trPr>
        <w:tc>
          <w:tcPr>
            <w:tcW w:w="1800" w:type="dxa"/>
            <w:vAlign w:val="bottom"/>
            <w:vMerge w:val="continue"/>
          </w:tcPr>
          <w:p>
            <w:pPr>
              <w:spacing w:after="0"/>
              <w:rPr>
                <w:sz w:val="16"/>
                <w:szCs w:val="16"/>
                <w:color w:val="auto"/>
              </w:rPr>
            </w:pPr>
          </w:p>
        </w:tc>
        <w:tc>
          <w:tcPr>
            <w:tcW w:w="480" w:type="dxa"/>
            <w:vAlign w:val="bottom"/>
          </w:tcPr>
          <w:p>
            <w:pPr>
              <w:jc w:val="right"/>
              <w:ind w:right="190"/>
              <w:spacing w:after="0" w:line="191" w:lineRule="exact"/>
              <w:rPr>
                <w:sz w:val="20"/>
                <w:szCs w:val="20"/>
                <w:color w:val="auto"/>
              </w:rPr>
            </w:pPr>
            <w:r>
              <w:rPr>
                <w:rFonts w:ascii="Arial" w:cs="Arial" w:eastAsia="Arial" w:hAnsi="Arial"/>
                <w:sz w:val="18"/>
                <w:szCs w:val="18"/>
                <w:b w:val="1"/>
                <w:bCs w:val="1"/>
                <w:color w:val="auto"/>
              </w:rPr>
              <w:t>6</w:t>
            </w:r>
          </w:p>
        </w:tc>
        <w:tc>
          <w:tcPr>
            <w:tcW w:w="8520" w:type="dxa"/>
            <w:vAlign w:val="bottom"/>
          </w:tcPr>
          <w:p>
            <w:pPr>
              <w:ind w:left="280"/>
              <w:spacing w:after="0" w:line="191" w:lineRule="exact"/>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1800" w:type="dxa"/>
            <w:vAlign w:val="bottom"/>
          </w:tcPr>
          <w:p>
            <w:pPr>
              <w:jc w:val="center"/>
              <w:ind w:right="350"/>
              <w:spacing w:after="0"/>
              <w:rPr>
                <w:sz w:val="20"/>
                <w:szCs w:val="20"/>
                <w:color w:val="auto"/>
              </w:rPr>
            </w:pPr>
            <w:r>
              <w:rPr>
                <w:rFonts w:ascii="Arial" w:cs="Arial" w:eastAsia="Arial" w:hAnsi="Arial"/>
                <w:sz w:val="18"/>
                <w:szCs w:val="18"/>
                <w:b w:val="1"/>
                <w:bCs w:val="1"/>
                <w:color w:val="auto"/>
                <w:w w:val="86"/>
              </w:rPr>
              <w:t>Shares</w:t>
            </w:r>
          </w:p>
        </w:tc>
        <w:tc>
          <w:tcPr>
            <w:tcW w:w="480" w:type="dxa"/>
            <w:vAlign w:val="bottom"/>
          </w:tcPr>
          <w:p>
            <w:pPr>
              <w:spacing w:after="0"/>
              <w:rPr>
                <w:sz w:val="18"/>
                <w:szCs w:val="18"/>
                <w:color w:val="auto"/>
              </w:rPr>
            </w:pPr>
          </w:p>
        </w:tc>
        <w:tc>
          <w:tcPr>
            <w:tcW w:w="8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00" w:type="dxa"/>
            <w:vAlign w:val="bottom"/>
          </w:tcPr>
          <w:p>
            <w:pPr>
              <w:jc w:val="center"/>
              <w:ind w:right="370"/>
              <w:spacing w:after="0"/>
              <w:rPr>
                <w:sz w:val="20"/>
                <w:szCs w:val="20"/>
                <w:color w:val="auto"/>
              </w:rPr>
            </w:pPr>
            <w:r>
              <w:rPr>
                <w:rFonts w:ascii="Arial" w:cs="Arial" w:eastAsia="Arial" w:hAnsi="Arial"/>
                <w:sz w:val="18"/>
                <w:szCs w:val="18"/>
                <w:b w:val="1"/>
                <w:bCs w:val="1"/>
                <w:color w:val="auto"/>
                <w:w w:val="89"/>
              </w:rPr>
              <w:t>Beneficially</w:t>
            </w:r>
          </w:p>
        </w:tc>
        <w:tc>
          <w:tcPr>
            <w:tcW w:w="480" w:type="dxa"/>
            <w:vAlign w:val="bottom"/>
            <w:tcBorders>
              <w:bottom w:val="single" w:sz="8" w:color="auto"/>
            </w:tcBorders>
          </w:tcPr>
          <w:p>
            <w:pPr>
              <w:spacing w:after="0"/>
              <w:rPr>
                <w:sz w:val="20"/>
                <w:szCs w:val="20"/>
                <w:color w:val="auto"/>
              </w:rPr>
            </w:pPr>
          </w:p>
        </w:tc>
        <w:tc>
          <w:tcPr>
            <w:tcW w:w="85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800" w:type="dxa"/>
            <w:vAlign w:val="bottom"/>
          </w:tcPr>
          <w:p>
            <w:pPr>
              <w:jc w:val="center"/>
              <w:ind w:right="370"/>
              <w:spacing w:after="0" w:line="177" w:lineRule="exact"/>
              <w:rPr>
                <w:sz w:val="20"/>
                <w:szCs w:val="20"/>
                <w:color w:val="auto"/>
              </w:rPr>
            </w:pPr>
            <w:r>
              <w:rPr>
                <w:rFonts w:ascii="Arial" w:cs="Arial" w:eastAsia="Arial" w:hAnsi="Arial"/>
                <w:sz w:val="18"/>
                <w:szCs w:val="18"/>
                <w:b w:val="1"/>
                <w:bCs w:val="1"/>
                <w:color w:val="auto"/>
                <w:w w:val="90"/>
              </w:rPr>
              <w:t>Owned by Each</w:t>
            </w:r>
          </w:p>
        </w:tc>
        <w:tc>
          <w:tcPr>
            <w:tcW w:w="480" w:type="dxa"/>
            <w:vAlign w:val="bottom"/>
          </w:tcPr>
          <w:p>
            <w:pPr>
              <w:jc w:val="right"/>
              <w:ind w:right="190"/>
              <w:spacing w:after="0" w:line="177" w:lineRule="exact"/>
              <w:rPr>
                <w:sz w:val="20"/>
                <w:szCs w:val="20"/>
                <w:color w:val="auto"/>
              </w:rPr>
            </w:pPr>
            <w:r>
              <w:rPr>
                <w:rFonts w:ascii="Arial" w:cs="Arial" w:eastAsia="Arial" w:hAnsi="Arial"/>
                <w:sz w:val="18"/>
                <w:szCs w:val="18"/>
                <w:b w:val="1"/>
                <w:bCs w:val="1"/>
                <w:color w:val="auto"/>
              </w:rPr>
              <w:t>7</w:t>
            </w:r>
          </w:p>
        </w:tc>
        <w:tc>
          <w:tcPr>
            <w:tcW w:w="8520" w:type="dxa"/>
            <w:vAlign w:val="bottom"/>
          </w:tcPr>
          <w:p>
            <w:pPr>
              <w:ind w:left="280"/>
              <w:spacing w:after="0" w:line="177"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1800" w:type="dxa"/>
            <w:vAlign w:val="bottom"/>
          </w:tcPr>
          <w:p>
            <w:pPr>
              <w:jc w:val="center"/>
              <w:ind w:right="370"/>
              <w:spacing w:after="0"/>
              <w:rPr>
                <w:sz w:val="20"/>
                <w:szCs w:val="20"/>
                <w:color w:val="auto"/>
              </w:rPr>
            </w:pPr>
            <w:r>
              <w:rPr>
                <w:rFonts w:ascii="Arial" w:cs="Arial" w:eastAsia="Arial" w:hAnsi="Arial"/>
                <w:sz w:val="18"/>
                <w:szCs w:val="18"/>
                <w:b w:val="1"/>
                <w:bCs w:val="1"/>
                <w:color w:val="auto"/>
                <w:w w:val="88"/>
              </w:rPr>
              <w:t>Reporting Person</w:t>
            </w:r>
          </w:p>
        </w:tc>
        <w:tc>
          <w:tcPr>
            <w:tcW w:w="480" w:type="dxa"/>
            <w:vAlign w:val="bottom"/>
          </w:tcPr>
          <w:p>
            <w:pPr>
              <w:spacing w:after="0"/>
              <w:rPr>
                <w:sz w:val="18"/>
                <w:szCs w:val="18"/>
                <w:color w:val="auto"/>
              </w:rPr>
            </w:pPr>
          </w:p>
        </w:tc>
        <w:tc>
          <w:tcPr>
            <w:tcW w:w="8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800" w:type="dxa"/>
            <w:vAlign w:val="bottom"/>
          </w:tcPr>
          <w:p>
            <w:pPr>
              <w:jc w:val="center"/>
              <w:ind w:right="370"/>
              <w:spacing w:after="0"/>
              <w:rPr>
                <w:sz w:val="20"/>
                <w:szCs w:val="20"/>
                <w:color w:val="auto"/>
              </w:rPr>
            </w:pPr>
            <w:r>
              <w:rPr>
                <w:rFonts w:ascii="Arial" w:cs="Arial" w:eastAsia="Arial" w:hAnsi="Arial"/>
                <w:sz w:val="18"/>
                <w:szCs w:val="18"/>
                <w:b w:val="1"/>
                <w:bCs w:val="1"/>
                <w:color w:val="auto"/>
              </w:rPr>
              <w:t>With:</w:t>
            </w:r>
          </w:p>
        </w:tc>
        <w:tc>
          <w:tcPr>
            <w:tcW w:w="480" w:type="dxa"/>
            <w:vAlign w:val="bottom"/>
            <w:tcBorders>
              <w:bottom w:val="single" w:sz="8" w:color="auto"/>
            </w:tcBorders>
          </w:tcPr>
          <w:p>
            <w:pPr>
              <w:spacing w:after="0"/>
              <w:rPr>
                <w:sz w:val="21"/>
                <w:szCs w:val="21"/>
                <w:color w:val="auto"/>
              </w:rPr>
            </w:pPr>
          </w:p>
        </w:tc>
        <w:tc>
          <w:tcPr>
            <w:tcW w:w="852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834,996</w:t>
            </w:r>
          </w:p>
        </w:tc>
        <w:tc>
          <w:tcPr>
            <w:tcW w:w="0" w:type="dxa"/>
            <w:vAlign w:val="bottom"/>
          </w:tcPr>
          <w:p>
            <w:pPr>
              <w:spacing w:after="0"/>
              <w:rPr>
                <w:sz w:val="1"/>
                <w:szCs w:val="1"/>
                <w:color w:val="auto"/>
              </w:rPr>
            </w:pPr>
          </w:p>
        </w:tc>
      </w:tr>
      <w:tr>
        <w:trPr>
          <w:trHeight w:val="228"/>
        </w:trPr>
        <w:tc>
          <w:tcPr>
            <w:tcW w:w="1800" w:type="dxa"/>
            <w:vAlign w:val="bottom"/>
          </w:tcPr>
          <w:p>
            <w:pPr>
              <w:spacing w:after="0"/>
              <w:rPr>
                <w:sz w:val="19"/>
                <w:szCs w:val="19"/>
                <w:color w:val="auto"/>
              </w:rPr>
            </w:pPr>
          </w:p>
        </w:tc>
        <w:tc>
          <w:tcPr>
            <w:tcW w:w="480" w:type="dxa"/>
            <w:vAlign w:val="bottom"/>
          </w:tcPr>
          <w:p>
            <w:pPr>
              <w:jc w:val="right"/>
              <w:ind w:right="190"/>
              <w:spacing w:after="0"/>
              <w:rPr>
                <w:sz w:val="20"/>
                <w:szCs w:val="20"/>
                <w:color w:val="auto"/>
              </w:rPr>
            </w:pPr>
            <w:r>
              <w:rPr>
                <w:rFonts w:ascii="Arial" w:cs="Arial" w:eastAsia="Arial" w:hAnsi="Arial"/>
                <w:sz w:val="18"/>
                <w:szCs w:val="18"/>
                <w:b w:val="1"/>
                <w:bCs w:val="1"/>
                <w:color w:val="auto"/>
              </w:rPr>
              <w:t>8</w:t>
            </w:r>
          </w:p>
        </w:tc>
        <w:tc>
          <w:tcPr>
            <w:tcW w:w="8520" w:type="dxa"/>
            <w:vAlign w:val="bottom"/>
          </w:tcPr>
          <w:p>
            <w:pPr>
              <w:ind w:left="28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ind w:left="780" w:hanging="669"/>
        <w:spacing w:after="0"/>
        <w:tabs>
          <w:tab w:leader="none" w:pos="7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Aggregate Amount Beneficially Owned by Each Reporting Person</w:t>
      </w:r>
    </w:p>
    <w:p>
      <w:pPr>
        <w:spacing w:after="0" w:line="22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834,996</w:t>
      </w:r>
    </w:p>
    <w:p>
      <w:pPr>
        <w:spacing w:after="0" w:line="23" w:lineRule="exact"/>
        <w:rPr>
          <w:sz w:val="20"/>
          <w:szCs w:val="20"/>
          <w:color w:val="auto"/>
        </w:rPr>
      </w:pPr>
    </w:p>
    <w:p>
      <w:pPr>
        <w:ind w:left="780" w:right="3780" w:hanging="669"/>
        <w:spacing w:after="0" w:line="383" w:lineRule="auto"/>
        <w:tabs>
          <w:tab w:leader="none" w:pos="7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Check box if the aggregate amount in row (9) excludes certain shares (See Instructions) </w:t>
      </w:r>
      <w:r>
        <w:rPr>
          <w:rFonts w:ascii="Arial" w:cs="Arial" w:eastAsia="Arial" w:hAnsi="Arial"/>
          <w:sz w:val="18"/>
          <w:szCs w:val="18"/>
          <w:color w:val="auto"/>
        </w:rPr>
        <w:t>[ ]</w:t>
      </w:r>
    </w:p>
    <w:p>
      <w:pPr>
        <w:ind w:left="780" w:right="6660" w:hanging="669"/>
        <w:spacing w:after="0" w:line="383" w:lineRule="auto"/>
        <w:tabs>
          <w:tab w:leader="none" w:pos="7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5.28%</w:t>
      </w:r>
    </w:p>
    <w:p>
      <w:pPr>
        <w:ind w:left="780" w:hanging="669"/>
        <w:spacing w:after="0"/>
        <w:tabs>
          <w:tab w:leader="none" w:pos="7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Type of Reporting Person (See Instructions)</w:t>
      </w:r>
    </w:p>
    <w:p>
      <w:pPr>
        <w:spacing w:after="0" w:line="224" w:lineRule="exact"/>
        <w:rPr>
          <w:rFonts w:ascii="Arial" w:cs="Arial" w:eastAsia="Arial" w:hAnsi="Arial"/>
          <w:sz w:val="18"/>
          <w:szCs w:val="18"/>
          <w:b w:val="1"/>
          <w:bCs w:val="1"/>
          <w:color w:val="auto"/>
        </w:rPr>
      </w:pPr>
    </w:p>
    <w:p>
      <w:pPr>
        <w:ind w:left="780"/>
        <w:spacing w:after="0"/>
        <w:rPr>
          <w:rFonts w:ascii="Arial" w:cs="Arial" w:eastAsia="Arial" w:hAnsi="Arial"/>
          <w:sz w:val="18"/>
          <w:szCs w:val="18"/>
          <w:b w:val="1"/>
          <w:bCs w:val="1"/>
          <w:color w:val="auto"/>
        </w:rPr>
      </w:pPr>
      <w:r>
        <w:rPr>
          <w:rFonts w:ascii="Arial" w:cs="Arial" w:eastAsia="Arial" w:hAnsi="Arial"/>
          <w:sz w:val="18"/>
          <w:szCs w:val="18"/>
          <w:color w:val="auto"/>
        </w:rPr>
        <w:t>IA</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2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 w:name="page3"/>
    <w:bookmarkEnd w:id="2"/>
    <w:p>
      <w:pPr>
        <w:ind w:left="120"/>
        <w:spacing w:after="0"/>
        <w:tabs>
          <w:tab w:leader="none" w:pos="5440" w:val="left"/>
          <w:tab w:leader="none" w:pos="75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4957445</wp:posOffset>
            </wp:positionH>
            <wp:positionV relativeFrom="page">
              <wp:posOffset>88900</wp:posOffset>
            </wp:positionV>
            <wp:extent cx="2383155" cy="2571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83155" cy="25717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88900</wp:posOffset>
            </wp:positionV>
            <wp:extent cx="2383155" cy="2571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83155" cy="257175"/>
                    </a:xfrm>
                    <a:prstGeom prst="rect">
                      <a:avLst/>
                    </a:prstGeom>
                    <a:noFill/>
                  </pic:spPr>
                </pic:pic>
              </a:graphicData>
            </a:graphic>
          </wp:anchor>
        </w:drawing>
        <w:t>CUSIP No. 159561109</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3 of 5 Pages</w:t>
      </w:r>
    </w:p>
    <w:p>
      <w:pPr>
        <w:sectPr>
          <w:pgSz w:w="11900" w:h="16838" w:orient="portrait"/>
          <w:cols w:equalWidth="0" w:num="1">
            <w:col w:w="11240"/>
          </w:cols>
          <w:pgMar w:left="320" w:top="202" w:right="339" w:bottom="1440" w:gutter="0" w:footer="0" w:header="0"/>
        </w:sectPr>
      </w:pPr>
    </w:p>
    <w:p>
      <w:pPr>
        <w:spacing w:after="0" w:line="3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w:t>
      </w:r>
    </w:p>
    <w:p>
      <w:pPr>
        <w:spacing w:after="0" w:line="206" w:lineRule="exact"/>
        <w:rPr>
          <w:sz w:val="20"/>
          <w:szCs w:val="20"/>
          <w:color w:val="auto"/>
        </w:rPr>
      </w:pPr>
    </w:p>
    <w:p>
      <w:pPr>
        <w:ind w:left="700" w:hanging="692"/>
        <w:spacing w:after="0"/>
        <w:tabs>
          <w:tab w:leader="none" w:pos="700" w:val="left"/>
        </w:tabs>
        <w:numPr>
          <w:ilvl w:val="0"/>
          <w:numId w:val="8"/>
        </w:numPr>
        <w:rPr>
          <w:rFonts w:ascii="Arial" w:cs="Arial" w:eastAsia="Arial" w:hAnsi="Arial"/>
          <w:sz w:val="22"/>
          <w:szCs w:val="22"/>
          <w:b w:val="1"/>
          <w:bCs w:val="1"/>
          <w:color w:val="auto"/>
        </w:rPr>
      </w:pPr>
      <w:r>
        <w:rPr>
          <w:rFonts w:ascii="Arial" w:cs="Arial" w:eastAsia="Arial" w:hAnsi="Arial"/>
          <w:sz w:val="22"/>
          <w:szCs w:val="22"/>
          <w:b w:val="1"/>
          <w:bCs w:val="1"/>
          <w:color w:val="auto"/>
        </w:rPr>
        <w:t>Name of Issuer:</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name of the issuer is Chardan Nextech Acquisition 2 Corp. (the "</w:t>
      </w:r>
      <w:r>
        <w:rPr>
          <w:rFonts w:ascii="Arial" w:cs="Arial" w:eastAsia="Arial" w:hAnsi="Arial"/>
          <w:sz w:val="22"/>
          <w:szCs w:val="22"/>
          <w:u w:val="single" w:color="auto"/>
          <w:color w:val="auto"/>
        </w:rPr>
        <w:t>Company</w:t>
      </w:r>
      <w:r>
        <w:rPr>
          <w:rFonts w:ascii="Arial" w:cs="Arial" w:eastAsia="Arial" w:hAnsi="Arial"/>
          <w:sz w:val="22"/>
          <w:szCs w:val="22"/>
          <w:color w:val="auto"/>
        </w:rPr>
        <w:t>").</w:t>
      </w:r>
    </w:p>
    <w:p>
      <w:pPr>
        <w:spacing w:after="0" w:line="200" w:lineRule="exact"/>
        <w:rPr>
          <w:sz w:val="20"/>
          <w:szCs w:val="20"/>
          <w:color w:val="auto"/>
        </w:rPr>
      </w:pPr>
    </w:p>
    <w:p>
      <w:pPr>
        <w:ind w:left="700" w:hanging="692"/>
        <w:spacing w:after="0"/>
        <w:tabs>
          <w:tab w:leader="none" w:pos="700" w:val="left"/>
        </w:tabs>
        <w:numPr>
          <w:ilvl w:val="0"/>
          <w:numId w:val="9"/>
        </w:numPr>
        <w:rPr>
          <w:rFonts w:ascii="Arial" w:cs="Arial" w:eastAsia="Arial" w:hAnsi="Arial"/>
          <w:sz w:val="22"/>
          <w:szCs w:val="22"/>
          <w:b w:val="1"/>
          <w:bCs w:val="1"/>
          <w:color w:val="auto"/>
        </w:rPr>
      </w:pPr>
      <w:r>
        <w:rPr>
          <w:rFonts w:ascii="Arial" w:cs="Arial" w:eastAsia="Arial" w:hAnsi="Arial"/>
          <w:sz w:val="22"/>
          <w:szCs w:val="22"/>
          <w:b w:val="1"/>
          <w:bCs w:val="1"/>
          <w:color w:val="auto"/>
        </w:rPr>
        <w:t>Address of Issuer's Principal Executive Offices: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Company's principal executive offices are located at 17 State Street, 21St Floor, New York, NY, 10004.</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206" w:lineRule="exact"/>
        <w:rPr>
          <w:sz w:val="20"/>
          <w:szCs w:val="20"/>
          <w:color w:val="auto"/>
        </w:rPr>
      </w:pPr>
    </w:p>
    <w:p>
      <w:pPr>
        <w:ind w:left="700" w:hanging="692"/>
        <w:spacing w:after="0"/>
        <w:tabs>
          <w:tab w:leader="none" w:pos="700" w:val="left"/>
        </w:tabs>
        <w:numPr>
          <w:ilvl w:val="0"/>
          <w:numId w:val="10"/>
        </w:numPr>
        <w:rPr>
          <w:rFonts w:ascii="Arial" w:cs="Arial" w:eastAsia="Arial" w:hAnsi="Arial"/>
          <w:sz w:val="22"/>
          <w:szCs w:val="22"/>
          <w:b w:val="1"/>
          <w:bCs w:val="1"/>
          <w:color w:val="auto"/>
        </w:rPr>
      </w:pPr>
      <w:r>
        <w:rPr>
          <w:rFonts w:ascii="Arial" w:cs="Arial" w:eastAsia="Arial" w:hAnsi="Arial"/>
          <w:sz w:val="22"/>
          <w:szCs w:val="22"/>
          <w:b w:val="1"/>
          <w:bCs w:val="1"/>
          <w:color w:val="auto"/>
        </w:rPr>
        <w:t>Name of Person Filing:</w:t>
      </w:r>
    </w:p>
    <w:p>
      <w:pPr>
        <w:spacing w:after="0" w:line="212" w:lineRule="exact"/>
        <w:rPr>
          <w:sz w:val="20"/>
          <w:szCs w:val="20"/>
          <w:color w:val="auto"/>
        </w:rPr>
      </w:pPr>
    </w:p>
    <w:p>
      <w:pPr>
        <w:jc w:val="both"/>
        <w:ind w:left="660"/>
        <w:spacing w:after="0" w:line="238" w:lineRule="auto"/>
        <w:rPr>
          <w:sz w:val="20"/>
          <w:szCs w:val="20"/>
          <w:color w:val="auto"/>
        </w:rPr>
      </w:pPr>
      <w:r>
        <w:rPr>
          <w:rFonts w:ascii="Arial" w:cs="Arial" w:eastAsia="Arial" w:hAnsi="Arial"/>
          <w:sz w:val="22"/>
          <w:szCs w:val="22"/>
          <w:color w:val="auto"/>
        </w:rPr>
        <w:t>This statement is filed by Polar Asset Management Partners Inc., a company incorporated under the laws of Ontario, Canada, which serves as the investment advisor to Polar Multi-Strategy Master Fund, a Cayman Islands exempted company ("PMSMF") and certain managed accounts (together with PMSMF, the "Polar Vehicles") with respect to the Shares (as defined below) directly held by the Polar Vehicles.</w:t>
      </w:r>
    </w:p>
    <w:p>
      <w:pPr>
        <w:spacing w:after="0" w:line="179" w:lineRule="exact"/>
        <w:rPr>
          <w:sz w:val="20"/>
          <w:szCs w:val="20"/>
          <w:color w:val="auto"/>
        </w:rPr>
      </w:pPr>
    </w:p>
    <w:p>
      <w:pPr>
        <w:ind w:left="700" w:hanging="692"/>
        <w:spacing w:after="0"/>
        <w:tabs>
          <w:tab w:leader="none" w:pos="700" w:val="left"/>
        </w:tabs>
        <w:numPr>
          <w:ilvl w:val="0"/>
          <w:numId w:val="11"/>
        </w:numPr>
        <w:rPr>
          <w:rFonts w:ascii="Arial" w:cs="Arial" w:eastAsia="Arial" w:hAnsi="Arial"/>
          <w:sz w:val="22"/>
          <w:szCs w:val="22"/>
          <w:b w:val="1"/>
          <w:bCs w:val="1"/>
          <w:color w:val="auto"/>
        </w:rPr>
      </w:pPr>
      <w:r>
        <w:rPr>
          <w:rFonts w:ascii="Arial" w:cs="Arial" w:eastAsia="Arial" w:hAnsi="Arial"/>
          <w:sz w:val="22"/>
          <w:szCs w:val="22"/>
          <w:b w:val="1"/>
          <w:bCs w:val="1"/>
          <w:color w:val="auto"/>
        </w:rPr>
        <w:t>Address of Principal Business Office or, if None, Residence:</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address of the business office of the Reporting Person is 16 York Street, Suite 2900, Toronto, ON, Canada M5J 0E6.</w:t>
      </w:r>
    </w:p>
    <w:p>
      <w:pPr>
        <w:spacing w:after="0" w:line="235" w:lineRule="exact"/>
        <w:rPr>
          <w:sz w:val="20"/>
          <w:szCs w:val="20"/>
          <w:color w:val="auto"/>
        </w:rPr>
      </w:pPr>
    </w:p>
    <w:p>
      <w:pPr>
        <w:ind w:left="700" w:hanging="692"/>
        <w:spacing w:after="0"/>
        <w:tabs>
          <w:tab w:leader="none" w:pos="700" w:val="left"/>
        </w:tabs>
        <w:numPr>
          <w:ilvl w:val="0"/>
          <w:numId w:val="12"/>
        </w:numPr>
        <w:rPr>
          <w:rFonts w:ascii="Arial" w:cs="Arial" w:eastAsia="Arial" w:hAnsi="Arial"/>
          <w:sz w:val="22"/>
          <w:szCs w:val="22"/>
          <w:b w:val="1"/>
          <w:bCs w:val="1"/>
          <w:color w:val="auto"/>
        </w:rPr>
      </w:pPr>
      <w:r>
        <w:rPr>
          <w:rFonts w:ascii="Arial" w:cs="Arial" w:eastAsia="Arial" w:hAnsi="Arial"/>
          <w:sz w:val="22"/>
          <w:szCs w:val="22"/>
          <w:b w:val="1"/>
          <w:bCs w:val="1"/>
          <w:color w:val="auto"/>
        </w:rPr>
        <w:t>Citizenship:</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citizenship of the Reporting Person is Canada.</w:t>
      </w:r>
    </w:p>
    <w:p>
      <w:pPr>
        <w:spacing w:after="0" w:line="200" w:lineRule="exact"/>
        <w:rPr>
          <w:sz w:val="20"/>
          <w:szCs w:val="20"/>
          <w:color w:val="auto"/>
        </w:rPr>
      </w:pPr>
    </w:p>
    <w:p>
      <w:pPr>
        <w:ind w:left="700" w:hanging="692"/>
        <w:spacing w:after="0"/>
        <w:tabs>
          <w:tab w:leader="none" w:pos="700" w:val="left"/>
        </w:tabs>
        <w:numPr>
          <w:ilvl w:val="0"/>
          <w:numId w:val="13"/>
        </w:numPr>
        <w:rPr>
          <w:rFonts w:ascii="Arial" w:cs="Arial" w:eastAsia="Arial" w:hAnsi="Arial"/>
          <w:sz w:val="22"/>
          <w:szCs w:val="22"/>
          <w:b w:val="1"/>
          <w:bCs w:val="1"/>
          <w:color w:val="auto"/>
        </w:rPr>
      </w:pPr>
      <w:r>
        <w:rPr>
          <w:rFonts w:ascii="Arial" w:cs="Arial" w:eastAsia="Arial" w:hAnsi="Arial"/>
          <w:sz w:val="22"/>
          <w:szCs w:val="22"/>
          <w:b w:val="1"/>
          <w:bCs w:val="1"/>
          <w:color w:val="auto"/>
        </w:rPr>
        <w:t>Title and Class of Securities: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Common Stock, par value $0.0001 per share (the "</w:t>
      </w:r>
      <w:r>
        <w:rPr>
          <w:rFonts w:ascii="Arial" w:cs="Arial" w:eastAsia="Arial" w:hAnsi="Arial"/>
          <w:sz w:val="22"/>
          <w:szCs w:val="22"/>
          <w:u w:val="single" w:color="auto"/>
          <w:color w:val="auto"/>
        </w:rPr>
        <w:t>Shares</w:t>
      </w:r>
      <w:r>
        <w:rPr>
          <w:rFonts w:ascii="Arial" w:cs="Arial" w:eastAsia="Arial" w:hAnsi="Arial"/>
          <w:sz w:val="22"/>
          <w:szCs w:val="22"/>
          <w:color w:val="auto"/>
        </w:rPr>
        <w:t>").</w:t>
      </w:r>
    </w:p>
    <w:p>
      <w:pPr>
        <w:spacing w:after="0" w:line="200" w:lineRule="exact"/>
        <w:rPr>
          <w:sz w:val="20"/>
          <w:szCs w:val="20"/>
          <w:color w:val="auto"/>
        </w:rPr>
      </w:pPr>
    </w:p>
    <w:p>
      <w:pPr>
        <w:ind w:left="700" w:hanging="692"/>
        <w:spacing w:after="0"/>
        <w:tabs>
          <w:tab w:leader="none" w:pos="700" w:val="left"/>
        </w:tabs>
        <w:numPr>
          <w:ilvl w:val="0"/>
          <w:numId w:val="14"/>
        </w:numPr>
        <w:rPr>
          <w:rFonts w:ascii="Arial" w:cs="Arial" w:eastAsia="Arial" w:hAnsi="Arial"/>
          <w:sz w:val="22"/>
          <w:szCs w:val="22"/>
          <w:b w:val="1"/>
          <w:bCs w:val="1"/>
          <w:color w:val="auto"/>
        </w:rPr>
      </w:pPr>
      <w:r>
        <w:rPr>
          <w:rFonts w:ascii="Arial" w:cs="Arial" w:eastAsia="Arial" w:hAnsi="Arial"/>
          <w:sz w:val="22"/>
          <w:szCs w:val="22"/>
          <w:b w:val="1"/>
          <w:bCs w:val="1"/>
          <w:color w:val="auto"/>
        </w:rPr>
        <w:t>CUSIP No.:</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159561109</w:t>
      </w:r>
    </w:p>
    <w:p>
      <w:pPr>
        <w:spacing w:after="0" w:line="200" w:lineRule="exact"/>
        <w:rPr>
          <w:sz w:val="20"/>
          <w:szCs w:val="20"/>
          <w:color w:val="auto"/>
        </w:rPr>
      </w:pPr>
    </w:p>
    <w:p>
      <w:pPr>
        <w:spacing w:after="0"/>
        <w:tabs>
          <w:tab w:leader="none" w:pos="96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19"/>
          <w:szCs w:val="19"/>
          <w:b w:val="1"/>
          <w:bCs w:val="1"/>
          <w:color w:val="auto"/>
        </w:rPr>
        <w:t>If this statement is filed pursuant to §§ 240.13d-1(b) or 240.13d-2(b) or (c), check whether the person filing is a:</w:t>
      </w:r>
    </w:p>
    <w:p>
      <w:pPr>
        <w:spacing w:after="0" w:line="212" w:lineRule="exact"/>
        <w:rPr>
          <w:sz w:val="20"/>
          <w:szCs w:val="20"/>
          <w:color w:val="auto"/>
        </w:rPr>
      </w:pPr>
    </w:p>
    <w:p>
      <w:pPr>
        <w:ind w:left="1320" w:hanging="664"/>
        <w:spacing w:after="0"/>
        <w:tabs>
          <w:tab w:leader="none" w:pos="1320" w:val="left"/>
        </w:tabs>
        <w:numPr>
          <w:ilvl w:val="0"/>
          <w:numId w:val="15"/>
        </w:numPr>
        <w:rPr>
          <w:rFonts w:ascii="Arial" w:cs="Arial" w:eastAsia="Arial" w:hAnsi="Arial"/>
          <w:sz w:val="22"/>
          <w:szCs w:val="22"/>
          <w:color w:val="auto"/>
        </w:rPr>
      </w:pPr>
      <w:r>
        <w:rPr>
          <w:rFonts w:ascii="Arial" w:cs="Arial" w:eastAsia="Arial" w:hAnsi="Arial"/>
          <w:sz w:val="22"/>
          <w:szCs w:val="22"/>
          <w:color w:val="auto"/>
        </w:rPr>
        <w:t>[_]</w:t>
      </w:r>
      <w:r>
        <w:rPr>
          <w:rFonts w:ascii="Arial" w:cs="Arial" w:eastAsia="Arial" w:hAnsi="Arial"/>
          <w:sz w:val="19"/>
          <w:szCs w:val="19"/>
          <w:color w:val="auto"/>
        </w:rPr>
        <w:t>Broker or dealer registered under Section 15 of the Act;</w:t>
      </w:r>
    </w:p>
    <w:p>
      <w:pPr>
        <w:spacing w:after="0" w:line="206" w:lineRule="exact"/>
        <w:rPr>
          <w:rFonts w:ascii="Arial" w:cs="Arial" w:eastAsia="Arial" w:hAnsi="Arial"/>
          <w:sz w:val="22"/>
          <w:szCs w:val="22"/>
          <w:color w:val="auto"/>
        </w:rPr>
      </w:pPr>
    </w:p>
    <w:p>
      <w:pPr>
        <w:ind w:left="1320" w:hanging="664"/>
        <w:spacing w:after="0"/>
        <w:tabs>
          <w:tab w:leader="none" w:pos="1320" w:val="left"/>
        </w:tabs>
        <w:numPr>
          <w:ilvl w:val="0"/>
          <w:numId w:val="15"/>
        </w:numPr>
        <w:rPr>
          <w:rFonts w:ascii="Arial" w:cs="Arial" w:eastAsia="Arial" w:hAnsi="Arial"/>
          <w:sz w:val="22"/>
          <w:szCs w:val="22"/>
          <w:color w:val="auto"/>
        </w:rPr>
      </w:pPr>
      <w:r>
        <w:rPr>
          <w:rFonts w:ascii="Arial" w:cs="Arial" w:eastAsia="Arial" w:hAnsi="Arial"/>
          <w:sz w:val="22"/>
          <w:szCs w:val="22"/>
          <w:color w:val="auto"/>
        </w:rPr>
        <w:t>[_]</w:t>
      </w:r>
      <w:r>
        <w:rPr>
          <w:rFonts w:ascii="Arial" w:cs="Arial" w:eastAsia="Arial" w:hAnsi="Arial"/>
          <w:sz w:val="19"/>
          <w:szCs w:val="19"/>
          <w:color w:val="auto"/>
        </w:rPr>
        <w:t>Bank as defined in Section 3(a)(6) of the Act;</w:t>
      </w:r>
    </w:p>
    <w:p>
      <w:pPr>
        <w:spacing w:after="0" w:line="206" w:lineRule="exact"/>
        <w:rPr>
          <w:rFonts w:ascii="Arial" w:cs="Arial" w:eastAsia="Arial" w:hAnsi="Arial"/>
          <w:sz w:val="22"/>
          <w:szCs w:val="22"/>
          <w:color w:val="auto"/>
        </w:rPr>
      </w:pPr>
    </w:p>
    <w:p>
      <w:pPr>
        <w:ind w:left="1320" w:hanging="664"/>
        <w:spacing w:after="0"/>
        <w:tabs>
          <w:tab w:leader="none" w:pos="1320" w:val="left"/>
        </w:tabs>
        <w:numPr>
          <w:ilvl w:val="0"/>
          <w:numId w:val="15"/>
        </w:numPr>
        <w:rPr>
          <w:rFonts w:ascii="Arial" w:cs="Arial" w:eastAsia="Arial" w:hAnsi="Arial"/>
          <w:sz w:val="22"/>
          <w:szCs w:val="22"/>
          <w:color w:val="auto"/>
        </w:rPr>
      </w:pPr>
      <w:r>
        <w:rPr>
          <w:rFonts w:ascii="Arial" w:cs="Arial" w:eastAsia="Arial" w:hAnsi="Arial"/>
          <w:sz w:val="22"/>
          <w:szCs w:val="22"/>
          <w:color w:val="auto"/>
        </w:rPr>
        <w:t>[_]</w:t>
      </w:r>
      <w:r>
        <w:rPr>
          <w:rFonts w:ascii="Arial" w:cs="Arial" w:eastAsia="Arial" w:hAnsi="Arial"/>
          <w:sz w:val="19"/>
          <w:szCs w:val="19"/>
          <w:color w:val="auto"/>
        </w:rPr>
        <w:t>Insurance company as defined in Section 3(a)(19) of the Act;</w:t>
      </w:r>
    </w:p>
    <w:p>
      <w:pPr>
        <w:spacing w:after="0" w:line="206" w:lineRule="exact"/>
        <w:rPr>
          <w:rFonts w:ascii="Arial" w:cs="Arial" w:eastAsia="Arial" w:hAnsi="Arial"/>
          <w:sz w:val="22"/>
          <w:szCs w:val="22"/>
          <w:color w:val="auto"/>
        </w:rPr>
      </w:pPr>
    </w:p>
    <w:p>
      <w:pPr>
        <w:ind w:left="1320" w:hanging="664"/>
        <w:spacing w:after="0"/>
        <w:tabs>
          <w:tab w:leader="none" w:pos="1320" w:val="left"/>
        </w:tabs>
        <w:numPr>
          <w:ilvl w:val="0"/>
          <w:numId w:val="15"/>
        </w:numPr>
        <w:rPr>
          <w:rFonts w:ascii="Arial" w:cs="Arial" w:eastAsia="Arial" w:hAnsi="Arial"/>
          <w:sz w:val="22"/>
          <w:szCs w:val="22"/>
          <w:color w:val="auto"/>
        </w:rPr>
      </w:pPr>
      <w:r>
        <w:rPr>
          <w:rFonts w:ascii="Arial" w:cs="Arial" w:eastAsia="Arial" w:hAnsi="Arial"/>
          <w:sz w:val="22"/>
          <w:szCs w:val="22"/>
          <w:color w:val="auto"/>
        </w:rPr>
        <w:t>[_]</w:t>
      </w:r>
      <w:r>
        <w:rPr>
          <w:rFonts w:ascii="Arial" w:cs="Arial" w:eastAsia="Arial" w:hAnsi="Arial"/>
          <w:sz w:val="19"/>
          <w:szCs w:val="19"/>
          <w:color w:val="auto"/>
        </w:rPr>
        <w:t>Investment company registered under Section 8 of the Investment Company Act of 1940;</w:t>
      </w:r>
    </w:p>
    <w:p>
      <w:pPr>
        <w:spacing w:after="0" w:line="206" w:lineRule="exact"/>
        <w:rPr>
          <w:rFonts w:ascii="Arial" w:cs="Arial" w:eastAsia="Arial" w:hAnsi="Arial"/>
          <w:sz w:val="22"/>
          <w:szCs w:val="22"/>
          <w:color w:val="auto"/>
        </w:rPr>
      </w:pPr>
    </w:p>
    <w:p>
      <w:pPr>
        <w:ind w:left="1320" w:hanging="664"/>
        <w:spacing w:after="0"/>
        <w:tabs>
          <w:tab w:leader="none" w:pos="1320" w:val="left"/>
        </w:tabs>
        <w:numPr>
          <w:ilvl w:val="0"/>
          <w:numId w:val="15"/>
        </w:numPr>
        <w:rPr>
          <w:rFonts w:ascii="Arial" w:cs="Arial" w:eastAsia="Arial" w:hAnsi="Arial"/>
          <w:sz w:val="22"/>
          <w:szCs w:val="22"/>
          <w:color w:val="auto"/>
        </w:rPr>
      </w:pPr>
      <w:r>
        <w:rPr>
          <w:rFonts w:ascii="Arial" w:cs="Arial" w:eastAsia="Arial" w:hAnsi="Arial"/>
          <w:sz w:val="22"/>
          <w:szCs w:val="22"/>
          <w:color w:val="auto"/>
        </w:rPr>
        <w:t>[_]</w:t>
      </w:r>
      <w:r>
        <w:rPr>
          <w:rFonts w:ascii="Arial" w:cs="Arial" w:eastAsia="Arial" w:hAnsi="Arial"/>
          <w:sz w:val="19"/>
          <w:szCs w:val="19"/>
          <w:color w:val="auto"/>
        </w:rPr>
        <w:t>An investment adviser in accordance with Rule 13d-1(b)(1)(ii)(E);</w:t>
      </w:r>
    </w:p>
    <w:p>
      <w:pPr>
        <w:spacing w:after="0" w:line="206" w:lineRule="exact"/>
        <w:rPr>
          <w:rFonts w:ascii="Arial" w:cs="Arial" w:eastAsia="Arial" w:hAnsi="Arial"/>
          <w:sz w:val="22"/>
          <w:szCs w:val="22"/>
          <w:color w:val="auto"/>
        </w:rPr>
      </w:pPr>
    </w:p>
    <w:p>
      <w:pPr>
        <w:ind w:left="1320" w:hanging="664"/>
        <w:spacing w:after="0"/>
        <w:tabs>
          <w:tab w:leader="none" w:pos="1320" w:val="left"/>
        </w:tabs>
        <w:numPr>
          <w:ilvl w:val="0"/>
          <w:numId w:val="15"/>
        </w:numPr>
        <w:rPr>
          <w:rFonts w:ascii="Arial" w:cs="Arial" w:eastAsia="Arial" w:hAnsi="Arial"/>
          <w:sz w:val="22"/>
          <w:szCs w:val="22"/>
          <w:color w:val="auto"/>
        </w:rPr>
      </w:pPr>
      <w:r>
        <w:rPr>
          <w:rFonts w:ascii="Arial" w:cs="Arial" w:eastAsia="Arial" w:hAnsi="Arial"/>
          <w:sz w:val="22"/>
          <w:szCs w:val="22"/>
          <w:color w:val="auto"/>
        </w:rPr>
        <w:t>[_]</w:t>
      </w:r>
      <w:r>
        <w:rPr>
          <w:rFonts w:ascii="Arial" w:cs="Arial" w:eastAsia="Arial" w:hAnsi="Arial"/>
          <w:sz w:val="19"/>
          <w:szCs w:val="19"/>
          <w:color w:val="auto"/>
        </w:rPr>
        <w:t>An employee benefit plan or endowment fund in accordance with Rule 13d-1(b)(1)(ii)(F);</w:t>
      </w:r>
    </w:p>
    <w:p>
      <w:pPr>
        <w:spacing w:after="0" w:line="206" w:lineRule="exact"/>
        <w:rPr>
          <w:rFonts w:ascii="Arial" w:cs="Arial" w:eastAsia="Arial" w:hAnsi="Arial"/>
          <w:sz w:val="22"/>
          <w:szCs w:val="22"/>
          <w:color w:val="auto"/>
        </w:rPr>
      </w:pPr>
    </w:p>
    <w:p>
      <w:pPr>
        <w:ind w:left="5140"/>
        <w:spacing w:after="0"/>
        <w:rPr>
          <w:rFonts w:ascii="Arial" w:cs="Arial" w:eastAsia="Arial" w:hAnsi="Arial"/>
          <w:sz w:val="22"/>
          <w:szCs w:val="22"/>
          <w:color w:val="auto"/>
        </w:rPr>
      </w:pPr>
      <w:r>
        <w:rPr>
          <w:rFonts w:ascii="Arial" w:cs="Arial" w:eastAsia="Arial" w:hAnsi="Arial"/>
          <w:sz w:val="22"/>
          <w:szCs w:val="22"/>
          <w:color w:val="auto"/>
        </w:rPr>
        <w:t>Page 3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202" w:right="339" w:bottom="1440" w:gutter="0" w:footer="0" w:header="0"/>
          <w:type w:val="continuous"/>
        </w:sectPr>
      </w:pPr>
    </w:p>
    <w:bookmarkStart w:id="3" w:name="page4"/>
    <w:bookmarkEnd w:id="3"/>
    <w:p>
      <w:pPr>
        <w:ind w:left="120"/>
        <w:spacing w:after="0"/>
        <w:tabs>
          <w:tab w:leader="none" w:pos="5440" w:val="left"/>
          <w:tab w:leader="none" w:pos="75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4957445</wp:posOffset>
            </wp:positionH>
            <wp:positionV relativeFrom="page">
              <wp:posOffset>88900</wp:posOffset>
            </wp:positionV>
            <wp:extent cx="2383155" cy="2571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83155" cy="25717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88900</wp:posOffset>
            </wp:positionV>
            <wp:extent cx="2383155" cy="2571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383155" cy="257175"/>
                    </a:xfrm>
                    <a:prstGeom prst="rect">
                      <a:avLst/>
                    </a:prstGeom>
                    <a:noFill/>
                  </pic:spPr>
                </pic:pic>
              </a:graphicData>
            </a:graphic>
          </wp:anchor>
        </w:drawing>
        <w:t>CUSIP No. 159561109</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4 of 5 Pages</w:t>
      </w:r>
    </w:p>
    <w:p>
      <w:pPr>
        <w:sectPr>
          <w:pgSz w:w="11900" w:h="16838" w:orient="portrait"/>
          <w:cols w:equalWidth="0" w:num="1">
            <w:col w:w="11240"/>
          </w:cols>
          <w:pgMar w:left="320" w:top="202" w:right="339" w:bottom="1440" w:gutter="0" w:footer="0" w:header="0"/>
        </w:sectPr>
      </w:pPr>
    </w:p>
    <w:p>
      <w:pPr>
        <w:spacing w:after="0" w:line="330" w:lineRule="exact"/>
        <w:rPr>
          <w:sz w:val="20"/>
          <w:szCs w:val="20"/>
          <w:color w:val="auto"/>
        </w:rPr>
      </w:pPr>
    </w:p>
    <w:p>
      <w:pPr>
        <w:ind w:left="1320" w:hanging="664"/>
        <w:spacing w:after="0"/>
        <w:tabs>
          <w:tab w:leader="none" w:pos="1320" w:val="left"/>
        </w:tabs>
        <w:numPr>
          <w:ilvl w:val="0"/>
          <w:numId w:val="16"/>
        </w:numPr>
        <w:rPr>
          <w:rFonts w:ascii="Arial" w:cs="Arial" w:eastAsia="Arial" w:hAnsi="Arial"/>
          <w:sz w:val="22"/>
          <w:szCs w:val="22"/>
          <w:color w:val="auto"/>
        </w:rPr>
      </w:pPr>
      <w:r>
        <w:rPr>
          <w:rFonts w:ascii="Arial" w:cs="Arial" w:eastAsia="Arial" w:hAnsi="Arial"/>
          <w:sz w:val="22"/>
          <w:szCs w:val="22"/>
          <w:color w:val="auto"/>
        </w:rPr>
        <w:t>[_]</w:t>
      </w:r>
      <w:r>
        <w:rPr>
          <w:rFonts w:ascii="Arial" w:cs="Arial" w:eastAsia="Arial" w:hAnsi="Arial"/>
          <w:sz w:val="19"/>
          <w:szCs w:val="19"/>
          <w:color w:val="auto"/>
        </w:rPr>
        <w:t>A parent holding company or control person in accordance with Rule 13d-1(b)(1)(ii)(G);</w:t>
      </w:r>
    </w:p>
    <w:p>
      <w:pPr>
        <w:spacing w:after="0" w:line="206" w:lineRule="exact"/>
        <w:rPr>
          <w:rFonts w:ascii="Arial" w:cs="Arial" w:eastAsia="Arial" w:hAnsi="Arial"/>
          <w:sz w:val="22"/>
          <w:szCs w:val="22"/>
          <w:color w:val="auto"/>
        </w:rPr>
      </w:pPr>
    </w:p>
    <w:p>
      <w:pPr>
        <w:ind w:left="1320" w:hanging="664"/>
        <w:spacing w:after="0"/>
        <w:tabs>
          <w:tab w:leader="none" w:pos="1320" w:val="left"/>
        </w:tabs>
        <w:numPr>
          <w:ilvl w:val="0"/>
          <w:numId w:val="16"/>
        </w:numPr>
        <w:rPr>
          <w:rFonts w:ascii="Arial" w:cs="Arial" w:eastAsia="Arial" w:hAnsi="Arial"/>
          <w:sz w:val="22"/>
          <w:szCs w:val="22"/>
          <w:color w:val="auto"/>
        </w:rPr>
      </w:pPr>
      <w:r>
        <w:rPr>
          <w:rFonts w:ascii="Arial" w:cs="Arial" w:eastAsia="Arial" w:hAnsi="Arial"/>
          <w:sz w:val="22"/>
          <w:szCs w:val="22"/>
          <w:color w:val="auto"/>
        </w:rPr>
        <w:t>[_]</w:t>
      </w:r>
      <w:r>
        <w:rPr>
          <w:rFonts w:ascii="Arial" w:cs="Arial" w:eastAsia="Arial" w:hAnsi="Arial"/>
          <w:sz w:val="19"/>
          <w:szCs w:val="19"/>
          <w:color w:val="auto"/>
        </w:rPr>
        <w:t>A savings associations as defined in Section 3(b) of the Federal Deposit Insurance Act (12 U.S.C. 1813);</w:t>
      </w:r>
    </w:p>
    <w:p>
      <w:pPr>
        <w:spacing w:after="0" w:line="206" w:lineRule="exact"/>
        <w:rPr>
          <w:rFonts w:ascii="Arial" w:cs="Arial" w:eastAsia="Arial" w:hAnsi="Arial"/>
          <w:sz w:val="22"/>
          <w:szCs w:val="22"/>
          <w:color w:val="auto"/>
        </w:rPr>
      </w:pPr>
    </w:p>
    <w:p>
      <w:pPr>
        <w:ind w:left="1960" w:hanging="1304"/>
        <w:spacing w:after="0" w:line="250" w:lineRule="auto"/>
        <w:tabs>
          <w:tab w:leader="none" w:pos="1329" w:val="left"/>
        </w:tabs>
        <w:numPr>
          <w:ilvl w:val="0"/>
          <w:numId w:val="16"/>
        </w:numPr>
        <w:rPr>
          <w:rFonts w:ascii="Arial" w:cs="Arial" w:eastAsia="Arial" w:hAnsi="Arial"/>
          <w:sz w:val="22"/>
          <w:szCs w:val="22"/>
          <w:color w:val="auto"/>
        </w:rPr>
      </w:pPr>
      <w:r>
        <w:rPr>
          <w:rFonts w:ascii="Arial" w:cs="Arial" w:eastAsia="Arial" w:hAnsi="Arial"/>
          <w:sz w:val="22"/>
          <w:szCs w:val="22"/>
          <w:color w:val="auto"/>
        </w:rPr>
        <w:t>[_]A church plan that is excluded from the definition of an investment company under section 3(c)(14) of the Investment Company Act of 1940;</w:t>
      </w:r>
    </w:p>
    <w:p>
      <w:pPr>
        <w:spacing w:after="0" w:line="174" w:lineRule="exact"/>
        <w:rPr>
          <w:rFonts w:ascii="Arial" w:cs="Arial" w:eastAsia="Arial" w:hAnsi="Arial"/>
          <w:sz w:val="22"/>
          <w:szCs w:val="22"/>
          <w:color w:val="auto"/>
        </w:rPr>
      </w:pPr>
    </w:p>
    <w:p>
      <w:pPr>
        <w:ind w:left="1320" w:hanging="664"/>
        <w:spacing w:after="0"/>
        <w:tabs>
          <w:tab w:leader="none" w:pos="1320" w:val="left"/>
        </w:tabs>
        <w:numPr>
          <w:ilvl w:val="0"/>
          <w:numId w:val="16"/>
        </w:numPr>
        <w:rPr>
          <w:rFonts w:ascii="Arial" w:cs="Arial" w:eastAsia="Arial" w:hAnsi="Arial"/>
          <w:sz w:val="22"/>
          <w:szCs w:val="22"/>
          <w:color w:val="auto"/>
        </w:rPr>
      </w:pPr>
      <w:r>
        <w:rPr>
          <w:rFonts w:ascii="Arial" w:cs="Arial" w:eastAsia="Arial" w:hAnsi="Arial"/>
          <w:sz w:val="22"/>
          <w:szCs w:val="22"/>
          <w:color w:val="auto"/>
        </w:rPr>
        <w:t>[X]</w:t>
      </w:r>
      <w:r>
        <w:rPr>
          <w:rFonts w:ascii="Arial" w:cs="Arial" w:eastAsia="Arial" w:hAnsi="Arial"/>
          <w:sz w:val="19"/>
          <w:szCs w:val="19"/>
          <w:color w:val="auto"/>
        </w:rPr>
        <w:t>A non-U.S. institution in accordance with Rule 240.13d-1(b)(1)(ii)(J);</w:t>
      </w:r>
    </w:p>
    <w:p>
      <w:pPr>
        <w:spacing w:after="0" w:line="206" w:lineRule="exact"/>
        <w:rPr>
          <w:rFonts w:ascii="Arial" w:cs="Arial" w:eastAsia="Arial" w:hAnsi="Arial"/>
          <w:sz w:val="22"/>
          <w:szCs w:val="22"/>
          <w:color w:val="auto"/>
        </w:rPr>
      </w:pPr>
    </w:p>
    <w:p>
      <w:pPr>
        <w:ind w:left="1320" w:hanging="664"/>
        <w:spacing w:after="0"/>
        <w:tabs>
          <w:tab w:leader="none" w:pos="1320" w:val="left"/>
        </w:tabs>
        <w:numPr>
          <w:ilvl w:val="0"/>
          <w:numId w:val="16"/>
        </w:numPr>
        <w:rPr>
          <w:rFonts w:ascii="Arial" w:cs="Arial" w:eastAsia="Arial" w:hAnsi="Arial"/>
          <w:sz w:val="22"/>
          <w:szCs w:val="22"/>
          <w:color w:val="auto"/>
        </w:rPr>
      </w:pPr>
      <w:r>
        <w:rPr>
          <w:rFonts w:ascii="Arial" w:cs="Arial" w:eastAsia="Arial" w:hAnsi="Arial"/>
          <w:sz w:val="22"/>
          <w:szCs w:val="22"/>
          <w:color w:val="auto"/>
        </w:rPr>
        <w:t>[_]</w:t>
      </w:r>
      <w:r>
        <w:rPr>
          <w:rFonts w:ascii="Arial" w:cs="Arial" w:eastAsia="Arial" w:hAnsi="Arial"/>
          <w:sz w:val="19"/>
          <w:szCs w:val="19"/>
          <w:color w:val="auto"/>
        </w:rPr>
        <w:t>Group, in accordance with Rule 240.13d-1(b)(1)(ii)(K).</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If filing as a non-U.S. institution in accordance with Rule 240.13d-1(b)(1)(ii)(J),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6953250</wp:posOffset>
            </wp:positionH>
            <wp:positionV relativeFrom="paragraph">
              <wp:posOffset>3175</wp:posOffset>
            </wp:positionV>
            <wp:extent cx="1803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157480</wp:posOffset>
            </wp:positionV>
            <wp:extent cx="26403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640330" cy="8890"/>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jc w:val="both"/>
        <w:ind w:left="660"/>
        <w:spacing w:after="0" w:line="250" w:lineRule="auto"/>
        <w:rPr>
          <w:sz w:val="20"/>
          <w:szCs w:val="20"/>
          <w:color w:val="auto"/>
        </w:rPr>
      </w:pPr>
      <w:r>
        <w:rPr>
          <w:rFonts w:ascii="Arial" w:cs="Arial" w:eastAsia="Arial" w:hAnsi="Arial"/>
          <w:sz w:val="22"/>
          <w:szCs w:val="22"/>
          <w:color w:val="auto"/>
        </w:rPr>
        <w:t>The Reporting Person is an investment fund manager, portfolio manager, exempt market dealer and commodity trading manager registered with the Ontario Securities Commission.</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Ownership</w:t>
      </w:r>
    </w:p>
    <w:p>
      <w:pPr>
        <w:spacing w:after="0" w:line="212" w:lineRule="exact"/>
        <w:rPr>
          <w:sz w:val="20"/>
          <w:szCs w:val="20"/>
          <w:color w:val="auto"/>
        </w:rPr>
      </w:pPr>
    </w:p>
    <w:p>
      <w:pPr>
        <w:jc w:val="both"/>
        <w:ind w:left="660"/>
        <w:spacing w:after="0"/>
        <w:rPr>
          <w:sz w:val="20"/>
          <w:szCs w:val="20"/>
          <w:color w:val="auto"/>
        </w:rPr>
      </w:pPr>
      <w:r>
        <w:rPr>
          <w:rFonts w:ascii="Arial" w:cs="Arial" w:eastAsia="Arial" w:hAnsi="Arial"/>
          <w:sz w:val="22"/>
          <w:szCs w:val="22"/>
          <w:color w:val="auto"/>
        </w:rPr>
        <w:t>The percentages used herein are calculated based upon 15,812,500 Shares outstanding as of November 10, 2021 as disclosed in the Company's Quarterly Report on Form 10-Q for the quarterly period ended September 30, 2021, filed with the Securities and Exchange Commission on November 15, 2021.</w:t>
      </w:r>
    </w:p>
    <w:p>
      <w:pPr>
        <w:spacing w:after="0" w:line="186" w:lineRule="exact"/>
        <w:rPr>
          <w:sz w:val="20"/>
          <w:szCs w:val="20"/>
          <w:color w:val="auto"/>
        </w:rPr>
      </w:pPr>
    </w:p>
    <w:p>
      <w:pPr>
        <w:jc w:val="both"/>
        <w:ind w:left="660"/>
        <w:spacing w:after="0" w:line="250" w:lineRule="auto"/>
        <w:rPr>
          <w:sz w:val="20"/>
          <w:szCs w:val="20"/>
          <w:color w:val="auto"/>
        </w:rPr>
      </w:pPr>
      <w:r>
        <w:rPr>
          <w:rFonts w:ascii="Arial" w:cs="Arial" w:eastAsia="Arial" w:hAnsi="Arial"/>
          <w:sz w:val="22"/>
          <w:szCs w:val="22"/>
          <w:color w:val="auto"/>
        </w:rPr>
        <w:t>The information required by Items 4(a) - (c) is set forth in Rows 5 - 11 of the cover page for the Reporting Person and is incorporated herein by reference.</w:t>
      </w:r>
    </w:p>
    <w:p>
      <w:pPr>
        <w:spacing w:after="0" w:line="169"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a Class.</w:t>
      </w:r>
    </w:p>
    <w:p>
      <w:pPr>
        <w:spacing w:after="0" w:line="212" w:lineRule="exact"/>
        <w:rPr>
          <w:sz w:val="20"/>
          <w:szCs w:val="20"/>
          <w:color w:val="auto"/>
        </w:rPr>
      </w:pPr>
    </w:p>
    <w:p>
      <w:pPr>
        <w:ind w:left="98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212" w:lineRule="exact"/>
        <w:rPr>
          <w:sz w:val="20"/>
          <w:szCs w:val="20"/>
          <w:color w:val="auto"/>
        </w:rPr>
      </w:pPr>
    </w:p>
    <w:p>
      <w:pPr>
        <w:ind w:left="980" w:right="20"/>
        <w:spacing w:after="0" w:line="250" w:lineRule="auto"/>
        <w:rPr>
          <w:sz w:val="20"/>
          <w:szCs w:val="20"/>
          <w:color w:val="auto"/>
        </w:rPr>
      </w:pPr>
      <w:r>
        <w:rPr>
          <w:rFonts w:ascii="Arial" w:cs="Arial" w:eastAsia="Arial" w:hAnsi="Arial"/>
          <w:sz w:val="22"/>
          <w:szCs w:val="22"/>
          <w:color w:val="auto"/>
        </w:rPr>
        <w:t>See Item 2. The Polar Vehicles have the right to receive or the power to direct the receipt of dividends from or the proceeds from the sale of more than 5% of the Shares.</w:t>
      </w:r>
    </w:p>
    <w:p>
      <w:pPr>
        <w:spacing w:after="0" w:line="169" w:lineRule="exact"/>
        <w:rPr>
          <w:sz w:val="20"/>
          <w:szCs w:val="20"/>
          <w:color w:val="auto"/>
        </w:rPr>
      </w:pPr>
    </w:p>
    <w:p>
      <w:pPr>
        <w:ind w:left="980" w:hanging="971"/>
        <w:spacing w:after="0" w:line="256" w:lineRule="auto"/>
        <w:tabs>
          <w:tab w:leader="none" w:pos="960" w:val="left"/>
        </w:tabs>
        <w:rPr>
          <w:sz w:val="20"/>
          <w:szCs w:val="20"/>
          <w:color w:val="auto"/>
        </w:rPr>
      </w:pPr>
      <w:r>
        <w:rPr>
          <w:rFonts w:ascii="Arial" w:cs="Arial" w:eastAsia="Arial" w:hAnsi="Arial"/>
          <w:sz w:val="22"/>
          <w:szCs w:val="22"/>
          <w:b w:val="1"/>
          <w:bCs w:val="1"/>
          <w:color w:val="auto"/>
        </w:rPr>
        <w:t>Item 7.</w:t>
        <w:tab/>
        <w:t>Identification and classification of the subsidiary which acquired the security being reported on by the parent holding company or control person.</w:t>
      </w:r>
    </w:p>
    <w:p>
      <w:pPr>
        <w:spacing w:after="0" w:line="168" w:lineRule="exact"/>
        <w:rPr>
          <w:sz w:val="20"/>
          <w:szCs w:val="20"/>
          <w:color w:val="auto"/>
        </w:rPr>
      </w:pPr>
    </w:p>
    <w:p>
      <w:pPr>
        <w:ind w:left="98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color w:val="auto"/>
        </w:rPr>
        <w:t>Identification and classification of members of the group.</w:t>
      </w:r>
    </w:p>
    <w:p>
      <w:pPr>
        <w:spacing w:after="0" w:line="212" w:lineRule="exact"/>
        <w:rPr>
          <w:sz w:val="20"/>
          <w:szCs w:val="20"/>
          <w:color w:val="auto"/>
        </w:rPr>
      </w:pPr>
    </w:p>
    <w:p>
      <w:pPr>
        <w:ind w:left="98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12" w:lineRule="exact"/>
        <w:rPr>
          <w:sz w:val="20"/>
          <w:szCs w:val="20"/>
          <w:color w:val="auto"/>
        </w:rPr>
      </w:pPr>
    </w:p>
    <w:p>
      <w:pPr>
        <w:ind w:left="980"/>
        <w:spacing w:after="0"/>
        <w:rPr>
          <w:sz w:val="20"/>
          <w:szCs w:val="20"/>
          <w:color w:val="auto"/>
        </w:rPr>
      </w:pPr>
      <w:r>
        <w:rPr>
          <w:rFonts w:ascii="Arial" w:cs="Arial" w:eastAsia="Arial" w:hAnsi="Arial"/>
          <w:sz w:val="22"/>
          <w:szCs w:val="22"/>
          <w:color w:val="auto"/>
        </w:rPr>
        <w:t>Not applicable.</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Page 4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202" w:right="339" w:bottom="1440" w:gutter="0" w:footer="0" w:header="0"/>
          <w:type w:val="continuous"/>
        </w:sectPr>
      </w:pPr>
    </w:p>
    <w:bookmarkStart w:id="4" w:name="page5"/>
    <w:bookmarkEnd w:id="4"/>
    <w:p>
      <w:pPr>
        <w:ind w:left="120"/>
        <w:spacing w:after="0"/>
        <w:tabs>
          <w:tab w:leader="none" w:pos="5440" w:val="left"/>
          <w:tab w:leader="none" w:pos="75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4957445</wp:posOffset>
            </wp:positionH>
            <wp:positionV relativeFrom="page">
              <wp:posOffset>88900</wp:posOffset>
            </wp:positionV>
            <wp:extent cx="2383155" cy="2571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383155" cy="25717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88900</wp:posOffset>
            </wp:positionV>
            <wp:extent cx="2383155" cy="2571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383155" cy="257175"/>
                    </a:xfrm>
                    <a:prstGeom prst="rect">
                      <a:avLst/>
                    </a:prstGeom>
                    <a:noFill/>
                  </pic:spPr>
                </pic:pic>
              </a:graphicData>
            </a:graphic>
          </wp:anchor>
        </w:drawing>
        <w:t>CUSIP No. 159561109</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5 of 5 Pages</w:t>
      </w:r>
    </w:p>
    <w:p>
      <w:pPr>
        <w:sectPr>
          <w:pgSz w:w="11900" w:h="16838" w:orient="portrait"/>
          <w:cols w:equalWidth="0" w:num="1">
            <w:col w:w="11240"/>
          </w:cols>
          <w:pgMar w:left="320" w:top="202" w:right="339" w:bottom="1440" w:gutter="0" w:footer="0" w:header="0"/>
        </w:sectPr>
      </w:pPr>
    </w:p>
    <w:p>
      <w:pPr>
        <w:spacing w:after="0" w:line="324" w:lineRule="exact"/>
        <w:rPr>
          <w:sz w:val="20"/>
          <w:szCs w:val="20"/>
          <w:color w:val="auto"/>
        </w:rPr>
      </w:pPr>
    </w:p>
    <w:p>
      <w:pPr>
        <w:spacing w:after="0"/>
        <w:tabs>
          <w:tab w:leader="none" w:pos="1080" w:val="left"/>
        </w:tabs>
        <w:rPr>
          <w:sz w:val="20"/>
          <w:szCs w:val="20"/>
          <w:color w:val="auto"/>
        </w:rPr>
      </w:pPr>
      <w:r>
        <w:rPr>
          <w:rFonts w:ascii="Arial" w:cs="Arial" w:eastAsia="Arial" w:hAnsi="Arial"/>
          <w:sz w:val="22"/>
          <w:szCs w:val="22"/>
          <w:b w:val="1"/>
          <w:bCs w:val="1"/>
          <w:color w:val="auto"/>
        </w:rPr>
        <w:t>Item 10.</w:t>
      </w:r>
      <w:r>
        <w:rPr>
          <w:sz w:val="20"/>
          <w:szCs w:val="20"/>
          <w:color w:val="auto"/>
        </w:rPr>
        <w:tab/>
      </w:r>
      <w:r>
        <w:rPr>
          <w:rFonts w:ascii="Arial" w:cs="Arial" w:eastAsia="Arial" w:hAnsi="Arial"/>
          <w:sz w:val="19"/>
          <w:szCs w:val="19"/>
          <w:b w:val="1"/>
          <w:bCs w:val="1"/>
          <w:color w:val="auto"/>
        </w:rPr>
        <w:t>Certifications.</w:t>
      </w:r>
    </w:p>
    <w:p>
      <w:pPr>
        <w:spacing w:after="0" w:line="212" w:lineRule="exact"/>
        <w:rPr>
          <w:sz w:val="20"/>
          <w:szCs w:val="20"/>
          <w:color w:val="auto"/>
        </w:rPr>
      </w:pPr>
    </w:p>
    <w:p>
      <w:pPr>
        <w:jc w:val="both"/>
        <w:ind w:left="660"/>
        <w:spacing w:after="0" w:line="277" w:lineRule="auto"/>
        <w:rPr>
          <w:sz w:val="20"/>
          <w:szCs w:val="20"/>
          <w:color w:val="auto"/>
        </w:rPr>
      </w:pPr>
      <w:r>
        <w:rPr>
          <w:rFonts w:ascii="Arial" w:cs="Arial" w:eastAsia="Arial" w:hAnsi="Arial"/>
          <w:sz w:val="19"/>
          <w:szCs w:val="19"/>
          <w:color w:val="auto"/>
        </w:rPr>
        <w:t>By signing below the Reporting Person certifies that, to the best of its knowledge and belief, (i)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and (ii) the foreign regulatory schemes applicable to investment fund managers and broker-dealers are substantially comparable to the regulatory schemes applicable to the functionally equivalent U.S. institutions. The Reporting Person also undertakes to furnish to the Commission staff, upon request, information that would otherwise be disclosed in a Schedule 13D.</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Dated: February 7, 2022</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POLAR ASSET MANAGEMENT PARTNERS INC.</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/s/ Andrew Ma</w:t>
      </w:r>
    </w:p>
    <w:p>
      <w:pPr>
        <w:spacing w:after="0" w:line="238" w:lineRule="auto"/>
        <w:rPr>
          <w:sz w:val="20"/>
          <w:szCs w:val="20"/>
          <w:color w:val="auto"/>
        </w:rPr>
      </w:pPr>
      <w:r>
        <w:rPr>
          <w:rFonts w:ascii="Arial" w:cs="Arial" w:eastAsia="Arial" w:hAnsi="Arial"/>
          <w:sz w:val="22"/>
          <w:szCs w:val="22"/>
          <w:color w:val="auto"/>
        </w:rPr>
        <w:t>Name: Andrew Ma</w:t>
      </w:r>
    </w:p>
    <w:p>
      <w:pPr>
        <w:spacing w:after="0"/>
        <w:tabs>
          <w:tab w:leader="none" w:pos="680" w:val="left"/>
        </w:tabs>
        <w:rPr>
          <w:sz w:val="20"/>
          <w:szCs w:val="20"/>
          <w:color w:val="auto"/>
        </w:rPr>
      </w:pPr>
      <w:r>
        <w:rPr>
          <w:rFonts w:ascii="Arial" w:cs="Arial" w:eastAsia="Arial" w:hAnsi="Arial"/>
          <w:sz w:val="22"/>
          <w:szCs w:val="22"/>
          <w:color w:val="auto"/>
        </w:rPr>
        <w:t>Title:</w:t>
        <w:tab/>
        <w:t>Chief Compliance Officer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Page 5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sectPr>
      <w:pgSz w:w="11900" w:h="16838" w:orient="portrait"/>
      <w:cols w:equalWidth="0" w:num="1">
        <w:col w:w="11240"/>
      </w:cols>
      <w:pgMar w:left="320" w:top="202"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1]"/>
      <w:numFmt w:val="upperLetter"/>
      <w:start w:val="24"/>
    </w:lvl>
  </w:abstractNum>
  <w:abstractNum w:abstractNumId="1">
    <w:nsid w:val="5BD062C2"/>
    <w:multiLevelType w:val="hybridMultilevel"/>
    <w:lvl w:ilvl="0">
      <w:lvlJc w:val="left"/>
      <w:lvlText w:val="1"/>
      <w:numFmt w:val="bullet"/>
      <w:start w:val="1"/>
    </w:lvl>
  </w:abstractNum>
  <w:abstractNum w:abstractNumId="2">
    <w:nsid w:val="12200854"/>
    <w:multiLevelType w:val="hybridMultilevel"/>
    <w:lvl w:ilvl="0">
      <w:lvlJc w:val="left"/>
      <w:lvlText w:val="2"/>
      <w:numFmt w:val="bullet"/>
      <w:start w:val="1"/>
    </w:lvl>
    <w:lvl w:ilvl="1">
      <w:lvlJc w:val="left"/>
      <w:lvlText w:val="(%2)"/>
      <w:numFmt w:val="lowerLetter"/>
      <w:start w:val="1"/>
    </w:lvl>
  </w:abstractNum>
  <w:abstractNum w:abstractNumId="3">
    <w:nsid w:val="4DB127F8"/>
    <w:multiLevelType w:val="hybridMultilevel"/>
    <w:lvl w:ilvl="0">
      <w:lvlJc w:val="left"/>
      <w:lvlText w:val="3"/>
      <w:numFmt w:val="bullet"/>
      <w:start w:val="1"/>
    </w:lvl>
  </w:abstractNum>
  <w:abstractNum w:abstractNumId="4">
    <w:nsid w:val="216231B"/>
    <w:multiLevelType w:val="hybridMultilevel"/>
    <w:lvl w:ilvl="0">
      <w:lvlJc w:val="left"/>
      <w:lvlText w:val="4"/>
      <w:numFmt w:val="bullet"/>
      <w:start w:val="1"/>
    </w:lvl>
  </w:abstractNum>
  <w:abstractNum w:abstractNumId="5">
    <w:nsid w:val="1F16E9E8"/>
    <w:multiLevelType w:val="hybridMultilevel"/>
    <w:lvl w:ilvl="0">
      <w:lvlJc w:val="left"/>
      <w:lvlText w:val="9"/>
      <w:numFmt w:val="bullet"/>
      <w:start w:val="1"/>
    </w:lvl>
  </w:abstractNum>
  <w:abstractNum w:abstractNumId="6">
    <w:nsid w:val="1190CDE7"/>
    <w:multiLevelType w:val="hybridMultilevel"/>
    <w:lvl w:ilvl="0">
      <w:lvlJc w:val="left"/>
      <w:lvlText w:val="%1"/>
      <w:numFmt w:val="decimal"/>
      <w:start w:val="10"/>
    </w:lvl>
  </w:abstractNum>
  <w:abstractNum w:abstractNumId="7">
    <w:nsid w:val="66EF438D"/>
    <w:multiLevelType w:val="hybridMultilevel"/>
    <w:lvl w:ilvl="0">
      <w:lvlJc w:val="left"/>
      <w:lvlText w:val="(%1)"/>
      <w:numFmt w:val="lowerLetter"/>
      <w:start w:val="1"/>
    </w:lvl>
  </w:abstractNum>
  <w:abstractNum w:abstractNumId="8">
    <w:nsid w:val="140E0F76"/>
    <w:multiLevelType w:val="hybridMultilevel"/>
    <w:lvl w:ilvl="0">
      <w:lvlJc w:val="left"/>
      <w:lvlText w:val="(%1)"/>
      <w:numFmt w:val="lowerLetter"/>
      <w:start w:val="2"/>
    </w:lvl>
  </w:abstractNum>
  <w:abstractNum w:abstractNumId="9">
    <w:nsid w:val="3352255A"/>
    <w:multiLevelType w:val="hybridMultilevel"/>
    <w:lvl w:ilvl="0">
      <w:lvlJc w:val="left"/>
      <w:lvlText w:val="(%1)"/>
      <w:numFmt w:val="lowerLetter"/>
      <w:start w:val="1"/>
    </w:lvl>
  </w:abstractNum>
  <w:abstractNum w:abstractNumId="10">
    <w:nsid w:val="109CF92E"/>
    <w:multiLevelType w:val="hybridMultilevel"/>
    <w:lvl w:ilvl="0">
      <w:lvlJc w:val="left"/>
      <w:lvlText w:val="(%1)"/>
      <w:numFmt w:val="lowerLetter"/>
      <w:start w:val="2"/>
    </w:lvl>
  </w:abstractNum>
  <w:abstractNum w:abstractNumId="11">
    <w:nsid w:val="DED7263"/>
    <w:multiLevelType w:val="hybridMultilevel"/>
    <w:lvl w:ilvl="0">
      <w:lvlJc w:val="left"/>
      <w:lvlText w:val="(%1)"/>
      <w:numFmt w:val="lowerLetter"/>
      <w:start w:val="3"/>
    </w:lvl>
  </w:abstractNum>
  <w:abstractNum w:abstractNumId="12">
    <w:nsid w:val="7FDCC233"/>
    <w:multiLevelType w:val="hybridMultilevel"/>
    <w:lvl w:ilvl="0">
      <w:lvlJc w:val="left"/>
      <w:lvlText w:val="(%1)"/>
      <w:numFmt w:val="lowerLetter"/>
      <w:start w:val="4"/>
    </w:lvl>
  </w:abstractNum>
  <w:abstractNum w:abstractNumId="13">
    <w:nsid w:val="1BEFD79F"/>
    <w:multiLevelType w:val="hybridMultilevel"/>
    <w:lvl w:ilvl="0">
      <w:lvlJc w:val="left"/>
      <w:lvlText w:val="(%1)"/>
      <w:numFmt w:val="lowerLetter"/>
      <w:start w:val="5"/>
    </w:lvl>
  </w:abstractNum>
  <w:abstractNum w:abstractNumId="14">
    <w:nsid w:val="41A7C4C9"/>
    <w:multiLevelType w:val="hybridMultilevel"/>
    <w:lvl w:ilvl="0">
      <w:lvlJc w:val="left"/>
      <w:lvlText w:val="(%1)"/>
      <w:numFmt w:val="lowerLetter"/>
      <w:start w:val="1"/>
    </w:lvl>
  </w:abstractNum>
  <w:abstractNum w:abstractNumId="15">
    <w:nsid w:val="6B68079A"/>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2022-02-07T10:26:20Z</dcterms:created>
  <dcterms:modified xsi:type="dcterms:W3CDTF">2022-02-07T10:26:20Z</dcterms:modified>
</cp:coreProperties>
</file>