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20"/>
                <w:szCs w:val="20"/>
                <w:color w:val="auto"/>
              </w:rPr>
            </w:pPr>
          </w:p>
        </w:tc>
        <w:tc>
          <w:tcPr>
            <w:tcW w:w="38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Pr>
          <w:p>
            <w:pPr>
              <w:spacing w:after="0"/>
              <w:rPr>
                <w:sz w:val="16"/>
                <w:szCs w:val="16"/>
                <w:color w:val="auto"/>
              </w:rPr>
            </w:pPr>
          </w:p>
        </w:tc>
        <w:tc>
          <w:tcPr>
            <w:tcW w:w="2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Operating Officer Appointment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Dragonfly Energy Holdings Corp. (the “Company”) has appointed Dr. Vickram Singh, the Company’s current Senior Vice President of Technology, as the Company’s Chief Operating Officer pursuant to an employment agreement. Dr. Singh’s employment as the Company’s Chief Operating Officer commenced on February 4, 2025.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Singh, age 31, has served as the Company’s Senior Vice President of Technology from January 2024 to February 2025. Previously, Dr. Singh served as the Company’s Director of Research and Development from April 2022 to January 2024 and as the Senior Research and Development Scientist from April 2021 to April 2022 and Research and Development Scientist from April 2020 to April 2021 for Dragonfly Energy Corp., the Company’s wholly-owned subsidiary. From August 2019 to February 2020, Dr. Singh was a Postdoctoral Research Fellow at the Lawrence Livermore National Laboratory’s Center for Global Security Research. Dr. Singh also served as a Nuclear Regulatory Commission Fellow at the University of Nevada, Reno where he received a Ph.D. in Materials Science and Engineering. He also holds a B.S. in Chemical Engineering from the University of Tennessee, Knoxville.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Dr. Singh and any other persons pursuant to which Dr. Singh was selected as an officer of the Company, Dr. Singh has no family relationships with any of the Company’s directors or executive officers, and Dr. Singh is not a party to and does not have any direct or indirect material interest in any transaction requiring disclosure under Item 404(a) of Regulation S-K under the Securities Act of 1933,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Dr. Singh’s appointment as Chief Operating Officer, the Company entered into an employment agreement with Dr. Singh (the “Employment Agreement”), dated February 1, 2025, as well as a Restrictive Covenants Agreement (the “Covenants Agreement”), the form of which is attached as Exhibit A to the Employment Agreement. The Employment agreement provides for a three-year initial employment term, with automatic three-year renewal terms thereafter, subject to 90 days’ notice of nonrenewal by either party. The Employment Agreement also provides for an initial annual base salary of $350,000 (the “Base Salary”) and a discretionary annual bonus of up to 65% of the Base Salary. Each fiscal year, Dr. Singh is also eligible to receive a long-term incentive award payable in the form of cash and/or equity awards, with a target grant date value of $550,000 in the discretion of the Company’s Compensation Committee. Under the Covenants Agreement, Dr. Singh is bound by an indefinite confidentiality obligation, a non-competition covenant during employment and for 12 months post-termination, assignment of intellectual property, and a non-solicitation covenant with respect to Company personnel and business partners during employment and for 12 months post-termination.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Dr. Singh’s is terminated by the Company without “cause” or by Dr. Singh for “good reason” (as such terms are defined in the Employment Agreement) and other than a termination in connection with a change in control as described below, Dr. Singh would be entitled to receive (i) cash severance equal to the Base Salary, payable in installments over two years following the termination date, (ii) reimbursement of monthly COBRA premiums for Dr. Singh and his dependents for up to 12 months, and (iii) vesting in full of any time-based equity awards granted by the Company to Dr. Singh (with any performance-based awards to remain eligible to vest following termination if the applicable performance conditions are satisfied).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during the period commencing three months before a change in control of the Company and ending 12 months after a change in control, Dr. Singh’s employment is terminated by the Company without cause (or as a result of the Company’s not renewing the term of the agreement) or by Dr. Singh for good reason, Dr. Singh would be entitled to receive the severance benefits described in the preceding paragraph (except that the cash severance would be 1.5 times the Base Salary and the severance would be payable in a lump sum rather than installments). In addition, Dr. Singh’s outstanding option awards granted by the Company would fully vest and be exercisable for the remainder of the term of the options. In the event any of Dr. Singh’s benefits under the Employment Agreement would be subject to an excise tax as a “parachute payment” under U.S. tax laws, Dr. Singh would be entitled to an additional payment equal to the sum of the excise tax and any additional amount necessary to put him in the same after-tax position as if no excise tax has been imposed. Dr. Singh’s right to receive the severance benefits described above is subject to his providing a release of claims to the Company and his continued compliance with the restrictive covenants in favor of the Company in the Employment Agreement, including Exhibit A thereto.</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Employment Agreement, including Exhibit A thereto, does not purport to be complete and is qualified in its entirety by reference to the full text of the Employment Agreement, a copy of which is filed herewith as Exhibit 10.1,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Employment Agreement by and between Vickram Singh and Dragonfly Energy Holdings Corp, dated February 1, 2025.</w:t>
            </w:r>
          </w:p>
        </w:tc>
      </w:t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86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500" w:type="dxa"/>
            <w:vAlign w:val="bottom"/>
          </w:tcPr>
          <w:p>
            <w:pPr>
              <w:spacing w:after="0"/>
              <w:rPr>
                <w:sz w:val="20"/>
                <w:szCs w:val="20"/>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5, 2025</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700" w:type="dxa"/>
            <w:vAlign w:val="bottom"/>
          </w:tcPr>
          <w:p>
            <w:pPr>
              <w:spacing w:after="0"/>
              <w:rPr>
                <w:sz w:val="18"/>
                <w:szCs w:val="18"/>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Employment Agreement (the “Agreement”) is made and entered into as of February 1, 2025, by and between Vickram Singh (the “Executive”) and Dragonfly Energy Holdings Corp., a Nevada corporation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desires to employ the Executive on the terms and conditions set forth herein;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Executive desires to be employed by the Company on such terms and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promises, and obligations set forth herein, the parties agree as follows:</w:t>
      </w:r>
    </w:p>
    <w:p>
      <w:pPr>
        <w:spacing w:after="0" w:line="225" w:lineRule="exact"/>
        <w:rPr>
          <w:sz w:val="20"/>
          <w:szCs w:val="20"/>
          <w:color w:val="auto"/>
        </w:rPr>
      </w:pPr>
    </w:p>
    <w:p>
      <w:pPr>
        <w:jc w:val="both"/>
        <w:ind w:firstLine="656"/>
        <w:spacing w:after="0" w:line="258" w:lineRule="auto"/>
        <w:tabs>
          <w:tab w:leader="none" w:pos="84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Section 5 of this Agreement, the Executive’s initial term of employment hereunder shall be from the period beginning on February 4, 2025 (the “Effective Date”) for a period of three years. (the “Initial Term”). Thereafter, the Agreement shall be deemed to be automatically extended, upon the same terms and conditions, for successive periods of three years, unless either party provides written notice of its intention not to extend the term at least 90 days prior to the end of the Initial Term or extension thereof. The period during which the Executive is employed by the Company hereunder is hereinafter referred to as the “Employment Term.”</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During the Employment Term, the Executive shall serve as the Chief Operating Officer of the Company, reporting to the Chief Executive Officer. In such position, the Executive shall have such duties, authority, and responsibilities as are consistent with the Executive’s position.</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During the Employment Term, the Executive shall devote substantially all of the Executive’s business time and attention to the performance of the Executive’s duties hereunder and will not engage in any other business, profession, or occupation for compensation or otherwise which would conflict or interfere with the performance of such services either directly or indirectly without the prior written consent of the Board.</w:t>
      </w:r>
    </w:p>
    <w:p>
      <w:pPr>
        <w:spacing w:after="0" w:line="180" w:lineRule="exact"/>
        <w:rPr>
          <w:sz w:val="20"/>
          <w:szCs w:val="20"/>
          <w:color w:val="auto"/>
        </w:rPr>
      </w:pPr>
    </w:p>
    <w:p>
      <w:pPr>
        <w:jc w:val="both"/>
        <w:ind w:firstLine="656"/>
        <w:spacing w:after="0" w:line="258" w:lineRule="auto"/>
        <w:tabs>
          <w:tab w:leader="none" w:pos="84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Performance</w:t>
      </w:r>
      <w:r>
        <w:rPr>
          <w:rFonts w:ascii="Times New Roman" w:cs="Times New Roman" w:eastAsia="Times New Roman" w:hAnsi="Times New Roman"/>
          <w:sz w:val="18"/>
          <w:szCs w:val="18"/>
          <w:color w:val="auto"/>
        </w:rPr>
        <w:t>. The principal place of Executive’s employment shall be the Company’s principal executive office currently located in Reno, Nevada; provided that, the Executive may be required to travel on Company business during the Employment Term. The Executive may work remotely from the Executive’s residence in Reno, Nevada so long as doing so does not interfere with the Executive’s responsibilities under this Agreement; provided, that, subject to any health or safety concerns related to the COVID-19 pandemic or other similar extraordinary circumstances, the Executive shall be required to spend on average 16 days per month in the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184" w:hanging="184"/>
        <w:spacing w:after="0"/>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the Executive an annual rate of base salary of $350,000 in periodic installments in accordance with the Company’s customary payroll practices and applicable wage payment laws, but no less frequently than monthly. The Executive’s base salary shall be reviewed at least annually by the Board and the Board may increase but not decrease the Executive’s base salary during the Employment Term. The Executive’s annual base salary, as in effect from time to time, is hereinafter referred to as “Base Salary.”</w:t>
      </w:r>
    </w:p>
    <w:p>
      <w:pPr>
        <w:spacing w:after="0" w:line="18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firstLine="652"/>
        <w:spacing w:after="0" w:line="261" w:lineRule="auto"/>
        <w:tabs>
          <w:tab w:leader="none" w:pos="15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of the Employment Term, the Executive shall be eligible to receive an annual bonus (the “Annual Bonus”) of up to 65% of the Executive’s base annual salary. The decision to provide any Annual Bonus and the amount and terms of any Annual Bonus shall be in the sole and absolute discretion of the Compensation Committee of the Board (the “Compensation Committee”).</w:t>
      </w:r>
    </w:p>
    <w:p>
      <w:pPr>
        <w:spacing w:after="0" w:line="179"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if any, will be paid within two and a half (2 1/2) months after the end of the applicable fiscal year.</w:t>
      </w:r>
    </w:p>
    <w:p>
      <w:pPr>
        <w:spacing w:after="0" w:line="225" w:lineRule="exact"/>
        <w:rPr>
          <w:rFonts w:ascii="Times New Roman" w:cs="Times New Roman" w:eastAsia="Times New Roman" w:hAnsi="Times New Roman"/>
          <w:sz w:val="18"/>
          <w:szCs w:val="18"/>
          <w:color w:val="auto"/>
        </w:rPr>
      </w:pPr>
    </w:p>
    <w:p>
      <w:pPr>
        <w:ind w:left="644" w:firstLine="652"/>
        <w:spacing w:after="0" w:line="282" w:lineRule="auto"/>
        <w:tabs>
          <w:tab w:leader="none" w:pos="15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5, in order to be eligible to receive an Annual Bonus, the Executive must be employed by the Company on the date that Annual Bonuses are paid.</w:t>
      </w:r>
    </w:p>
    <w:p>
      <w:pPr>
        <w:spacing w:after="0" w:line="162"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Long-Term Incentive Awards</w:t>
      </w:r>
      <w:r>
        <w:rPr>
          <w:rFonts w:ascii="Times New Roman" w:cs="Times New Roman" w:eastAsia="Times New Roman" w:hAnsi="Times New Roman"/>
          <w:sz w:val="18"/>
          <w:szCs w:val="18"/>
          <w:color w:val="auto"/>
        </w:rPr>
        <w:t>. With respect to each fiscal year of the Company ending during the Employment Term, the Executive shall be eligible to receive, subject to such performance, service and other conditions as the Compensation Committee deems appropriate each fiscal year, a long-term incentive award (each an “</w:t>
      </w:r>
      <w:r>
        <w:rPr>
          <w:rFonts w:ascii="Times New Roman" w:cs="Times New Roman" w:eastAsia="Times New Roman" w:hAnsi="Times New Roman"/>
          <w:sz w:val="18"/>
          <w:szCs w:val="18"/>
          <w:u w:val="single" w:color="auto"/>
          <w:color w:val="auto"/>
        </w:rPr>
        <w:t>LTI Award</w:t>
      </w:r>
      <w:r>
        <w:rPr>
          <w:rFonts w:ascii="Times New Roman" w:cs="Times New Roman" w:eastAsia="Times New Roman" w:hAnsi="Times New Roman"/>
          <w:sz w:val="18"/>
          <w:szCs w:val="18"/>
          <w:color w:val="auto"/>
        </w:rPr>
        <w:t>”) payable in the form of cash and/or equity awards, as determined in the sole discretion of the Compensation Committee. The target grant date value of each such LTI Award shall be $550,000, but such LTI Awards shall be subject to adjustment, upward or downward, in the sole discretion of the Compensation Committee. To the extent that an LTI Award is paid in the form of an equity award (which may include stock options, restricted stock, restricted stock units or any other form of equity-based award authorized under the Company’s 2022 Equity Incentive Plan (or any successor plan) (the “</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such equity awards shall be subject to the terms and conditions of such Company Equity Plan and such other terms and conditions as the Compensation Committee in its sole discretion may establish. Notwithstanding anything contained herein to the contrary, to be eligible for an LTI Award for a fiscal year, the Executive must be employed by the Company on the date the LTI Award is paid (if paid in cash) or the date an equity award is granted (to the extent the LTI Award is payable in the form of an equity award).</w:t>
      </w:r>
    </w:p>
    <w:p>
      <w:pPr>
        <w:spacing w:after="0" w:line="192"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Fringe Benefits and Perquisites</w:t>
      </w:r>
      <w:r>
        <w:rPr>
          <w:rFonts w:ascii="Times New Roman" w:cs="Times New Roman" w:eastAsia="Times New Roman" w:hAnsi="Times New Roman"/>
          <w:sz w:val="18"/>
          <w:szCs w:val="18"/>
          <w:color w:val="auto"/>
        </w:rPr>
        <w:t>. During the Employment Term, the Executive shall be entitled to fringe benefits and perquisites consistent with those provided to similarly situated executives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251460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5" w:name="page6"/>
    <w:bookmarkEnd w:id="5"/>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During the Employment Term, the Executive shall be entitled to participate in all employee benefit plans, practices, and programs maintained by the Company, as in effect from time to time (collectively, “Employee Benefit Plans”), on a basis which is no less favorable than is provided to other similarly situated executives of the Company, to the extent consistent with applicable law and the terms of the applicable Employee Benefit Plans. The Company reserves the right to amend or terminate any Employee Benefit Plans at any time in its sole discretion, subject to the terms of such Employee Benefit Plan and applicable law.</w:t>
      </w:r>
    </w:p>
    <w:p>
      <w:pPr>
        <w:spacing w:after="0" w:line="183"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Vacation; Paid Time Off</w:t>
      </w:r>
      <w:r>
        <w:rPr>
          <w:rFonts w:ascii="Times New Roman" w:cs="Times New Roman" w:eastAsia="Times New Roman" w:hAnsi="Times New Roman"/>
          <w:sz w:val="18"/>
          <w:szCs w:val="18"/>
          <w:color w:val="auto"/>
        </w:rPr>
        <w:t>. During the Employment Term, the Executive shall be entitled to twenty (20) paid vacation days per calendar year (prorated for partial years) in accordance with the Company’s vacation policies, as in effect from time to time. The Executive shall receive other paid time off in accordance with the Company’s policies for executive officers as such policies may exist from time to time and as required by applicable law.</w:t>
      </w:r>
    </w:p>
    <w:p>
      <w:pPr>
        <w:spacing w:after="0" w:line="180"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w:t>
      </w:r>
    </w:p>
    <w:p>
      <w:pPr>
        <w:spacing w:after="0" w:line="176"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shall indemnify and hold the Executive harmless to the maximum extent permitted under applicable law and the Company’s bylaws for acts and omissions in the Executive’s capacity as an officer, director, or employee of the Company.</w:t>
      </w:r>
    </w:p>
    <w:p>
      <w:pPr>
        <w:spacing w:after="0" w:line="162"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Notwithstanding any other provisions in this Agreement to the contrary, any incentive-based or other compensation paid to the Executive under this Agreement or any other agreement or arrangement with the Company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83" w:lineRule="exact"/>
        <w:rPr>
          <w:sz w:val="20"/>
          <w:szCs w:val="20"/>
          <w:color w:val="auto"/>
        </w:rPr>
      </w:pPr>
    </w:p>
    <w:p>
      <w:pPr>
        <w:jc w:val="both"/>
        <w:ind w:left="-656" w:firstLine="656"/>
        <w:spacing w:after="0" w:line="258" w:lineRule="auto"/>
        <w:tabs>
          <w:tab w:leader="none" w:pos="1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The Employment Term and the Executive’s employment hereunder may be terminated by either the Company or the Executive at any time and for any reason or for no particular reason; provided that, unless otherwise provided herein, either party shall be required to give the other party at least 30 days advance written notice of any termination of the Executive’s employment. Upon termination of the Executive’s employment during the Employment Term, the Executive shall be entitled to the compensation and benefits described in this Section 5 and shall have no further rights to any compensation or any other benefits from the Company or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6" w:name="page7"/>
    <w:bookmarkEnd w:id="6"/>
    <w:p>
      <w:pPr>
        <w:ind w:left="18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Expiration of the Term, For Cause, or Without Good Reason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0" w:firstLine="652"/>
        <w:spacing w:after="0" w:line="282" w:lineRule="auto"/>
        <w:tabs>
          <w:tab w:leader="none" w:pos="10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employment hereunder may be terminated upon either party’s failure to renew the Agreement in accordance with Section 1, by the Company for Cause or by the Executive without Good Reason and the Executive shall be entitled to receive:</w:t>
      </w:r>
    </w:p>
    <w:p>
      <w:pPr>
        <w:spacing w:after="0" w:line="161" w:lineRule="exact"/>
        <w:rPr>
          <w:rFonts w:ascii="Times New Roman" w:cs="Times New Roman" w:eastAsia="Times New Roman" w:hAnsi="Times New Roman"/>
          <w:sz w:val="18"/>
          <w:szCs w:val="18"/>
          <w:color w:val="auto"/>
        </w:rPr>
      </w:pPr>
    </w:p>
    <w:p>
      <w:pPr>
        <w:jc w:val="both"/>
        <w:ind w:left="840" w:right="20" w:firstLine="640"/>
        <w:spacing w:after="0" w:line="312" w:lineRule="auto"/>
        <w:tabs>
          <w:tab w:leader="none" w:pos="1729"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accrued but unpaid Base Salary and accrued but unused paid time off which shall be paid on the pay date immediately following the date of the Executive’s termination in accordance with the Company’s customary payroll procedures;</w:t>
      </w:r>
    </w:p>
    <w:p>
      <w:pPr>
        <w:spacing w:after="0" w:line="139" w:lineRule="exact"/>
        <w:rPr>
          <w:rFonts w:ascii="Times New Roman" w:cs="Times New Roman" w:eastAsia="Times New Roman" w:hAnsi="Times New Roman"/>
          <w:sz w:val="17"/>
          <w:szCs w:val="17"/>
          <w:color w:val="auto"/>
        </w:rPr>
      </w:pPr>
    </w:p>
    <w:p>
      <w:pPr>
        <w:ind w:left="840" w:firstLine="640"/>
        <w:spacing w:after="0" w:line="282" w:lineRule="auto"/>
        <w:tabs>
          <w:tab w:leader="none" w:pos="176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unreimbursed business expenses properly incurred by the Executive, which shall be subject to and paid in accordance with the Company’s expense reimbursement policy; and</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81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employee benefits (including equity compensation), if any, to which the Executive may be entitled under the Company’s employee benefit plans as of the date of the Executive’s termination; provided that, in no event shall the Executive be entitled to any payments in the nature of severance or termination payments except as specifically provided herein.</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Items 5.1(a)(i) through 5.1(a)(iii) are referred to herein collectively as the “Accrued Amounts.”</w:t>
      </w:r>
    </w:p>
    <w:p>
      <w:pPr>
        <w:spacing w:after="0" w:line="225" w:lineRule="exact"/>
        <w:rPr>
          <w:sz w:val="20"/>
          <w:szCs w:val="20"/>
          <w:color w:val="auto"/>
        </w:rPr>
      </w:pPr>
    </w:p>
    <w:p>
      <w:pPr>
        <w:ind w:left="1080" w:hanging="248"/>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“Cause” shall mean:</w:t>
      </w:r>
    </w:p>
    <w:p>
      <w:pPr>
        <w:spacing w:after="0" w:line="225" w:lineRule="exact"/>
        <w:rPr>
          <w:rFonts w:ascii="Times New Roman" w:cs="Times New Roman" w:eastAsia="Times New Roman" w:hAnsi="Times New Roman"/>
          <w:sz w:val="18"/>
          <w:szCs w:val="18"/>
          <w:color w:val="auto"/>
        </w:rPr>
      </w:pPr>
    </w:p>
    <w:p>
      <w:pPr>
        <w:ind w:left="840" w:right="20" w:firstLine="640"/>
        <w:spacing w:after="0" w:line="282" w:lineRule="auto"/>
        <w:tabs>
          <w:tab w:leader="none" w:pos="174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willful failure to perform the Executive’s duties (other than any such failure resulting from incapacity due to physical or mental illness);</w:t>
      </w:r>
    </w:p>
    <w:p>
      <w:pPr>
        <w:spacing w:after="0" w:line="161" w:lineRule="exact"/>
        <w:rPr>
          <w:rFonts w:ascii="Times New Roman" w:cs="Times New Roman" w:eastAsia="Times New Roman" w:hAnsi="Times New Roman"/>
          <w:sz w:val="18"/>
          <w:szCs w:val="18"/>
          <w:color w:val="auto"/>
        </w:rPr>
      </w:pPr>
    </w:p>
    <w:p>
      <w:pPr>
        <w:ind w:left="840" w:firstLine="640"/>
        <w:spacing w:after="0" w:line="282" w:lineRule="auto"/>
        <w:tabs>
          <w:tab w:leader="none" w:pos="175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willful failure to comply with any valid and legal directive of the Dragonfly Energy Holdings Corp. Board of Directors;</w:t>
      </w:r>
    </w:p>
    <w:p>
      <w:pPr>
        <w:spacing w:after="0" w:line="161" w:lineRule="exact"/>
        <w:rPr>
          <w:rFonts w:ascii="Times New Roman" w:cs="Times New Roman" w:eastAsia="Times New Roman" w:hAnsi="Times New Roman"/>
          <w:sz w:val="18"/>
          <w:szCs w:val="18"/>
          <w:color w:val="auto"/>
        </w:rPr>
      </w:pPr>
    </w:p>
    <w:p>
      <w:pPr>
        <w:ind w:left="840" w:right="20" w:firstLine="640"/>
        <w:spacing w:after="0" w:line="282" w:lineRule="auto"/>
        <w:tabs>
          <w:tab w:leader="none" w:pos="182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willful engagement in dishonesty, illegal conduct, or gross misconduct, which is, in each case, materially injurious to the Company or its affiliates;</w:t>
      </w:r>
    </w:p>
    <w:p>
      <w:pPr>
        <w:spacing w:after="0" w:line="161" w:lineRule="exact"/>
        <w:rPr>
          <w:rFonts w:ascii="Times New Roman" w:cs="Times New Roman" w:eastAsia="Times New Roman" w:hAnsi="Times New Roman"/>
          <w:sz w:val="18"/>
          <w:szCs w:val="18"/>
          <w:color w:val="auto"/>
        </w:rPr>
      </w:pPr>
    </w:p>
    <w:p>
      <w:pPr>
        <w:ind w:left="840" w:firstLine="640"/>
        <w:spacing w:after="0" w:line="282" w:lineRule="auto"/>
        <w:tabs>
          <w:tab w:leader="none" w:pos="18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embezzlement, misappropriation, or fraud, whether or not related to the Executive’s employment with the Company;</w:t>
      </w:r>
    </w:p>
    <w:p>
      <w:pPr>
        <w:spacing w:after="0" w:line="161" w:lineRule="exact"/>
        <w:rPr>
          <w:rFonts w:ascii="Times New Roman" w:cs="Times New Roman" w:eastAsia="Times New Roman" w:hAnsi="Times New Roman"/>
          <w:sz w:val="18"/>
          <w:szCs w:val="18"/>
          <w:color w:val="auto"/>
        </w:rPr>
      </w:pPr>
    </w:p>
    <w:p>
      <w:pPr>
        <w:ind w:left="840" w:firstLine="640"/>
        <w:spacing w:after="0" w:line="282" w:lineRule="auto"/>
        <w:tabs>
          <w:tab w:leader="none" w:pos="17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conviction of or plea of guilty or nolo contendere to a crime that constitutes a felony (or state law equivalent) or a crime that constitutes a misdemeanor involving moral turpitude;</w:t>
      </w:r>
    </w:p>
    <w:p>
      <w:pPr>
        <w:spacing w:after="0" w:line="161" w:lineRule="exact"/>
        <w:rPr>
          <w:rFonts w:ascii="Times New Roman" w:cs="Times New Roman" w:eastAsia="Times New Roman" w:hAnsi="Times New Roman"/>
          <w:sz w:val="18"/>
          <w:szCs w:val="18"/>
          <w:color w:val="auto"/>
        </w:rPr>
      </w:pPr>
    </w:p>
    <w:p>
      <w:pPr>
        <w:ind w:left="840" w:firstLine="640"/>
        <w:spacing w:after="0" w:line="282" w:lineRule="auto"/>
        <w:tabs>
          <w:tab w:leader="none" w:pos="17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violation of the Company’s written policies or codes of conduct, including written policies related to discrimination, harassment, performance of illegal or unethical activities, and ethical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7" w:name="page8"/>
    <w:bookmarkEnd w:id="7"/>
    <w:p>
      <w:pPr>
        <w:ind w:left="980" w:firstLine="640"/>
        <w:spacing w:after="0" w:line="282" w:lineRule="auto"/>
        <w:tabs>
          <w:tab w:leader="none" w:pos="19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breach of any material obligation under this Agreement or any other written agreement between the Executive and the Company; or</w:t>
      </w:r>
    </w:p>
    <w:p>
      <w:pPr>
        <w:spacing w:after="0" w:line="161" w:lineRule="exact"/>
        <w:rPr>
          <w:rFonts w:ascii="Times New Roman" w:cs="Times New Roman" w:eastAsia="Times New Roman" w:hAnsi="Times New Roman"/>
          <w:sz w:val="18"/>
          <w:szCs w:val="18"/>
          <w:color w:val="auto"/>
        </w:rPr>
      </w:pPr>
    </w:p>
    <w:p>
      <w:pPr>
        <w:ind w:left="980" w:firstLine="640"/>
        <w:spacing w:after="0" w:line="282" w:lineRule="auto"/>
        <w:tabs>
          <w:tab w:leader="none" w:pos="20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engagement in conduct that brings the Company negative publicity or into public disgrace, embarrassment, or disrepute.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For purposes of this provision, none of the Executive’s acts or failures to act shall be considered “willful” unless the Executive acts, or fails to act, in bad faith or without reasonable belief that the action or failure to act was in the best interests of the Company. The Executive’s actions, or failures to act, based upon authority given pursuant to a resolution duly adopted by the Board or upon the advice of counsel for the Company shall be conclusively presumed to be in good faith and in the best interests of the Company.</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Except for a failure, breach, or refusal which, by its nature, cannot reasonably be expected to be cured, the Executive shall have 40 business days from the delivery of written notice by the Company within which to cure any acts constituting Cause.</w:t>
      </w:r>
    </w:p>
    <w:p>
      <w:pPr>
        <w:spacing w:after="0" w:line="162" w:lineRule="exact"/>
        <w:rPr>
          <w:sz w:val="20"/>
          <w:szCs w:val="20"/>
          <w:color w:val="auto"/>
        </w:rPr>
      </w:pPr>
    </w:p>
    <w:p>
      <w:pPr>
        <w:ind w:left="20" w:firstLine="653"/>
        <w:spacing w:after="0" w:line="282" w:lineRule="auto"/>
        <w:tabs>
          <w:tab w:leader="none" w:pos="9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“Good Reason” shall mean the occurrence of any of the following, in each case during the Employment Term without the Executive’s prior written consent:</w:t>
      </w:r>
    </w:p>
    <w:p>
      <w:pPr>
        <w:spacing w:after="0" w:line="161" w:lineRule="exact"/>
        <w:rPr>
          <w:rFonts w:ascii="Times New Roman" w:cs="Times New Roman" w:eastAsia="Times New Roman" w:hAnsi="Times New Roman"/>
          <w:sz w:val="18"/>
          <w:szCs w:val="18"/>
          <w:color w:val="auto"/>
        </w:rPr>
      </w:pPr>
    </w:p>
    <w:p>
      <w:pPr>
        <w:ind w:left="980" w:firstLine="640"/>
        <w:spacing w:after="0" w:line="282" w:lineRule="auto"/>
        <w:tabs>
          <w:tab w:leader="none" w:pos="18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Executive’s Base Salary other than a general reduction in Base Salary that affects all similarly situated executives in substantially the same proportions;</w:t>
      </w:r>
    </w:p>
    <w:p>
      <w:pPr>
        <w:spacing w:after="0" w:line="161" w:lineRule="exact"/>
        <w:rPr>
          <w:rFonts w:ascii="Times New Roman" w:cs="Times New Roman" w:eastAsia="Times New Roman" w:hAnsi="Times New Roman"/>
          <w:sz w:val="18"/>
          <w:szCs w:val="18"/>
          <w:color w:val="auto"/>
        </w:rPr>
      </w:pPr>
    </w:p>
    <w:p>
      <w:pPr>
        <w:ind w:left="1880" w:hanging="260"/>
        <w:spacing w:after="0"/>
        <w:tabs>
          <w:tab w:leader="none" w:pos="1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the Executive’s principal place of employment by more than 50 miles;</w:t>
      </w:r>
    </w:p>
    <w:p>
      <w:pPr>
        <w:spacing w:after="0" w:line="225" w:lineRule="exact"/>
        <w:rPr>
          <w:rFonts w:ascii="Times New Roman" w:cs="Times New Roman" w:eastAsia="Times New Roman" w:hAnsi="Times New Roman"/>
          <w:sz w:val="18"/>
          <w:szCs w:val="18"/>
          <w:color w:val="auto"/>
        </w:rPr>
      </w:pPr>
    </w:p>
    <w:p>
      <w:pPr>
        <w:ind w:left="980" w:firstLine="640"/>
        <w:spacing w:after="0" w:line="282" w:lineRule="auto"/>
        <w:tabs>
          <w:tab w:leader="none" w:pos="194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the Company of any material provision of this Agreement or any material provision of any other agreement between the Executive and the Company;</w:t>
      </w:r>
    </w:p>
    <w:p>
      <w:pPr>
        <w:spacing w:after="0" w:line="161" w:lineRule="exact"/>
        <w:rPr>
          <w:rFonts w:ascii="Times New Roman" w:cs="Times New Roman" w:eastAsia="Times New Roman" w:hAnsi="Times New Roman"/>
          <w:sz w:val="18"/>
          <w:szCs w:val="18"/>
          <w:color w:val="auto"/>
        </w:rPr>
      </w:pPr>
    </w:p>
    <w:p>
      <w:pPr>
        <w:jc w:val="both"/>
        <w:ind w:left="980" w:firstLine="640"/>
        <w:spacing w:after="0" w:line="266" w:lineRule="auto"/>
        <w:tabs>
          <w:tab w:leader="none" w:pos="193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obtain an agreement from any successor to the Company to assume and agree to perform this Agreement in the same manner and to the same extent that the Company would be required to perform if no succession had taken place, except where such assumption occurs by operation of law;</w:t>
      </w:r>
    </w:p>
    <w:p>
      <w:pPr>
        <w:spacing w:after="0" w:line="175" w:lineRule="exact"/>
        <w:rPr>
          <w:rFonts w:ascii="Times New Roman" w:cs="Times New Roman" w:eastAsia="Times New Roman" w:hAnsi="Times New Roman"/>
          <w:sz w:val="18"/>
          <w:szCs w:val="18"/>
          <w:color w:val="auto"/>
        </w:rPr>
      </w:pPr>
    </w:p>
    <w:p>
      <w:pPr>
        <w:ind w:left="980" w:right="20" w:firstLine="640"/>
        <w:spacing w:after="0" w:line="282" w:lineRule="auto"/>
        <w:tabs>
          <w:tab w:leader="none" w:pos="188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in the Executive’s title, authority, duties, or responsibilities (other than temporarily while the Executive is physically or mentally incapacitated or as required by applicable law); or</w:t>
      </w:r>
    </w:p>
    <w:p>
      <w:pPr>
        <w:spacing w:after="0" w:line="161" w:lineRule="exact"/>
        <w:rPr>
          <w:rFonts w:ascii="Times New Roman" w:cs="Times New Roman" w:eastAsia="Times New Roman" w:hAnsi="Times New Roman"/>
          <w:sz w:val="18"/>
          <w:szCs w:val="18"/>
          <w:color w:val="auto"/>
        </w:rPr>
      </w:pPr>
    </w:p>
    <w:p>
      <w:pPr>
        <w:ind w:left="1920" w:hanging="300"/>
        <w:spacing w:after="0"/>
        <w:tabs>
          <w:tab w:leader="none" w:pos="1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in the reporting structure applicable 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8" w:name="page9"/>
    <w:bookmarkEnd w:id="8"/>
    <w:p>
      <w:pPr>
        <w:jc w:val="both"/>
        <w:ind w:left="640" w:firstLine="1296"/>
        <w:spacing w:after="0" w:line="256" w:lineRule="auto"/>
        <w:rPr>
          <w:sz w:val="20"/>
          <w:szCs w:val="20"/>
          <w:color w:val="auto"/>
        </w:rPr>
      </w:pPr>
      <w:r>
        <w:rPr>
          <w:rFonts w:ascii="Times New Roman" w:cs="Times New Roman" w:eastAsia="Times New Roman" w:hAnsi="Times New Roman"/>
          <w:sz w:val="18"/>
          <w:szCs w:val="18"/>
          <w:color w:val="auto"/>
        </w:rPr>
        <w:t>To terminate the Executive’s employment for Good Reason, the Executive must provide written notice to the Company of the existence of the circumstances providing grounds for termination for Good Reason within 15 days of the initial existence of such grounds and the Company must have at least 10 days from the date on which such notice is provided to cure such circumstances. If the Executive does not terminate the Executive’s employment for Good Reason within 40 days after the first occurrence of the applicable grounds, then the Executive will be deemed to have waived the Executive’s right to terminate for Good Reason with respect to such grounds.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Without Cause or for Good Reason</w:t>
      </w:r>
      <w:r>
        <w:rPr>
          <w:rFonts w:ascii="Times New Roman" w:cs="Times New Roman" w:eastAsia="Times New Roman" w:hAnsi="Times New Roman"/>
          <w:sz w:val="18"/>
          <w:szCs w:val="18"/>
          <w:color w:val="auto"/>
        </w:rPr>
        <w:t>. The Employment Term and the Executive’s employment hereunder may be terminated by the Executive for Good Reason or by the Company without Cause. In the event of such termination, the Executive shall be entitled to receive the Accrued Amounts and subject to the Executive’s compliance with Section 6 of this Agreement and the agreements referenced therein and the Executive’s execution, within 21 days following receipt, of a release of claims in favor of the Company, its affiliates and their respective officers and directors in a form provided by the Company (the “Release”) (such 21-day period, the “Release Execution Period”), and the Release becoming effective according to its terms, the Executive shall be entitled to receive the following:</w:t>
      </w:r>
    </w:p>
    <w:p>
      <w:pPr>
        <w:spacing w:after="0" w:line="187" w:lineRule="exact"/>
        <w:rPr>
          <w:sz w:val="20"/>
          <w:szCs w:val="20"/>
          <w:color w:val="auto"/>
        </w:rPr>
      </w:pPr>
    </w:p>
    <w:p>
      <w:pPr>
        <w:jc w:val="both"/>
        <w:ind w:left="640" w:firstLine="652"/>
        <w:spacing w:after="0" w:line="261" w:lineRule="auto"/>
        <w:tabs>
          <w:tab w:leader="none" w:pos="154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installment payments payable in accordance with the Company’s normal payroll practices, but no less frequently than monthly, which are in the aggregate equal to the Executive’s Base Salary for the year that includes the date of the Executive’s</w:t>
      </w:r>
    </w:p>
    <w:p>
      <w:pPr>
        <w:jc w:val="both"/>
        <w:ind w:left="640"/>
        <w:spacing w:after="0" w:line="231" w:lineRule="auto"/>
        <w:rPr>
          <w:sz w:val="20"/>
          <w:szCs w:val="20"/>
          <w:color w:val="auto"/>
        </w:rPr>
      </w:pPr>
      <w:r>
        <w:rPr>
          <w:rFonts w:ascii="Times New Roman" w:cs="Times New Roman" w:eastAsia="Times New Roman" w:hAnsi="Times New Roman"/>
          <w:sz w:val="18"/>
          <w:szCs w:val="18"/>
          <w:color w:val="auto"/>
        </w:rPr>
        <w:t>termination, which shall begin within 30 days following the date of the Executive’s termination and continue until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Executive’s date of termination; provided that, if the Release Execution Period begins in one taxable year and ends in another taxable year, payments shall not begin until the beginning of the second taxable year; provided further that, the first installment payment shall include all amounts that would otherwise have been paid to the Executive during the period beginning on the date of the Executive’s termination and ending on the first payment date if no delay had been imposed;</w:t>
      </w:r>
    </w:p>
    <w:p>
      <w:pPr>
        <w:spacing w:after="0" w:line="200" w:lineRule="exact"/>
        <w:rPr>
          <w:sz w:val="20"/>
          <w:szCs w:val="20"/>
          <w:color w:val="auto"/>
        </w:rPr>
      </w:pPr>
    </w:p>
    <w:p>
      <w:pPr>
        <w:jc w:val="both"/>
        <w:ind w:left="640" w:firstLine="652"/>
        <w:spacing w:after="0" w:line="253" w:lineRule="auto"/>
        <w:tabs>
          <w:tab w:leader="none" w:pos="159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timely and properly elects health continuation coverage under the Consolidated Omnibus Budget Reconciliation Act of 1985 (“COBRA”), the Company shall reimburse the Executive for the monthly COBRA premium paid by the Executive for the Executive and the Executive’s dependents. Such reimbursement shall be paid to the Executive on the first of the month immediately following the month in which the Executive timely remits the premium payment. The Executive shall be eligible to receive such reimbursement until the earliest of: (i) the twelve-month anniversary of the date of the Executive’s termination; (ii) the date the Executive is no longer eligible to receive COBRA continuation coverage; and (iii) the date on which the Executive receives substantially similar coverage from another employer or other source. Notwithstanding the foregoing, if the Company’s making payments under this Section 5.2(b) would violate the nondiscrimination rules applicable to non-grandfathered, insured group health plans under the Affordable Care Act (the “ACA”), or result in the imposition of penalties under the ACA and the related regulations and guidance promulgated thereunder, the parties agree to reform this Section 5.2(b) in a manner as is necessary to comply with the ACA.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271780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9" w:name="page10"/>
    <w:bookmarkEnd w:id="9"/>
    <w:p>
      <w:pPr>
        <w:ind w:left="180" w:firstLine="652"/>
        <w:spacing w:after="0" w:line="282" w:lineRule="auto"/>
        <w:tabs>
          <w:tab w:leader="none" w:pos="10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the Dragonfly Energy Holdings Corp. Equity Incentive Plan and all successor plans or any applicable award agreements:</w:t>
      </w:r>
    </w:p>
    <w:p>
      <w:pPr>
        <w:spacing w:after="0" w:line="161" w:lineRule="exact"/>
        <w:rPr>
          <w:rFonts w:ascii="Times New Roman" w:cs="Times New Roman" w:eastAsia="Times New Roman" w:hAnsi="Times New Roman"/>
          <w:sz w:val="18"/>
          <w:szCs w:val="18"/>
          <w:color w:val="auto"/>
        </w:rPr>
      </w:pPr>
    </w:p>
    <w:p>
      <w:pPr>
        <w:jc w:val="both"/>
        <w:ind w:left="540" w:firstLine="641"/>
        <w:spacing w:after="0" w:line="261" w:lineRule="auto"/>
        <w:tabs>
          <w:tab w:leader="none" w:pos="141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do not vest based on the attainment of performance goals shall become fully vested and the restrictions thereon shall lapse; provided that, any delays in the settlement or payment of such awards that are set forth in the applicable award agreement and that are required under Section 409A (“Section 409A”) of the Internal Revenue Code of 1986, as amended (the “Code”) shall remain in effect; and</w:t>
      </w:r>
    </w:p>
    <w:p>
      <w:pPr>
        <w:spacing w:after="0" w:line="179" w:lineRule="exact"/>
        <w:rPr>
          <w:rFonts w:ascii="Times New Roman" w:cs="Times New Roman" w:eastAsia="Times New Roman" w:hAnsi="Times New Roman"/>
          <w:sz w:val="18"/>
          <w:szCs w:val="18"/>
          <w:color w:val="auto"/>
        </w:rPr>
      </w:pPr>
    </w:p>
    <w:p>
      <w:pPr>
        <w:jc w:val="both"/>
        <w:ind w:left="540" w:firstLine="641"/>
        <w:spacing w:after="0" w:line="266" w:lineRule="auto"/>
        <w:tabs>
          <w:tab w:leader="none" w:pos="146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vest based on the attainment of performance goals shall remain outstanding and shall vest or be forfeited in accordance with the terms of the applicable award agreements, if the applicable performance goals are satisfied.</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Change in Control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52"/>
        <w:spacing w:after="0" w:line="253" w:lineRule="auto"/>
        <w:tabs>
          <w:tab w:leader="none" w:pos="11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contained herein, if the Executive’s employment hereunder is terminated by the Executive for Good Reason or by the Company on account of its failure to renew the Agreement in accordance with Section 1 or without Cause (other than on account of the Executive’s death or Disability), in each case three months before or twelve (12) months following a Change in Control, the Executive shall be entitled to receive the Accrued Amounts and subject to the Executive’s compliance with Section 6 of this Agreement and the Executive’s execution of a Release which becomes effective within 21 days following the Termination Date, the Executive shall be entitled to receive a lump sum payment equal to one and a half (1½) times the sum of the Executive’s Base Salary for the year in which the Termination Date occurs (or if greater, the year immediately preceding the year in which the Change in Control occurs), which shall be paid within 30 days following the Termination Date; provided that, if the Release Execution Period begins in one taxable year and ends in another taxable year, payment shall not be made until the beginning of the second taxable year.</w:t>
      </w:r>
    </w:p>
    <w:p>
      <w:pPr>
        <w:spacing w:after="0" w:line="194"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0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timely and properly elects health plan continuation coverage under COBRA, the Company shall reimburse the Executive for the monthly COBRA premium paid by the Executive for the Executive and the Executive’s dependents. Such reimbursement shall be paid to the Executive on the first of the month immediately following the month in which the Executive timely remits the premium payment. The Executive shall be eligible to receive such reimbursement until the earliest of: (i) the twelve-month anniversary of the Termination Date; (ii) the date the Executive is no longer eligible to receive COBRA continuation coverage; and (iii) the date on which the Executive receives substantially similar coverage from another employer or other source. Notwithstanding the foregoing, if the Company’s payments under this Section 5.3(b) would violate the nondiscrimination rules applicable to non-grandfathered, insured group plans under the ACA, or result in the imposition of penalties under the ACA, the parties agree to reform this Section 5.3(b) in a manner as is necessary to comply with the ACA.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 w:name="page11"/>
    <w:bookmarkEnd w:id="10"/>
    <w:p>
      <w:pPr>
        <w:ind w:left="1080" w:hanging="248"/>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any equity incentive plan or award agreements, as applicable:</w:t>
      </w:r>
    </w:p>
    <w:p>
      <w:pPr>
        <w:spacing w:after="0" w:line="225" w:lineRule="exact"/>
        <w:rPr>
          <w:rFonts w:ascii="Times New Roman" w:cs="Times New Roman" w:eastAsia="Times New Roman" w:hAnsi="Times New Roman"/>
          <w:sz w:val="18"/>
          <w:szCs w:val="18"/>
          <w:color w:val="auto"/>
        </w:rPr>
      </w:pPr>
    </w:p>
    <w:p>
      <w:pPr>
        <w:ind w:left="840" w:firstLine="640"/>
        <w:spacing w:after="0" w:line="282" w:lineRule="auto"/>
        <w:tabs>
          <w:tab w:leader="none" w:pos="172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unvested stock options granted to the Executive during the Employment Term shall become fully vested and exercisable for the remainder of their full term;</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do not vest based on the attainment of performance goals shall become fully vested and the restrictions thereon shall lapse; provided that, any delays in the settlement or payment of such awards that are set forth in the applicable award agreement and that are required under Section 409A shall remain in effect; and</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82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vest based on the attainment of performance goals shall remain outstanding and shall vest or be forfeited in accordance with the terms of the applicable award agreements, if the applicable performance goals are satisfied.</w:t>
      </w:r>
    </w:p>
    <w:p>
      <w:pPr>
        <w:spacing w:after="0" w:line="175" w:lineRule="exact"/>
        <w:rPr>
          <w:rFonts w:ascii="Times New Roman" w:cs="Times New Roman" w:eastAsia="Times New Roman" w:hAnsi="Times New Roman"/>
          <w:sz w:val="18"/>
          <w:szCs w:val="18"/>
          <w:color w:val="auto"/>
        </w:rPr>
      </w:pPr>
    </w:p>
    <w:p>
      <w:pPr>
        <w:ind w:left="1100" w:hanging="268"/>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“Change in Control” shall mean the occurrence of any of the following after the Effective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jc w:val="both"/>
        <w:ind w:left="840" w:firstLine="640"/>
        <w:spacing w:after="0" w:line="258" w:lineRule="auto"/>
        <w:tabs>
          <w:tab w:leader="none" w:pos="17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person (or more than one person acting as a group) acquires ownership of stock of the Company that, together with the stock held by such person or group, constitutes more than 50% of the total fair market value or total voting power of the stock of such corporation; provided that, a Change in Control shall not occur if any person (or more than one person acting as a group) owns more than 50% of the total fair market value or total voting power of the Company’s stock and acquires additional stock;</w:t>
      </w:r>
    </w:p>
    <w:p>
      <w:pPr>
        <w:spacing w:after="0" w:line="183"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person (or more than one person acting as a group) acquires (or has acquired during the twelve-month period ending on the date of the most recent acquisition) ownership of the Company’s stock possessing 30% or more of the total voting power of the Company’s stock;</w:t>
      </w:r>
    </w:p>
    <w:p>
      <w:pPr>
        <w:spacing w:after="0" w:line="175" w:lineRule="exact"/>
        <w:rPr>
          <w:rFonts w:ascii="Times New Roman" w:cs="Times New Roman" w:eastAsia="Times New Roman" w:hAnsi="Times New Roman"/>
          <w:sz w:val="18"/>
          <w:szCs w:val="18"/>
          <w:color w:val="auto"/>
        </w:rPr>
      </w:pPr>
    </w:p>
    <w:p>
      <w:pPr>
        <w:ind w:left="840" w:firstLine="640"/>
        <w:spacing w:after="0" w:line="282" w:lineRule="auto"/>
        <w:tabs>
          <w:tab w:leader="none" w:pos="18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are replaced during any twelve-month period by directors whose appointment or election is not endorsed by a majority of the Board before the date of appointment or election; or</w:t>
      </w:r>
    </w:p>
    <w:p>
      <w:pPr>
        <w:spacing w:after="0" w:line="161" w:lineRule="exact"/>
        <w:rPr>
          <w:rFonts w:ascii="Times New Roman" w:cs="Times New Roman" w:eastAsia="Times New Roman" w:hAnsi="Times New Roman"/>
          <w:sz w:val="18"/>
          <w:szCs w:val="18"/>
          <w:color w:val="auto"/>
        </w:rPr>
      </w:pPr>
    </w:p>
    <w:p>
      <w:pPr>
        <w:ind w:left="1780" w:hanging="300"/>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the Company’s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 w:name="page12"/>
    <w:bookmarkEnd w:id="11"/>
    <w:p>
      <w:pPr>
        <w:jc w:val="both"/>
        <w:ind w:left="640" w:firstLine="1296"/>
        <w:spacing w:after="0" w:line="266" w:lineRule="auto"/>
        <w:rPr>
          <w:sz w:val="20"/>
          <w:szCs w:val="20"/>
          <w:color w:val="auto"/>
        </w:rPr>
      </w:pPr>
      <w:r>
        <w:rPr>
          <w:rFonts w:ascii="Times New Roman" w:cs="Times New Roman" w:eastAsia="Times New Roman" w:hAnsi="Times New Roman"/>
          <w:sz w:val="18"/>
          <w:szCs w:val="18"/>
          <w:color w:val="auto"/>
        </w:rPr>
        <w:t>Notwithstanding the foregoing, a Change in Control shall not occur unless such transaction constitutes a change in the ownership of the Company, a change in effective control of the Company, or a change in the ownership of a substantial portion of the Company’s assets under Section 409A.</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firstLine="652"/>
        <w:spacing w:after="0" w:line="282" w:lineRule="auto"/>
        <w:tabs>
          <w:tab w:leader="none" w:pos="15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employment hereunder shall terminate automatically upon the Executive’s death during the Employment Term, and the Company may terminate the Executive’s employment on account of the Executive’s Disability.</w:t>
      </w:r>
    </w:p>
    <w:p>
      <w:pPr>
        <w:spacing w:after="0" w:line="161" w:lineRule="exact"/>
        <w:rPr>
          <w:rFonts w:ascii="Times New Roman" w:cs="Times New Roman" w:eastAsia="Times New Roman" w:hAnsi="Times New Roman"/>
          <w:sz w:val="18"/>
          <w:szCs w:val="18"/>
          <w:color w:val="auto"/>
        </w:rPr>
      </w:pPr>
    </w:p>
    <w:p>
      <w:pPr>
        <w:ind w:left="640" w:firstLine="652"/>
        <w:spacing w:after="0" w:line="282" w:lineRule="auto"/>
        <w:tabs>
          <w:tab w:leader="none" w:pos="15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during the Employment Term on account of the Executive’s death or Disability, the Executive (or the Executive’s estate and/or beneficiaries, as the case may be) shall be entitled to receive the following:</w:t>
      </w:r>
    </w:p>
    <w:p>
      <w:pPr>
        <w:spacing w:after="0" w:line="161" w:lineRule="exact"/>
        <w:rPr>
          <w:rFonts w:ascii="Times New Roman" w:cs="Times New Roman" w:eastAsia="Times New Roman" w:hAnsi="Times New Roman"/>
          <w:sz w:val="18"/>
          <w:szCs w:val="18"/>
          <w:color w:val="auto"/>
        </w:rPr>
      </w:pPr>
    </w:p>
    <w:p>
      <w:pPr>
        <w:ind w:left="2160" w:hanging="220"/>
        <w:spacing w:after="0"/>
        <w:tabs>
          <w:tab w:leader="none" w:pos="21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Amounts; and</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58" w:lineRule="auto"/>
        <w:tabs>
          <w:tab w:leader="none" w:pos="222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the Annual Bonus, if any, that the Executive would have earned for the fiscal year that includes the date of the Executive’s termination based on the achievement of applicable performance goals for such year, which shall be payable on the date that annual bonuses are paid to the Company’s similarly situated executives, but in no event later than two-and-a-half (2 1/2) months following the end of the fiscal year that includes the date of the Executive’s termination.</w:t>
      </w:r>
    </w:p>
    <w:p>
      <w:pPr>
        <w:spacing w:after="0" w:line="183" w:lineRule="exact"/>
        <w:rPr>
          <w:sz w:val="20"/>
          <w:szCs w:val="20"/>
          <w:color w:val="auto"/>
        </w:rPr>
      </w:pPr>
    </w:p>
    <w:p>
      <w:pPr>
        <w:ind w:left="1300" w:firstLine="1296"/>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contained herein, all payments made in connection with the Executive’s Disability shall be provided in a manner which is consistent with federal and state law.</w:t>
      </w:r>
    </w:p>
    <w:p>
      <w:pPr>
        <w:spacing w:after="0" w:line="162" w:lineRule="exact"/>
        <w:rPr>
          <w:sz w:val="20"/>
          <w:szCs w:val="20"/>
          <w:color w:val="auto"/>
        </w:rPr>
      </w:pPr>
    </w:p>
    <w:p>
      <w:pPr>
        <w:jc w:val="both"/>
        <w:ind w:left="640" w:firstLine="652"/>
        <w:spacing w:after="0" w:line="256" w:lineRule="auto"/>
        <w:tabs>
          <w:tab w:leader="none" w:pos="15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“Disability” shall mean the Executive’s inability, due to physical or mental incapacity, to perform the essential functions of the Executive’s job, with or without reasonable accommodation, for one hundred eighty (180) days out of any three hundred sixty-five (365) day period or one hundred twenty (120) consecutive days. Any question as to the existence of the Executive’s Disability as to which the Executive and the Company cannot agree shall be determined in writing by a qualified independent physician mutually acceptable to the Executive and the Company. The determination of Disability made in writing to the Company and the Executive shall be final and conclusive for all purposes of this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the Executive’s employment hereunder by the Company or by the Executive during the Employment Term (other than termination pursuant to Section 5.4(a) on account of the Executive’s death) shall be communicated by written notice of termination (“Notice of Termination”) to the other party hereto in accordance with Section 15. The Notice of Termination shall specify: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termination provision of this Agreement relied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2" w:name="page13"/>
    <w:bookmarkEnd w:id="12"/>
    <w:p>
      <w:pPr>
        <w:ind w:left="644" w:firstLine="652"/>
        <w:spacing w:after="0" w:line="282" w:lineRule="auto"/>
        <w:tabs>
          <w:tab w:leader="none" w:pos="15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the facts and circumstances claimed to provide a basis for termination of the Executive’s employment under the provision so indicated; and</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5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date of termination, which shall be no less than 30 days following the date on which the Notice of Termination is delivered if the Company terminates the Executive’s employment without Cause, or no less than 30 days following the date on which the Notice of Termination is delivered if the Executive terminates the Executive’s employment with or without Good Reason; provided that, the Company shall have the option to provide the Executive with a lump sum payment in lieu of such notice.</w:t>
      </w:r>
    </w:p>
    <w:p>
      <w:pPr>
        <w:spacing w:after="0" w:line="180"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Resignation of All Other Positions</w:t>
      </w:r>
      <w:r>
        <w:rPr>
          <w:rFonts w:ascii="Times New Roman" w:cs="Times New Roman" w:eastAsia="Times New Roman" w:hAnsi="Times New Roman"/>
          <w:sz w:val="18"/>
          <w:szCs w:val="18"/>
          <w:color w:val="auto"/>
        </w:rPr>
        <w:t>. Upon termination of the Executive’s employment hereunder for any reason, the Executive shall be deemed to have resigned from all positions that the Executive holds as an officer or member of the Board (or a committee thereof) of the Company or any of its affiliates.</w:t>
      </w:r>
    </w:p>
    <w:p>
      <w:pPr>
        <w:spacing w:after="0" w:line="176" w:lineRule="exact"/>
        <w:rPr>
          <w:sz w:val="20"/>
          <w:szCs w:val="20"/>
          <w:color w:val="auto"/>
        </w:rPr>
      </w:pPr>
    </w:p>
    <w:p>
      <w:pPr>
        <w:ind w:left="-656" w:right="20" w:firstLine="656"/>
        <w:spacing w:after="0" w:line="282" w:lineRule="auto"/>
        <w:tabs>
          <w:tab w:leader="none" w:pos="1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Restrictive Covenants</w:t>
      </w:r>
      <w:r>
        <w:rPr>
          <w:rFonts w:ascii="Times New Roman" w:cs="Times New Roman" w:eastAsia="Times New Roman" w:hAnsi="Times New Roman"/>
          <w:sz w:val="18"/>
          <w:szCs w:val="18"/>
          <w:color w:val="auto"/>
        </w:rPr>
        <w:t>. As a condition of the Executive’s employment with the Company, the Executive shall enter into and abide by the Company’s Restrictive Covenant Agreement, attached hereto and incorporation herein as Exhibit A.</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1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and Venue</w:t>
      </w:r>
      <w:r>
        <w:rPr>
          <w:rFonts w:ascii="Times New Roman" w:cs="Times New Roman" w:eastAsia="Times New Roman" w:hAnsi="Times New Roman"/>
          <w:sz w:val="18"/>
          <w:szCs w:val="18"/>
          <w:color w:val="auto"/>
        </w:rPr>
        <w:t>. This Agreement, for all purposes, shall be construed in accordance with the laws of Nevada without regard to conflicts of law principles. Any action or proceeding by either of the parties to enforce this Agreement shall be brought only in a state or federal court located in the state of Nevada, county of Washoe. The parties hereby irrevocably submit to the exclusive jurisdiction of such courts and waive the defense of inconvenient forum to the maintenance of any such action or proceeding in such venue. This provision remains in full force and effect upon change of situs of the corporation to any other jurisdiction.</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1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Unless specifically provided herein, this Agreement, together with the Restrictive Covenant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1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provision of this Agreement may be amended or modified unless such amendment or modification is agreed to in writing and signed by the Executive and by the Lead Independent Director of the Board of Directors of the Company.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Should any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3" w:name="page14"/>
    <w:bookmarkEnd w:id="13"/>
    <w:p>
      <w:pPr>
        <w:ind w:left="-656" w:right="20" w:firstLine="656"/>
        <w:spacing w:after="0" w:line="282"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2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each of which shall be deemed an original, but all of which taken together shall constitute one and the same instrument.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General Compliance</w:t>
      </w:r>
      <w:r>
        <w:rPr>
          <w:rFonts w:ascii="Times New Roman" w:cs="Times New Roman" w:eastAsia="Times New Roman" w:hAnsi="Times New Roman"/>
          <w:sz w:val="18"/>
          <w:szCs w:val="18"/>
          <w:color w:val="auto"/>
        </w:rPr>
        <w:t>. This Agreement is intended to comply with Section 409A or an exemption thereunder and shall be construed and administered in accordance with such intent. Notwithstanding any other provision of this Agreement, payments provided under this Agreement may only be made upon an event and in a manner that complies with Section 409A or an applicable exemption. Any nonqualified deferred compensation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194"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Specified Employees</w:t>
      </w:r>
      <w:r>
        <w:rPr>
          <w:rFonts w:ascii="Times New Roman" w:cs="Times New Roman" w:eastAsia="Times New Roman" w:hAnsi="Times New Roman"/>
          <w:sz w:val="18"/>
          <w:szCs w:val="18"/>
          <w:color w:val="auto"/>
        </w:rPr>
        <w:t>. Notwithstanding any other provision of this Agreement, if any payment or benefit provided to the Executive in connection with the Executive’s termination of employment is determined to constitute “nonqualified deferred compensation” within the meaning of Section 409A and the Executive is determined to be a “specified employee” as defined in Section 409A(a)(2)(b)(i), then such payment or benefit shall not be paid until the first payroll date to occur following the six-month anniversary of the date of the Executive’s termination or, if earlier, on the Executive’s death (the “Specified Employee Payment Date”). The aggregate of any payments that would otherwise have been paid before the Specified Employee Payment Date shall be paid to the Executive in a lump sum on the Specified Employee Payment Date and thereafter, any remaining payments shall be paid without delay in accordance with their original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268605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4" w:name="page15"/>
    <w:bookmarkEnd w:id="14"/>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Reimbursements</w:t>
      </w:r>
      <w:r>
        <w:rPr>
          <w:rFonts w:ascii="Times New Roman" w:cs="Times New Roman" w:eastAsia="Times New Roman" w:hAnsi="Times New Roman"/>
          <w:sz w:val="18"/>
          <w:szCs w:val="18"/>
          <w:color w:val="auto"/>
        </w:rPr>
        <w:t>. To the extent required by Section 409A, each reimbursement or in-kind benefit provided under this Agreement shall be provided in accordance with the following:</w:t>
      </w:r>
    </w:p>
    <w:p>
      <w:pPr>
        <w:spacing w:after="0" w:line="162" w:lineRule="exact"/>
        <w:rPr>
          <w:sz w:val="20"/>
          <w:szCs w:val="20"/>
          <w:color w:val="auto"/>
        </w:rPr>
      </w:pPr>
    </w:p>
    <w:p>
      <w:pPr>
        <w:ind w:left="640" w:firstLine="652"/>
        <w:spacing w:after="0" w:line="282" w:lineRule="auto"/>
        <w:tabs>
          <w:tab w:leader="none" w:pos="15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expenses eligible for reimbursement, or in-kind benefits provided, during each calendar year cannot affect the expenses eligible for reimbursement, or in-kind benefits to be provided, in any other calendar year;</w:t>
      </w:r>
    </w:p>
    <w:p>
      <w:pPr>
        <w:spacing w:after="0" w:line="161"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 of an eligible expense shall be paid to the Executive on or before the last day of the calendar year following the calendar year in which the expense was incurred; and</w:t>
      </w:r>
    </w:p>
    <w:p>
      <w:pPr>
        <w:spacing w:after="0" w:line="161"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reimbursements or in-kind benefits under this Agreement shall not be subject to liquidation or exchange for another benefit.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52"/>
        <w:spacing w:after="0" w:line="254" w:lineRule="auto"/>
        <w:tabs>
          <w:tab w:leader="none" w:pos="15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payments or benefits received or to be received by the Executive (including, without limitation, any payments or benefits received in connection with a Change in Control or the Executive’s termination of employment, whether pursuant to the terms of this Agreement or any other plan, arrangement, or agreement, or otherwise) (all such payments collectively referred to herein as the “280G Payments”) constitute “parachute payments” within the meaning of Section 280G of the Code and will be subject to the excise tax imposed under Section 4999 of the Code (the “Excise Tax”), the Company shall pay to the Executive, no later than the time such Excise Tax is required to be paid by the Executive or withheld by the Company, an additional amount equal to the sum of the Excise Tax payable by the Executive, plus the amount necessary to put the Executive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88" w:lineRule="exact"/>
        <w:rPr>
          <w:rFonts w:ascii="Times New Roman" w:cs="Times New Roman" w:eastAsia="Times New Roman" w:hAnsi="Times New Roman"/>
          <w:sz w:val="18"/>
          <w:szCs w:val="18"/>
          <w:color w:val="auto"/>
        </w:rPr>
      </w:pPr>
    </w:p>
    <w:p>
      <w:pPr>
        <w:jc w:val="both"/>
        <w:ind w:left="640" w:firstLine="652"/>
        <w:spacing w:after="0" w:line="255" w:lineRule="auto"/>
        <w:tabs>
          <w:tab w:leader="none" w:pos="154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and determinations under this Section 5.9 shall be made by an independent accounting firm or independent tax counsel appointed by the Company (the “Tax Counsel”) whose determinations shall be conclusive and binding on the Company and the Executive for all purposes. For purposes of making the calculations and determinations required by this Section 5.9, the Tax Counsel may rely on reasonable, good faith assumptions and approximations concerning the application of Section 280G and Section 4999 of the Code. The Company and the Executive shall furnish the Tax Counsel with such information and documents as the Tax Counsel may reasonably request in order to make its determinations under this Section 5.9. The Company shall bear all costs the Tax Counsel may reasonably incur in connection with its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268605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5" w:name="page16"/>
    <w:bookmarkEnd w:id="15"/>
    <w:p>
      <w:pPr>
        <w:jc w:val="both"/>
        <w:ind w:firstLine="656"/>
        <w:spacing w:after="0" w:line="261" w:lineRule="auto"/>
        <w:tabs>
          <w:tab w:leader="none" w:pos="9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is personal to the Executive and shall not be assigned by the Executive. Any purported assignment by the Executive shall be null and void from the initial date of the purported assignment. The Company may assign this Agreement to any successor or assign (whether direct or indirect, by purchase, merger, consolidation, or otherwise) to all or substantially all of the business or assets of the Company. This Agreement shall inure to the benefit of the Company and permitted successors and assigns.</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9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Notices and all other communications provided for in this Agreement shall be given in writing by personal delivery, electronic delivery, or by registered mail to the parties at the addresses set forth below (or such other addresses as specified by the parties by like notice):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12915 Old Virginia Rd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Reno, NV 89521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Vickram Singh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Representations of the Executive</w:t>
      </w:r>
      <w:r>
        <w:rPr>
          <w:rFonts w:ascii="Times New Roman" w:cs="Times New Roman" w:eastAsia="Times New Roman" w:hAnsi="Times New Roman"/>
          <w:sz w:val="18"/>
          <w:szCs w:val="18"/>
          <w:color w:val="auto"/>
        </w:rPr>
        <w:t>. The Executive represents and warrants to the Company that:</w:t>
      </w:r>
    </w:p>
    <w:p>
      <w:pPr>
        <w:spacing w:after="0" w:line="225"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The Executive’s acceptance of employment with the Company and the performance of the Executive’s duties hereunder will not conflict with or result in a violation of, a breach of, or a default under any contract, agreement, or understanding to which the Executive is a party or is otherwise bound.</w:t>
      </w:r>
    </w:p>
    <w:p>
      <w:pPr>
        <w:spacing w:after="0" w:line="162"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The Executive’s acceptance of employment with the Company and the performance of the Executive’s duties hereunder will not violate any non-solicitation, non-competition, or other similar covenant or agreement of a prior employer or third-party.</w:t>
      </w:r>
    </w:p>
    <w:p>
      <w:pPr>
        <w:spacing w:after="0" w:line="162" w:lineRule="exact"/>
        <w:rPr>
          <w:sz w:val="20"/>
          <w:szCs w:val="20"/>
          <w:color w:val="auto"/>
        </w:rPr>
      </w:pPr>
    </w:p>
    <w:p>
      <w:pPr>
        <w:ind w:right="20" w:firstLine="656"/>
        <w:spacing w:after="0" w:line="282" w:lineRule="auto"/>
        <w:tabs>
          <w:tab w:leader="none" w:pos="9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have the right to withhold from any amount payable hereunder any Federal, state, and local taxes in order for the Company to satisfy any withholding tax obligation it may have under any applicable law or regulation.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of Full Understanding</w:t>
      </w:r>
      <w:r>
        <w:rPr>
          <w:rFonts w:ascii="Times New Roman" w:cs="Times New Roman" w:eastAsia="Times New Roman" w:hAnsi="Times New Roman"/>
          <w:sz w:val="18"/>
          <w:szCs w:val="18"/>
          <w:color w:val="auto"/>
        </w:rPr>
        <w:t>. THE EXECUTIVE ACKNOWLEDGES AND AGREES THAT THE EXECUTIVE HAS FULLY READ, UNDERSTANDS AND VOLUNTARILY ENTERS INTO THIS AGREEMENT. THE EXECUTIVE ACKNOWLEDGES AND AGREES THAT THE EXECUTIVE HAS HAD AN OPPORTUNITY TO ASK QUESTIONS AND CONSULT WITH AN ATTORNEY OF THE EXECUTIVE’S CHOICE BEFORE SIGNING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above written.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3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2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i w:val="1"/>
          <w:iCs w:val="1"/>
          <w:color w:val="auto"/>
        </w:rPr>
        <w:t>/s/ Vickram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18415</wp:posOffset>
            </wp:positionV>
            <wp:extent cx="28460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7"/>
          <w:szCs w:val="17"/>
          <w:color w:val="auto"/>
        </w:rPr>
        <w:t>Vickram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RESTRICTIVE COVENANT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condition of my being retained as an employee of Dragonfly Energy Holdings Corp., its subsidiaries, affiliates, successors or assigns (together, the “Company”), and in consideration of Five Thousand Dollars ($5,000) paid to me by Company, I agree to the following:</w:t>
      </w:r>
    </w:p>
    <w:p>
      <w:pPr>
        <w:spacing w:after="0" w:line="162" w:lineRule="exact"/>
        <w:rPr>
          <w:sz w:val="20"/>
          <w:szCs w:val="20"/>
          <w:color w:val="auto"/>
        </w:rPr>
      </w:pPr>
    </w:p>
    <w:p>
      <w:pPr>
        <w:jc w:val="both"/>
        <w:ind w:firstLine="656"/>
        <w:spacing w:after="0" w:line="256" w:lineRule="auto"/>
        <w:tabs>
          <w:tab w:leader="none" w:pos="8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Non-Compete.</w:t>
      </w:r>
      <w:r>
        <w:rPr>
          <w:rFonts w:ascii="Times New Roman" w:cs="Times New Roman" w:eastAsia="Times New Roman" w:hAnsi="Times New Roman"/>
          <w:sz w:val="18"/>
          <w:szCs w:val="18"/>
          <w:color w:val="auto"/>
        </w:rPr>
        <w:t xml:space="preserve"> I shall not, at any time during the period of my employment with the Company and for 1 year immediately following the termination of my employment with the Company (collectively, the “Non-compete Period”), and within a 100-mile radius of the corporate office location at the time of termination of employment. During the Non-compete Period, I will not directly or indirectly engage in, provide services to, have any equity interest in (except as a holder of less than 2% of the combined voting power of the outstanding stock of a publicly held company) or consulting relationship with, or manage or operate any person, firm, corporation, partnership or other business that competes with the business of the Company within the energy storage industry (whether as director, officer, employee, agent, representative, partner, security holder, consultant or otherwise).</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8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and Non-Use of Confidential Information</w:t>
      </w:r>
      <w:r>
        <w:rPr>
          <w:rFonts w:ascii="Times New Roman" w:cs="Times New Roman" w:eastAsia="Times New Roman" w:hAnsi="Times New Roman"/>
          <w:sz w:val="18"/>
          <w:szCs w:val="18"/>
          <w:color w:val="auto"/>
        </w:rPr>
        <w:t>. I will at all times during the term of my employment and at all times thereafter, maintain the confidentiality of the Confidential Information (as defined below), and will not, directly or indirectly, disclose any of the Confidential Information to any person or entity, except as is strictly necessary in the performance of my assigned duties as an employee of the Company or as required by law or legal process. In addition, I will not at any time during the term of my employment or at any time thereafter use any of the Confidential Information for my direct or indirect benefit, or the direct or indirect benefit of any person or entity other than the Company. The fact that any information or data is not marked as confidential or proprietary shall not adversely affect its status as Confidential Information. I understand that the term “Confidential Information” shall mean all technical, financial, commercial and other information and data, without regard to form or medium, relating to the Company or any of its actual or prospective customers that is not generally known to the public. However, any information and data which becomes generally known to the public because of my failure to abide by this Agreement or another’s breach of confidentiality obligations with respect to such information will be considered Confidential Information. By way of illustration, I understand that Confidential Information includes, but is not limited to, the following kinds of information and data: customer and prospect lists; pricing information; information relating to actual or prospective transactions with customers; technology; inventions; know-how; computer codes and instructions; business or market studies; business and product development plans and efforts; personnel data; and information, financial or otherwise, relating to the Company’s actual and prospective customers, consultants, contractors and vendors and the nature and terms of the Company’s relationship with any of them.</w:t>
      </w:r>
    </w:p>
    <w:p>
      <w:pPr>
        <w:spacing w:after="0" w:line="197"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Former Employee Information</w:t>
      </w:r>
      <w:r>
        <w:rPr>
          <w:rFonts w:ascii="Times New Roman" w:cs="Times New Roman" w:eastAsia="Times New Roman" w:hAnsi="Times New Roman"/>
          <w:sz w:val="18"/>
          <w:szCs w:val="18"/>
          <w:color w:val="auto"/>
        </w:rPr>
        <w:t>. I represent that I have abided by any and all policies, directives, requirements and restrictions on the part of my current and previous employers concerning possession and use of proprietary information or property and that I will not disclose to the Company or use any such information or property in connection with my employment with the Company in violation of any such policies, directives, requirements or restrictions.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I recognize that the Company has received and in the future will receive confidential or proprietary information from third parties subject to a duty on the Company’s part to maintain the confidentiality of such information and to use it only for certain limited purposes. I agree to hold any such confidential or proprietary information that I have access to in the strictest confidence and not to disclose it to any person, firm or corporation or to use it except as necessary in carrying out my work for the Company consistent with the Company’s policies and agreements with any such third party and in compliance with all securities and other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left="-8" w:firstLine="656"/>
        <w:spacing w:after="0" w:line="261" w:lineRule="auto"/>
        <w:tabs>
          <w:tab w:leader="none" w:pos="83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I will not remove or transfer from any of the Company’s offices or premises any materials or property of the Company (including, without limitation, materials and property containing Confidential Information), except as is strictly necessary in the performance of my assigned duties as an employee. Promptly upon the Company’s request, and in any event promptly upon the termination of my employment, I will return to the Company all materials and property that I removed and I will not retain copies of any of such materials and property.</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83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Inventions</w:t>
      </w:r>
      <w:r>
        <w:rPr>
          <w:rFonts w:ascii="Times New Roman" w:cs="Times New Roman" w:eastAsia="Times New Roman" w:hAnsi="Times New Roman"/>
          <w:sz w:val="18"/>
          <w:szCs w:val="18"/>
          <w:color w:val="auto"/>
        </w:rPr>
        <w:t>. I agree that I will promptly make full written disclosure to the Company, will hold in trust for the sole right and benefit of the Company, and hereby assign to the Company, or its designee, all my right, title and interest throughout the world in and to any and all inventions, discoveries, original works of authorship and derivative works thereof, developments, concepts, know-how, improvements, trademarks or trade secrets, whether or not patentable or registrable under copyright, trademark or similar laws, which I may solely or jointly conceive or develop or reduce to practice, or cause to be conceived or developed or reduced to practice, during the term of my employment, whether during working hours or otherwise, in each case in any manner related to the Company’s actual or anticipated business (collectively referred to as “Inventions”). I further acknowledge that all Inventions which are original works of authorship or otherwise constitute copyrightable subject matter are “works made for hire” within the meaning of the United States Copyright Act and any similar laws of other jurisdictions (to the greatest extent permitted by applicable law) and are compensated by my salary, and to the extent any such work is determined not to be a “work for hire”, that I will assign to the Company any such original work of authorship as its exclusive property. I agree to keep and maintain adequate and current written records of all Inventions made by me (solely or jointly with others) during the term of my employment with the Company, which notes shall be and remain property of the Company. I hereby waive and irrevocably quitclaim to the Company any and all claims, of any nature whatsoever, which I may now or hereafter have for infringement of any and all proprietary rights assigned to the Company. I agree, whether before or after termination of my employment with the Company, to assist the Company (at its expense), or in every reasonable way to secure the Company’s rights in the Inventions and any copyrights, patents, trademarks, mask work rights, moral rights, or other intellectual property rights relating thereto in any and all countries.</w:t>
      </w:r>
    </w:p>
    <w:p>
      <w:pPr>
        <w:spacing w:after="0" w:line="196" w:lineRule="exact"/>
        <w:rPr>
          <w:sz w:val="20"/>
          <w:szCs w:val="20"/>
          <w:color w:val="auto"/>
        </w:rPr>
      </w:pPr>
    </w:p>
    <w:p>
      <w:pPr>
        <w:jc w:val="both"/>
        <w:ind w:left="-8" w:firstLine="656"/>
        <w:spacing w:after="0" w:line="255" w:lineRule="auto"/>
        <w:tabs>
          <w:tab w:leader="none" w:pos="83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my employment with the Company and for a period of 1 year after the termination of my employment with the Company, whether such termination is with or without cause, and whether such termination is effected by either the Company or me, I will not, directly or indirectly, for myself or any third party other than the Company (i) recruit or solicit or request the employment or services of any person who is an employee of the Company, or entice any employee of the Company to leave the employ of the Company, or to violate any agreement with the Company; or</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sales from any of the Company’s customers for any product or service which competes with any product or service sold or provided by the Company prior to my termination of my employment with the Company or which, at the time of the termination of my employment with the Company is intended to be sold or provided by the Company to any customer or potential customer (including in connection with any pending or proposed transactions), and about which I had access to Confidential Information or on which I worked in any capacity at any time during my employment with the Company. I acknowledge that the limitations of time and scope of activity agreed to above are reasonable because, among other things, the Company is engaged in a highly competitive industry and these limitations are necessary to protect the trade secrets, Confidential Information, and goodwill of the Company. I further acknowledge that I will be able to obtain suitable employment in my chosen profession without violating this Agreement should my employment with the Company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9" w:name="page20"/>
    <w:bookmarkEnd w:id="19"/>
    <w:p>
      <w:pPr>
        <w:jc w:val="both"/>
        <w:ind w:left="-656" w:firstLine="656"/>
        <w:spacing w:after="0" w:line="254" w:lineRule="auto"/>
        <w:tabs>
          <w:tab w:leader="none" w:pos="1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Returning Company Documents</w:t>
      </w:r>
      <w:r>
        <w:rPr>
          <w:rFonts w:ascii="Times New Roman" w:cs="Times New Roman" w:eastAsia="Times New Roman" w:hAnsi="Times New Roman"/>
          <w:sz w:val="18"/>
          <w:szCs w:val="18"/>
          <w:color w:val="auto"/>
        </w:rPr>
        <w:t>. I agree that, at the time of termination of my employment with the Company, I will deliver to the Company (and will not keep in my possession, recreate or deliver to anyone else) any and all devices, records, customer or prospect lists, data, notes, reports, proposals, lists, correspondence, specifications, drawings, blueprints, sketches, laboratory notebooks, materials, flow charts, equipment, other documents or property, or reproductions of any aforementioned items developed by me pursuant to my employment or otherwise belonging to the Company, its or any of its successors or assigns. I further agree that any property situated on the Company’s premises and owned by the Company including, computers, software, printers, voicemail, email, telephones, facsimile, disks and other storage media, filing cabinets or other work areas, is subject to inspection by Company personnel at any time with or without notice. In the event of the termination of my employment, I agree to sign a certification reaffirming my obligations under this Agreement.</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1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to Other Parties</w:t>
      </w:r>
      <w:r>
        <w:rPr>
          <w:rFonts w:ascii="Times New Roman" w:cs="Times New Roman" w:eastAsia="Times New Roman" w:hAnsi="Times New Roman"/>
          <w:sz w:val="18"/>
          <w:szCs w:val="18"/>
          <w:color w:val="auto"/>
        </w:rPr>
        <w:t>. I hereby grant consent to notification by the Company to any other parties besides the Company with whom I maintain, or may hereafter maintain, an employment or consulting relationship, including parties with whom such relationship commences after the effective date of this Agreement, of my rights and obligations under this Agreement.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1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Restrictions</w:t>
      </w:r>
      <w:r>
        <w:rPr>
          <w:rFonts w:ascii="Times New Roman" w:cs="Times New Roman" w:eastAsia="Times New Roman" w:hAnsi="Times New Roman"/>
          <w:sz w:val="18"/>
          <w:szCs w:val="18"/>
          <w:color w:val="auto"/>
        </w:rPr>
        <w:t>. I certify that I am not subject to any employment contract, non-compete agreement, non-solicitation agreement or other similar restrictions or agreements, except as disclosed in writing to the Company’s Compensation Committee and Chief Legal Officer. I further represent that I will not be breaching any such agreement or restriction by accepting employment with the Company and performing my duties in connection therewith. I represent and warrant that all information that I have furnished and that I will furnish to the Company in connection with my employment with the Company is or will be true and complete.</w:t>
      </w:r>
    </w:p>
    <w:p>
      <w:pPr>
        <w:spacing w:after="0" w:line="183" w:lineRule="exact"/>
        <w:rPr>
          <w:sz w:val="20"/>
          <w:szCs w:val="20"/>
          <w:color w:val="auto"/>
        </w:rPr>
      </w:pPr>
    </w:p>
    <w:p>
      <w:pPr>
        <w:jc w:val="both"/>
        <w:ind w:left="-656" w:firstLine="656"/>
        <w:spacing w:after="0" w:line="261" w:lineRule="auto"/>
        <w:tabs>
          <w:tab w:leader="none" w:pos="30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Provisions; Amendment; Assignment</w:t>
      </w:r>
      <w:r>
        <w:rPr>
          <w:rFonts w:ascii="Times New Roman" w:cs="Times New Roman" w:eastAsia="Times New Roman" w:hAnsi="Times New Roman"/>
          <w:sz w:val="18"/>
          <w:szCs w:val="18"/>
          <w:color w:val="auto"/>
        </w:rPr>
        <w:t>. My obligations as set forth in this Agreement will survive the termination of my employment with the Company. None of the provisions contained in this Agreement can be changed without a written agreement signed by each of me and the Company. I acknowledge that I have no right or power to assign this Agreement. I also acknowledge that the Company may freely assign this Agreement in connection with any merger, reorganization, sale of all or any material portion of its assets, or any similar transaction.</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If I breach or threaten to breach any provision of this Agreement, the Company will be entitled, as a matter of right, to injunctive relief, including specific performance, with respect to any such breach or threatened breach. The Company’s rights and remedies under this Section 13 are in addition to and cumulative with any other rights and remedies to which the Company may be entitled.</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 acknowledge that the obligations and restrictions contained in this Agreement are reasonable and necessary to protect the legitimate interests of the Company. Each provision in this Agreement is an independent provision and the enforceability of any one provision will not affect the enforceability of any other provision. However, if any particular provision of this Agreement is determined by a court to be excessively broad as to duration, geographic scope, activity or subject to be enforceable, then that provision will be deemed amended by limiting and reducing it so as to be valid and enforceable to the maximum extent compatible with the laws of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0" w:name="page21"/>
    <w:bookmarkEnd w:id="20"/>
    <w:p>
      <w:pPr>
        <w:jc w:val="both"/>
        <w:ind w:firstLine="656"/>
        <w:spacing w:after="0" w:line="261" w:lineRule="auto"/>
        <w:tabs>
          <w:tab w:leader="none" w:pos="93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 of Rights; Binding Obligation</w:t>
      </w:r>
      <w:r>
        <w:rPr>
          <w:rFonts w:ascii="Times New Roman" w:cs="Times New Roman" w:eastAsia="Times New Roman" w:hAnsi="Times New Roman"/>
          <w:sz w:val="18"/>
          <w:szCs w:val="18"/>
          <w:color w:val="auto"/>
        </w:rPr>
        <w:t>. Any waiver by the Company of any power or right under this Agreement must be in writing and signed by the Company to be enforceable. Any waiver by the Company will not operate as a waiver of any other or future breach under this Agreement. This Agreement will be binding upon me and my heirs, executors and administrators and will inure to the benefit of the Company and its successors and assigns.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Choice of Forum and Venue</w:t>
      </w:r>
      <w:r>
        <w:rPr>
          <w:rFonts w:ascii="Times New Roman" w:cs="Times New Roman" w:eastAsia="Times New Roman" w:hAnsi="Times New Roman"/>
          <w:sz w:val="18"/>
          <w:szCs w:val="18"/>
          <w:color w:val="auto"/>
        </w:rPr>
        <w:t>. This Agreement will be governed and construed as to its validity, interpretation and effect by the laws of Nevada notwithstanding the choice of law rules of Nevada or any other jurisdiction that would dictate application of the laws of any other jurisdiction. I also hereby irrevocably and unconditionally consent to the exclusive jurisdiction and venue of the state and federal courts serving Washoe County, Nevada. These provisions remain in full force in effect, regardless of any change in situs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have signed this Agreement as of the date written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28460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7"/>
          <w:szCs w:val="17"/>
          <w:color w:val="auto"/>
        </w:rPr>
        <w:t>Vickram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3"/>
    </w:lvl>
  </w:abstractNum>
  <w:abstractNum w:abstractNumId="3">
    <w:nsid w:val="431BD7B7"/>
    <w:multiLevelType w:val="hybridMultilevel"/>
    <w:lvl w:ilvl="0">
      <w:lvlJc w:val="left"/>
      <w:lvlText w:val="%1."/>
      <w:numFmt w:val="decimal"/>
      <w:start w:val="4"/>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1."/>
      <w:numFmt w:val="decimal"/>
      <w:start w:val="5"/>
    </w:lvl>
  </w:abstractNum>
  <w:abstractNum w:abstractNumId="6">
    <w:nsid w:val="257130A3"/>
    <w:multiLevelType w:val="hybridMultilevel"/>
    <w:lvl w:ilvl="0">
      <w:lvlJc w:val="left"/>
      <w:lvlText w:val="(%1)"/>
      <w:numFmt w:val="lowerLetter"/>
      <w:start w:val="1"/>
    </w:lvl>
    <w:lvl w:ilvl="1">
      <w:lvlJc w:val="left"/>
      <w:lvlText w:val="(%2)"/>
      <w:numFmt w:val="lowerRoman"/>
      <w:start w:val="1"/>
    </w:lvl>
  </w:abstractNum>
  <w:abstractNum w:abstractNumId="7">
    <w:nsid w:val="62BBD95A"/>
    <w:multiLevelType w:val="hybridMultilevel"/>
    <w:lvl w:ilvl="0">
      <w:lvlJc w:val="left"/>
      <w:lvlText w:val="(%1)"/>
      <w:numFmt w:val="lowerLetter"/>
      <w:start w:val="2"/>
    </w:lvl>
    <w:lvl w:ilvl="1">
      <w:lvlJc w:val="left"/>
      <w:lvlText w:val="(%2)"/>
      <w:numFmt w:val="lowerRoman"/>
      <w:start w:val="1"/>
    </w:lvl>
  </w:abstractNum>
  <w:abstractNum w:abstractNumId="8">
    <w:nsid w:val="436C6125"/>
    <w:multiLevelType w:val="hybridMultilevel"/>
    <w:lvl w:ilvl="0">
      <w:lvlJc w:val="left"/>
      <w:lvlText w:val="(%1)"/>
      <w:numFmt w:val="lowerRoman"/>
      <w:start w:val="7"/>
    </w:lvl>
  </w:abstractNum>
  <w:abstractNum w:abstractNumId="9">
    <w:nsid w:val="628C895D"/>
    <w:multiLevelType w:val="hybridMultilevel"/>
    <w:lvl w:ilvl="0">
      <w:lvlJc w:val="left"/>
      <w:lvlText w:val="(%1)"/>
      <w:numFmt w:val="lowerLetter"/>
      <w:start w:val="3"/>
    </w:lvl>
    <w:lvl w:ilvl="1">
      <w:lvlJc w:val="left"/>
      <w:lvlText w:val="(%2)"/>
      <w:numFmt w:val="lowerRoman"/>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lowerLetter"/>
      <w:start w:val="2"/>
    </w:lvl>
  </w:abstractNum>
  <w:abstractNum w:abstractNumId="12">
    <w:nsid w:val="2443A858"/>
    <w:multiLevelType w:val="hybridMultilevel"/>
    <w:lvl w:ilvl="0">
      <w:lvlJc w:val="left"/>
      <w:lvlText w:val="(%1)"/>
      <w:numFmt w:val="lowerLetter"/>
      <w:start w:val="3"/>
    </w:lvl>
    <w:lvl w:ilvl="1">
      <w:lvlJc w:val="left"/>
      <w:lvlText w:val="(%2)"/>
      <w:numFmt w:val="lowerRoman"/>
      <w:start w:val="1"/>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lowerLetter"/>
      <w:start w:val="3"/>
    </w:lvl>
    <w:lvl w:ilvl="1">
      <w:lvlJc w:val="left"/>
      <w:lvlText w:val="(%2)"/>
      <w:numFmt w:val="lowerRoman"/>
      <w:start w:val="1"/>
    </w:lvl>
  </w:abstractNum>
  <w:abstractNum w:abstractNumId="15">
    <w:nsid w:val="75A2A8D4"/>
    <w:multiLevelType w:val="hybridMultilevel"/>
    <w:lvl w:ilvl="0">
      <w:lvlJc w:val="left"/>
      <w:lvlText w:val="(%1)"/>
      <w:numFmt w:val="lowerRoman"/>
      <w:start w:val="1"/>
    </w:lvl>
  </w:abstractNum>
  <w:abstractNum w:abstractNumId="16">
    <w:nsid w:val="8EDBDAB"/>
    <w:multiLevelType w:val="hybridMultilevel"/>
    <w:lvl w:ilvl="0">
      <w:lvlJc w:val="left"/>
      <w:lvlText w:val="(%1)"/>
      <w:numFmt w:val="lowerLetter"/>
      <w:start w:val="1"/>
    </w:lvl>
    <w:lvl w:ilvl="1">
      <w:lvlJc w:val="left"/>
      <w:lvlText w:val="(%2)"/>
      <w:numFmt w:val="lowerRoman"/>
      <w:start w:val="1"/>
    </w:lvl>
  </w:abstractNum>
  <w:abstractNum w:abstractNumId="17">
    <w:nsid w:val="79838CB2"/>
    <w:multiLevelType w:val="hybridMultilevel"/>
    <w:lvl w:ilvl="0">
      <w:lvlJc w:val="left"/>
      <w:lvlText w:val="(%1)"/>
      <w:numFmt w:val="lowerLetter"/>
      <w:start w:val="3"/>
    </w:lvl>
  </w:abstractNum>
  <w:abstractNum w:abstractNumId="18">
    <w:nsid w:val="4353D0CD"/>
    <w:multiLevelType w:val="hybridMultilevel"/>
    <w:lvl w:ilvl="0">
      <w:lvlJc w:val="left"/>
      <w:lvlText w:val="(%1)"/>
      <w:numFmt w:val="lowerLetter"/>
      <w:start w:val="2"/>
    </w:lvl>
  </w:abstractNum>
  <w:abstractNum w:abstractNumId="19">
    <w:nsid w:val="B03E0C6"/>
    <w:multiLevelType w:val="hybridMultilevel"/>
    <w:lvl w:ilvl="0">
      <w:lvlJc w:val="left"/>
      <w:lvlText w:val="%1."/>
      <w:numFmt w:val="decimal"/>
      <w:start w:val="6"/>
    </w:lvl>
  </w:abstractNum>
  <w:abstractNum w:abstractNumId="20">
    <w:nsid w:val="189A769B"/>
    <w:multiLevelType w:val="hybridMultilevel"/>
    <w:lvl w:ilvl="0">
      <w:lvlJc w:val="left"/>
      <w:lvlText w:val="%1."/>
      <w:numFmt w:val="decimal"/>
      <w:start w:val="1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decimal"/>
      <w:start w:val="14"/>
    </w:lvl>
  </w:abstractNum>
  <w:abstractNum w:abstractNumId="24">
    <w:nsid w:val="836C40E"/>
    <w:multiLevelType w:val="hybridMultilevel"/>
    <w:lvl w:ilvl="0">
      <w:lvlJc w:val="left"/>
      <w:lvlText w:val="%1."/>
      <w:numFmt w:val="decimal"/>
      <w:start w:val="17"/>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5"/>
    </w:lvl>
  </w:abstractNum>
  <w:abstractNum w:abstractNumId="27">
    <w:nsid w:val="8138641"/>
    <w:multiLevelType w:val="hybridMultilevel"/>
    <w:lvl w:ilvl="0">
      <w:lvlJc w:val="left"/>
      <w:lvlText w:val="%1"/>
      <w:numFmt w:val="lowerRoman"/>
      <w:start w:val="1"/>
    </w:lvl>
    <w:lvl w:ilvl="1">
      <w:lvlJc w:val="left"/>
      <w:lvlText w:val="%2."/>
      <w:numFmt w:val="decimal"/>
      <w:start w:val="6"/>
    </w:lvl>
  </w:abstractNum>
  <w:abstractNum w:abstractNumId="28">
    <w:nsid w:val="1E7FF521"/>
    <w:multiLevelType w:val="hybridMultilevel"/>
    <w:lvl w:ilvl="0">
      <w:lvlJc w:val="left"/>
      <w:lvlText w:val="(%1)"/>
      <w:numFmt w:val="lowerRoman"/>
      <w:start w:val="2"/>
    </w:lvl>
    <w:lvl w:ilvl="1">
      <w:lvlJc w:val="left"/>
      <w:lvlText w:val="%2"/>
      <w:numFmt w:val="decimal"/>
      <w:start w:val="1"/>
    </w:lvl>
  </w:abstractNum>
  <w:abstractNum w:abstractNumId="29">
    <w:nsid w:val="7C3DBD3D"/>
    <w:multiLevelType w:val="hybridMultilevel"/>
    <w:lvl w:ilvl="0">
      <w:lvlJc w:val="left"/>
      <w:lvlText w:val="%1."/>
      <w:numFmt w:val="decimal"/>
      <w:start w:val="7"/>
    </w:lvl>
  </w:abstractNum>
  <w:abstractNum w:abstractNumId="30">
    <w:nsid w:val="737B8DDC"/>
    <w:multiLevelType w:val="hybridMultilevel"/>
    <w:lvl w:ilvl="0">
      <w:lvlJc w:val="left"/>
      <w:lvlText w:val="%1."/>
      <w:numFmt w:val="decimal"/>
      <w:start w:val="12"/>
    </w:lvl>
  </w:abstractNum>
  <w:abstractNum w:abstractNumId="31">
    <w:nsid w:val="6CEAF087"/>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2025-02-05T15:26:26Z</dcterms:created>
  <dcterms:modified xsi:type="dcterms:W3CDTF">2025-02-05T15:26:26Z</dcterms:modified>
</cp:coreProperties>
</file>