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13, 2022</w:t>
      </w:r>
    </w:p>
    <w:p>
      <w:pPr>
        <w:spacing w:after="0" w:line="31"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374" w:right="39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of incorporation or organization)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99-0360497</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135" w:lineRule="exact"/>
        <w:rPr>
          <w:sz w:val="24"/>
          <w:szCs w:val="24"/>
          <w:color w:val="auto"/>
        </w:rPr>
      </w:pPr>
    </w:p>
    <w:p>
      <w:pPr>
        <w:sectPr>
          <w:pgSz w:w="11900" w:h="16838" w:orient="portrait"/>
          <w:cols w:equalWidth="0" w:num="2">
            <w:col w:w="7120" w:space="720"/>
            <w:col w:w="3340"/>
          </w:cols>
          <w:pgMar w:left="320" w:top="374" w:right="3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1190 Trademark Drive #108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180"/>
          </w:cols>
          <w:pgMar w:left="320" w:top="374" w:right="399" w:bottom="1440" w:gutter="0" w:footer="0" w:header="0"/>
          <w:type w:val="continuous"/>
        </w:sectPr>
      </w:pPr>
    </w:p>
    <w:p>
      <w:pPr>
        <w:spacing w:after="0" w:line="1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Holdings Corp. 2022 Equity Inventive Plan</w:t>
      </w:r>
    </w:p>
    <w:p>
      <w:pPr>
        <w:spacing w:after="0" w:line="3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Dragonfly Energy Corp. 2021 Stock Incentive Plan</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Dragonfly Energy Corp. 2019 Stock Incentive Plan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Holdings Corp. Employee Stock Purchase Plan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Nicole Harvey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Legal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1109 Trademark Drive #108</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and address of agent for service)</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(775) 622-3448</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Please send copies of all communications to:</w:t>
      </w:r>
    </w:p>
    <w:p>
      <w:pPr>
        <w:spacing w:after="0" w:line="22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Steven M. Skolnick, Esq.</w:t>
      </w:r>
    </w:p>
    <w:p>
      <w:pPr>
        <w:spacing w:after="0" w:line="3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Lowenstein Sandler LLP</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1251 Avenue of the Americas</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New York, NY 10020</w:t>
      </w:r>
    </w:p>
    <w:p>
      <w:pPr>
        <w:spacing w:after="0" w:line="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(212) 262-6700</w:t>
      </w:r>
    </w:p>
    <w:p>
      <w:pPr>
        <w:spacing w:after="0" w:line="135" w:lineRule="exact"/>
        <w:rPr>
          <w:sz w:val="24"/>
          <w:szCs w:val="24"/>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50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94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374"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Plan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and has been or will be sent or given to participating service providers in accordance with Rule 428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instructions to Form S-8. In accordance with the rules and regulations of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and the instructions to Form S-8, such documents are not being filed with the Commission either as part of this Registration Statement or as prospectuses or prospectus supplements pursuant to Rule 424 under the Securities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Registrant Information and Employee Plan Annual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will furnish without charge to each person to whom the prospectus is delivered, upon the written or oral request of such person, a copy of any and all of the documents incorporated by reference into this Registration Statement pursuant to Item 3 of Part II hereof, other than exhibits to such documents (unless such exhibits are specifically incorporated by reference in such documents that are incorporated), and the other documents required to be delivered to eligible participants in the Plans pursuant to Rule 428(b) under the Securities Act. Those documents are incorporated by reference in the Section 10(a) prospectuses. Requests should be directed to:</w:t>
      </w:r>
    </w:p>
    <w:p>
      <w:pPr>
        <w:spacing w:after="0" w:line="18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1109 Trademark Drive #108</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Attention: Chief Legal Officer</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Tel: (775) 622-3448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Incorporation of Documents by Reference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documents filed by the Company with the Commission pursuant to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are incorporated herein by reference:</w:t>
      </w:r>
    </w:p>
    <w:p>
      <w:pPr>
        <w:spacing w:after="0" w:line="162" w:lineRule="exact"/>
        <w:rPr>
          <w:sz w:val="20"/>
          <w:szCs w:val="20"/>
          <w:color w:val="auto"/>
        </w:rPr>
      </w:pPr>
    </w:p>
    <w:p>
      <w:pPr>
        <w:ind w:left="460" w:hanging="331"/>
        <w:spacing w:after="0"/>
        <w:tabs>
          <w:tab w:leader="none" w:pos="460" w:val="left"/>
        </w:tabs>
        <w:numPr>
          <w:ilvl w:val="0"/>
          <w:numId w:val="1"/>
        </w:numPr>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u w:val="single" w:color="auto"/>
            <w:color w:val="0000EE"/>
          </w:rPr>
          <w:t>the Company’s Annual Report on Form 10-K for the fiscal year ended December 31, 2021, filed on March 29, 2022</w:t>
        </w:r>
      </w:hyperlink>
      <w:r>
        <w:rPr>
          <w:rFonts w:ascii="Times New Roman" w:cs="Times New Roman" w:eastAsia="Times New Roman" w:hAnsi="Times New Roman"/>
          <w:sz w:val="18"/>
          <w:szCs w:val="18"/>
          <w:color w:val="000000"/>
        </w:rPr>
        <w:t>;</w:t>
      </w:r>
    </w:p>
    <w:p>
      <w:pPr>
        <w:spacing w:after="0" w:line="225" w:lineRule="exact"/>
        <w:rPr>
          <w:rFonts w:ascii="Times New Roman" w:cs="Times New Roman" w:eastAsia="Times New Roman" w:hAnsi="Times New Roman"/>
          <w:sz w:val="18"/>
          <w:szCs w:val="18"/>
          <w:color w:val="0000EE"/>
        </w:rPr>
      </w:pPr>
    </w:p>
    <w:p>
      <w:pPr>
        <w:ind w:left="460" w:hanging="331"/>
        <w:spacing w:after="0" w:line="282" w:lineRule="auto"/>
        <w:tabs>
          <w:tab w:leader="none" w:pos="460" w:val="left"/>
        </w:tabs>
        <w:numPr>
          <w:ilvl w:val="0"/>
          <w:numId w:val="1"/>
        </w:numPr>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auto"/>
          </w:rPr>
          <w:t xml:space="preserve">the Company’s Quarterly Reports on Form 10-Q filed on </w:t>
        </w:r>
        <w:r>
          <w:rPr>
            <w:rFonts w:ascii="Times New Roman" w:cs="Times New Roman" w:eastAsia="Times New Roman" w:hAnsi="Times New Roman"/>
            <w:sz w:val="18"/>
            <w:szCs w:val="18"/>
            <w:u w:val="single" w:color="auto"/>
            <w:color w:val="0000EE"/>
          </w:rPr>
          <w:t>May 16,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15, 2022</w:t>
        </w:r>
        <w:r>
          <w:rPr>
            <w:rFonts w:ascii="Times New Roman" w:cs="Times New Roman" w:eastAsia="Times New Roman" w:hAnsi="Times New Roman"/>
            <w:sz w:val="18"/>
            <w:szCs w:val="18"/>
            <w:color w:val="auto"/>
          </w:rPr>
          <w:t xml:space="preserve"> (as amended by the Form 10-Q/A filed on </w:t>
        </w:r>
        <w:r>
          <w:rPr>
            <w:rFonts w:ascii="Times New Roman" w:cs="Times New Roman" w:eastAsia="Times New Roman" w:hAnsi="Times New Roman"/>
            <w:sz w:val="18"/>
            <w:szCs w:val="18"/>
            <w:u w:val="single" w:color="auto"/>
            <w:color w:val="0000EE"/>
          </w:rPr>
          <w:t>August 17,</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November 14, 2022</w:t>
        </w:r>
      </w:hyperlink>
      <w:hyperlink r:id="rId20">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jc w:val="both"/>
        <w:ind w:left="460" w:hanging="331"/>
        <w:spacing w:after="0" w:line="261" w:lineRule="auto"/>
        <w:tabs>
          <w:tab w:leader="none" w:pos="4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filed on </w:t>
      </w:r>
      <w:hyperlink r:id="rId22">
        <w:r>
          <w:rPr>
            <w:rFonts w:ascii="Times New Roman" w:cs="Times New Roman" w:eastAsia="Times New Roman" w:hAnsi="Times New Roman"/>
            <w:sz w:val="18"/>
            <w:szCs w:val="18"/>
            <w:u w:val="single" w:color="auto"/>
            <w:color w:val="0000EE"/>
          </w:rPr>
          <w:t>May 16, 2022</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July 12, 2022</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August 5, 2022</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August 8, 2022</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September 6, 2022</w:t>
        </w:r>
      </w:hyperlink>
      <w:r>
        <w:rPr>
          <w:rFonts w:ascii="Times New Roman" w:cs="Times New Roman" w:eastAsia="Times New Roman" w:hAnsi="Times New Roman"/>
          <w:sz w:val="18"/>
          <w:szCs w:val="18"/>
          <w:color w:val="auto"/>
        </w:rPr>
        <w:t xml:space="preserve">, </w:t>
      </w:r>
      <w:hyperlink r:id="rId27">
        <w:r>
          <w:rPr>
            <w:rFonts w:ascii="Times New Roman" w:cs="Times New Roman" w:eastAsia="Times New Roman" w:hAnsi="Times New Roman"/>
            <w:sz w:val="18"/>
            <w:szCs w:val="18"/>
            <w:u w:val="single" w:color="auto"/>
            <w:color w:val="0000EE"/>
          </w:rPr>
          <w:t>September 29,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3,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5,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7,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11, 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Form 8-K/As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13,</w:t>
        </w:r>
      </w:hyperlink>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November 14, 2022</w:t>
        </w:r>
      </w:hyperlink>
      <w:hyperlink r:id="rId2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October 11, 2022</w:t>
        </w:r>
      </w:hyperlink>
      <w:hyperlink r:id="rId27">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0">
        <w:r>
          <w:rPr>
            <w:rFonts w:ascii="Times New Roman" w:cs="Times New Roman" w:eastAsia="Times New Roman" w:hAnsi="Times New Roman"/>
            <w:sz w:val="18"/>
            <w:szCs w:val="18"/>
            <w:u w:val="single" w:color="auto"/>
            <w:color w:val="0000EE"/>
          </w:rPr>
          <w:t xml:space="preserve">November 4, 2022 </w:t>
        </w:r>
      </w:hyperlink>
      <w:hyperlink r:id="rId27">
        <w:r>
          <w:rPr>
            <w:rFonts w:ascii="Times New Roman" w:cs="Times New Roman" w:eastAsia="Times New Roman" w:hAnsi="Times New Roman"/>
            <w:sz w:val="18"/>
            <w:szCs w:val="18"/>
            <w:color w:val="000000"/>
          </w:rPr>
          <w:t>(in each case, excluding any information deemed furnished under Items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2.02 or 7.01 of Form 8-K, including the related exhibits, which information is not incorporated by reference herein);</w:t>
      </w:r>
    </w:p>
    <w:p>
      <w:pPr>
        <w:spacing w:after="0" w:line="179" w:lineRule="exact"/>
        <w:rPr>
          <w:rFonts w:ascii="Times New Roman" w:cs="Times New Roman" w:eastAsia="Times New Roman" w:hAnsi="Times New Roman"/>
          <w:sz w:val="18"/>
          <w:szCs w:val="18"/>
          <w:color w:val="0000EE"/>
        </w:rPr>
      </w:pPr>
    </w:p>
    <w:p>
      <w:pPr>
        <w:ind w:left="460" w:right="20" w:hanging="331"/>
        <w:spacing w:after="0" w:line="282" w:lineRule="auto"/>
        <w:tabs>
          <w:tab w:leader="none" w:pos="460" w:val="left"/>
        </w:tabs>
        <w:numPr>
          <w:ilvl w:val="0"/>
          <w:numId w:val="1"/>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the Company’s Registration Statement on Form S-4 (File No. 333-266273) filed on </w:t>
        </w:r>
        <w:r>
          <w:rPr>
            <w:rFonts w:ascii="Times New Roman" w:cs="Times New Roman" w:eastAsia="Times New Roman" w:hAnsi="Times New Roman"/>
            <w:sz w:val="18"/>
            <w:szCs w:val="18"/>
            <w:u w:val="single" w:color="auto"/>
            <w:color w:val="0000EE"/>
          </w:rPr>
          <w:t>July 22, 2022</w:t>
        </w:r>
        <w:r>
          <w:rPr>
            <w:rFonts w:ascii="Times New Roman" w:cs="Times New Roman" w:eastAsia="Times New Roman" w:hAnsi="Times New Roman"/>
            <w:sz w:val="18"/>
            <w:szCs w:val="18"/>
            <w:color w:val="auto"/>
          </w:rPr>
          <w:t xml:space="preserve"> (as amended by the Form S-4/As filed on </w:t>
        </w:r>
        <w:r>
          <w:rPr>
            <w:rFonts w:ascii="Times New Roman" w:cs="Times New Roman" w:eastAsia="Times New Roman" w:hAnsi="Times New Roman"/>
            <w:sz w:val="18"/>
            <w:szCs w:val="18"/>
            <w:u w:val="single" w:color="auto"/>
            <w:color w:val="0000EE"/>
          </w:rPr>
          <w:t>August</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12, 2022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2">
        <w:r>
          <w:rPr>
            <w:rFonts w:ascii="Times New Roman" w:cs="Times New Roman" w:eastAsia="Times New Roman" w:hAnsi="Times New Roman"/>
            <w:sz w:val="18"/>
            <w:szCs w:val="18"/>
            <w:u w:val="single" w:color="auto"/>
            <w:color w:val="0000EE"/>
          </w:rPr>
          <w:t>September 1, 2022</w:t>
        </w:r>
      </w:hyperlink>
      <w:hyperlink r:id="rId3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 xml:space="preserve">September 13, 2022 </w:t>
        </w:r>
      </w:hyperlink>
      <w:hyperlink r:id="rId31">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September 14, 2022</w:t>
        </w:r>
      </w:hyperlink>
      <w:hyperlink r:id="rId31">
        <w:r>
          <w:rPr>
            <w:rFonts w:ascii="Times New Roman" w:cs="Times New Roman" w:eastAsia="Times New Roman" w:hAnsi="Times New Roman"/>
            <w:sz w:val="18"/>
            <w:szCs w:val="18"/>
            <w:color w:val="000000"/>
          </w:rPr>
          <w:t>); and</w:t>
        </w:r>
      </w:hyperlink>
    </w:p>
    <w:p>
      <w:pPr>
        <w:spacing w:after="0" w:line="161" w:lineRule="exact"/>
        <w:rPr>
          <w:rFonts w:ascii="Times New Roman" w:cs="Times New Roman" w:eastAsia="Times New Roman" w:hAnsi="Times New Roman"/>
          <w:sz w:val="18"/>
          <w:szCs w:val="18"/>
          <w:color w:val="0000EE"/>
        </w:rPr>
      </w:pPr>
    </w:p>
    <w:p>
      <w:pPr>
        <w:ind w:left="460" w:hanging="331"/>
        <w:spacing w:after="0" w:line="282"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of the Company contained in its </w:t>
      </w:r>
      <w:hyperlink r:id="rId35">
        <w:r>
          <w:rPr>
            <w:rFonts w:ascii="Times New Roman" w:cs="Times New Roman" w:eastAsia="Times New Roman" w:hAnsi="Times New Roman"/>
            <w:sz w:val="18"/>
            <w:szCs w:val="18"/>
            <w:u w:val="single" w:color="auto"/>
            <w:color w:val="0000EE"/>
          </w:rPr>
          <w:t>Registration Statement on Form 8-A, filed on August 10,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under Section 12 of the Exchange Act and any amendments or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documents filed by the Company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18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Description of Securities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Interests of Named Experts and Counsel</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Indemnification of Directors and Officers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0000EE"/>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provides, in general, that a corporation incorporated under the laws of the State of Delaware, as we are,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87" w:lineRule="exact"/>
        <w:rPr>
          <w:rFonts w:ascii="Times New Roman" w:cs="Times New Roman" w:eastAsia="Times New Roman" w:hAnsi="Times New Roman"/>
          <w:sz w:val="18"/>
          <w:szCs w:val="18"/>
          <w:color w:val="0000EE"/>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permitted by the DGCL, our amended and restated certificate of incorporation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contains provisions that eliminate the personal liability of our directors for monetary damages for any breach of fiduciary duties as a director, except liability for the following:</w:t>
      </w:r>
    </w:p>
    <w:p>
      <w:pPr>
        <w:spacing w:after="0" w:line="162" w:lineRule="exact"/>
        <w:rPr>
          <w:rFonts w:ascii="Times New Roman" w:cs="Times New Roman" w:eastAsia="Times New Roman" w:hAnsi="Times New Roman"/>
          <w:sz w:val="18"/>
          <w:szCs w:val="18"/>
          <w:color w:val="0000EE"/>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Company or its stockholders;</w:t>
      </w:r>
    </w:p>
    <w:p>
      <w:pPr>
        <w:spacing w:after="0" w:line="27"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(regarding unlawful dividends and stock purchases); or</w:t>
      </w:r>
    </w:p>
    <w:p>
      <w:pPr>
        <w:spacing w:after="0" w:line="9" w:lineRule="exact"/>
        <w:rPr>
          <w:rFonts w:ascii="Times New Roman" w:cs="Times New Roman" w:eastAsia="Times New Roman" w:hAnsi="Times New Roman"/>
          <w:sz w:val="18"/>
          <w:szCs w:val="18"/>
          <w:color w:val="auto"/>
        </w:rPr>
      </w:pPr>
    </w:p>
    <w:p>
      <w:pPr>
        <w:ind w:left="460" w:hanging="331"/>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amendment by stockholders or directors resolution. Any repeal or modification of these provisions approved by our stockholders will be prospective only and will not adversely affect any limitation on the liability of any of our directors or officers existing as of the time of such repeal or modification.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director and officer liability insurance to cover certain liabilities of directors and officers of our Company arising out of claims based on acts or omissions in their capacities as directors or officers.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whereby we have agreed to indemnify those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Company provided that such director or officer acted in good faith and in a manner that the director or officer reasonably believed to be in, or not opposed to, the best interests of the Company.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u w:val="single" w:color="auto"/>
          <w:color w:val="auto"/>
        </w:rPr>
        <w:t>Exemption from Registration Claimed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u w:val="single" w:color="auto"/>
          <w:color w:val="auto"/>
        </w:rPr>
        <w:t>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 of exhibits, see the Exhibit Index in this Registration Statement, which is incorporated into this Item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u w:val="single" w:color="auto"/>
          <w:color w:val="auto"/>
        </w:rPr>
        <w:t>Undertakings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to file, during any period in which offers or sales are being made, a post-effective amendment to this Registration Statement;</w:t>
      </w:r>
    </w:p>
    <w:p>
      <w:pPr>
        <w:spacing w:after="0" w:line="225" w:lineRule="exact"/>
        <w:rPr>
          <w:sz w:val="20"/>
          <w:szCs w:val="20"/>
          <w:color w:val="auto"/>
        </w:rPr>
      </w:pPr>
    </w:p>
    <w:p>
      <w:pPr>
        <w:ind w:left="1520" w:hanging="216"/>
        <w:spacing w:after="0"/>
        <w:tabs>
          <w:tab w:leader="none" w:pos="1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as amended (the “Securities Act”);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clauses (A)(1)(i) and (A)(1)(ii) above shall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clauses is contained in periodic reports filed with or furnished to the Commission by the Registrant pursuant to Section 13 or Section 15(d) of the Exchange Act that are incorporated by reference in this registration statement;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and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           to remove from registration by means of a post-effective amendment any of the securities being registered that remain unsold at the termination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8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92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Title</w:t>
            </w:r>
          </w:p>
        </w:tc>
        <w:tc>
          <w:tcPr>
            <w:tcW w:w="120" w:type="dxa"/>
            <w:vAlign w:val="bottom"/>
          </w:tcPr>
          <w:p>
            <w:pPr>
              <w:spacing w:after="0"/>
              <w:rPr>
                <w:sz w:val="20"/>
                <w:szCs w:val="20"/>
                <w:color w:val="auto"/>
              </w:rPr>
            </w:pPr>
          </w:p>
        </w:tc>
        <w:tc>
          <w:tcPr>
            <w:tcW w:w="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0"/>
                <w:szCs w:val="20"/>
                <w:color w:val="auto"/>
              </w:rPr>
            </w:pPr>
          </w:p>
        </w:tc>
        <w:tc>
          <w:tcPr>
            <w:tcW w:w="7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385"/>
        </w:trPr>
        <w:tc>
          <w:tcPr>
            <w:tcW w:w="240" w:type="dxa"/>
            <w:vAlign w:val="bottom"/>
          </w:tcPr>
          <w:p>
            <w:pPr>
              <w:spacing w:after="0"/>
              <w:rPr>
                <w:rFonts w:ascii="Times New Roman" w:cs="Times New Roman" w:eastAsia="Times New Roman" w:hAnsi="Times New Roman"/>
                <w:sz w:val="18"/>
                <w:szCs w:val="18"/>
                <w:color w:val="0000EE"/>
                <w:w w:val="97"/>
              </w:rPr>
            </w:pPr>
            <w:hyperlink r:id="rId39">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6"/>
          </w:tcPr>
          <w:p>
            <w:pPr>
              <w:spacing w:after="0"/>
              <w:rPr>
                <w:rFonts w:ascii="Times New Roman" w:cs="Times New Roman" w:eastAsia="Times New Roman" w:hAnsi="Times New Roman"/>
                <w:sz w:val="18"/>
                <w:szCs w:val="18"/>
                <w:color w:val="0000EE"/>
                <w:w w:val="98"/>
              </w:rPr>
            </w:pPr>
            <w:hyperlink r:id="rId39">
              <w:r>
                <w:rPr>
                  <w:rFonts w:ascii="Times New Roman" w:cs="Times New Roman" w:eastAsia="Times New Roman" w:hAnsi="Times New Roman"/>
                  <w:sz w:val="18"/>
                  <w:szCs w:val="18"/>
                  <w:color w:val="0000EE"/>
                  <w:w w:val="98"/>
                </w:rPr>
                <w:t>Amended and Restated Certificate of Incorporation.</w:t>
              </w:r>
            </w:hyperlink>
          </w:p>
        </w:tc>
        <w:tc>
          <w:tcPr>
            <w:tcW w:w="3480" w:type="dxa"/>
            <w:vAlign w:val="bottom"/>
            <w:gridSpan w:val="6"/>
          </w:tcPr>
          <w:p>
            <w:pPr>
              <w:spacing w:after="0"/>
              <w:rPr>
                <w:sz w:val="24"/>
                <w:szCs w:val="24"/>
                <w:color w:val="auto"/>
              </w:rPr>
            </w:pPr>
          </w:p>
        </w:tc>
        <w:tc>
          <w:tcPr>
            <w:tcW w:w="660" w:type="dxa"/>
            <w:vAlign w:val="bottom"/>
            <w:gridSpan w:val="2"/>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8-K</w:t>
              </w:r>
            </w:hyperlink>
          </w:p>
        </w:tc>
        <w:tc>
          <w:tcPr>
            <w:tcW w:w="420" w:type="dxa"/>
            <w:vAlign w:val="bottom"/>
            <w:gridSpan w:val="3"/>
          </w:tcPr>
          <w:p>
            <w:pPr>
              <w:ind w:left="120"/>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3"/>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Amended and Restated Bylaws.</w:t>
              </w:r>
            </w:hyperlink>
          </w:p>
        </w:tc>
        <w:tc>
          <w:tcPr>
            <w:tcW w:w="1420" w:type="dxa"/>
            <w:vAlign w:val="bottom"/>
            <w:gridSpan w:val="3"/>
          </w:tcPr>
          <w:p>
            <w:pPr>
              <w:spacing w:after="0"/>
              <w:rPr>
                <w:sz w:val="24"/>
                <w:szCs w:val="24"/>
                <w:color w:val="auto"/>
              </w:rPr>
            </w:pPr>
          </w:p>
        </w:tc>
        <w:tc>
          <w:tcPr>
            <w:tcW w:w="3480" w:type="dxa"/>
            <w:vAlign w:val="bottom"/>
            <w:gridSpan w:val="6"/>
          </w:tcPr>
          <w:p>
            <w:pPr>
              <w:spacing w:after="0"/>
              <w:rPr>
                <w:sz w:val="24"/>
                <w:szCs w:val="24"/>
                <w:color w:val="auto"/>
              </w:rPr>
            </w:pPr>
          </w:p>
        </w:tc>
        <w:tc>
          <w:tcPr>
            <w:tcW w:w="660" w:type="dxa"/>
            <w:vAlign w:val="bottom"/>
            <w:gridSpan w:val="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8-K</w:t>
              </w:r>
            </w:hyperlink>
          </w:p>
        </w:tc>
        <w:tc>
          <w:tcPr>
            <w:tcW w:w="420" w:type="dxa"/>
            <w:vAlign w:val="bottom"/>
            <w:gridSpan w:val="3"/>
          </w:tcPr>
          <w:p>
            <w:pPr>
              <w:ind w:left="120"/>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40" w:type="dxa"/>
            <w:vAlign w:val="bottom"/>
          </w:tcPr>
          <w:p>
            <w:pPr>
              <w:spacing w:after="0"/>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3</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Specimen Common Share Certificate.</w:t>
              </w:r>
            </w:hyperlink>
          </w:p>
        </w:tc>
        <w:tc>
          <w:tcPr>
            <w:tcW w:w="660" w:type="dxa"/>
            <w:vAlign w:val="bottom"/>
            <w:gridSpan w:val="2"/>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8-K</w:t>
              </w:r>
            </w:hyperlink>
          </w:p>
        </w:tc>
        <w:tc>
          <w:tcPr>
            <w:tcW w:w="420" w:type="dxa"/>
            <w:vAlign w:val="bottom"/>
            <w:gridSpan w:val="3"/>
          </w:tcPr>
          <w:p>
            <w:pPr>
              <w:ind w:left="120"/>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Lowenstein Sandler.</w:t>
            </w:r>
          </w:p>
        </w:tc>
        <w:tc>
          <w:tcPr>
            <w:tcW w:w="490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WithumSmith+Brown, PC.</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2*</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Consent of BDO USA LLP.</w:t>
            </w:r>
          </w:p>
        </w:tc>
        <w:tc>
          <w:tcPr>
            <w:tcW w:w="780" w:type="dxa"/>
            <w:vAlign w:val="bottom"/>
            <w:tcBorders>
              <w:top w:val="single" w:sz="8" w:color="0000EE"/>
            </w:tcBorders>
            <w:gridSpan w:val="3"/>
          </w:tcPr>
          <w:p>
            <w:pPr>
              <w:spacing w:after="0"/>
              <w:rPr>
                <w:sz w:val="24"/>
                <w:szCs w:val="24"/>
                <w:color w:val="auto"/>
              </w:rPr>
            </w:pPr>
          </w:p>
        </w:tc>
        <w:tc>
          <w:tcPr>
            <w:tcW w:w="4420" w:type="dxa"/>
            <w:vAlign w:val="bottom"/>
            <w:gridSpan w:val="7"/>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23.</w:t>
            </w:r>
            <w:r>
              <w:rPr>
                <w:rFonts w:ascii="Times New Roman" w:cs="Times New Roman" w:eastAsia="Times New Roman" w:hAnsi="Times New Roman"/>
                <w:sz w:val="18"/>
                <w:szCs w:val="18"/>
                <w:u w:val="single" w:color="auto"/>
                <w:color w:val="0000EE"/>
                <w:w w:val="98"/>
              </w:rPr>
              <w:t>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Lowenstein Sandler LLP (included in Exhibit 5.1).</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8"/>
              </w:rPr>
              <w:t>24.</w:t>
            </w:r>
            <w:r>
              <w:rPr>
                <w:rFonts w:ascii="Times New Roman" w:cs="Times New Roman" w:eastAsia="Times New Roman" w:hAnsi="Times New Roman"/>
                <w:sz w:val="18"/>
                <w:szCs w:val="18"/>
                <w:u w:val="single" w:color="auto"/>
                <w:color w:val="0000EE"/>
                <w:w w:val="98"/>
              </w:rPr>
              <w:t>1*</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Power of Attorney (contained on the signature page of this Registration Statement).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20" w:type="dxa"/>
            <w:vAlign w:val="bottom"/>
            <w:tcBorders>
              <w:top w:val="single" w:sz="8" w:color="0000EE"/>
            </w:tcBorders>
            <w:gridSpan w:val="2"/>
          </w:tcPr>
          <w:p>
            <w:pPr>
              <w:spacing w:after="0"/>
              <w:rPr>
                <w:rFonts w:ascii="Times New Roman" w:cs="Times New Roman" w:eastAsia="Times New Roman" w:hAnsi="Times New Roman"/>
                <w:sz w:val="18"/>
                <w:szCs w:val="18"/>
                <w:color w:val="0000EE"/>
                <w:w w:val="88"/>
              </w:rPr>
            </w:pPr>
            <w:hyperlink r:id="rId42">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1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Dragonfly Energy Corp. 2019 Stock Incentive Plan.</w:t>
              </w:r>
            </w:hyperlink>
          </w:p>
        </w:tc>
        <w:tc>
          <w:tcPr>
            <w:tcW w:w="1200" w:type="dxa"/>
            <w:vAlign w:val="bottom"/>
            <w:gridSpan w:val="2"/>
          </w:tcPr>
          <w:p>
            <w:pPr>
              <w:spacing w:after="0"/>
              <w:rPr>
                <w:sz w:val="24"/>
                <w:szCs w:val="24"/>
                <w:color w:val="auto"/>
              </w:rPr>
            </w:pPr>
          </w:p>
        </w:tc>
        <w:tc>
          <w:tcPr>
            <w:tcW w:w="660" w:type="dxa"/>
            <w:vAlign w:val="bottom"/>
            <w:gridSpan w:val="2"/>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8-K</w:t>
              </w:r>
            </w:hyperlink>
          </w:p>
        </w:tc>
        <w:tc>
          <w:tcPr>
            <w:tcW w:w="900" w:type="dxa"/>
            <w:vAlign w:val="bottom"/>
            <w:gridSpan w:val="5"/>
          </w:tcPr>
          <w:p>
            <w:pPr>
              <w:ind w:left="120"/>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w w:val="88"/>
              </w:rPr>
            </w:pPr>
            <w:hyperlink r:id="rId43">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Dragonfly Energy Corp. 2021 Stock Incentive Plan.</w:t>
              </w:r>
            </w:hyperlink>
          </w:p>
        </w:tc>
        <w:tc>
          <w:tcPr>
            <w:tcW w:w="660" w:type="dxa"/>
            <w:vAlign w:val="bottom"/>
            <w:gridSpan w:val="2"/>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8-K</w:t>
              </w:r>
            </w:hyperlink>
          </w:p>
        </w:tc>
        <w:tc>
          <w:tcPr>
            <w:tcW w:w="900" w:type="dxa"/>
            <w:vAlign w:val="bottom"/>
            <w:gridSpan w:val="5"/>
          </w:tcPr>
          <w:p>
            <w:pPr>
              <w:ind w:left="120"/>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380" w:type="dxa"/>
            <w:vAlign w:val="bottom"/>
            <w:gridSpan w:val="5"/>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w w:val="88"/>
              </w:rPr>
            </w:pPr>
            <w:hyperlink r:id="rId44">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3</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Dragonfly Energy Holdings Corp. 2022 Equity Incentive Plan.</w:t>
              </w:r>
            </w:hyperlink>
          </w:p>
        </w:tc>
        <w:tc>
          <w:tcPr>
            <w:tcW w:w="660" w:type="dxa"/>
            <w:vAlign w:val="bottom"/>
            <w:gridSpan w:val="2"/>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8-K</w:t>
              </w:r>
            </w:hyperlink>
          </w:p>
        </w:tc>
        <w:tc>
          <w:tcPr>
            <w:tcW w:w="520" w:type="dxa"/>
            <w:vAlign w:val="bottom"/>
            <w:gridSpan w:val="4"/>
          </w:tcPr>
          <w:p>
            <w:pPr>
              <w:ind w:left="120"/>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380" w:type="dxa"/>
            <w:vAlign w:val="bottom"/>
          </w:tcPr>
          <w:p>
            <w:pPr>
              <w:spacing w:after="0"/>
              <w:rPr>
                <w:sz w:val="24"/>
                <w:szCs w:val="24"/>
                <w:color w:val="auto"/>
              </w:rPr>
            </w:pPr>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160" w:type="dxa"/>
            <w:vAlign w:val="bottom"/>
            <w:gridSpan w:val="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w w:val="88"/>
              </w:rPr>
            </w:pPr>
            <w:hyperlink r:id="rId45">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4</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Dragonfly Energy Holdings Corp. Employee Stock Purchase Plan.</w:t>
              </w:r>
            </w:hyperlink>
          </w:p>
        </w:tc>
        <w:tc>
          <w:tcPr>
            <w:tcW w:w="660" w:type="dxa"/>
            <w:vAlign w:val="bottom"/>
            <w:gridSpan w:val="2"/>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8-K</w:t>
              </w:r>
            </w:hyperlink>
          </w:p>
        </w:tc>
        <w:tc>
          <w:tcPr>
            <w:tcW w:w="520" w:type="dxa"/>
            <w:vAlign w:val="bottom"/>
            <w:gridSpan w:val="4"/>
          </w:tcPr>
          <w:p>
            <w:pPr>
              <w:ind w:left="120"/>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380" w:type="dxa"/>
            <w:vAlign w:val="bottom"/>
          </w:tcPr>
          <w:p>
            <w:pPr>
              <w:spacing w:after="0"/>
              <w:rPr>
                <w:sz w:val="24"/>
                <w:szCs w:val="24"/>
                <w:color w:val="auto"/>
              </w:rPr>
            </w:pPr>
          </w:p>
        </w:tc>
        <w:tc>
          <w:tcPr>
            <w:tcW w:w="1440" w:type="dxa"/>
            <w:vAlign w:val="bottom"/>
            <w:gridSpan w:val="3"/>
          </w:tcPr>
          <w:p>
            <w:pPr>
              <w:jc w:val="right"/>
              <w:ind w:right="420"/>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10/11/2022</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3440" w:type="dxa"/>
            <w:vAlign w:val="bottom"/>
            <w:gridSpan w:val="8"/>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77"/>
              </w:rPr>
              <w:t>107*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Filing Fee Exhibit.</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Reno, Nevada, on December 13, 2022.</w:t>
      </w:r>
    </w:p>
    <w:p>
      <w:pPr>
        <w:spacing w:after="0" w:line="17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Denis Phares</w:t>
      </w:r>
    </w:p>
    <w:p>
      <w:pPr>
        <w:spacing w:after="0" w:line="27" w:lineRule="exact"/>
        <w:rPr>
          <w:sz w:val="20"/>
          <w:szCs w:val="20"/>
          <w:color w:val="auto"/>
        </w:rPr>
      </w:pPr>
    </w:p>
    <w:tbl>
      <w:tblPr>
        <w:tblLayout w:type="fixed"/>
        <w:tblInd w:w="6080" w:type="dxa"/>
        <w:tblCellMar>
          <w:top w:w="0" w:type="dxa"/>
          <w:left w:w="0" w:type="dxa"/>
          <w:bottom w:w="0" w:type="dxa"/>
          <w:right w:w="0" w:type="dxa"/>
        </w:tblCellMar>
      </w:tblPr>
      <w:tr>
        <w:trPr>
          <w:trHeight w:val="191"/>
        </w:trPr>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the undersigned, whose signature appears below, hereby constitutes and appoints Denis Phares and Nicole Harvey, and each of them, his or her true and lawful attorney-in-fact and agent, with full power of substitution and re-substitution, for him or her and in his or her name, place and stead, in any and all capacities, to sign any or all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necessary or appropriate to be done with respect to this registration statement or any amendments hereto in the premises, as fully to all intents and purposes as he or she might or could do in person, hereby ratifying and confirming all that said attorneys-in-fact and agents, or any of them, or his or their substitute or substitutes, may lawfully do or cause to be done by virtue thereof.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0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2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Denis Phares</w:t>
            </w:r>
          </w:p>
        </w:tc>
        <w:tc>
          <w:tcPr>
            <w:tcW w:w="50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Chairman, President and Chief Executive Officer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Denis Phares</w:t>
            </w:r>
          </w:p>
        </w:tc>
        <w:tc>
          <w:tcPr>
            <w:tcW w:w="504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Marchetti</w:t>
            </w:r>
          </w:p>
        </w:tc>
        <w:tc>
          <w:tcPr>
            <w:tcW w:w="504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John Marchetti</w:t>
            </w:r>
          </w:p>
        </w:tc>
        <w:tc>
          <w:tcPr>
            <w:tcW w:w="5040" w:type="dxa"/>
            <w:vAlign w:val="bottom"/>
          </w:tcPr>
          <w:p>
            <w:pPr>
              <w:jc w:val="center"/>
              <w:ind w:left="33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Luisa Ingargiola</w:t>
            </w:r>
          </w:p>
        </w:tc>
        <w:tc>
          <w:tcPr>
            <w:tcW w:w="50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Luisa Ingargiola</w:t>
            </w:r>
          </w:p>
        </w:tc>
        <w:tc>
          <w:tcPr>
            <w:tcW w:w="50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Brian Nelson</w:t>
            </w:r>
          </w:p>
        </w:tc>
        <w:tc>
          <w:tcPr>
            <w:tcW w:w="50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Brian Nelson</w:t>
            </w:r>
          </w:p>
        </w:tc>
        <w:tc>
          <w:tcPr>
            <w:tcW w:w="50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Perry Boyle</w:t>
            </w:r>
          </w:p>
        </w:tc>
        <w:tc>
          <w:tcPr>
            <w:tcW w:w="50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Perry Boyle</w:t>
            </w:r>
          </w:p>
        </w:tc>
        <w:tc>
          <w:tcPr>
            <w:tcW w:w="50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/s/ Jonathan Bellows</w:t>
            </w:r>
          </w:p>
        </w:tc>
        <w:tc>
          <w:tcPr>
            <w:tcW w:w="50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Jonathan Bellows</w:t>
            </w:r>
          </w:p>
        </w:tc>
        <w:tc>
          <w:tcPr>
            <w:tcW w:w="50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Rick Parod</w:t>
            </w:r>
          </w:p>
        </w:tc>
        <w:tc>
          <w:tcPr>
            <w:tcW w:w="50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Rick Parod</w:t>
            </w:r>
          </w:p>
        </w:tc>
        <w:tc>
          <w:tcPr>
            <w:tcW w:w="50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4"/>
        </w:trPr>
        <w:tc>
          <w:tcPr>
            <w:tcW w:w="6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Karina Edmonds</w:t>
            </w:r>
          </w:p>
        </w:tc>
        <w:tc>
          <w:tcPr>
            <w:tcW w:w="504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Director</w:t>
            </w:r>
          </w:p>
        </w:tc>
        <w:tc>
          <w:tcPr>
            <w:tcW w:w="22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December 13, 2022</w:t>
            </w:r>
          </w:p>
        </w:tc>
        <w:tc>
          <w:tcPr>
            <w:tcW w:w="0" w:type="dxa"/>
            <w:vAlign w:val="bottom"/>
          </w:tcPr>
          <w:p>
            <w:pPr>
              <w:spacing w:after="0"/>
              <w:rPr>
                <w:sz w:val="1"/>
                <w:szCs w:val="1"/>
                <w:color w:val="auto"/>
              </w:rPr>
            </w:pPr>
          </w:p>
        </w:tc>
      </w:tr>
      <w:tr>
        <w:trPr>
          <w:trHeight w:val="88"/>
        </w:trPr>
        <w:tc>
          <w:tcPr>
            <w:tcW w:w="60" w:type="dxa"/>
            <w:vAlign w:val="bottom"/>
          </w:tcPr>
          <w:p>
            <w:pPr>
              <w:spacing w:after="0"/>
              <w:rPr>
                <w:sz w:val="7"/>
                <w:szCs w:val="7"/>
                <w:color w:val="auto"/>
              </w:rPr>
            </w:pPr>
          </w:p>
        </w:tc>
        <w:tc>
          <w:tcPr>
            <w:tcW w:w="3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Karina Edmonds</w:t>
            </w:r>
          </w:p>
        </w:tc>
        <w:tc>
          <w:tcPr>
            <w:tcW w:w="504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920" w:type="dxa"/>
            <w:vAlign w:val="bottom"/>
            <w:vMerge w:val="continue"/>
          </w:tcPr>
          <w:p>
            <w:pPr>
              <w:spacing w:after="0"/>
              <w:rPr>
                <w:sz w:val="12"/>
                <w:szCs w:val="12"/>
                <w:color w:val="auto"/>
              </w:rPr>
            </w:pPr>
          </w:p>
        </w:tc>
        <w:tc>
          <w:tcPr>
            <w:tcW w:w="5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4"/>
        </w:trPr>
        <w:tc>
          <w:tcPr>
            <w:tcW w:w="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858000" cy="2202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8">
                      <a:extLst>
                        <a:ext uri="{28A0092B-C50C-407E-A947-70E740481C1C}"/>
                      </a:extLst>
                    </a:blip>
                    <a:srcRect/>
                    <a:stretch>
                      <a:fillRect/>
                    </a:stretch>
                  </pic:blipFill>
                  <pic:spPr bwMode="auto">
                    <a:xfrm>
                      <a:off x="0" y="0"/>
                      <a:ext cx="685800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 89521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7"/>
          <w:szCs w:val="17"/>
          <w:color w:val="auto"/>
        </w:rPr>
        <w:t>We have acted as counsel to Dragonfly Energy Holdings Corp.,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Company’s filing on the date hereof with the U.S.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of a Registration Statement on Form S-8 (the “</w:t>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The Registration Statement relates to the registration of (i) 2,605,950 shares (the “</w:t>
      </w:r>
      <w:r>
        <w:rPr>
          <w:rFonts w:ascii="Times New Roman" w:cs="Times New Roman" w:eastAsia="Times New Roman" w:hAnsi="Times New Roman"/>
          <w:sz w:val="17"/>
          <w:szCs w:val="17"/>
          <w:u w:val="single" w:color="auto"/>
          <w:color w:val="auto"/>
        </w:rPr>
        <w:t>Available Shares</w:t>
      </w:r>
      <w:r>
        <w:rPr>
          <w:rFonts w:ascii="Times New Roman" w:cs="Times New Roman" w:eastAsia="Times New Roman" w:hAnsi="Times New Roman"/>
          <w:sz w:val="17"/>
          <w:szCs w:val="17"/>
          <w:color w:val="auto"/>
        </w:rPr>
        <w:t>”) of the Company’s common stock, par value $0.0001 per share (the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issuable pursuant to the Dragonfly Energy Holdings Corp. 2022 Equity Incentive Plan (the “</w:t>
      </w:r>
      <w:r>
        <w:rPr>
          <w:rFonts w:ascii="Times New Roman" w:cs="Times New Roman" w:eastAsia="Times New Roman" w:hAnsi="Times New Roman"/>
          <w:sz w:val="17"/>
          <w:szCs w:val="17"/>
          <w:u w:val="single" w:color="auto"/>
          <w:color w:val="auto"/>
        </w:rPr>
        <w:t>2022 Plan</w:t>
      </w:r>
      <w:r>
        <w:rPr>
          <w:rFonts w:ascii="Times New Roman" w:cs="Times New Roman" w:eastAsia="Times New Roman" w:hAnsi="Times New Roman"/>
          <w:sz w:val="17"/>
          <w:szCs w:val="17"/>
          <w:color w:val="auto"/>
        </w:rPr>
        <w:t>”); (ii) 1,755,935 shares (the “</w:t>
      </w:r>
      <w:r>
        <w:rPr>
          <w:rFonts w:ascii="Times New Roman" w:cs="Times New Roman" w:eastAsia="Times New Roman" w:hAnsi="Times New Roman"/>
          <w:sz w:val="17"/>
          <w:szCs w:val="17"/>
          <w:u w:val="single" w:color="auto"/>
          <w:color w:val="auto"/>
        </w:rPr>
        <w:t>2021 Option Shares</w:t>
      </w:r>
      <w:r>
        <w:rPr>
          <w:rFonts w:ascii="Times New Roman" w:cs="Times New Roman" w:eastAsia="Times New Roman" w:hAnsi="Times New Roman"/>
          <w:sz w:val="17"/>
          <w:szCs w:val="17"/>
          <w:color w:val="auto"/>
        </w:rPr>
        <w:t>”) of Common Stock subject to outstanding stock options under the Dragonfly Energy Corp. 2021 Stock Incentive Plan (the “</w:t>
      </w:r>
      <w:r>
        <w:rPr>
          <w:rFonts w:ascii="Times New Roman" w:cs="Times New Roman" w:eastAsia="Times New Roman" w:hAnsi="Times New Roman"/>
          <w:sz w:val="17"/>
          <w:szCs w:val="17"/>
          <w:u w:val="single" w:color="auto"/>
          <w:color w:val="auto"/>
        </w:rPr>
        <w:t>2021 Plan</w:t>
      </w:r>
      <w:r>
        <w:rPr>
          <w:rFonts w:ascii="Times New Roman" w:cs="Times New Roman" w:eastAsia="Times New Roman" w:hAnsi="Times New Roman"/>
          <w:sz w:val="17"/>
          <w:szCs w:val="17"/>
          <w:color w:val="auto"/>
        </w:rPr>
        <w:t>”); (iii) 3,177,632 shares (the “</w:t>
      </w:r>
      <w:r>
        <w:rPr>
          <w:rFonts w:ascii="Times New Roman" w:cs="Times New Roman" w:eastAsia="Times New Roman" w:hAnsi="Times New Roman"/>
          <w:sz w:val="17"/>
          <w:szCs w:val="17"/>
          <w:u w:val="single" w:color="auto"/>
          <w:color w:val="auto"/>
        </w:rPr>
        <w:t>2019 Option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Common Stock subject to outstanding stock options under the Dragonfly Energy Corp. 2019 Stock Incentive Plan (the “</w:t>
      </w:r>
      <w:r>
        <w:rPr>
          <w:rFonts w:ascii="Times New Roman" w:cs="Times New Roman" w:eastAsia="Times New Roman" w:hAnsi="Times New Roman"/>
          <w:sz w:val="17"/>
          <w:szCs w:val="17"/>
          <w:u w:val="single" w:color="auto"/>
          <w:color w:val="auto"/>
        </w:rPr>
        <w:t>2019 Plan</w:t>
      </w:r>
      <w:r>
        <w:rPr>
          <w:rFonts w:ascii="Times New Roman" w:cs="Times New Roman" w:eastAsia="Times New Roman" w:hAnsi="Times New Roman"/>
          <w:sz w:val="17"/>
          <w:szCs w:val="17"/>
          <w:color w:val="auto"/>
        </w:rPr>
        <w:t>”); and</w:t>
      </w:r>
    </w:p>
    <w:p>
      <w:pPr>
        <w:spacing w:after="0" w:line="2" w:lineRule="exact"/>
        <w:rPr>
          <w:sz w:val="20"/>
          <w:szCs w:val="20"/>
          <w:color w:val="auto"/>
        </w:rPr>
      </w:pPr>
    </w:p>
    <w:p>
      <w:pPr>
        <w:jc w:val="both"/>
        <w:ind w:firstLine="8"/>
        <w:spacing w:after="0" w:line="255" w:lineRule="auto"/>
        <w:tabs>
          <w:tab w:leader="none" w:pos="30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(the “</w:t>
      </w:r>
      <w:r>
        <w:rPr>
          <w:rFonts w:ascii="Times New Roman" w:cs="Times New Roman" w:eastAsia="Times New Roman" w:hAnsi="Times New Roman"/>
          <w:sz w:val="18"/>
          <w:szCs w:val="18"/>
          <w:u w:val="single" w:color="auto"/>
          <w:color w:val="auto"/>
        </w:rPr>
        <w:t>ESPP Shares</w:t>
      </w:r>
      <w:r>
        <w:rPr>
          <w:rFonts w:ascii="Times New Roman" w:cs="Times New Roman" w:eastAsia="Times New Roman" w:hAnsi="Times New Roman"/>
          <w:sz w:val="18"/>
          <w:szCs w:val="18"/>
          <w:color w:val="auto"/>
        </w:rPr>
        <w:t>” and, collectively with the Available Shares, the 2021 Option Shares and the 2019 Option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issuable pursuant to the Dragonfly Energy Holdings Corp.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collectively with the 2022 Plan, the 2021 Plan and the 2019 Plan,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In connection with rendering this opinion, we have examined or are familiar with the Registration Statement and related prospectuses, the Plans, the Company’s Amended and Restated Certificate of Incorporation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Amended and Restated Bylaws of the Company, the corporate proceedings with respect to the authorization of the Registration Statement, and such other certificates, instruments and documents as we have considered necessary or appropriate for purposes of this opinion. In such examination, we have assumed the genuineness of all signatures, the authenticity of all documents submitted to us as originals, conformity to the original documents of all documents submitted to us as copies and the authenticity of the originals of such latter documents. As to any facts material to our opinion, we have, when relevant facts were not independently established, relied upon the Registration Statement and the aforesaid records, certificates and documents.</w:t>
      </w:r>
    </w:p>
    <w:p>
      <w:pPr>
        <w:spacing w:after="0" w:line="189"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assume that the Company has sufficient unissued and unreserved shares of Common Stock (or will validly amend the Certificate of Incorporation, to authorize a sufficient number of shares of Common Stock prior to the issuance thereof) available for issuance as provided in the Registration Statement and any related amendment thereto or prospectus supplement.</w:t>
      </w:r>
    </w:p>
    <w:p>
      <w:pPr>
        <w:spacing w:after="0" w:line="176" w:lineRule="exact"/>
        <w:rPr>
          <w:sz w:val="20"/>
          <w:szCs w:val="20"/>
          <w:color w:val="auto"/>
        </w:rPr>
      </w:pPr>
    </w:p>
    <w:p>
      <w:pPr>
        <w:jc w:val="both"/>
        <w:ind w:firstLine="972"/>
        <w:spacing w:after="0" w:line="282" w:lineRule="auto"/>
        <w:rPr>
          <w:sz w:val="20"/>
          <w:szCs w:val="20"/>
          <w:color w:val="auto"/>
        </w:rPr>
      </w:pPr>
      <w:r>
        <w:rPr>
          <w:rFonts w:ascii="Times New Roman" w:cs="Times New Roman" w:eastAsia="Times New Roman" w:hAnsi="Times New Roman"/>
          <w:sz w:val="18"/>
          <w:szCs w:val="18"/>
          <w:color w:val="auto"/>
        </w:rPr>
        <w:t>Based upon such examination and review, we are of the opinion that the Shares, upon issuance and delivery as contemplated by the Plans, will be validly issued, fully paid and nonassessable outstanding shares of Common Stock.</w:t>
      </w:r>
    </w:p>
    <w:p>
      <w:pPr>
        <w:spacing w:after="0" w:line="162"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The opinion expressed herein is limited to the General Corporation Law of the State of Delaware (including the statutory provisions, all applicable provisions of the Delaware Constitution and reported judicial decisions interpreting the foregoing) and we express no opinion as to the effect on the matters covered by this letter of the laws of any other jurisdiction. We assume no obligation to advise you of facts or circumstances that come to our attention or changes in law that occur which could affect the opinions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836930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6858000" cy="38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a:extLst>
                        <a:ext uri="{28A0092B-C50C-407E-A947-70E740481C1C}"/>
                      </a:extLst>
                    </a:blip>
                    <a:srcRect/>
                    <a:stretch>
                      <a:fillRect/>
                    </a:stretch>
                  </pic:blipFill>
                  <pic:spPr bwMode="auto">
                    <a:xfrm>
                      <a:off x="0" y="0"/>
                      <a:ext cx="6858000" cy="3860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letter as an exhibit to the Registration Statement. In giving this consent, we do not admit that we are 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Lowenstein Sandler LLP</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Lowenstein Sandler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2820670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6858000" cy="2202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3">
                      <a:extLst>
                        <a:ext uri="{28A0092B-C50C-407E-A947-70E740481C1C}"/>
                      </a:extLst>
                    </a:blip>
                    <a:srcRect/>
                    <a:stretch>
                      <a:fillRect/>
                    </a:stretch>
                  </pic:blipFill>
                  <pic:spPr bwMode="auto">
                    <a:xfrm>
                      <a:off x="0" y="0"/>
                      <a:ext cx="6858000" cy="220281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on Form S-8 of our report dated March 28, 2022 relating to the financial statements of Chardan NexTech Acquisition 2 Corp., appearing in the entity’s Annual Report on Form 10-K for the year ended December 31, 2021 and for the period from June 23, 2020 (inception) through December 31, 2020. We also consent to the reference to us under the caption Experts in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Form S-8 constituting a part of this Registration Statement of our report dated April 20, 2022, relating to the financial statements of Dragonfly Energy Corp., appearing in the Company’s Registration Statement on Form S-4 (333-266273), as amended, for the year ended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ind w:left="1036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Dragonfly Energy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 w:type="dxa"/>
            <w:vAlign w:val="bottom"/>
          </w:tcPr>
          <w:p>
            <w:pPr>
              <w:spacing w:after="0"/>
              <w:rPr>
                <w:sz w:val="18"/>
                <w:szCs w:val="18"/>
                <w:color w:val="auto"/>
              </w:rPr>
            </w:pPr>
          </w:p>
        </w:tc>
        <w:tc>
          <w:tcPr>
            <w:tcW w:w="13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Title of</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offering</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84"/>
        </w:trPr>
        <w:tc>
          <w:tcPr>
            <w:tcW w:w="15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16"/>
                <w:szCs w:val="16"/>
                <w:color w:val="auto"/>
              </w:rPr>
            </w:pPr>
          </w:p>
        </w:tc>
        <w:tc>
          <w:tcPr>
            <w:tcW w:w="1400" w:type="dxa"/>
            <w:vAlign w:val="bottom"/>
            <w:gridSpan w:val="2"/>
          </w:tcPr>
          <w:p>
            <w:pPr>
              <w:jc w:val="center"/>
              <w:ind w:right="1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Securities</w:t>
            </w:r>
          </w:p>
        </w:tc>
        <w:tc>
          <w:tcPr>
            <w:tcW w:w="140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Fee Calculation</w:t>
            </w: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540"/>
              <w:spacing w:after="0" w:line="184" w:lineRule="exact"/>
              <w:rPr>
                <w:sz w:val="20"/>
                <w:szCs w:val="20"/>
                <w:color w:val="auto"/>
              </w:rPr>
            </w:pPr>
            <w:r>
              <w:rPr>
                <w:rFonts w:ascii="Times New Roman" w:cs="Times New Roman" w:eastAsia="Times New Roman" w:hAnsi="Times New Roman"/>
                <w:sz w:val="18"/>
                <w:szCs w:val="18"/>
                <w:b w:val="1"/>
                <w:bCs w:val="1"/>
                <w:color w:val="auto"/>
              </w:rPr>
              <w:t>price</w:t>
            </w:r>
          </w:p>
        </w:tc>
        <w:tc>
          <w:tcPr>
            <w:tcW w:w="100" w:type="dxa"/>
            <w:vAlign w:val="bottom"/>
          </w:tcPr>
          <w:p>
            <w:pPr>
              <w:spacing w:after="0"/>
              <w:rPr>
                <w:sz w:val="16"/>
                <w:szCs w:val="16"/>
                <w:color w:val="auto"/>
              </w:rPr>
            </w:pPr>
          </w:p>
        </w:tc>
        <w:tc>
          <w:tcPr>
            <w:tcW w:w="1380" w:type="dxa"/>
            <w:vAlign w:val="bottom"/>
            <w:gridSpan w:val="2"/>
          </w:tcPr>
          <w:p>
            <w:pPr>
              <w:jc w:val="center"/>
              <w:ind w:right="440"/>
              <w:spacing w:after="0" w:line="184" w:lineRule="exact"/>
              <w:rPr>
                <w:sz w:val="20"/>
                <w:szCs w:val="20"/>
                <w:color w:val="auto"/>
              </w:rPr>
            </w:pPr>
            <w:r>
              <w:rPr>
                <w:rFonts w:ascii="Times New Roman" w:cs="Times New Roman" w:eastAsia="Times New Roman" w:hAnsi="Times New Roman"/>
                <w:sz w:val="18"/>
                <w:szCs w:val="18"/>
                <w:b w:val="1"/>
                <w:bCs w:val="1"/>
                <w:color w:val="auto"/>
              </w:rPr>
              <w:t>offering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registration</w:t>
            </w:r>
          </w:p>
        </w:tc>
        <w:tc>
          <w:tcPr>
            <w:tcW w:w="0" w:type="dxa"/>
            <w:vAlign w:val="bottom"/>
          </w:tcPr>
          <w:p>
            <w:pPr>
              <w:spacing w:after="0"/>
              <w:rPr>
                <w:sz w:val="1"/>
                <w:szCs w:val="1"/>
                <w:color w:val="auto"/>
              </w:rPr>
            </w:pPr>
          </w:p>
        </w:tc>
      </w:tr>
      <w:tr>
        <w:trPr>
          <w:trHeight w:val="270"/>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00" w:type="dxa"/>
            <w:vAlign w:val="bottom"/>
          </w:tcPr>
          <w:p>
            <w:pPr>
              <w:spacing w:after="0"/>
              <w:rPr>
                <w:sz w:val="23"/>
                <w:szCs w:val="23"/>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 be Registered</w:t>
            </w:r>
          </w:p>
        </w:tc>
        <w:tc>
          <w:tcPr>
            <w:tcW w:w="400" w:type="dxa"/>
            <w:vAlign w:val="bottom"/>
          </w:tcPr>
          <w:p>
            <w:pPr>
              <w:spacing w:after="0"/>
              <w:rPr>
                <w:sz w:val="23"/>
                <w:szCs w:val="23"/>
                <w:color w:val="auto"/>
              </w:rPr>
            </w:pPr>
          </w:p>
        </w:tc>
        <w:tc>
          <w:tcPr>
            <w:tcW w:w="10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460" w:type="dxa"/>
            <w:vAlign w:val="bottom"/>
            <w:gridSpan w:val="2"/>
          </w:tcPr>
          <w:p>
            <w:pPr>
              <w:jc w:val="right"/>
              <w:ind w:right="420"/>
              <w:spacing w:after="0" w:line="270" w:lineRule="exact"/>
              <w:rPr>
                <w:sz w:val="20"/>
                <w:szCs w:val="20"/>
                <w:color w:val="auto"/>
              </w:rPr>
            </w:pPr>
            <w:r>
              <w:rPr>
                <w:rFonts w:ascii="Times New Roman" w:cs="Times New Roman" w:eastAsia="Times New Roman" w:hAnsi="Times New Roman"/>
                <w:sz w:val="18"/>
                <w:szCs w:val="18"/>
                <w:b w:val="1"/>
                <w:bCs w:val="1"/>
                <w:color w:val="auto"/>
                <w:w w:val="97"/>
              </w:rPr>
              <w:t>Registered</w:t>
            </w:r>
            <w:r>
              <w:rPr>
                <w:rFonts w:ascii="Times New Roman" w:cs="Times New Roman" w:eastAsia="Times New Roman" w:hAnsi="Times New Roman"/>
                <w:sz w:val="29"/>
                <w:szCs w:val="29"/>
                <w:b w:val="1"/>
                <w:bCs w:val="1"/>
                <w:color w:val="auto"/>
                <w:w w:val="97"/>
                <w:vertAlign w:val="superscript"/>
              </w:rPr>
              <w:t>(1)</w:t>
            </w:r>
          </w:p>
        </w:tc>
        <w:tc>
          <w:tcPr>
            <w:tcW w:w="160" w:type="dxa"/>
            <w:vAlign w:val="bottom"/>
          </w:tcPr>
          <w:p>
            <w:pPr>
              <w:spacing w:after="0"/>
              <w:rPr>
                <w:sz w:val="23"/>
                <w:szCs w:val="23"/>
                <w:color w:val="auto"/>
              </w:rPr>
            </w:pPr>
          </w:p>
        </w:tc>
        <w:tc>
          <w:tcPr>
            <w:tcW w:w="13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23"/>
                <w:szCs w:val="23"/>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fee</w:t>
            </w:r>
          </w:p>
        </w:tc>
        <w:tc>
          <w:tcPr>
            <w:tcW w:w="0" w:type="dxa"/>
            <w:vAlign w:val="bottom"/>
          </w:tcPr>
          <w:p>
            <w:pPr>
              <w:spacing w:after="0"/>
              <w:rPr>
                <w:sz w:val="1"/>
                <w:szCs w:val="1"/>
                <w:color w:val="auto"/>
              </w:rPr>
            </w:pPr>
          </w:p>
        </w:tc>
      </w:tr>
      <w:tr>
        <w:trPr>
          <w:trHeight w:val="191"/>
        </w:trPr>
        <w:tc>
          <w:tcPr>
            <w:tcW w:w="15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ind w:right="310"/>
              <w:spacing w:after="0" w:line="191" w:lineRule="exact"/>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$0.0001 par</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2,605,950</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13.78</w:t>
            </w:r>
            <w:r>
              <w:rPr>
                <w:rFonts w:ascii="Times New Roman" w:cs="Times New Roman" w:eastAsia="Times New Roman" w:hAnsi="Times New Roman"/>
                <w:sz w:val="29"/>
                <w:szCs w:val="29"/>
                <w:color w:val="auto"/>
                <w:vertAlign w:val="superscript"/>
              </w:rPr>
              <w:t>(3)</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35,909,991.00</w:t>
            </w:r>
            <w:r>
              <w:rPr>
                <w:rFonts w:ascii="Times New Roman" w:cs="Times New Roman" w:eastAsia="Times New Roman" w:hAnsi="Times New Roman"/>
                <w:sz w:val="29"/>
                <w:szCs w:val="29"/>
                <w:color w:val="auto"/>
                <w:w w:val="95"/>
                <w:vertAlign w:val="superscript"/>
              </w:rPr>
              <w:t>(3)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value per share</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0.0001102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3,957.29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spacing w:after="0"/>
              <w:rPr>
                <w:sz w:val="17"/>
                <w:szCs w:val="17"/>
                <w:color w:val="auto"/>
              </w:rPr>
            </w:pPr>
          </w:p>
        </w:tc>
        <w:tc>
          <w:tcPr>
            <w:tcW w:w="100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$0.0001 par</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1,755,935</w:t>
            </w:r>
            <w:r>
              <w:rPr>
                <w:rFonts w:ascii="Times New Roman" w:cs="Times New Roman" w:eastAsia="Times New Roman" w:hAnsi="Times New Roman"/>
                <w:sz w:val="29"/>
                <w:szCs w:val="29"/>
                <w:color w:val="auto"/>
                <w:vertAlign w:val="superscript"/>
              </w:rPr>
              <w:t>(4)</w:t>
            </w:r>
          </w:p>
        </w:tc>
        <w:tc>
          <w:tcPr>
            <w:tcW w:w="160" w:type="dxa"/>
            <w:vAlign w:val="bottom"/>
          </w:tcPr>
          <w:p>
            <w:pPr>
              <w:spacing w:after="0"/>
              <w:rPr>
                <w:sz w:val="18"/>
                <w:szCs w:val="18"/>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3.25</w:t>
            </w:r>
            <w:r>
              <w:rPr>
                <w:rFonts w:ascii="Times New Roman" w:cs="Times New Roman" w:eastAsia="Times New Roman" w:hAnsi="Times New Roman"/>
                <w:sz w:val="29"/>
                <w:szCs w:val="29"/>
                <w:color w:val="auto"/>
                <w:vertAlign w:val="superscript"/>
              </w:rPr>
              <w:t>(5)</w:t>
            </w:r>
          </w:p>
        </w:tc>
        <w:tc>
          <w:tcPr>
            <w:tcW w:w="100" w:type="dxa"/>
            <w:vAlign w:val="bottom"/>
          </w:tcPr>
          <w:p>
            <w:pPr>
              <w:spacing w:after="0"/>
              <w:rPr>
                <w:sz w:val="18"/>
                <w:szCs w:val="18"/>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5,706,788.75</w:t>
            </w:r>
            <w:r>
              <w:rPr>
                <w:rFonts w:ascii="Times New Roman" w:cs="Times New Roman" w:eastAsia="Times New Roman" w:hAnsi="Times New Roman"/>
                <w:sz w:val="29"/>
                <w:szCs w:val="29"/>
                <w:color w:val="auto"/>
                <w:vertAlign w:val="superscript"/>
              </w:rPr>
              <w:t>(5)</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value per share</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0.0001102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$0.0001 par</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3,177,632</w:t>
            </w:r>
            <w:r>
              <w:rPr>
                <w:rFonts w:ascii="Times New Roman" w:cs="Times New Roman" w:eastAsia="Times New Roman" w:hAnsi="Times New Roman"/>
                <w:sz w:val="29"/>
                <w:szCs w:val="29"/>
                <w:color w:val="auto"/>
                <w:vertAlign w:val="superscript"/>
              </w:rPr>
              <w:t>(6)</w:t>
            </w:r>
          </w:p>
        </w:tc>
        <w:tc>
          <w:tcPr>
            <w:tcW w:w="16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r>
              <w:rPr>
                <w:rFonts w:ascii="Times New Roman" w:cs="Times New Roman" w:eastAsia="Times New Roman" w:hAnsi="Times New Roman"/>
                <w:sz w:val="29"/>
                <w:szCs w:val="29"/>
                <w:color w:val="auto"/>
                <w:vertAlign w:val="superscript"/>
              </w:rPr>
              <w:t>(7)</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8,611,382.72</w:t>
            </w:r>
            <w:r>
              <w:rPr>
                <w:rFonts w:ascii="Times New Roman" w:cs="Times New Roman" w:eastAsia="Times New Roman" w:hAnsi="Times New Roman"/>
                <w:sz w:val="29"/>
                <w:szCs w:val="29"/>
                <w:color w:val="auto"/>
                <w:vertAlign w:val="superscript"/>
              </w:rPr>
              <w:t>(7)</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value per share</w:t>
            </w: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0.0001102</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948.98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Equity</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400" w:type="dxa"/>
            <w:vAlign w:val="bottom"/>
          </w:tcPr>
          <w:p>
            <w:pPr>
              <w:spacing w:after="0"/>
              <w:rPr>
                <w:sz w:val="17"/>
                <w:szCs w:val="17"/>
                <w:color w:val="auto"/>
              </w:rPr>
            </w:pPr>
          </w:p>
        </w:tc>
        <w:tc>
          <w:tcPr>
            <w:tcW w:w="1000" w:type="dxa"/>
            <w:vAlign w:val="bottom"/>
            <w:gridSpan w:val="2"/>
          </w:tcPr>
          <w:p>
            <w:pPr>
              <w:jc w:val="center"/>
              <w:ind w:right="500"/>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$0.0001 par</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2,464,400</w:t>
            </w:r>
            <w:r>
              <w:rPr>
                <w:rFonts w:ascii="Times New Roman" w:cs="Times New Roman" w:eastAsia="Times New Roman" w:hAnsi="Times New Roman"/>
                <w:sz w:val="29"/>
                <w:szCs w:val="29"/>
                <w:color w:val="auto"/>
                <w:vertAlign w:val="superscript"/>
              </w:rPr>
              <w:t>(8)</w:t>
            </w:r>
          </w:p>
        </w:tc>
        <w:tc>
          <w:tcPr>
            <w:tcW w:w="160" w:type="dxa"/>
            <w:vAlign w:val="bottom"/>
          </w:tcPr>
          <w:p>
            <w:pPr>
              <w:spacing w:after="0"/>
              <w:rPr>
                <w:sz w:val="18"/>
                <w:szCs w:val="18"/>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11.72</w:t>
            </w:r>
            <w:r>
              <w:rPr>
                <w:rFonts w:ascii="Times New Roman" w:cs="Times New Roman" w:eastAsia="Times New Roman" w:hAnsi="Times New Roman"/>
                <w:sz w:val="29"/>
                <w:szCs w:val="29"/>
                <w:color w:val="auto"/>
                <w:vertAlign w:val="superscript"/>
              </w:rPr>
              <w:t>(9)</w:t>
            </w:r>
          </w:p>
        </w:tc>
        <w:tc>
          <w:tcPr>
            <w:tcW w:w="100" w:type="dxa"/>
            <w:vAlign w:val="bottom"/>
          </w:tcPr>
          <w:p>
            <w:pPr>
              <w:spacing w:after="0"/>
              <w:rPr>
                <w:sz w:val="18"/>
                <w:szCs w:val="18"/>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w w:val="95"/>
              </w:rPr>
              <w:t>28,882,768.00</w:t>
            </w:r>
            <w:r>
              <w:rPr>
                <w:rFonts w:ascii="Times New Roman" w:cs="Times New Roman" w:eastAsia="Times New Roman" w:hAnsi="Times New Roman"/>
                <w:sz w:val="29"/>
                <w:szCs w:val="29"/>
                <w:color w:val="auto"/>
                <w:w w:val="95"/>
                <w:vertAlign w:val="superscript"/>
              </w:rPr>
              <w:t>(9)</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value per share</w:t>
            </w: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continue"/>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0.0001102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3,182.88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56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Total Offering Amounts</w:t>
            </w: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79,110,930.47</w:t>
            </w:r>
          </w:p>
        </w:tc>
        <w:tc>
          <w:tcPr>
            <w:tcW w:w="3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8,718.04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60" w:type="dxa"/>
            <w:vAlign w:val="bottom"/>
            <w:shd w:val="clear" w:color="auto" w:fill="CCEEFF"/>
          </w:tcPr>
          <w:p>
            <w:pPr>
              <w:spacing w:after="0"/>
              <w:rPr>
                <w:sz w:val="20"/>
                <w:szCs w:val="20"/>
                <w:color w:val="auto"/>
              </w:rPr>
            </w:pPr>
          </w:p>
        </w:tc>
        <w:tc>
          <w:tcPr>
            <w:tcW w:w="1900" w:type="dxa"/>
            <w:vAlign w:val="bottom"/>
            <w:gridSpan w:val="4"/>
            <w:shd w:val="clear" w:color="auto" w:fill="CCEEFF"/>
          </w:tcPr>
          <w:p>
            <w:pPr>
              <w:ind w:left="100"/>
              <w:spacing w:after="0" w:line="236" w:lineRule="exact"/>
              <w:rPr>
                <w:sz w:val="20"/>
                <w:szCs w:val="20"/>
                <w:color w:val="auto"/>
              </w:rPr>
            </w:pPr>
            <w:r>
              <w:rPr>
                <w:rFonts w:ascii="Times New Roman" w:cs="Times New Roman" w:eastAsia="Times New Roman" w:hAnsi="Times New Roman"/>
                <w:sz w:val="17"/>
                <w:szCs w:val="17"/>
                <w:color w:val="auto"/>
              </w:rPr>
              <w:t>Total Fee Offsets</w:t>
            </w:r>
            <w:r>
              <w:rPr>
                <w:rFonts w:ascii="Times New Roman" w:cs="Times New Roman" w:eastAsia="Times New Roman" w:hAnsi="Times New Roman"/>
                <w:sz w:val="27"/>
                <w:szCs w:val="27"/>
                <w:color w:val="auto"/>
                <w:vertAlign w:val="superscript"/>
              </w:rPr>
              <w:t>(10)</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Net Fee Due</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this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also cover any additional shares of the Registrant’s common stock, par value $0.0001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Dragonfly Energy Holdings Corp.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that become issuable under the Dragonfly Energy Holdings Corp. 2022 Equity Incentive Plan (the “</w:t>
      </w:r>
      <w:r>
        <w:rPr>
          <w:rFonts w:ascii="Times New Roman" w:cs="Times New Roman" w:eastAsia="Times New Roman" w:hAnsi="Times New Roman"/>
          <w:sz w:val="18"/>
          <w:szCs w:val="18"/>
          <w:u w:val="single" w:color="auto"/>
          <w:color w:val="auto"/>
        </w:rPr>
        <w:t>2022 Plan</w:t>
      </w:r>
      <w:r>
        <w:rPr>
          <w:rFonts w:ascii="Times New Roman" w:cs="Times New Roman" w:eastAsia="Times New Roman" w:hAnsi="Times New Roman"/>
          <w:sz w:val="18"/>
          <w:szCs w:val="18"/>
          <w:color w:val="auto"/>
        </w:rPr>
        <w:t>”), the Dragonfly Energy Corp. 2021 Stock Incentive Plan (the “</w:t>
      </w:r>
      <w:r>
        <w:rPr>
          <w:rFonts w:ascii="Times New Roman" w:cs="Times New Roman" w:eastAsia="Times New Roman" w:hAnsi="Times New Roman"/>
          <w:sz w:val="18"/>
          <w:szCs w:val="18"/>
          <w:u w:val="single" w:color="auto"/>
          <w:color w:val="auto"/>
        </w:rPr>
        <w:t>2021 Plan</w:t>
      </w:r>
      <w:r>
        <w:rPr>
          <w:rFonts w:ascii="Times New Roman" w:cs="Times New Roman" w:eastAsia="Times New Roman" w:hAnsi="Times New Roman"/>
          <w:sz w:val="18"/>
          <w:szCs w:val="18"/>
          <w:color w:val="auto"/>
        </w:rPr>
        <w:t>”), the Dragonfly Energy Corp. 2019 Stock Incentive Plan (the “</w:t>
      </w:r>
      <w:r>
        <w:rPr>
          <w:rFonts w:ascii="Times New Roman" w:cs="Times New Roman" w:eastAsia="Times New Roman" w:hAnsi="Times New Roman"/>
          <w:sz w:val="18"/>
          <w:szCs w:val="18"/>
          <w:u w:val="single" w:color="auto"/>
          <w:color w:val="auto"/>
        </w:rPr>
        <w:t>2019 Plan</w:t>
      </w:r>
      <w:r>
        <w:rPr>
          <w:rFonts w:ascii="Times New Roman" w:cs="Times New Roman" w:eastAsia="Times New Roman" w:hAnsi="Times New Roman"/>
          <w:sz w:val="18"/>
          <w:szCs w:val="18"/>
          <w:color w:val="auto"/>
        </w:rPr>
        <w:t>”), and the Dragonfly Energy Holdings Corp.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in respect of the securities identified in the above table by reason of any stock dividend, stock split, recapitalization, or other similar transaction effected without the Registrant’s receipt of consideration that increases the number of the outstanding shares of the Registrant’s Common Stock.</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2,605,950 shares of Common Stock reserved for issuance under the 2022 Plan as of the date of this Registration Statement. To the extent such outstanding awards under the 2022 Plan are later forfeited or lapsed unexercised, the shares of Common Stock subject to such awards will be available for future issuance under the 2022 Plan, subject to the maximum limit set forth in the 2022 Plan.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 price of the Registrant’s Common Stock as reported on The Nasdaq Global Market on December 12, 2022.</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1,755,935 shares of the Common Stock subject to outstanding stock options under the 2021 Plan as of the date of this Registration Statement. No further grants will be made under the 2021 Plan. To the extent such outstanding awards under the 2021 Plan are later forfeited or lapsed unexercised, the shares of Common Stock subject to such awards will be available for future issuance under the 2022 Plan, subject to the maximum limit set forth in the 2022 Plan.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with respect to the 1,755,935 shares of Common Stock subject to outstanding stock option awards under the 2021 Plan, based on the weighted average exercise price of $3.25 per share (rounded up to the nearest cent).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3,177,632 shares of the Common Stock subject to outstanding stock options under the 2019 Plan as of the date of this Registration Statement. No further grants will be made under the 2019 Plan. To the extent such outstanding awards under the 2019 Plan are later forfeited or lapsed unexercised, the shares of Common Stock subject to such awards will be available for future issuance under the 2022 Plan, subject to the maximum limit set forth in the 2022 Plan.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457(h) under the Securities Act, and, with respect to the 3,177,632 shares of Common Stock subject to outstanding stock option awards under the 2019 Plan, based on the weighted average exercise price of $2.71 per share (rounded up to the nearest cent).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2,464,400 shares of Common Stock reserved for issuance under the ESPP as of the date of this Registration Statement.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457(c) and (h) under the Securities Act, the proposed maximum offering price per share and the proposed maximum aggregate offering price are estimated for the purpose of calculating the amount of the registration fee and are based on the average of the high and low sales</w:t>
      </w:r>
    </w:p>
    <w:p>
      <w:pPr>
        <w:sectPr>
          <w:pgSz w:w="11900" w:h="16838" w:orient="portrait"/>
          <w:cols w:equalWidth="0" w:num="1">
            <w:col w:w="11240"/>
          </w:cols>
          <w:pgMar w:left="320" w:top="360" w:right="339" w:bottom="0" w:gutter="0" w:footer="0" w:header="0"/>
        </w:sectPr>
      </w:pPr>
    </w:p>
    <w:bookmarkStart w:id="12" w:name="page13"/>
    <w:bookmarkEnd w:id="12"/>
    <w:p>
      <w:pPr>
        <w:ind w:left="320"/>
        <w:spacing w:after="0" w:line="282" w:lineRule="auto"/>
        <w:rPr>
          <w:sz w:val="20"/>
          <w:szCs w:val="20"/>
          <w:color w:val="auto"/>
        </w:rPr>
      </w:pPr>
      <w:r>
        <w:rPr>
          <w:rFonts w:ascii="Times New Roman" w:cs="Times New Roman" w:eastAsia="Times New Roman" w:hAnsi="Times New Roman"/>
          <w:sz w:val="18"/>
          <w:szCs w:val="18"/>
          <w:color w:val="auto"/>
        </w:rPr>
        <w:t>price of the Registrant’s Common Stock as reported on The Nasdaq Global Market on December 12, 2022, multiplied by 85%, which is the percentage of the trading price per share applicable to purchasers under the ESPP (rounded up to the nearest cent).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The Registrant does not have any fee offsets.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0"/>
      </w:cols>
      <w:pgMar w:left="66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1"/>
    </w:lvl>
  </w:abstractNum>
  <w:abstractNum w:abstractNumId="3">
    <w:nsid w:val="238E1F29"/>
    <w:multiLevelType w:val="hybridMultilevel"/>
    <w:lvl w:ilvl="0">
      <w:lvlJc w:val="left"/>
      <w:lvlText w:val="(%1)"/>
      <w:numFmt w:val="lowerRoman"/>
      <w:start w:val="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6" Type="http://schemas.openxmlformats.org/officeDocument/2006/relationships/image" Target="media/image12.png"/><Relationship Id="rId37" Type="http://schemas.openxmlformats.org/officeDocument/2006/relationships/image" Target="media/image13.png"/><Relationship Id="rId38" Type="http://schemas.openxmlformats.org/officeDocument/2006/relationships/image" Target="media/image14.png"/><Relationship Id="rId46" Type="http://schemas.openxmlformats.org/officeDocument/2006/relationships/image" Target="media/image15.png"/><Relationship Id="rId47" Type="http://schemas.openxmlformats.org/officeDocument/2006/relationships/image" Target="media/image16.png"/><Relationship Id="rId48" Type="http://schemas.openxmlformats.org/officeDocument/2006/relationships/image" Target="media/image17.jpeg"/><Relationship Id="rId49" Type="http://schemas.openxmlformats.org/officeDocument/2006/relationships/image" Target="media/image18.png"/><Relationship Id="rId50" Type="http://schemas.openxmlformats.org/officeDocument/2006/relationships/image" Target="media/image19.jpeg"/><Relationship Id="rId51" Type="http://schemas.openxmlformats.org/officeDocument/2006/relationships/image" Target="media/image20.png"/><Relationship Id="rId52" Type="http://schemas.openxmlformats.org/officeDocument/2006/relationships/image" Target="media/image21.png"/><Relationship Id="rId53" Type="http://schemas.openxmlformats.org/officeDocument/2006/relationships/image" Target="media/image22.jpeg"/><Relationship Id="rId54" Type="http://schemas.openxmlformats.org/officeDocument/2006/relationships/image" Target="media/image23.png"/><Relationship Id="rId55" Type="http://schemas.openxmlformats.org/officeDocument/2006/relationships/image" Target="media/image24.png"/><Relationship Id="rId56" Type="http://schemas.openxmlformats.org/officeDocument/2006/relationships/image" Target="media/image25.png"/><Relationship Id="rId19" Type="http://schemas.openxmlformats.org/officeDocument/2006/relationships/hyperlink" Target="https://www.sec.gov/ix?doc=/Archives/edgar/data/0001847986/000141057822000581/cntq-20211231x10k.htm" TargetMode="External"/><Relationship Id="rId20" Type="http://schemas.openxmlformats.org/officeDocument/2006/relationships/hyperlink" Target="https://www.sec.gov/ix?doc=/Archives/edgar/data/1847986/000110465922092205/tm2223723d1_10qa.htm" TargetMode="External"/><Relationship Id="rId21" Type="http://schemas.openxmlformats.org/officeDocument/2006/relationships/hyperlink" Target="https://www.sec.gov/ix?doc=/Archives/edgar/data/1847986/000110465922118546/dfli-20220630x10q.htm" TargetMode="External"/><Relationship Id="rId22" Type="http://schemas.openxmlformats.org/officeDocument/2006/relationships/hyperlink" Target="https://www.sec.gov/ix?doc=/Archives/edgar/data/0001847986/000110465922061458/tm2214793d3_8k.htm" TargetMode="External"/><Relationship Id="rId23" Type="http://schemas.openxmlformats.org/officeDocument/2006/relationships/hyperlink" Target="https://www.sec.gov/ix?doc=/Archives/edgar/data/0001847986/000110465922079011/tm2220847d1_8k.htm" TargetMode="External"/><Relationship Id="rId24" Type="http://schemas.openxmlformats.org/officeDocument/2006/relationships/hyperlink" Target="https://www.sec.gov/ix?doc=/Archives/edgar/data/0001847986/000110465922086782/tm2222711d1_8k.htm" TargetMode="External"/><Relationship Id="rId25" Type="http://schemas.openxmlformats.org/officeDocument/2006/relationships/hyperlink" Target="https://www.sec.gov/ix?doc=/Archives/edgar/data/0001847986/000110465922087384/tm2222796d1_8k.htm" TargetMode="External"/><Relationship Id="rId26" Type="http://schemas.openxmlformats.org/officeDocument/2006/relationships/hyperlink" Target="https://www.sec.gov/ix?doc=/Archives/edgar/data/0001847986/000110465922097909/tm2225251d1_8k.htm" TargetMode="External"/><Relationship Id="rId27" Type="http://schemas.openxmlformats.org/officeDocument/2006/relationships/hyperlink" Target="https://www.sec.gov/ix?doc=/Archives/edgar/data/0001847986/000110465922108167/tm2222125d6_8ka.htm" TargetMode="External"/><Relationship Id="rId28" Type="http://schemas.openxmlformats.org/officeDocument/2006/relationships/hyperlink" Target="https://www.sec.gov/ix?doc=/Archives/edgar/data/1847986/000110465922118548/tm2230216d1_8ka.htm" TargetMode="External"/><Relationship Id="rId29" Type="http://schemas.openxmlformats.org/officeDocument/2006/relationships/hyperlink" Target="https://www.sec.gov/ix?doc=/Archives/edgar/data/0001847986/000110465922107433/tm2222125d4_8k.htm" TargetMode="External"/><Relationship Id="rId30" Type="http://schemas.openxmlformats.org/officeDocument/2006/relationships/hyperlink" Target="https://www.sec.gov/ix?doc=/Archives/edgar/data/0001847986/000110465922114728/tm2229698d1_8k.htm" TargetMode="External"/><Relationship Id="rId31" Type="http://schemas.openxmlformats.org/officeDocument/2006/relationships/hyperlink" Target="https://www.sec.gov/Archives/edgar/data/1847986/000110465922089571/tm2218377-12_s4a.htm" TargetMode="External"/><Relationship Id="rId32" Type="http://schemas.openxmlformats.org/officeDocument/2006/relationships/hyperlink" Target="https://www.sec.gov/ix?doc=/Archives/edgar/data/1847986/000110465922096692/cntq-20220630xs4a.htm" TargetMode="External"/><Relationship Id="rId33" Type="http://schemas.openxmlformats.org/officeDocument/2006/relationships/hyperlink" Target="https://www.sec.gov/Archives/edgar/data/1847986/000110465922099731/tm2218377-20_s4a.htm" TargetMode="External"/><Relationship Id="rId34" Type="http://schemas.openxmlformats.org/officeDocument/2006/relationships/hyperlink" Target="https://www.sec.gov/Archives/edgar/data/1847986/000110465922100022/tm2218377-26_s4a.htm" TargetMode="External"/><Relationship Id="rId35" Type="http://schemas.openxmlformats.org/officeDocument/2006/relationships/hyperlink" Target="https://www.sec.gov/Archives/edgar/data/1847986/000110465921102670/tm2124648d1_8a12b.htm" TargetMode="External"/><Relationship Id="rId39" Type="http://schemas.openxmlformats.org/officeDocument/2006/relationships/hyperlink" Target="https://www.sec.gov/Archives/edgar/data/1847986/000110465922107212/tm2222125d3_ex3-1.htm" TargetMode="External"/><Relationship Id="rId40" Type="http://schemas.openxmlformats.org/officeDocument/2006/relationships/hyperlink" Target="https://www.sec.gov/Archives/edgar/data/1847986/000110465922107212/tm2222125d3_ex3-2.htm" TargetMode="External"/><Relationship Id="rId41" Type="http://schemas.openxmlformats.org/officeDocument/2006/relationships/hyperlink" Target="https://www.sec.gov/Archives/edgar/data/1847986/000110465922107212/tm2222125d3_ex4-1.htm" TargetMode="External"/><Relationship Id="rId42" Type="http://schemas.openxmlformats.org/officeDocument/2006/relationships/hyperlink" Target="https://www.sec.gov/Archives/edgar/data/1847986/000110465922107212/tm2222125d3_ex10-19.htm" TargetMode="External"/><Relationship Id="rId43" Type="http://schemas.openxmlformats.org/officeDocument/2006/relationships/hyperlink" Target="https://www.sec.gov/Archives/edgar/data/1847986/000110465922107212/tm2222125d3_ex10-20.htm" TargetMode="External"/><Relationship Id="rId44" Type="http://schemas.openxmlformats.org/officeDocument/2006/relationships/hyperlink" Target="https://www.sec.gov/Archives/edgar/data/1847986/000110465922107212/tm2222125d3_ex10-5.htm" TargetMode="External"/><Relationship Id="rId45" Type="http://schemas.openxmlformats.org/officeDocument/2006/relationships/hyperlink" Target="https://www.sec.gov/Archives/edgar/data/1847986/000110465922107212/tm2222125d3_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2022-12-13T16:32:32Z</dcterms:created>
  <dcterms:modified xsi:type="dcterms:W3CDTF">2022-12-13T16:32:32Z</dcterms:modified>
</cp:coreProperties>
</file>