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13,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5500" w:type="dxa"/>
            <w:vAlign w:val="bottom"/>
          </w:tcPr>
          <w:p>
            <w:pPr>
              <w:spacing w:after="0"/>
              <w:rPr>
                <w:sz w:val="24"/>
                <w:szCs w:val="24"/>
                <w:color w:val="auto"/>
              </w:rPr>
            </w:pPr>
          </w:p>
        </w:tc>
      </w:t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 2022 Equity Inventive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Phares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(775) 662 - 3448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M. Skolnick,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262-6700</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4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6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is filed by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purpose of registering additional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under the Company’s 2022 Equity Incentive Plan (the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the Company’s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The number of shares of Common Stock available for grant and issuance under the 2022 Plan is subject to an automatic annual increase on January 1 of each year beginning in 2023 by an amount equal to the lesser of (i) 4% of the total number of shares of Common Stock outstanding on December 31 of the preceding calendar year; or (ii) a number of shares of Common Stock determined by the Board of Directors of the Company (the “</w:t>
      </w:r>
      <w:r>
        <w:rPr>
          <w:rFonts w:ascii="Times New Roman" w:cs="Times New Roman" w:eastAsia="Times New Roman" w:hAnsi="Times New Roman"/>
          <w:sz w:val="18"/>
          <w:szCs w:val="18"/>
          <w:u w:val="single" w:color="auto"/>
          <w:color w:val="auto"/>
        </w:rPr>
        <w:t>2022 Plan Evergreen Provision</w:t>
      </w:r>
      <w:r>
        <w:rPr>
          <w:rFonts w:ascii="Times New Roman" w:cs="Times New Roman" w:eastAsia="Times New Roman" w:hAnsi="Times New Roman"/>
          <w:sz w:val="18"/>
          <w:szCs w:val="18"/>
          <w:color w:val="auto"/>
        </w:rPr>
        <w:t>”). On January 1, 2024, the number of shares of Common Stock available for grant and issuance under the 2022 Plan increased by 2,410,411 shares of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number of shares of Common Stock available for grant and issuance under the ESPP is subject to an automatic annual increase on January 1 of each year by an amount equal to the lesser of (i) 1% of the total number of shares of Common Stock outstanding on December 31 of the preceding calendar year; (ii) 1,500,000 shares of Common Stock; or (iii) a number of shares of Common Stock determined by the Board of Directors of the Company (the “</w:t>
      </w:r>
      <w:r>
        <w:rPr>
          <w:rFonts w:ascii="Times New Roman" w:cs="Times New Roman" w:eastAsia="Times New Roman" w:hAnsi="Times New Roman"/>
          <w:sz w:val="18"/>
          <w:szCs w:val="18"/>
          <w:u w:val="single" w:color="auto"/>
          <w:color w:val="auto"/>
        </w:rPr>
        <w:t>ESPP Evergreen Provision</w:t>
      </w:r>
      <w:r>
        <w:rPr>
          <w:rFonts w:ascii="Times New Roman" w:cs="Times New Roman" w:eastAsia="Times New Roman" w:hAnsi="Times New Roman"/>
          <w:sz w:val="18"/>
          <w:szCs w:val="18"/>
          <w:color w:val="auto"/>
        </w:rPr>
        <w:t>”). On January 1, 2024 the number of shares of Common Stock available for grant and issuance under the ESPP increased by 602,602 shares of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Statement registers a total of 3,013,013 shares of Common Stock comprised of: (i) 2,410,411 shares of Common Stock which were available for grant and issuance under the 2022 Plan pursuant to the 2022 Plan Evergreen Provision as of January 1, 2024; and (ii) 602,602 shares of Common Stock which were available for grant and issuance under the ESPP pursuant to the ESPP Evergreen Provision as of January 1, 2024.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shares of Common Stock registered pursuant to this Registration Statement are of the same class of securities as (i) the 2,605,950 shares of Common Stock registered for issuance under the 2022 Plan and the 2,464,000 shares of Common Stock registered for issuance under the ESPP pursuant to the currently effective Registration Statement on Form S-8 (Registration No. 333-268784) filed on December 13 2022, and subsequently amended by Post-Effective Amendment No. 1 filed on August 30, 2023, and (ii) the 1,730,909 shares of Common Stock registered for issuance under the 2022 Plan and the 432,727 shares of Common Stock registered for issuance under the ESPP pursuant to the currently effective Registration Statement on Form S-8 (Registration No. 333-274277) filed on August 30, 2023. Pursuant to General Instruction E of Form S-8, the contents of the Company’s Registration Statements on Form S-8 (Registration Nos. 333-268784 and 333-274277), including any amendments thereto or filings incorporated therein, are incorporated herein by this reference to the extent not replaced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Company with the Commission pursuant to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incorporated herein by reference:</w:t>
      </w:r>
    </w:p>
    <w:p>
      <w:pPr>
        <w:spacing w:after="0" w:line="162"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2023 (the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xml:space="preserve">”) filed with the SEC on </w:t>
      </w:r>
      <w:hyperlink r:id="rId15">
        <w:r>
          <w:rPr>
            <w:rFonts w:ascii="Times New Roman" w:cs="Times New Roman" w:eastAsia="Times New Roman" w:hAnsi="Times New Roman"/>
            <w:sz w:val="18"/>
            <w:szCs w:val="18"/>
            <w:u w:val="single" w:color="auto"/>
            <w:color w:val="0000EE"/>
          </w:rPr>
          <w:t>April 16, 2024</w:t>
        </w:r>
      </w:hyperlink>
      <w:r>
        <w:rPr>
          <w:rFonts w:ascii="Times New Roman" w:cs="Times New Roman" w:eastAsia="Times New Roman" w:hAnsi="Times New Roman"/>
          <w:sz w:val="18"/>
          <w:szCs w:val="18"/>
          <w:color w:val="auto"/>
        </w:rPr>
        <w:t xml:space="preserve">, as amended on </w:t>
      </w:r>
      <w:hyperlink r:id="rId16">
        <w:r>
          <w:rPr>
            <w:rFonts w:ascii="Times New Roman" w:cs="Times New Roman" w:eastAsia="Times New Roman" w:hAnsi="Times New Roman"/>
            <w:sz w:val="18"/>
            <w:szCs w:val="18"/>
            <w:u w:val="single" w:color="auto"/>
            <w:color w:val="0000EE"/>
          </w:rPr>
          <w:t>April 29, 2024</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Form 10-Q for the quarter ended March 31, 2024 filed with the SEC on </w:t>
      </w:r>
      <w:hyperlink r:id="rId17">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Company’s Current Reports on Form 8-K filed with the SEC on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20,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11,</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excluding any information deemed furnished under Items 2.02 or 7.01 of Form 8-K, including the related exhibits, which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is not incorporated by reference herein); and</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its Registration Statement on Form 8-A, filed on </w:t>
      </w:r>
      <w:hyperlink r:id="rId19">
        <w:r>
          <w:rPr>
            <w:rFonts w:ascii="Times New Roman" w:cs="Times New Roman" w:eastAsia="Times New Roman" w:hAnsi="Times New Roman"/>
            <w:sz w:val="18"/>
            <w:szCs w:val="18"/>
            <w:u w:val="single" w:color="auto"/>
            <w:color w:val="0000EE"/>
          </w:rPr>
          <w:t>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under Section 12(b) of the Exchange Act including any amendments or reports filed for the purpose of updating such description, including </w:t>
      </w:r>
      <w:hyperlink r:id="rId20">
        <w:r>
          <w:rPr>
            <w:rFonts w:ascii="Times New Roman" w:cs="Times New Roman" w:eastAsia="Times New Roman" w:hAnsi="Times New Roman"/>
            <w:sz w:val="18"/>
            <w:szCs w:val="18"/>
            <w:u w:val="single" w:color="auto"/>
            <w:color w:val="0000EE"/>
          </w:rPr>
          <w:t>Exhibit 4.10</w:t>
        </w:r>
      </w:hyperlink>
      <w:r>
        <w:rPr>
          <w:rFonts w:ascii="Times New Roman" w:cs="Times New Roman" w:eastAsia="Times New Roman" w:hAnsi="Times New Roman"/>
          <w:sz w:val="18"/>
          <w:szCs w:val="18"/>
          <w:color w:val="auto"/>
        </w:rPr>
        <w:t xml:space="preserve"> to the Form 10-K.</w:t>
      </w:r>
    </w:p>
    <w:p>
      <w:pPr>
        <w:spacing w:after="0" w:line="176"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8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45"/>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0"/>
        </w:trPr>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1"/>
                <w:szCs w:val="21"/>
                <w:color w:val="auto"/>
              </w:rPr>
            </w:pPr>
          </w:p>
        </w:tc>
        <w:tc>
          <w:tcPr>
            <w:tcW w:w="76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76"/>
        </w:trPr>
        <w:tc>
          <w:tcPr>
            <w:tcW w:w="8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5"/>
                <w:szCs w:val="15"/>
                <w:color w:val="auto"/>
              </w:rPr>
            </w:pPr>
          </w:p>
        </w:tc>
        <w:tc>
          <w:tcPr>
            <w:tcW w:w="4480" w:type="dxa"/>
            <w:vAlign w:val="bottom"/>
            <w:tcBorders>
              <w:top w:val="single" w:sz="8" w:color="auto"/>
              <w:bottom w:val="single" w:sz="8" w:color="0000EE"/>
            </w:tcBorders>
            <w:gridSpan w:val="8"/>
          </w:tcPr>
          <w:p>
            <w:pPr>
              <w:spacing w:after="0" w:line="17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Articles of Incorporation of Dragonfly Energy Holdings Corp.</w:t>
              </w:r>
            </w:hyperlink>
          </w:p>
        </w:tc>
        <w:tc>
          <w:tcPr>
            <w:tcW w:w="3140" w:type="dxa"/>
            <w:vAlign w:val="bottom"/>
            <w:tcBorders>
              <w:top w:val="single" w:sz="8" w:color="auto"/>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8-K</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03/31/2023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7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Amendment to the Articles of Incorporation of Dragonfly Energy Holdings Corp., dated</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11/29/2023</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November 29, 2023.</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Bylaws.</w:t>
              </w:r>
            </w:hyperlink>
          </w:p>
        </w:tc>
        <w:tc>
          <w:tcPr>
            <w:tcW w:w="880" w:type="dxa"/>
            <w:vAlign w:val="bottom"/>
            <w:tcBorders>
              <w:top w:val="single" w:sz="8" w:color="0000EE"/>
            </w:tcBorders>
            <w:gridSpan w:val="2"/>
          </w:tcPr>
          <w:p>
            <w:pPr>
              <w:spacing w:after="0"/>
              <w:rPr>
                <w:sz w:val="17"/>
                <w:szCs w:val="17"/>
                <w:color w:val="auto"/>
              </w:rPr>
            </w:pPr>
          </w:p>
        </w:tc>
        <w:tc>
          <w:tcPr>
            <w:tcW w:w="61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Specimen Common Stock Certificate of Dragonfly Energy Holdings Corp.</w:t>
              </w:r>
            </w:hyperlink>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Parsons Behle &amp; Latimer.</w:t>
            </w:r>
          </w:p>
        </w:tc>
        <w:tc>
          <w:tcPr>
            <w:tcW w:w="26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Marcum LLP</w:t>
            </w:r>
          </w:p>
        </w:tc>
        <w:tc>
          <w:tcPr>
            <w:tcW w:w="582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P.C.</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7"/>
                <w:szCs w:val="17"/>
                <w:color w:val="auto"/>
              </w:rPr>
            </w:pPr>
          </w:p>
        </w:tc>
        <w:tc>
          <w:tcPr>
            <w:tcW w:w="4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Parsons Behle &amp; Latimer (included in Exhibit 5.1)</w:t>
            </w:r>
          </w:p>
        </w:tc>
        <w:tc>
          <w:tcPr>
            <w:tcW w:w="3160" w:type="dxa"/>
            <w:vAlign w:val="bottom"/>
            <w:gridSpan w:val="6"/>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7"/>
              </w:rPr>
              <w: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(contained on the signature page of this Registration Statement).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Dragonfly Energy Holdings Corp. 2022 Equity Incentive Plan.</w:t>
              </w:r>
            </w:hyperlink>
          </w:p>
        </w:tc>
        <w:tc>
          <w:tcPr>
            <w:tcW w:w="1500" w:type="dxa"/>
            <w:vAlign w:val="bottom"/>
            <w:tcBorders>
              <w:top w:val="single" w:sz="8" w:color="0000EE"/>
            </w:tcBorders>
            <w:gridSpan w:val="3"/>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7"/>
                <w:szCs w:val="17"/>
                <w:color w:val="auto"/>
              </w:rPr>
            </w:pPr>
          </w:p>
        </w:tc>
        <w:tc>
          <w:tcPr>
            <w:tcW w:w="47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Dragonfly Energy Holdings Corp. Employee Stock Purchase Plan.</w:t>
              </w:r>
            </w:hyperlink>
          </w:p>
        </w:tc>
        <w:tc>
          <w:tcPr>
            <w:tcW w:w="28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7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960" w:hanging="95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June 13,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Chief Executive Officer and Interim 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Denis Phares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and filed pursuant to Rule 462 under the Securities Act of 1933, as amended,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or his or their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President, Chief Executive Officer and interim Chief Financial</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220" w:type="dxa"/>
            <w:vAlign w:val="bottom"/>
          </w:tcPr>
          <w:p>
            <w:pPr>
              <w:spacing w:after="0"/>
              <w:rPr>
                <w:sz w:val="18"/>
                <w:szCs w:val="18"/>
                <w:color w:val="auto"/>
              </w:rPr>
            </w:pPr>
          </w:p>
        </w:tc>
        <w:tc>
          <w:tcPr>
            <w:tcW w:w="5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Phares</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Luisa Ingargiola</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Luisa Ingargiola</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Brian Nelson</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Nelson</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Perry Boyle</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Perry Boyle</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Jonathan Bellows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Jonathan Bellows</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Rick Parod</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Rick Parod</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Karina Montilla Edmonds</w:t>
            </w:r>
          </w:p>
        </w:tc>
        <w:tc>
          <w:tcPr>
            <w:tcW w:w="220" w:type="dxa"/>
            <w:vAlign w:val="bottom"/>
          </w:tcPr>
          <w:p>
            <w:pPr>
              <w:spacing w:after="0"/>
              <w:rPr>
                <w:sz w:val="24"/>
                <w:szCs w:val="24"/>
                <w:color w:val="auto"/>
              </w:rPr>
            </w:pPr>
          </w:p>
        </w:tc>
        <w:tc>
          <w:tcPr>
            <w:tcW w:w="5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13, 2024</w:t>
            </w:r>
          </w:p>
        </w:tc>
        <w:tc>
          <w:tcPr>
            <w:tcW w:w="0" w:type="dxa"/>
            <w:vAlign w:val="bottom"/>
          </w:tcPr>
          <w:p>
            <w:pPr>
              <w:spacing w:after="0"/>
              <w:rPr>
                <w:sz w:val="1"/>
                <w:szCs w:val="1"/>
                <w:color w:val="auto"/>
              </w:rPr>
            </w:pPr>
          </w:p>
        </w:tc>
      </w:tr>
      <w:tr>
        <w:trPr>
          <w:trHeight w:val="234"/>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Karina Montilla Edmonds</w:t>
            </w:r>
          </w:p>
        </w:tc>
        <w:tc>
          <w:tcPr>
            <w:tcW w:w="2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S-8 (File No. 333- )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w:t>
      </w:r>
    </w:p>
    <w:p>
      <w:pPr>
        <w:spacing w:after="0" w:line="3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is filed by the Company for the purpose of registering additional shares of the Company’s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under the Company’s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and the Company’s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and, together with the 2022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rendering this opinion in connection with the Registration Statement registering a total of 3,013,013 shares of Common Stock comprised of: (i) 2,410,411 shares of Common Stock which were purported to be available for grant and under the 2022 Plan; and (ii) 602,602 shares of Common Stock issuable pursuant to the ESPP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counsel to the Company, we have reviewed the Registration Statement, the Plans, the Company’s Articles of Incorporation and the Company’s Bylaws. In addition, we have examined such matters of fact and questions of law as we have considered appropriate for purposes of rendering this opinion. With your consent, we have relied upon certificates and other assurances of officers of the Company and others as to factual matters without having independently verified such factual matters.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such examination, it is our opinion that the Shares have been duly authorized by all requisite corporate action on the part of the Company and, upon their issuance, delivery and payment therefor in accordance with the terms of the Plans and in the manner contemplated by the Registration Statement,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this opinion,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given as of the date hereof. We assume no obligation to advise you of changes that may hereafter be brought to our attention.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as an exhibit to the Registration Statement and further consent to all references to us under the caption “Legal Matters” in the Prospectus constituting a part of the Registration Statement. In giving this consent, we do not admit that we are in the category of persons whose consent is required under Section 7 of the Securities Act, or the rules and regulations of the Securities and Exchange Commission.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Dragonfly Energy Holding Corp. on Form S-8 of our report dated April 16, 2024 which includes an explanatory paragraph as to Dragonfly Energy Holding Corp.’s ability to continue as a going concern with respect to our audit of the consolidated financial statements of Dragonfly Energy Holding Corp. as of December 31, 2023 and for the year ended December 31, 2023 appearing in the Annual Report on Form 10-K of Dragonfly Energy Holding Corp. for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contains an explanatory paragraph regarding adjustments described in Note 15 to the consolidated financial statements that were applied to revise the 2022 financial statements to correct an error. We were not engaged to audit, review, or apply any procedures to the 2022 financial statements of the Company other than with respect to the adjustments and, accordingly, we do not express an opinion or any other form of assurance on the 2022 financial statements taken as a whole.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Marcum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 dated April 17, 2023, relating to the consolidated financial statements of Dragonfly Energy Holdings Corp. (the Company) appearing in the Company’s Annual Report on Form 10-K for the year ended December 31, 2023.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5"/>
        </w:trPr>
        <w:tc>
          <w:tcPr>
            <w:tcW w:w="10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1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Fee</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w:t>
            </w: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1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7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offering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registration</w:t>
            </w:r>
          </w:p>
        </w:tc>
      </w:tr>
      <w:tr>
        <w:trPr>
          <w:trHeight w:val="270"/>
        </w:trPr>
        <w:tc>
          <w:tcPr>
            <w:tcW w:w="10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12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720" w:type="dxa"/>
            <w:vAlign w:val="bottom"/>
          </w:tcPr>
          <w:p>
            <w:pPr>
              <w:jc w:val="center"/>
              <w:ind w:left="270"/>
              <w:spacing w:after="0" w:line="270" w:lineRule="exact"/>
              <w:rPr>
                <w:sz w:val="20"/>
                <w:szCs w:val="20"/>
                <w:color w:val="auto"/>
              </w:rPr>
            </w:pPr>
            <w:r>
              <w:rPr>
                <w:rFonts w:ascii="Times New Roman" w:cs="Times New Roman" w:eastAsia="Times New Roman" w:hAnsi="Times New Roman"/>
                <w:sz w:val="18"/>
                <w:szCs w:val="18"/>
                <w:b w:val="1"/>
                <w:bCs w:val="1"/>
                <w:color w:val="auto"/>
                <w:w w:val="92"/>
              </w:rPr>
              <w:t>registered</w:t>
            </w:r>
            <w:r>
              <w:rPr>
                <w:rFonts w:ascii="Times New Roman" w:cs="Times New Roman" w:eastAsia="Times New Roman" w:hAnsi="Times New Roman"/>
                <w:sz w:val="29"/>
                <w:szCs w:val="29"/>
                <w:b w:val="1"/>
                <w:bCs w:val="1"/>
                <w:color w:val="auto"/>
                <w:w w:val="92"/>
                <w:vertAlign w:val="superscript"/>
              </w:rPr>
              <w:t>(1)</w:t>
            </w:r>
          </w:p>
        </w:tc>
        <w:tc>
          <w:tcPr>
            <w:tcW w:w="13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per share</w:t>
            </w:r>
            <w:r>
              <w:rPr>
                <w:rFonts w:ascii="Times New Roman" w:cs="Times New Roman" w:eastAsia="Times New Roman" w:hAnsi="Times New Roman"/>
                <w:sz w:val="29"/>
                <w:szCs w:val="29"/>
                <w:b w:val="1"/>
                <w:bCs w:val="1"/>
                <w:color w:val="auto"/>
                <w:w w:val="94"/>
                <w:vertAlign w:val="superscript"/>
              </w:rPr>
              <w:t>(2)</w:t>
            </w:r>
          </w:p>
        </w:tc>
        <w:tc>
          <w:tcPr>
            <w:tcW w:w="1420" w:type="dxa"/>
            <w:vAlign w:val="bottom"/>
          </w:tcPr>
          <w:p>
            <w:pPr>
              <w:jc w:val="center"/>
              <w:ind w:right="50"/>
              <w:spacing w:after="0" w:line="270" w:lineRule="exact"/>
              <w:rPr>
                <w:sz w:val="20"/>
                <w:szCs w:val="20"/>
                <w:color w:val="auto"/>
              </w:rPr>
            </w:pPr>
            <w:r>
              <w:rPr>
                <w:rFonts w:ascii="Times New Roman" w:cs="Times New Roman" w:eastAsia="Times New Roman" w:hAnsi="Times New Roman"/>
                <w:sz w:val="18"/>
                <w:szCs w:val="18"/>
                <w:b w:val="1"/>
                <w:bCs w:val="1"/>
                <w:color w:val="auto"/>
                <w:w w:val="90"/>
              </w:rPr>
              <w:t>price</w:t>
            </w:r>
            <w:r>
              <w:rPr>
                <w:rFonts w:ascii="Times New Roman" w:cs="Times New Roman" w:eastAsia="Times New Roman" w:hAnsi="Times New Roman"/>
                <w:sz w:val="29"/>
                <w:szCs w:val="29"/>
                <w:b w:val="1"/>
                <w:bCs w:val="1"/>
                <w:color w:val="auto"/>
                <w:w w:val="90"/>
                <w:vertAlign w:val="superscript"/>
              </w:rPr>
              <w:t>(2)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40" w:type="dxa"/>
            <w:vAlign w:val="bottom"/>
          </w:tcPr>
          <w:p>
            <w:pPr>
              <w:jc w:val="center"/>
              <w:ind w:left="230"/>
              <w:spacing w:after="0" w:line="270" w:lineRule="exact"/>
              <w:rPr>
                <w:sz w:val="20"/>
                <w:szCs w:val="20"/>
                <w:color w:val="auto"/>
              </w:rPr>
            </w:pPr>
            <w:r>
              <w:rPr>
                <w:rFonts w:ascii="Times New Roman" w:cs="Times New Roman" w:eastAsia="Times New Roman" w:hAnsi="Times New Roman"/>
                <w:sz w:val="18"/>
                <w:szCs w:val="18"/>
                <w:b w:val="1"/>
                <w:bCs w:val="1"/>
                <w:color w:val="auto"/>
                <w:w w:val="89"/>
              </w:rPr>
              <w:t>fee</w:t>
            </w:r>
            <w:r>
              <w:rPr>
                <w:rFonts w:ascii="Times New Roman" w:cs="Times New Roman" w:eastAsia="Times New Roman" w:hAnsi="Times New Roman"/>
                <w:sz w:val="29"/>
                <w:szCs w:val="29"/>
                <w:b w:val="1"/>
                <w:bCs w:val="1"/>
                <w:color w:val="auto"/>
                <w:w w:val="89"/>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$0.0001 par value</w:t>
            </w:r>
          </w:p>
        </w:tc>
      </w:tr>
      <w:tr>
        <w:trPr>
          <w:trHeight w:val="25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per share </w:t>
            </w:r>
            <w:r>
              <w:rPr>
                <w:rFonts w:ascii="Times New Roman" w:cs="Times New Roman" w:eastAsia="Times New Roman" w:hAnsi="Times New Roman"/>
                <w:sz w:val="29"/>
                <w:szCs w:val="29"/>
                <w:b w:val="1"/>
                <w:bCs w:val="1"/>
                <w:color w:val="auto"/>
                <w:vertAlign w:val="superscript"/>
              </w:rPr>
              <w:t>(3)</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$0.0001 par value</w:t>
            </w:r>
          </w:p>
        </w:tc>
      </w:tr>
      <w:tr>
        <w:trPr>
          <w:trHeight w:val="275"/>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360" w:type="dxa"/>
            <w:vAlign w:val="bottom"/>
          </w:tcPr>
          <w:p>
            <w:pPr>
              <w:spacing w:after="0" w:line="276" w:lineRule="exact"/>
              <w:rPr>
                <w:sz w:val="20"/>
                <w:szCs w:val="20"/>
                <w:color w:val="auto"/>
              </w:rPr>
            </w:pPr>
            <w:r>
              <w:rPr>
                <w:rFonts w:ascii="Times New Roman" w:cs="Times New Roman" w:eastAsia="Times New Roman" w:hAnsi="Times New Roman"/>
                <w:sz w:val="18"/>
                <w:szCs w:val="18"/>
                <w:color w:val="auto"/>
              </w:rPr>
              <w:t xml:space="preserve">per share </w:t>
            </w:r>
            <w:r>
              <w:rPr>
                <w:rFonts w:ascii="Times New Roman" w:cs="Times New Roman" w:eastAsia="Times New Roman" w:hAnsi="Times New Roman"/>
                <w:sz w:val="29"/>
                <w:szCs w:val="29"/>
                <w:b w:val="1"/>
                <w:bCs w:val="1"/>
                <w:color w:val="auto"/>
                <w:vertAlign w:val="superscript"/>
              </w:rPr>
              <w:t>(4)</w:t>
            </w:r>
          </w:p>
        </w:tc>
      </w:tr>
    </w:tbl>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457(c) and</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457(h)</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2,410,411</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2,229,630.18</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0.00014760</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329.09</w:t>
            </w:r>
          </w:p>
        </w:tc>
      </w:tr>
      <w:tr>
        <w:trPr>
          <w:trHeight w:val="45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457(c) and</w:t>
            </w: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Rule 457(h)</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602,602</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557,406.85</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0.00014760</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r>
    </w:tbl>
    <w:p>
      <w:pPr>
        <w:spacing w:after="0" w:line="20" w:lineRule="exact"/>
        <w:rPr>
          <w:sz w:val="20"/>
          <w:szCs w:val="20"/>
          <w:color w:val="auto"/>
        </w:rPr>
      </w:pPr>
    </w:p>
    <w:p>
      <w:pPr>
        <w:sectPr>
          <w:pgSz w:w="11900" w:h="16838" w:orient="portrait"/>
          <w:cols w:equalWidth="0" w:num="2">
            <w:col w:w="2940" w:space="220"/>
            <w:col w:w="80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38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53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Total Offering Amounts</w:t>
            </w:r>
          </w:p>
        </w:tc>
        <w:tc>
          <w:tcPr>
            <w:tcW w:w="3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$2,787,037.03</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411.37</w:t>
            </w:r>
          </w:p>
        </w:tc>
      </w:tr>
      <w:tr>
        <w:trPr>
          <w:trHeight w:val="257"/>
        </w:trPr>
        <w:tc>
          <w:tcPr>
            <w:tcW w:w="5380" w:type="dxa"/>
            <w:vAlign w:val="bottom"/>
            <w:shd w:val="clear" w:color="auto" w:fill="CCEEFF"/>
          </w:tcPr>
          <w:p>
            <w:pPr>
              <w:ind w:left="1580"/>
              <w:spacing w:after="0" w:line="256" w:lineRule="exact"/>
              <w:rPr>
                <w:sz w:val="20"/>
                <w:szCs w:val="20"/>
                <w:color w:val="auto"/>
              </w:rPr>
            </w:pPr>
            <w:r>
              <w:rPr>
                <w:rFonts w:ascii="Times New Roman" w:cs="Times New Roman" w:eastAsia="Times New Roman" w:hAnsi="Times New Roman"/>
                <w:sz w:val="18"/>
                <w:szCs w:val="18"/>
                <w:color w:val="auto"/>
              </w:rPr>
              <w:t xml:space="preserve">Total Fee Offsets </w:t>
            </w:r>
            <w:r>
              <w:rPr>
                <w:rFonts w:ascii="Times New Roman" w:cs="Times New Roman" w:eastAsia="Times New Roman" w:hAnsi="Times New Roman"/>
                <w:sz w:val="29"/>
                <w:szCs w:val="29"/>
                <w:b w:val="1"/>
                <w:bCs w:val="1"/>
                <w:color w:val="auto"/>
                <w:vertAlign w:val="superscript"/>
              </w:rPr>
              <w:t>(5)</w:t>
            </w:r>
          </w:p>
        </w:tc>
        <w:tc>
          <w:tcPr>
            <w:tcW w:w="39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Net Fee Due</w:t>
            </w:r>
          </w:p>
        </w:tc>
        <w:tc>
          <w:tcPr>
            <w:tcW w:w="39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411.37</w:t>
            </w:r>
          </w:p>
        </w:tc>
      </w:tr>
    </w:tbl>
    <w:p>
      <w:pPr>
        <w:spacing w:after="0" w:line="179" w:lineRule="exact"/>
        <w:rPr>
          <w:sz w:val="20"/>
          <w:szCs w:val="20"/>
          <w:color w:val="auto"/>
        </w:rPr>
      </w:pPr>
    </w:p>
    <w:p>
      <w:pPr>
        <w:jc w:val="both"/>
        <w:ind w:left="6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the Registrant’s common stock that become issuable under the Registrant’s 2022 Omnibus Equity Incentive Plan (the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and under the Registrant’s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 In addition, pursuant to Rule 416(c) under the Securities Act, this registration statement also covers an indeterminate amount of interests to be offered or sold pursuant to the employee benefit plan(s) described herein, as these amounts may be adjusted as a result of stock splits, stock dividends, antidilution provisions, and similar transactions.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$0.95 and $0.90, respectively, of the Registrant’s common stock as reported on the Nasdaq Stock Market on June 10, 2024.</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2024, to the number of shares of the Registrant’s common stock reserved for issuance under the 2022 Plan, which annual increase is provided for in the 2022 Plan.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annual increase on January 1, 2024, to the number of shares of the Registrant’s common stock reserved for issuance under the ESPP, which annual increase is provided for in the ESPP.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15" Type="http://schemas.openxmlformats.org/officeDocument/2006/relationships/hyperlink" Target="https://www.sec.gov/Archives/edgar/data/1847986/000149315224014831/form10-k.htm" TargetMode="External"/><Relationship Id="rId16" Type="http://schemas.openxmlformats.org/officeDocument/2006/relationships/hyperlink" Target="https://www.sec.gov/Archives/edgar/data/1847986/000149315224017000/form10-ka.htm" TargetMode="External"/><Relationship Id="rId17" Type="http://schemas.openxmlformats.org/officeDocument/2006/relationships/hyperlink" Target="https://www.sec.gov/Archives/edgar/data/1847986/000149315224019360/form10-q.htm" TargetMode="External"/><Relationship Id="rId18" Type="http://schemas.openxmlformats.org/officeDocument/2006/relationships/hyperlink" Target="https://www.sec.gov/Archives/edgar/data/1847986/000149315224023482/form8-k.htm" TargetMode="External"/><Relationship Id="rId19" Type="http://schemas.openxmlformats.org/officeDocument/2006/relationships/hyperlink" Target="https://www.sec.gov/Archives/edgar/data/1847986/000110465921102670/tm2124648d1_8a12b.htm" TargetMode="External"/><Relationship Id="rId20" Type="http://schemas.openxmlformats.org/officeDocument/2006/relationships/hyperlink" Target="https://www.sec.gov/Archives/edgar/data/1847986/000149315224014831/ex4-10.htm" TargetMode="External"/><Relationship Id="rId21" Type="http://schemas.openxmlformats.org/officeDocument/2006/relationships/hyperlink" Target="https://www.sec.gov/Archives/edgar/data/1847986/000149315223010262/ex3-1.htm" TargetMode="External"/><Relationship Id="rId22" Type="http://schemas.openxmlformats.org/officeDocument/2006/relationships/hyperlink" Target="https://www.sec.gov/Archives/edgar/data/1847986/000149315223043109/ex3-1.htm" TargetMode="External"/><Relationship Id="rId23" Type="http://schemas.openxmlformats.org/officeDocument/2006/relationships/hyperlink" Target="https://www.sec.gov/Archives/edgar/data/1847986/000149315223010262/ex3-2.htm" TargetMode="External"/><Relationship Id="rId24" Type="http://schemas.openxmlformats.org/officeDocument/2006/relationships/hyperlink" Target="https://www.sec.gov/Archives/edgar/data/1847986/000110465922107212/tm2222125d3_ex4-1.htm" TargetMode="External"/><Relationship Id="rId25" Type="http://schemas.openxmlformats.org/officeDocument/2006/relationships/hyperlink" Target="https://www.sec.gov/Archives/edgar/data/1847986/000110465922107212/tm2222125d3_ex10-5.htm" TargetMode="External"/><Relationship Id="rId26" Type="http://schemas.openxmlformats.org/officeDocument/2006/relationships/hyperlink" Target="https://www.sec.gov/Archives/edgar/data/1847986/000110465922107212/tm2222125d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2024-06-13T15:12:33Z</dcterms:created>
  <dcterms:modified xsi:type="dcterms:W3CDTF">2024-06-13T15:12:33Z</dcterms:modified>
</cp:coreProperties>
</file>