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9, 2022</w:t>
      </w:r>
    </w:p>
    <w:p>
      <w:pPr>
        <w:spacing w:after="0" w:line="29"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Registration No. 333- 268185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50165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118745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S-1</w:t>
      </w:r>
    </w:p>
    <w:p>
      <w:pPr>
        <w:jc w:val="center"/>
        <w:spacing w:after="0" w:line="227" w:lineRule="auto"/>
        <w:rPr>
          <w:sz w:val="20"/>
          <w:szCs w:val="20"/>
          <w:color w:val="auto"/>
        </w:rPr>
      </w:pPr>
      <w:r>
        <w:rPr>
          <w:rFonts w:ascii="Times New Roman" w:cs="Times New Roman" w:eastAsia="Times New Roman" w:hAnsi="Times New Roman"/>
          <w:sz w:val="14"/>
          <w:szCs w:val="14"/>
          <w:b w:val="1"/>
          <w:bCs w:val="1"/>
          <w:color w:val="auto"/>
        </w:rPr>
        <w:t>REGISTRATION STATEMENT</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UNDER</w:t>
      </w: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DRAGONFLY ENERGY HOLDINGS CORP.</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3690</w:t>
            </w:r>
          </w:p>
        </w:tc>
        <w:tc>
          <w:tcPr>
            <w:tcW w:w="400" w:type="dxa"/>
            <w:vAlign w:val="bottom"/>
          </w:tcPr>
          <w:p>
            <w:pPr>
              <w:spacing w:after="0"/>
              <w:rPr>
                <w:sz w:val="15"/>
                <w:szCs w:val="15"/>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85-1873463</w:t>
            </w:r>
          </w:p>
        </w:tc>
      </w:tr>
      <w:tr>
        <w:trPr>
          <w:trHeight w:val="119"/>
        </w:trPr>
        <w:tc>
          <w:tcPr>
            <w:tcW w:w="32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 or other jurisdiction of incorporation or</w:t>
            </w:r>
          </w:p>
        </w:tc>
        <w:tc>
          <w:tcPr>
            <w:tcW w:w="360" w:type="dxa"/>
            <w:vAlign w:val="bottom"/>
          </w:tcPr>
          <w:p>
            <w:pPr>
              <w:spacing w:after="0"/>
              <w:rPr>
                <w:sz w:val="10"/>
                <w:szCs w:val="10"/>
                <w:color w:val="auto"/>
              </w:rPr>
            </w:pPr>
          </w:p>
        </w:tc>
        <w:tc>
          <w:tcPr>
            <w:tcW w:w="30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(Primary Standard Industrial Classification Code</w:t>
            </w:r>
          </w:p>
        </w:tc>
        <w:tc>
          <w:tcPr>
            <w:tcW w:w="400" w:type="dxa"/>
            <w:vAlign w:val="bottom"/>
          </w:tcPr>
          <w:p>
            <w:pPr>
              <w:spacing w:after="0"/>
              <w:rPr>
                <w:sz w:val="10"/>
                <w:szCs w:val="10"/>
                <w:color w:val="auto"/>
              </w:rPr>
            </w:pPr>
          </w:p>
        </w:tc>
        <w:tc>
          <w:tcPr>
            <w:tcW w:w="31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(I.R.S. Employer</w:t>
            </w:r>
          </w:p>
        </w:tc>
      </w:tr>
      <w:tr>
        <w:trPr>
          <w:trHeight w:val="187"/>
        </w:trPr>
        <w:tc>
          <w:tcPr>
            <w:tcW w:w="3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organization)</w:t>
            </w:r>
          </w:p>
        </w:tc>
        <w:tc>
          <w:tcPr>
            <w:tcW w:w="3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Number)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8"/>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1190 Trademark Drive #108</w:t>
            </w:r>
          </w:p>
        </w:tc>
        <w:tc>
          <w:tcPr>
            <w:tcW w:w="3100" w:type="dxa"/>
            <w:vAlign w:val="bottom"/>
          </w:tcPr>
          <w:p>
            <w:pPr>
              <w:spacing w:after="0"/>
              <w:rPr>
                <w:sz w:val="12"/>
                <w:szCs w:val="12"/>
                <w:color w:val="auto"/>
              </w:rPr>
            </w:pPr>
          </w:p>
        </w:tc>
      </w:tr>
      <w:tr>
        <w:trPr>
          <w:trHeight w:val="148"/>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Reno, Nevada 89521</w:t>
            </w:r>
          </w:p>
        </w:tc>
        <w:tc>
          <w:tcPr>
            <w:tcW w:w="3100" w:type="dxa"/>
            <w:vAlign w:val="bottom"/>
          </w:tcPr>
          <w:p>
            <w:pPr>
              <w:spacing w:after="0"/>
              <w:rPr>
                <w:sz w:val="12"/>
                <w:szCs w:val="12"/>
                <w:color w:val="auto"/>
              </w:rPr>
            </w:pPr>
          </w:p>
        </w:tc>
      </w:tr>
      <w:tr>
        <w:trPr>
          <w:trHeight w:val="190"/>
        </w:trPr>
        <w:tc>
          <w:tcPr>
            <w:tcW w:w="3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(775) 622-3448</w:t>
            </w:r>
          </w:p>
        </w:tc>
        <w:tc>
          <w:tcPr>
            <w:tcW w:w="400" w:type="dxa"/>
            <w:vAlign w:val="bottom"/>
          </w:tcPr>
          <w:p>
            <w:pPr>
              <w:spacing w:after="0"/>
              <w:rPr>
                <w:sz w:val="16"/>
                <w:szCs w:val="16"/>
                <w:color w:val="auto"/>
              </w:rPr>
            </w:pPr>
          </w:p>
        </w:tc>
        <w:tc>
          <w:tcPr>
            <w:tcW w:w="3100" w:type="dxa"/>
            <w:vAlign w:val="bottom"/>
          </w:tcPr>
          <w:p>
            <w:pPr>
              <w:spacing w:after="0"/>
              <w:rPr>
                <w:sz w:val="16"/>
                <w:szCs w:val="16"/>
                <w:color w:val="auto"/>
              </w:rPr>
            </w:pPr>
          </w:p>
        </w:tc>
      </w:tr>
    </w:tbl>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67310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Denis Phares</w:t>
      </w:r>
    </w:p>
    <w:p>
      <w:pPr>
        <w:ind w:left="4060"/>
        <w:spacing w:after="0" w:line="229" w:lineRule="auto"/>
        <w:rPr>
          <w:sz w:val="20"/>
          <w:szCs w:val="20"/>
          <w:color w:val="auto"/>
        </w:rPr>
      </w:pPr>
      <w:r>
        <w:rPr>
          <w:rFonts w:ascii="Times New Roman" w:cs="Times New Roman" w:eastAsia="Times New Roman" w:hAnsi="Times New Roman"/>
          <w:sz w:val="14"/>
          <w:szCs w:val="14"/>
          <w:b w:val="1"/>
          <w:bCs w:val="1"/>
          <w:color w:val="auto"/>
        </w:rPr>
        <w:t>Dragonfly Energy Holdings Corp.</w:t>
      </w:r>
    </w:p>
    <w:p>
      <w:pPr>
        <w:ind w:left="4260"/>
        <w:spacing w:after="0" w:line="221" w:lineRule="auto"/>
        <w:rPr>
          <w:sz w:val="20"/>
          <w:szCs w:val="20"/>
          <w:color w:val="auto"/>
        </w:rPr>
      </w:pPr>
      <w:r>
        <w:rPr>
          <w:rFonts w:ascii="Times New Roman" w:cs="Times New Roman" w:eastAsia="Times New Roman" w:hAnsi="Times New Roman"/>
          <w:sz w:val="14"/>
          <w:szCs w:val="14"/>
          <w:b w:val="1"/>
          <w:bCs w:val="1"/>
          <w:color w:val="auto"/>
        </w:rPr>
        <w:t>1190 Trademark Drive #108</w:t>
      </w:r>
    </w:p>
    <w:p>
      <w:pPr>
        <w:ind w:left="4480"/>
        <w:spacing w:after="0" w:line="222" w:lineRule="auto"/>
        <w:rPr>
          <w:sz w:val="20"/>
          <w:szCs w:val="20"/>
          <w:color w:val="auto"/>
        </w:rPr>
      </w:pPr>
      <w:r>
        <w:rPr>
          <w:rFonts w:ascii="Times New Roman" w:cs="Times New Roman" w:eastAsia="Times New Roman" w:hAnsi="Times New Roman"/>
          <w:sz w:val="14"/>
          <w:szCs w:val="14"/>
          <w:b w:val="1"/>
          <w:bCs w:val="1"/>
          <w:color w:val="auto"/>
        </w:rPr>
        <w:t>Reno, Nevada 89521</w:t>
      </w:r>
    </w:p>
    <w:p>
      <w:pPr>
        <w:ind w:left="4680"/>
        <w:spacing w:after="0"/>
        <w:rPr>
          <w:sz w:val="20"/>
          <w:szCs w:val="20"/>
          <w:color w:val="auto"/>
        </w:rPr>
      </w:pPr>
      <w:r>
        <w:rPr>
          <w:rFonts w:ascii="Times New Roman" w:cs="Times New Roman" w:eastAsia="Times New Roman" w:hAnsi="Times New Roman"/>
          <w:sz w:val="14"/>
          <w:szCs w:val="14"/>
          <w:b w:val="1"/>
          <w:bCs w:val="1"/>
          <w:color w:val="auto"/>
        </w:rPr>
        <w:t>(775) 622-3448</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100965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ind w:left="4520"/>
        <w:spacing w:after="0" w:line="229" w:lineRule="auto"/>
        <w:rPr>
          <w:sz w:val="20"/>
          <w:szCs w:val="20"/>
          <w:color w:val="auto"/>
        </w:rPr>
      </w:pPr>
      <w:r>
        <w:rPr>
          <w:rFonts w:ascii="Times New Roman" w:cs="Times New Roman" w:eastAsia="Times New Roman" w:hAnsi="Times New Roman"/>
          <w:sz w:val="14"/>
          <w:szCs w:val="14"/>
          <w:b w:val="1"/>
          <w:bCs w:val="1"/>
          <w:color w:val="auto"/>
        </w:rPr>
        <w:t>Jeeho M. Lee, Esq.</w:t>
      </w:r>
    </w:p>
    <w:p>
      <w:pPr>
        <w:ind w:left="4400"/>
        <w:spacing w:after="0" w:line="221" w:lineRule="auto"/>
        <w:rPr>
          <w:sz w:val="20"/>
          <w:szCs w:val="20"/>
          <w:color w:val="auto"/>
        </w:rPr>
      </w:pPr>
      <w:r>
        <w:rPr>
          <w:rFonts w:ascii="Times New Roman" w:cs="Times New Roman" w:eastAsia="Times New Roman" w:hAnsi="Times New Roman"/>
          <w:sz w:val="14"/>
          <w:szCs w:val="14"/>
          <w:b w:val="1"/>
          <w:bCs w:val="1"/>
          <w:color w:val="auto"/>
        </w:rPr>
        <w:t>Tai Vivatvaraphol, Esq.</w:t>
      </w:r>
    </w:p>
    <w:p>
      <w:pPr>
        <w:ind w:left="4320"/>
        <w:spacing w:after="0" w:line="222" w:lineRule="auto"/>
        <w:rPr>
          <w:sz w:val="20"/>
          <w:szCs w:val="20"/>
          <w:color w:val="auto"/>
        </w:rPr>
      </w:pPr>
      <w:r>
        <w:rPr>
          <w:rFonts w:ascii="Times New Roman" w:cs="Times New Roman" w:eastAsia="Times New Roman" w:hAnsi="Times New Roman"/>
          <w:sz w:val="14"/>
          <w:szCs w:val="14"/>
          <w:b w:val="1"/>
          <w:bCs w:val="1"/>
          <w:color w:val="auto"/>
        </w:rPr>
        <w:t>O’Melveny &amp; Myers LLP</w:t>
      </w:r>
    </w:p>
    <w:p>
      <w:pPr>
        <w:ind w:left="4420"/>
        <w:spacing w:after="0" w:line="221" w:lineRule="auto"/>
        <w:rPr>
          <w:sz w:val="20"/>
          <w:szCs w:val="20"/>
          <w:color w:val="auto"/>
        </w:rPr>
      </w:pPr>
      <w:r>
        <w:rPr>
          <w:rFonts w:ascii="Times New Roman" w:cs="Times New Roman" w:eastAsia="Times New Roman" w:hAnsi="Times New Roman"/>
          <w:sz w:val="14"/>
          <w:szCs w:val="14"/>
          <w:b w:val="1"/>
          <w:bCs w:val="1"/>
          <w:color w:val="auto"/>
        </w:rPr>
        <w:t>7 Times Square Tower</w:t>
      </w:r>
    </w:p>
    <w:p>
      <w:pPr>
        <w:ind w:left="4440"/>
        <w:spacing w:after="0" w:line="222" w:lineRule="auto"/>
        <w:rPr>
          <w:sz w:val="20"/>
          <w:szCs w:val="20"/>
          <w:color w:val="auto"/>
        </w:rPr>
      </w:pPr>
      <w:r>
        <w:rPr>
          <w:rFonts w:ascii="Times New Roman" w:cs="Times New Roman" w:eastAsia="Times New Roman" w:hAnsi="Times New Roman"/>
          <w:sz w:val="14"/>
          <w:szCs w:val="14"/>
          <w:b w:val="1"/>
          <w:bCs w:val="1"/>
          <w:color w:val="auto"/>
        </w:rPr>
        <w:t>New York, NY 10036</w:t>
      </w:r>
    </w:p>
    <w:p>
      <w:pPr>
        <w:ind w:left="4680"/>
        <w:spacing w:after="0"/>
        <w:rPr>
          <w:sz w:val="20"/>
          <w:szCs w:val="20"/>
          <w:color w:val="auto"/>
        </w:rPr>
      </w:pPr>
      <w:r>
        <w:rPr>
          <w:rFonts w:ascii="Times New Roman" w:cs="Times New Roman" w:eastAsia="Times New Roman" w:hAnsi="Times New Roman"/>
          <w:sz w:val="14"/>
          <w:szCs w:val="14"/>
          <w:b w:val="1"/>
          <w:bCs w:val="1"/>
          <w:color w:val="auto"/>
        </w:rPr>
        <w:t>(212) 326-2000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this registration statement becomes effective.</w:t>
      </w:r>
    </w:p>
    <w:p>
      <w:pPr>
        <w:spacing w:after="0" w:line="30" w:lineRule="exact"/>
        <w:rPr>
          <w:sz w:val="24"/>
          <w:szCs w:val="24"/>
          <w:color w:val="auto"/>
        </w:rPr>
      </w:pPr>
    </w:p>
    <w:p>
      <w:pPr>
        <w:ind w:right="2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324"/>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324"/>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3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7" w:lineRule="exact"/>
        <w:rPr>
          <w:sz w:val="24"/>
          <w:szCs w:val="24"/>
          <w:color w:val="auto"/>
        </w:rPr>
      </w:pPr>
    </w:p>
    <w:p>
      <w:pPr>
        <w:ind w:right="46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324"/>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452755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41275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83820</wp:posOffset>
            </wp:positionV>
            <wp:extent cx="64979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0080"/>
          </w:cols>
          <w:pgMar w:left="800" w:top="513" w:right="1019" w:bottom="1440" w:gutter="0" w:footer="0" w:header="0"/>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3"/>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filedwiththeSecurities</w:t>
            </w:r>
          </w:p>
        </w:tc>
        <w:tc>
          <w:tcPr>
            <w:tcW w:w="400" w:type="dxa"/>
            <w:vAlign w:val="bottom"/>
            <w:textDirection w:val="btLr"/>
          </w:tcPr>
          <w:p>
            <w:pPr>
              <w:ind w:left="32"/>
              <w:spacing w:after="0"/>
              <w:rPr>
                <w:sz w:val="20"/>
                <w:szCs w:val="20"/>
                <w:color w:val="auto"/>
              </w:rPr>
            </w:pPr>
            <w:r>
              <w:rPr>
                <w:rFonts w:ascii="Times New Roman" w:cs="Times New Roman" w:eastAsia="Times New Roman" w:hAnsi="Times New Roman"/>
                <w:sz w:val="18"/>
                <w:szCs w:val="18"/>
                <w:b w:val="1"/>
                <w:bCs w:val="1"/>
                <w:color w:val="FF0000"/>
              </w:rPr>
              <w:t>thesesecuritiesinany</w:t>
            </w:r>
          </w:p>
        </w:tc>
      </w:tr>
      <w:tr>
        <w:trPr>
          <w:trHeight w:val="1996"/>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theregistrationstatement</w:t>
            </w:r>
          </w:p>
        </w:tc>
        <w:tc>
          <w:tcPr>
            <w:tcW w:w="400" w:type="dxa"/>
            <w:vAlign w:val="bottom"/>
            <w:textDirection w:val="btLr"/>
          </w:tcPr>
          <w:p>
            <w:pPr>
              <w:ind w:left="28"/>
              <w:spacing w:after="0"/>
              <w:rPr>
                <w:sz w:val="20"/>
                <w:szCs w:val="20"/>
                <w:color w:val="auto"/>
              </w:rPr>
            </w:pPr>
            <w:r>
              <w:rPr>
                <w:rFonts w:ascii="Times New Roman" w:cs="Times New Roman" w:eastAsia="Times New Roman" w:hAnsi="Times New Roman"/>
                <w:sz w:val="18"/>
                <w:szCs w:val="18"/>
                <w:b w:val="1"/>
                <w:bCs w:val="1"/>
                <w:color w:val="FF0000"/>
              </w:rPr>
              <w:t>solicitinganoffertobuy</w:t>
            </w:r>
          </w:p>
        </w:tc>
      </w:tr>
      <w:tr>
        <w:trPr>
          <w:trHeight w:val="2560"/>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maynotsellthesesecuritiesuntil</w:t>
            </w:r>
          </w:p>
        </w:tc>
        <w:tc>
          <w:tcPr>
            <w:tcW w:w="400" w:type="dxa"/>
            <w:vAlign w:val="bottom"/>
            <w:textDirection w:val="btLr"/>
          </w:tcPr>
          <w:p>
            <w:pPr>
              <w:ind w:left="24"/>
              <w:spacing w:after="0"/>
              <w:rPr>
                <w:sz w:val="20"/>
                <w:szCs w:val="20"/>
                <w:color w:val="auto"/>
              </w:rPr>
            </w:pPr>
            <w:r>
              <w:rPr>
                <w:rFonts w:ascii="Times New Roman" w:cs="Times New Roman" w:eastAsia="Times New Roman" w:hAnsi="Times New Roman"/>
                <w:sz w:val="18"/>
                <w:szCs w:val="18"/>
                <w:b w:val="1"/>
                <w:bCs w:val="1"/>
                <w:color w:val="FF0000"/>
              </w:rPr>
              <w:t>sellthesesecuritiesanditisnot</w:t>
            </w:r>
          </w:p>
        </w:tc>
      </w:tr>
      <w:tr>
        <w:trPr>
          <w:trHeight w:val="1240"/>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bechanged.We</w:t>
            </w:r>
          </w:p>
        </w:tc>
        <w:tc>
          <w:tcPr>
            <w:tcW w:w="400" w:type="dxa"/>
            <w:vAlign w:val="bottom"/>
            <w:textDirection w:val="btLr"/>
          </w:tcPr>
          <w:p>
            <w:pPr>
              <w:ind w:left="22"/>
              <w:spacing w:after="0"/>
              <w:rPr>
                <w:sz w:val="20"/>
                <w:szCs w:val="20"/>
                <w:color w:val="auto"/>
              </w:rPr>
            </w:pPr>
            <w:r>
              <w:rPr>
                <w:rFonts w:ascii="Times New Roman" w:cs="Times New Roman" w:eastAsia="Times New Roman" w:hAnsi="Times New Roman"/>
                <w:sz w:val="18"/>
                <w:szCs w:val="18"/>
                <w:b w:val="1"/>
                <w:bCs w:val="1"/>
                <w:color w:val="FF0000"/>
              </w:rPr>
              <w:t>notanofferto</w:t>
            </w:r>
          </w:p>
        </w:tc>
      </w:tr>
      <w:tr>
        <w:trPr>
          <w:trHeight w:val="4605"/>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Theinformationinthisprospectusisnotcompleteandmay</w:t>
            </w:r>
          </w:p>
        </w:tc>
        <w:tc>
          <w:tcPr>
            <w:tcW w:w="400" w:type="dxa"/>
            <w:vAlign w:val="bottom"/>
            <w:textDirection w:val="btLr"/>
          </w:tcPr>
          <w:p>
            <w:pPr>
              <w:ind w:left="224"/>
              <w:spacing w:after="0"/>
              <w:rPr>
                <w:sz w:val="20"/>
                <w:szCs w:val="20"/>
                <w:color w:val="auto"/>
              </w:rPr>
            </w:pPr>
            <w:r>
              <w:rPr>
                <w:rFonts w:ascii="Times New Roman" w:cs="Times New Roman" w:eastAsia="Times New Roman" w:hAnsi="Times New Roman"/>
                <w:sz w:val="15"/>
                <w:szCs w:val="15"/>
                <w:b w:val="1"/>
                <w:bCs w:val="1"/>
                <w:color w:val="FF0000"/>
                <w:w w:val="71"/>
              </w:rPr>
              <w:t>andExchangeCommissioniseffective.Thisprospectusisjurisdictionwheretheofferorsaleisnotpermitted.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FF0000"/>
        </w:rPr>
        <w:t>SUBJECT TO COMPLETION, DATED DECEMBER 9,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52705</wp:posOffset>
            </wp:positionV>
            <wp:extent cx="1234440" cy="831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DRAGONFLY ENERGY HOLDINGS CORP.</w:t>
      </w:r>
    </w:p>
    <w:p>
      <w:pPr>
        <w:spacing w:after="0" w:line="11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38,590,131 Shares of Common Stock</w:t>
      </w:r>
    </w:p>
    <w:p>
      <w:pPr>
        <w:spacing w:after="0" w:line="1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16,708,414 Warrants to Purchase Shares of Common Stock</w:t>
      </w:r>
    </w:p>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16,708,414 Shares of Common Stock Underlying Warrants</w:t>
      </w:r>
    </w:p>
    <w:p>
      <w:pPr>
        <w:spacing w:after="0" w:line="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3"/>
          <w:szCs w:val="13"/>
          <w:color w:val="auto"/>
        </w:rPr>
        <w:t>This prospectus relates to the offer and sale, from time to time, by the selling securityholders named in this prospectus (the “</w:t>
      </w:r>
      <w:r>
        <w:rPr>
          <w:rFonts w:ascii="Times New Roman" w:cs="Times New Roman" w:eastAsia="Times New Roman" w:hAnsi="Times New Roman"/>
          <w:sz w:val="13"/>
          <w:szCs w:val="13"/>
          <w:b w:val="1"/>
          <w:bCs w:val="1"/>
          <w:color w:val="auto"/>
        </w:rPr>
        <w:t>selling securityholders</w:t>
      </w:r>
      <w:r>
        <w:rPr>
          <w:rFonts w:ascii="Times New Roman" w:cs="Times New Roman" w:eastAsia="Times New Roman" w:hAnsi="Times New Roman"/>
          <w:sz w:val="13"/>
          <w:szCs w:val="13"/>
          <w:color w:val="auto"/>
        </w:rPr>
        <w:t>”) of up to 38,590,131 shares of our common stock, par value $0.0001 per share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16,708,414 warrants to purchase shares of common stock and 16,708,414 shares of common stock that are issuable upon the exercise of such warrants, consisting of:</w:t>
      </w:r>
    </w:p>
    <w:p>
      <w:pPr>
        <w:spacing w:after="0" w:line="43" w:lineRule="exact"/>
        <w:rPr>
          <w:sz w:val="20"/>
          <w:szCs w:val="20"/>
          <w:color w:val="auto"/>
        </w:rPr>
      </w:pPr>
    </w:p>
    <w:p>
      <w:pPr>
        <w:ind w:left="680" w:right="280" w:hanging="333"/>
        <w:spacing w:after="0" w:line="278"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31,290,514 shares of common stock that were issued as consideration in connection with the consummation of the transactions contemplated by the Business Combination Agreement (as defined below) at a per share value of $10.00 per share (the “</w:t>
      </w:r>
      <w:r>
        <w:rPr>
          <w:rFonts w:ascii="Times New Roman" w:cs="Times New Roman" w:eastAsia="Times New Roman" w:hAnsi="Times New Roman"/>
          <w:sz w:val="13"/>
          <w:szCs w:val="13"/>
          <w:b w:val="1"/>
          <w:bCs w:val="1"/>
          <w:color w:val="auto"/>
        </w:rPr>
        <w:t>Consideration Shares</w:t>
      </w:r>
      <w:r>
        <w:rPr>
          <w:rFonts w:ascii="Times New Roman" w:cs="Times New Roman" w:eastAsia="Times New Roman" w:hAnsi="Times New Roman"/>
          <w:sz w:val="13"/>
          <w:szCs w:val="13"/>
          <w:color w:val="auto"/>
        </w:rPr>
        <w:t>”);</w:t>
      </w:r>
    </w:p>
    <w:p>
      <w:pPr>
        <w:spacing w:after="0" w:line="18" w:lineRule="exact"/>
        <w:rPr>
          <w:rFonts w:ascii="Times New Roman" w:cs="Times New Roman" w:eastAsia="Times New Roman" w:hAnsi="Times New Roman"/>
          <w:sz w:val="13"/>
          <w:szCs w:val="13"/>
          <w:color w:val="auto"/>
        </w:rPr>
      </w:pPr>
    </w:p>
    <w:p>
      <w:pPr>
        <w:ind w:left="680" w:right="180" w:hanging="333"/>
        <w:spacing w:after="0" w:line="258"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3,664,975 shares of common stock subject to vesting and/or exercise of Legacy Dragonfly (as defined below) equity awards that were assumed in connection with the Business Combination (the “</w:t>
      </w:r>
      <w:r>
        <w:rPr>
          <w:rFonts w:ascii="Times New Roman" w:cs="Times New Roman" w:eastAsia="Times New Roman" w:hAnsi="Times New Roman"/>
          <w:sz w:val="13"/>
          <w:szCs w:val="13"/>
          <w:b w:val="1"/>
          <w:bCs w:val="1"/>
          <w:color w:val="auto"/>
        </w:rPr>
        <w:t>Option Shares</w:t>
      </w:r>
      <w:r>
        <w:rPr>
          <w:rFonts w:ascii="Times New Roman" w:cs="Times New Roman" w:eastAsia="Times New Roman" w:hAnsi="Times New Roman"/>
          <w:sz w:val="13"/>
          <w:szCs w:val="13"/>
          <w:color w:val="auto"/>
        </w:rPr>
        <w:t>”). Upon exercise of the applicable Legacy Dragonfly equity awards, the applicable selling securityholders will acquire the Option Shares at prices ranging from $0.372 to $4.08 per share of common stock;</w:t>
      </w:r>
    </w:p>
    <w:p>
      <w:pPr>
        <w:spacing w:after="0" w:line="26" w:lineRule="exact"/>
        <w:rPr>
          <w:rFonts w:ascii="Times New Roman" w:cs="Times New Roman" w:eastAsia="Times New Roman" w:hAnsi="Times New Roman"/>
          <w:sz w:val="13"/>
          <w:szCs w:val="13"/>
          <w:color w:val="auto"/>
        </w:rPr>
      </w:pPr>
    </w:p>
    <w:p>
      <w:pPr>
        <w:ind w:left="680" w:right="10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3,162,500 shares of common stock (the “</w:t>
      </w:r>
      <w:r>
        <w:rPr>
          <w:rFonts w:ascii="Times New Roman" w:cs="Times New Roman" w:eastAsia="Times New Roman" w:hAnsi="Times New Roman"/>
          <w:sz w:val="13"/>
          <w:szCs w:val="13"/>
          <w:b w:val="1"/>
          <w:bCs w:val="1"/>
          <w:color w:val="auto"/>
        </w:rPr>
        <w:t>Founder Shares</w:t>
      </w:r>
      <w:r>
        <w:rPr>
          <w:rFonts w:ascii="Times New Roman" w:cs="Times New Roman" w:eastAsia="Times New Roman" w:hAnsi="Times New Roman"/>
          <w:sz w:val="13"/>
          <w:szCs w:val="13"/>
          <w:color w:val="auto"/>
        </w:rPr>
        <w:t>”) that were originally issued in a private placement at the time of the CNTQ IPO (as defined below). The Founder Shares were acquired at a purchase price equivalent to approximately $0.0079 per share of common stock;</w:t>
      </w:r>
    </w:p>
    <w:p>
      <w:pPr>
        <w:spacing w:after="0" w:line="24" w:lineRule="exact"/>
        <w:rPr>
          <w:rFonts w:ascii="Times New Roman" w:cs="Times New Roman" w:eastAsia="Times New Roman" w:hAnsi="Times New Roman"/>
          <w:sz w:val="13"/>
          <w:szCs w:val="13"/>
          <w:color w:val="auto"/>
        </w:rPr>
      </w:pPr>
    </w:p>
    <w:p>
      <w:pPr>
        <w:ind w:left="680" w:right="18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4,627,858 warrants (“</w:t>
      </w:r>
      <w:r>
        <w:rPr>
          <w:rFonts w:ascii="Times New Roman" w:cs="Times New Roman" w:eastAsia="Times New Roman" w:hAnsi="Times New Roman"/>
          <w:sz w:val="13"/>
          <w:szCs w:val="13"/>
          <w:b w:val="1"/>
          <w:bCs w:val="1"/>
          <w:color w:val="auto"/>
        </w:rPr>
        <w:t>Private Warrants</w:t>
      </w:r>
      <w:r>
        <w:rPr>
          <w:rFonts w:ascii="Times New Roman" w:cs="Times New Roman" w:eastAsia="Times New Roman" w:hAnsi="Times New Roman"/>
          <w:sz w:val="13"/>
          <w:szCs w:val="13"/>
          <w:color w:val="auto"/>
        </w:rPr>
        <w:t>”) that were originally issued in a private placement at the time of the CNTQ IPO. The Private Warrants were acquired at a purchase price of $0.93 per Private Warrant;</w:t>
      </w:r>
    </w:p>
    <w:p>
      <w:pPr>
        <w:spacing w:after="0" w:line="14" w:lineRule="exact"/>
        <w:rPr>
          <w:rFonts w:ascii="Times New Roman" w:cs="Times New Roman" w:eastAsia="Times New Roman" w:hAnsi="Times New Roman"/>
          <w:sz w:val="13"/>
          <w:szCs w:val="13"/>
          <w:color w:val="auto"/>
        </w:rPr>
      </w:pPr>
    </w:p>
    <w:p>
      <w:pPr>
        <w:ind w:left="680" w:right="20" w:hanging="333"/>
        <w:spacing w:after="0" w:line="278"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Penny Warrants (as defined below) to initially acquire 2,593,056 shares of common stock that were originally issued to the Term Loan Lenders (as defined below);</w:t>
      </w:r>
    </w:p>
    <w:p>
      <w:pPr>
        <w:spacing w:after="0" w:line="14" w:lineRule="exact"/>
        <w:rPr>
          <w:rFonts w:ascii="Times New Roman" w:cs="Times New Roman" w:eastAsia="Times New Roman" w:hAnsi="Times New Roman"/>
          <w:sz w:val="13"/>
          <w:szCs w:val="13"/>
          <w:color w:val="auto"/>
        </w:rPr>
      </w:pPr>
    </w:p>
    <w:p>
      <w:pPr>
        <w:ind w:left="680" w:right="4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4,627,858 shares of common stock (the “</w:t>
      </w:r>
      <w:r>
        <w:rPr>
          <w:rFonts w:ascii="Times New Roman" w:cs="Times New Roman" w:eastAsia="Times New Roman" w:hAnsi="Times New Roman"/>
          <w:sz w:val="13"/>
          <w:szCs w:val="13"/>
          <w:b w:val="1"/>
          <w:bCs w:val="1"/>
          <w:color w:val="auto"/>
        </w:rPr>
        <w:t>Private Warrant Shares</w:t>
      </w:r>
      <w:r>
        <w:rPr>
          <w:rFonts w:ascii="Times New Roman" w:cs="Times New Roman" w:eastAsia="Times New Roman" w:hAnsi="Times New Roman"/>
          <w:sz w:val="13"/>
          <w:szCs w:val="13"/>
          <w:color w:val="auto"/>
        </w:rPr>
        <w:t>”) issuable upon the exercise of the Private Warrants that were originally issued in a private placement at the time of the CNTQ IPO;</w:t>
      </w:r>
    </w:p>
    <w:p>
      <w:pPr>
        <w:spacing w:after="0" w:line="24" w:lineRule="exact"/>
        <w:rPr>
          <w:rFonts w:ascii="Times New Roman" w:cs="Times New Roman" w:eastAsia="Times New Roman" w:hAnsi="Times New Roman"/>
          <w:sz w:val="13"/>
          <w:szCs w:val="13"/>
          <w:color w:val="auto"/>
        </w:rPr>
      </w:pPr>
    </w:p>
    <w:p>
      <w:pPr>
        <w:ind w:left="680" w:right="28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457,142 shares of common stock (the “$</w:t>
      </w:r>
      <w:r>
        <w:rPr>
          <w:rFonts w:ascii="Times New Roman" w:cs="Times New Roman" w:eastAsia="Times New Roman" w:hAnsi="Times New Roman"/>
          <w:sz w:val="13"/>
          <w:szCs w:val="13"/>
          <w:b w:val="1"/>
          <w:bCs w:val="1"/>
          <w:color w:val="auto"/>
        </w:rPr>
        <w:t>10 Warrant Shares</w:t>
      </w:r>
      <w:r>
        <w:rPr>
          <w:rFonts w:ascii="Times New Roman" w:cs="Times New Roman" w:eastAsia="Times New Roman" w:hAnsi="Times New Roman"/>
          <w:sz w:val="13"/>
          <w:szCs w:val="13"/>
          <w:color w:val="auto"/>
        </w:rPr>
        <w:t>”) issued upon the exercise of the $10 Warrants (as defined below) issued as part of the Term Loan (as defined below);</w:t>
      </w:r>
    </w:p>
    <w:p>
      <w:pPr>
        <w:spacing w:after="0" w:line="10" w:lineRule="exact"/>
        <w:rPr>
          <w:rFonts w:ascii="Times New Roman" w:cs="Times New Roman" w:eastAsia="Times New Roman" w:hAnsi="Times New Roman"/>
          <w:sz w:val="13"/>
          <w:szCs w:val="13"/>
          <w:color w:val="auto"/>
        </w:rPr>
      </w:pPr>
    </w:p>
    <w:p>
      <w:pPr>
        <w:ind w:left="680" w:right="10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2,593,056 shares of common stock (the “</w:t>
      </w:r>
      <w:r>
        <w:rPr>
          <w:rFonts w:ascii="Times New Roman" w:cs="Times New Roman" w:eastAsia="Times New Roman" w:hAnsi="Times New Roman"/>
          <w:sz w:val="13"/>
          <w:szCs w:val="13"/>
          <w:b w:val="1"/>
          <w:bCs w:val="1"/>
          <w:color w:val="auto"/>
        </w:rPr>
        <w:t>Penny Warrant Shares</w:t>
      </w:r>
      <w:r>
        <w:rPr>
          <w:rFonts w:ascii="Times New Roman" w:cs="Times New Roman" w:eastAsia="Times New Roman" w:hAnsi="Times New Roman"/>
          <w:sz w:val="13"/>
          <w:szCs w:val="13"/>
          <w:color w:val="auto"/>
        </w:rPr>
        <w:t>”) issuable upon the exercise of the Penny Warrants (as defined below) issued as part of the Term Loan; and</w:t>
      </w:r>
    </w:p>
    <w:p>
      <w:pPr>
        <w:spacing w:after="0" w:line="10" w:lineRule="exact"/>
        <w:rPr>
          <w:rFonts w:ascii="Times New Roman" w:cs="Times New Roman" w:eastAsia="Times New Roman" w:hAnsi="Times New Roman"/>
          <w:sz w:val="13"/>
          <w:szCs w:val="13"/>
          <w:color w:val="auto"/>
        </w:rPr>
      </w:pPr>
    </w:p>
    <w:p>
      <w:pPr>
        <w:ind w:left="680" w:hanging="333"/>
        <w:spacing w:after="0"/>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15,000 shares of common stock (the “</w:t>
      </w:r>
      <w:r>
        <w:rPr>
          <w:rFonts w:ascii="Times New Roman" w:cs="Times New Roman" w:eastAsia="Times New Roman" w:hAnsi="Times New Roman"/>
          <w:sz w:val="13"/>
          <w:szCs w:val="13"/>
          <w:b w:val="1"/>
          <w:bCs w:val="1"/>
          <w:color w:val="auto"/>
        </w:rPr>
        <w:t>PIPE Investment Shares</w:t>
      </w:r>
      <w:r>
        <w:rPr>
          <w:rFonts w:ascii="Times New Roman" w:cs="Times New Roman" w:eastAsia="Times New Roman" w:hAnsi="Times New Roman"/>
          <w:sz w:val="13"/>
          <w:szCs w:val="13"/>
          <w:color w:val="auto"/>
        </w:rPr>
        <w:t>”) purchased by CCM (as defined below) in the PIPE Investment (as defined below).</w:t>
      </w:r>
    </w:p>
    <w:p>
      <w:pPr>
        <w:spacing w:after="0" w:line="80"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13"/>
          <w:szCs w:val="13"/>
          <w:color w:val="auto"/>
        </w:rPr>
        <w:t>This prospectus also relates to the issuance by us of up to 16,708,414 shares of common stock (the “</w:t>
      </w:r>
      <w:r>
        <w:rPr>
          <w:rFonts w:ascii="Times New Roman" w:cs="Times New Roman" w:eastAsia="Times New Roman" w:hAnsi="Times New Roman"/>
          <w:sz w:val="13"/>
          <w:szCs w:val="13"/>
          <w:b w:val="1"/>
          <w:bCs w:val="1"/>
          <w:color w:val="auto"/>
        </w:rPr>
        <w:t>Warrant Shares</w:t>
      </w:r>
      <w:r>
        <w:rPr>
          <w:rFonts w:ascii="Times New Roman" w:cs="Times New Roman" w:eastAsia="Times New Roman" w:hAnsi="Times New Roman"/>
          <w:sz w:val="13"/>
          <w:szCs w:val="13"/>
          <w:color w:val="auto"/>
        </w:rPr>
        <w:t>”), comprised of (i) 9,487,500 shares of common stock (the “</w:t>
      </w:r>
      <w:r>
        <w:rPr>
          <w:rFonts w:ascii="Times New Roman" w:cs="Times New Roman" w:eastAsia="Times New Roman" w:hAnsi="Times New Roman"/>
          <w:sz w:val="13"/>
          <w:szCs w:val="13"/>
          <w:b w:val="1"/>
          <w:bCs w:val="1"/>
          <w:color w:val="auto"/>
        </w:rPr>
        <w:t>Public Warrant Shares</w:t>
      </w:r>
      <w:r>
        <w:rPr>
          <w:rFonts w:ascii="Times New Roman" w:cs="Times New Roman" w:eastAsia="Times New Roman" w:hAnsi="Times New Roman"/>
          <w:sz w:val="13"/>
          <w:szCs w:val="13"/>
          <w:color w:val="auto"/>
        </w:rPr>
        <w:t>”) that are issuable by us upon the exercise of the public warrants sold as part of the units in the CNTQ IPO (the “</w:t>
      </w:r>
      <w:r>
        <w:rPr>
          <w:rFonts w:ascii="Times New Roman" w:cs="Times New Roman" w:eastAsia="Times New Roman" w:hAnsi="Times New Roman"/>
          <w:sz w:val="13"/>
          <w:szCs w:val="13"/>
          <w:b w:val="1"/>
          <w:bCs w:val="1"/>
          <w:color w:val="auto"/>
        </w:rPr>
        <w:t>Public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 (ii) the 4,627,858 Private Warrant Shares and (iii) the 2,593,056 Penny Warrant Shares. The Public Warrants and Private Warrants entitle the holder thereof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purchase one share of our common stock for $11.50 per share. The Penny Warrants entitle the holder thereof to purchase one share of our common stock for $0.01 per share, subject to weighted average anti-dilution protection.</w:t>
      </w:r>
    </w:p>
    <w:p>
      <w:pPr>
        <w:spacing w:after="0" w:line="39" w:lineRule="exact"/>
        <w:rPr>
          <w:sz w:val="20"/>
          <w:szCs w:val="20"/>
          <w:color w:val="auto"/>
        </w:rPr>
      </w:pPr>
    </w:p>
    <w:p>
      <w:pPr>
        <w:ind w:right="20" w:firstLine="324"/>
        <w:spacing w:after="0" w:line="244" w:lineRule="auto"/>
        <w:rPr>
          <w:sz w:val="20"/>
          <w:szCs w:val="20"/>
          <w:color w:val="auto"/>
        </w:rPr>
      </w:pPr>
      <w:r>
        <w:rPr>
          <w:rFonts w:ascii="Times New Roman" w:cs="Times New Roman" w:eastAsia="Times New Roman" w:hAnsi="Times New Roman"/>
          <w:sz w:val="13"/>
          <w:szCs w:val="13"/>
          <w:color w:val="auto"/>
        </w:rPr>
        <w:t>We are registering the offer and sale of these securities to satisfy certain registration rights we have granted. 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common stock or warrants, except with respect to amounts received by us upon the exercise of the warrants. Because the exercise price of the Public Warrants and Private Warrants substantially exceeds the current trading price of our common stock, it is unlikely that holders of our warrants will be able to exercise such warrants in the near future, if at all. As a result, we are unlikely to receive any proceeds from the exercise of our warrants in the near future, if at all.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common stock or warrants. See section entitled “</w:t>
      </w:r>
      <w:r>
        <w:rPr>
          <w:rFonts w:ascii="Times New Roman" w:cs="Times New Roman" w:eastAsia="Times New Roman" w:hAnsi="Times New Roman"/>
          <w:sz w:val="13"/>
          <w:szCs w:val="13"/>
          <w:i w:val="1"/>
          <w:iCs w:val="1"/>
          <w:color w:val="auto"/>
        </w:rPr>
        <w:t>Plan of Distribution</w:t>
      </w:r>
      <w:r>
        <w:rPr>
          <w:rFonts w:ascii="Times New Roman" w:cs="Times New Roman" w:eastAsia="Times New Roman" w:hAnsi="Times New Roman"/>
          <w:sz w:val="13"/>
          <w:szCs w:val="13"/>
          <w:color w:val="auto"/>
        </w:rPr>
        <w:t>” beginning on page 117 of this prospectus.</w:t>
      </w:r>
    </w:p>
    <w:p>
      <w:pPr>
        <w:spacing w:after="0" w:line="4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3"/>
          <w:szCs w:val="13"/>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44"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3"/>
          <w:szCs w:val="13"/>
          <w:color w:val="auto"/>
        </w:rPr>
        <w:t>This impact may be heightened by the fact that, as described above, certain of the selling securityholders purchased, or are able to purchase, shares of our common stock at prices that are well below the current trading price of our common stock. The 55,298,545 shares that may be resold and/or issued into the public markets pursuant to this prospectus represent approximately 128% of the shares of our common stock outstanding as of November 14, 2022 (after giving effect to the issuance of the Option Shares, Public Warrant Shares and Private Warrant Shares).</w:t>
      </w:r>
    </w:p>
    <w:p>
      <w:pPr>
        <w:spacing w:after="0" w:line="32"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3"/>
          <w:szCs w:val="13"/>
          <w:color w:val="auto"/>
        </w:rPr>
        <w:t>Our common stock is currently listed on the Nasdaq Global Market (“</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under the symbol “DFLI” and our public warrants are currently listed on the Nasdaq Capital Market under the symbol “DFLIW”. As of December 8, 2022, the closing price of our common stock and warrants was $9.81 and $0.2549, respectively.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 xml:space="preserve">We are an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emerging growth company</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under applicable federal securities laws and will be subject to reduced public company reporting requirements.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 xml:space="preserve">INVESTING IN OUR SECURITIES INVOLVES RISKS THAT ARE DESCRIBED IN 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RISK FACTORS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SECTION BEGINNING ON PAGE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 THIS PROSPECTUS.</w:t>
      </w:r>
    </w:p>
    <w:p>
      <w:pPr>
        <w:spacing w:after="0" w:line="49"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38" w:lineRule="exact"/>
        <w:rPr>
          <w:sz w:val="20"/>
          <w:szCs w:val="20"/>
          <w:color w:val="auto"/>
        </w:rPr>
      </w:pPr>
    </w:p>
    <w:tbl>
      <w:tblPr>
        <w:tblLayout w:type="fixed"/>
        <w:tblInd w:w="3620" w:type="dxa"/>
        <w:tblCellMar>
          <w:top w:w="0" w:type="dxa"/>
          <w:left w:w="0" w:type="dxa"/>
          <w:bottom w:w="0" w:type="dxa"/>
          <w:right w:w="0" w:type="dxa"/>
        </w:tblCellMar>
      </w:tblPr>
      <w:tr>
        <w:trPr>
          <w:trHeight w:val="178"/>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The date of this prospectus is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1551940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2">
            <w:col w:w="600" w:space="240"/>
            <w:col w:w="9240"/>
          </w:cols>
          <w:pgMar w:left="800" w:top="513" w:right="10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20" w:type="dxa"/>
            <w:vAlign w:val="bottom"/>
            <w:tcBorders>
              <w:top w:val="single" w:sz="8" w:color="0000EE"/>
            </w:tcBorders>
            <w:vMerge w:val="restart"/>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INTRODUCTORY NOTE</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56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080" w:type="dxa"/>
            <w:vAlign w:val="bottom"/>
            <w:tcBorders>
              <w:top w:val="single" w:sz="8" w:color="CCEEFF"/>
            </w:tcBorders>
            <w:gridSpan w:val="19"/>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278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0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DRAGONFLY’S MANAGEMENT’S DISCUSSION AND ANALYSIS OF FINANCIAL CONDITION AND RESULTS OF</w:t>
            </w: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5"/>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6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w w:val="99"/>
              </w:rPr>
              <w:t>CNTQ’S MANAGEMENT’S DISCUSSION AND ANALYSIS OF FINANCIAL CONDITION AND RESULTS OF</w:t>
            </w:r>
          </w:p>
        </w:tc>
        <w:tc>
          <w:tcPr>
            <w:tcW w:w="8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760" w:type="dxa"/>
            <w:vAlign w:val="bottom"/>
            <w:tcBorders>
              <w:top w:val="single" w:sz="8" w:color="CCEEFF"/>
            </w:tcBorders>
            <w:gridSpan w:val="7"/>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2620" w:type="dxa"/>
            <w:vAlign w:val="bottom"/>
            <w:tcBorders>
              <w:bottom w:val="single" w:sz="8" w:color="CCEEFF"/>
            </w:tcBorders>
            <w:gridSpan w:val="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CONSIDERATIONS FOR NON-U.S. HOLDERS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360" w:type="dxa"/>
            <w:vAlign w:val="bottom"/>
            <w:tcBorders>
              <w:top w:val="single" w:sz="8" w:color="CCEEFF"/>
            </w:tcBorders>
            <w:gridSpan w:val="5"/>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900" w:type="dxa"/>
            <w:vAlign w:val="bottom"/>
            <w:tcBorders>
              <w:top w:val="single" w:sz="8" w:color="CCEEFF"/>
            </w:tcBorders>
            <w:gridSpan w:val="17"/>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5540" w:type="dxa"/>
            <w:vAlign w:val="bottom"/>
            <w:tcBorders>
              <w:top w:val="single" w:sz="8" w:color="CCEEFF"/>
            </w:tcBorders>
            <w:gridSpan w:val="9"/>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2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Acquisition 2 Corp., a Delaware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Bronco Merger Sub, Inc., a Nevada corporation and newly formed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consummated the previously announced Business Combination (as defined below) pursuant to the terms of the Business Combination Agreement (as defined below).</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On the Closing Date, (i) CNTQ changed its name to “Dragonfly Energy Holdings Corp.”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firstLine="8"/>
        <w:spacing w:after="0" w:line="255"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with Legacy Dragonfly surviving the Merger as a direct, wholly-owned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(iii) the parties to the Business Combination Agreement consummated the other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00"/>
          </w:cols>
          <w:pgMar w:left="980" w:top="513"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58"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means warrants to initially acquire 1,600,000 shares of common stock at an initial $10.00 per share exercise price issued at Closing in connection with the Term Loan.</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 Shares</w:t>
      </w:r>
      <w:r>
        <w:rPr>
          <w:rFonts w:ascii="Times New Roman" w:cs="Times New Roman" w:eastAsia="Times New Roman" w:hAnsi="Times New Roman"/>
          <w:sz w:val="18"/>
          <w:szCs w:val="18"/>
          <w:color w:val="auto"/>
        </w:rPr>
        <w:t>” means the 457,142 shares of common stock issued upon exercise of the $10 Warrants.</w:t>
      </w:r>
    </w:p>
    <w:p>
      <w:pPr>
        <w:spacing w:after="0" w:line="225"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Charter</w:t>
      </w:r>
      <w:r>
        <w:rPr>
          <w:rFonts w:ascii="Times New Roman" w:cs="Times New Roman" w:eastAsia="Times New Roman" w:hAnsi="Times New Roman"/>
          <w:sz w:val="18"/>
          <w:szCs w:val="18"/>
          <w:color w:val="auto"/>
        </w:rPr>
        <w:t>” means the amended and restated certificate of incorporation of Dragonfly, in effect as of the date of this prospectus.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Agreement and Plan of Merger, dated May 15, 2022, as amended on July 12, 2022, by and among CNTQ, Merger Sub and Dragonfly.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means Chardan Capital Markets LLC, a New York limited liability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means Chardan NexTech Acquisition 2 Corp., a Delaware corporation, which was renamed “Dragonfly Energy Holdings Corp.” in connection with the Closing.</w:t>
      </w:r>
    </w:p>
    <w:p>
      <w:pPr>
        <w:spacing w:after="0" w:line="15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Common Stock</w:t>
      </w:r>
      <w:r>
        <w:rPr>
          <w:rFonts w:ascii="Times New Roman" w:cs="Times New Roman" w:eastAsia="Times New Roman" w:hAnsi="Times New Roman"/>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means the initial public offering by CNTQ, which closed on August 13,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means Dragonfly Energy Holdings Corp., a Delaware corporation.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 Board</w:t>
      </w:r>
      <w:r>
        <w:rPr>
          <w:rFonts w:ascii="Times New Roman" w:cs="Times New Roman" w:eastAsia="Times New Roman" w:hAnsi="Times New Roman"/>
          <w:sz w:val="18"/>
          <w:szCs w:val="18"/>
          <w:color w:val="auto"/>
        </w:rPr>
        <w:t>” means the board of directors of Dragonfly.</w:t>
      </w:r>
    </w:p>
    <w:p>
      <w:pPr>
        <w:spacing w:after="0" w:line="225" w:lineRule="exact"/>
        <w:rPr>
          <w:sz w:val="20"/>
          <w:szCs w:val="20"/>
          <w:color w:val="auto"/>
        </w:rPr>
      </w:pPr>
    </w:p>
    <w:p>
      <w:pPr>
        <w:ind w:right="340"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Earnout Shares</w:t>
      </w:r>
      <w:r>
        <w:rPr>
          <w:rFonts w:ascii="Times New Roman" w:cs="Times New Roman" w:eastAsia="Times New Roman" w:hAnsi="Times New Roman"/>
          <w:sz w:val="17"/>
          <w:szCs w:val="17"/>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32"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shares of CNTQ common stock held by the Sponsor, CNTQ’s directors, and affiliates of CNTQ’s management team.</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Legacy Dragonfly</w:t>
      </w:r>
      <w:r>
        <w:rPr>
          <w:rFonts w:ascii="Times New Roman" w:cs="Times New Roman" w:eastAsia="Times New Roman" w:hAnsi="Times New Roman"/>
          <w:sz w:val="17"/>
          <w:szCs w:val="17"/>
          <w:color w:val="auto"/>
        </w:rPr>
        <w:t>” means Dragonfly Energy Corp., a Nevada corporation, and includes the surviving corporation after the Merger.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herein to Dragonfly will include its subsidiaries, including Legacy Dragonfly, to the extent reasonably applicable.</w:t>
      </w:r>
    </w:p>
    <w:p>
      <w:pPr>
        <w:spacing w:after="0" w:line="203"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Bronco Merger Sub, Inc., a Nevada corporation.</w:t>
      </w:r>
    </w:p>
    <w:p>
      <w:pPr>
        <w:spacing w:after="0" w:line="22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means warrants to initially acquire 2,593,056 shares of common stock at an exercise price of $0.01 per share issued at Closing in connection with the Term Loan.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5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NexTech Investments 2 LLC, a Delaware limited liability company and an affiliate of CCM.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$75 million aggregate principal amount senior secured term loan facility entered into at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CNTQ that held the proceeds from the CNTQ IPO.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Public Warrants, the Private Warrants and the Penny Warrants of Dragonfly.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means Chardan NexTech 2 Warrant Holdings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92" w:lineRule="exact"/>
        <w:rPr>
          <w:sz w:val="20"/>
          <w:szCs w:val="20"/>
          <w:color w:val="auto"/>
        </w:rPr>
      </w:pPr>
    </w:p>
    <w:p>
      <w:pPr>
        <w:ind w:left="680" w:right="1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recognize the anticipated benefits of our recent Business Combination, which may be affected by, among other things, the factors listed below;</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patents and other intellectual property;</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common stock on the Nasdaq;</w:t>
      </w:r>
    </w:p>
    <w:p>
      <w:pPr>
        <w:spacing w:after="0" w:line="225"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sell the desired amounts of shares of common stock to CCM at desired prices under the ChEF Equity Facility;</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the Company’s failure to timely achieve the anticipated benefits of the Company’s customer arrangements with THOR and its affiliate brands (including Keystone);</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and proprietary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LFP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dependence on a single manufacturing facility;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software and hardware that is highly complex and technical; and</w:t>
      </w:r>
    </w:p>
    <w:p>
      <w:pPr>
        <w:spacing w:after="0" w:line="22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any of these risks materialize or any of our assumptions prove incorrect, actual results could differ materially from the results implied by these forward-looking statements. There may be additional risks that we are not presently aware of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these forward-looking statements at some point in the future, we specifically disclaim any obligation to do so. These forward-looking statements should not be relied upon as representing our assessments as of any date subsequent to the date of this prospectus. Accordingly, undue reliance should not be placed upon the forward-looking statements. Actual results, performance or achievements may, and are likely to, differ materially, and potentially adversely, from any projections and forward-looking statements and the assumptions on which those forward-looking statements were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763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38925" cy="763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ind w:left="20" w:right="2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Dragonfly’s 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Unaudited Pro Forma Condensed Combined Financial Information and Other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financial statements included elsewhere in this prospectus.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20" w:right="40" w:firstLine="324"/>
        <w:spacing w:after="0" w:line="281" w:lineRule="auto"/>
        <w:rPr>
          <w:sz w:val="20"/>
          <w:szCs w:val="20"/>
          <w:color w:val="auto"/>
        </w:rPr>
      </w:pPr>
      <w:r>
        <w:rPr>
          <w:rFonts w:ascii="Times New Roman" w:cs="Times New Roman" w:eastAsia="Times New Roman" w:hAnsi="Times New Roman"/>
          <w:sz w:val="17"/>
          <w:szCs w:val="17"/>
          <w:color w:val="auto"/>
        </w:rPr>
        <w:t>Our business was founded in 2012. Based in Reno, Nevada, we are a manufacturer of non-toxic deep cycle lithium-ion batteries that are designed to displace lead acid batteries in a number of different storage applications and end markets including recreational vehicle (“</w:t>
      </w:r>
      <w:r>
        <w:rPr>
          <w:rFonts w:ascii="Times New Roman" w:cs="Times New Roman" w:eastAsia="Times New Roman" w:hAnsi="Times New Roman"/>
          <w:sz w:val="17"/>
          <w:szCs w:val="17"/>
          <w:b w:val="1"/>
          <w:bCs w:val="1"/>
          <w:color w:val="auto"/>
        </w:rPr>
        <w:t>RV</w:t>
      </w:r>
      <w:r>
        <w:rPr>
          <w:rFonts w:ascii="Times New Roman" w:cs="Times New Roman" w:eastAsia="Times New Roman" w:hAnsi="Times New Roman"/>
          <w:sz w:val="17"/>
          <w:szCs w:val="17"/>
          <w:color w:val="auto"/>
        </w:rPr>
        <w:t>”),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64" w:lineRule="exact"/>
        <w:rPr>
          <w:sz w:val="20"/>
          <w:szCs w:val="20"/>
          <w:color w:val="auto"/>
        </w:rPr>
      </w:pPr>
    </w:p>
    <w:p>
      <w:pPr>
        <w:jc w:val="both"/>
        <w:ind w:left="20" w:right="32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jc w:val="both"/>
        <w:ind w:left="20" w:right="120" w:firstLine="324"/>
        <w:spacing w:after="0" w:line="289" w:lineRule="auto"/>
        <w:rPr>
          <w:sz w:val="20"/>
          <w:szCs w:val="20"/>
          <w:color w:val="auto"/>
        </w:rPr>
      </w:pPr>
      <w:r>
        <w:rPr>
          <w:rFonts w:ascii="Times New Roman" w:cs="Times New Roman" w:eastAsia="Times New Roman" w:hAnsi="Times New Roman"/>
          <w:sz w:val="17"/>
          <w:szCs w:val="17"/>
          <w:color w:val="auto"/>
        </w:rPr>
        <w:t>In addition to our conventional LFP batteries, our experienced research and development team, headed by our 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158" w:lineRule="exact"/>
        <w:rPr>
          <w:sz w:val="20"/>
          <w:szCs w:val="20"/>
          <w:color w:val="auto"/>
        </w:rPr>
      </w:pPr>
    </w:p>
    <w:p>
      <w:pPr>
        <w:ind w:left="20" w:right="100" w:firstLine="324"/>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160" w:lineRule="exact"/>
        <w:rPr>
          <w:sz w:val="20"/>
          <w:szCs w:val="20"/>
          <w:color w:val="auto"/>
        </w:rPr>
      </w:pPr>
    </w:p>
    <w:p>
      <w:pPr>
        <w:ind w:left="20" w:right="360" w:firstLine="324"/>
        <w:spacing w:after="0" w:line="284" w:lineRule="auto"/>
        <w:rPr>
          <w:sz w:val="20"/>
          <w:szCs w:val="20"/>
          <w:color w:val="auto"/>
        </w:rPr>
      </w:pPr>
      <w:r>
        <w:rPr>
          <w:rFonts w:ascii="Times New Roman" w:cs="Times New Roman" w:eastAsia="Times New Roman" w:hAnsi="Times New Roman"/>
          <w:sz w:val="18"/>
          <w:szCs w:val="18"/>
          <w:color w:val="auto"/>
        </w:rPr>
        <w:t>For more information about us,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left="20" w:right="8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w:t>
      </w:r>
    </w:p>
    <w:p>
      <w:pPr>
        <w:spacing w:after="0" w:line="27" w:lineRule="exact"/>
        <w:rPr>
          <w:sz w:val="20"/>
          <w:szCs w:val="20"/>
          <w:color w:val="auto"/>
        </w:rPr>
      </w:pPr>
    </w:p>
    <w:p>
      <w:pPr>
        <w:jc w:val="both"/>
        <w:ind w:left="20" w:right="200" w:firstLine="2"/>
        <w:spacing w:after="0" w:line="253"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ind w:left="2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763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8925" cy="763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$100 million during such completed fiscal year and the market value of our common stock held by non-affiliates exceeds $700 million as of the prior June 30.</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20" w:right="220" w:firstLine="324"/>
        <w:spacing w:after="0" w:line="266"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11. Such risks include, but are not limited to, the following risks: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w:t>
      </w:r>
    </w:p>
    <w:p>
      <w:pPr>
        <w:spacing w:after="0" w:line="229" w:lineRule="exact"/>
        <w:rPr>
          <w:sz w:val="20"/>
          <w:szCs w:val="20"/>
          <w:color w:val="auto"/>
        </w:rPr>
      </w:pPr>
    </w:p>
    <w:p>
      <w:pPr>
        <w:ind w:left="700" w:hanging="327"/>
        <w:spacing w:after="0" w:line="261"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229" w:lineRule="exact"/>
        <w:rPr>
          <w:sz w:val="20"/>
          <w:szCs w:val="20"/>
          <w:color w:val="auto"/>
        </w:rPr>
      </w:pPr>
    </w:p>
    <w:p>
      <w:pPr>
        <w:ind w:left="700" w:hanging="327"/>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225" w:lineRule="exact"/>
        <w:rPr>
          <w:rFonts w:ascii="Times New Roman" w:cs="Times New Roman" w:eastAsia="Times New Roman" w:hAnsi="Times New Roman"/>
          <w:sz w:val="18"/>
          <w:szCs w:val="18"/>
          <w:color w:val="auto"/>
        </w:rPr>
      </w:pPr>
    </w:p>
    <w:p>
      <w:pPr>
        <w:ind w:left="700" w:right="200" w:hanging="327"/>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spacing w:after="0" w:line="175" w:lineRule="exact"/>
        <w:rPr>
          <w:rFonts w:ascii="Times New Roman" w:cs="Times New Roman" w:eastAsia="Times New Roman" w:hAnsi="Times New Roman"/>
          <w:sz w:val="18"/>
          <w:szCs w:val="18"/>
          <w:color w:val="auto"/>
        </w:rPr>
      </w:pPr>
    </w:p>
    <w:p>
      <w:pPr>
        <w:jc w:val="both"/>
        <w:ind w:left="700" w:hanging="327"/>
        <w:spacing w:after="0" w:line="261"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79" w:lineRule="exact"/>
        <w:rPr>
          <w:rFonts w:ascii="Times New Roman" w:cs="Times New Roman" w:eastAsia="Times New Roman" w:hAnsi="Times New Roman"/>
          <w:sz w:val="18"/>
          <w:szCs w:val="18"/>
          <w:color w:val="auto"/>
        </w:rPr>
      </w:pPr>
    </w:p>
    <w:p>
      <w:pPr>
        <w:ind w:left="700" w:right="60" w:hanging="327"/>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75" w:lineRule="exact"/>
        <w:rPr>
          <w:rFonts w:ascii="Times New Roman" w:cs="Times New Roman" w:eastAsia="Times New Roman" w:hAnsi="Times New Roman"/>
          <w:sz w:val="18"/>
          <w:szCs w:val="18"/>
          <w:color w:val="auto"/>
        </w:rPr>
      </w:pPr>
    </w:p>
    <w:p>
      <w:pPr>
        <w:ind w:left="700" w:right="280" w:hanging="327"/>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229" w:lineRule="exact"/>
        <w:rPr>
          <w:sz w:val="20"/>
          <w:szCs w:val="20"/>
          <w:color w:val="auto"/>
        </w:rPr>
      </w:pPr>
    </w:p>
    <w:p>
      <w:pPr>
        <w:ind w:left="700" w:hanging="327"/>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161" w:lineRule="exact"/>
        <w:rPr>
          <w:rFonts w:ascii="Times New Roman" w:cs="Times New Roman" w:eastAsia="Times New Roman" w:hAnsi="Times New Roman"/>
          <w:sz w:val="18"/>
          <w:szCs w:val="18"/>
          <w:color w:val="auto"/>
        </w:rPr>
      </w:pPr>
    </w:p>
    <w:p>
      <w:pPr>
        <w:ind w:left="700" w:right="40" w:hanging="327"/>
        <w:spacing w:after="0" w:line="312"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39" w:lineRule="exact"/>
        <w:rPr>
          <w:rFonts w:ascii="Times New Roman" w:cs="Times New Roman" w:eastAsia="Times New Roman" w:hAnsi="Times New Roman"/>
          <w:sz w:val="17"/>
          <w:szCs w:val="17"/>
          <w:color w:val="auto"/>
        </w:rPr>
      </w:pPr>
    </w:p>
    <w:p>
      <w:pPr>
        <w:ind w:left="700" w:right="280" w:hanging="327"/>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700" w:right="580" w:hanging="327"/>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sectPr>
          <w:pgSz w:w="11900" w:h="16838" w:orient="portrait"/>
          <w:cols w:equalWidth="0" w:num="1">
            <w:col w:w="9880"/>
          </w:cols>
          <w:pgMar w:left="98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5164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38925" cy="516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00" w:right="100" w:hanging="327"/>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 consuming and could cause us to incur substantial costs.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700" w:right="60" w:hanging="327"/>
        <w:spacing w:after="0" w:line="312"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in global economic conditions, including as a result of the COVID-19 pandemic and the Russia-Ukraine conflict, could reduce consumer spending and disrupt our supply chain which could negatively affect our results of operations.</w:t>
      </w:r>
    </w:p>
    <w:p>
      <w:pPr>
        <w:spacing w:after="0" w:line="139" w:lineRule="exact"/>
        <w:rPr>
          <w:rFonts w:ascii="Times New Roman" w:cs="Times New Roman" w:eastAsia="Times New Roman" w:hAnsi="Times New Roman"/>
          <w:sz w:val="17"/>
          <w:szCs w:val="17"/>
          <w:color w:val="auto"/>
        </w:rPr>
      </w:pPr>
    </w:p>
    <w:p>
      <w:pPr>
        <w:ind w:left="700" w:right="480" w:hanging="327"/>
        <w:spacing w:after="0" w:line="312"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39" w:lineRule="exact"/>
        <w:rPr>
          <w:rFonts w:ascii="Times New Roman" w:cs="Times New Roman" w:eastAsia="Times New Roman" w:hAnsi="Times New Roman"/>
          <w:sz w:val="17"/>
          <w:szCs w:val="17"/>
          <w:color w:val="auto"/>
        </w:rPr>
      </w:pPr>
    </w:p>
    <w:p>
      <w:pPr>
        <w:ind w:left="700" w:right="160" w:hanging="327"/>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29" w:lineRule="exact"/>
        <w:rPr>
          <w:sz w:val="20"/>
          <w:szCs w:val="20"/>
          <w:color w:val="auto"/>
        </w:rPr>
      </w:pPr>
    </w:p>
    <w:p>
      <w:pPr>
        <w:ind w:left="700" w:right="220" w:hanging="327"/>
        <w:spacing w:after="0" w:line="28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161" w:lineRule="exact"/>
        <w:rPr>
          <w:rFonts w:ascii="Times New Roman" w:cs="Times New Roman" w:eastAsia="Times New Roman" w:hAnsi="Times New Roman"/>
          <w:sz w:val="18"/>
          <w:szCs w:val="18"/>
          <w:color w:val="auto"/>
        </w:rPr>
      </w:pPr>
    </w:p>
    <w:p>
      <w:pPr>
        <w:ind w:left="700" w:hanging="327"/>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700" w:right="300" w:hanging="327"/>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debt securities and equity securities may adversely affect us, including the market price of the common stock and may be dilutive to existing stockholders.</w:t>
      </w:r>
    </w:p>
    <w:p>
      <w:pPr>
        <w:spacing w:after="0" w:line="161" w:lineRule="exact"/>
        <w:rPr>
          <w:rFonts w:ascii="Times New Roman" w:cs="Times New Roman" w:eastAsia="Times New Roman" w:hAnsi="Times New Roman"/>
          <w:sz w:val="18"/>
          <w:szCs w:val="18"/>
          <w:color w:val="auto"/>
        </w:rPr>
      </w:pPr>
    </w:p>
    <w:p>
      <w:pPr>
        <w:ind w:left="700" w:hanging="327"/>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continue to have substantial influence over us, which could limit your ability to affect the outcome of key transactions, including a change of control.</w:t>
      </w:r>
    </w:p>
    <w:p>
      <w:pPr>
        <w:spacing w:after="0" w:line="161" w:lineRule="exact"/>
        <w:rPr>
          <w:rFonts w:ascii="Times New Roman" w:cs="Times New Roman" w:eastAsia="Times New Roman" w:hAnsi="Times New Roman"/>
          <w:sz w:val="18"/>
          <w:szCs w:val="18"/>
          <w:color w:val="auto"/>
        </w:rPr>
      </w:pPr>
    </w:p>
    <w:p>
      <w:pPr>
        <w:ind w:left="700" w:hanging="327"/>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72047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8925" cy="720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840"/>
          </w:cols>
          <w:pgMar w:left="980" w:top="121" w:right="1079" w:bottom="1440" w:gutter="0" w:footer="0" w:header="0"/>
        </w:sectPr>
      </w:pPr>
    </w:p>
    <w:p>
      <w:pPr>
        <w:spacing w:after="0" w:line="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Issuer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Dragonfly Energy Holdings Corp.</w:t>
      </w:r>
    </w:p>
    <w:p>
      <w:pPr>
        <w:spacing w:after="0" w:line="192" w:lineRule="exact"/>
        <w:rPr>
          <w:sz w:val="20"/>
          <w:szCs w:val="20"/>
          <w:color w:val="auto"/>
        </w:rPr>
      </w:pPr>
    </w:p>
    <w:p>
      <w:pPr>
        <w:sectPr>
          <w:pgSz w:w="11900" w:h="16838" w:orient="portrait"/>
          <w:cols w:equalWidth="0" w:num="2">
            <w:col w:w="4380" w:space="720"/>
            <w:col w:w="4740"/>
          </w:cols>
          <w:pgMar w:left="980" w:top="121" w:right="107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b w:val="1"/>
          <w:bCs w:val="1"/>
          <w:color w:val="auto"/>
        </w:rPr>
        <w:t>Resale of common stock</w:t>
      </w:r>
    </w:p>
    <w:p>
      <w:pPr>
        <w:sectPr>
          <w:pgSz w:w="11900" w:h="16838" w:orient="portrait"/>
          <w:cols w:equalWidth="0" w:num="1">
            <w:col w:w="9840"/>
          </w:cols>
          <w:pgMar w:left="980" w:top="121" w:right="1079" w:bottom="1440" w:gutter="0" w:footer="0" w:header="0"/>
          <w:type w:val="continuous"/>
        </w:sectPr>
      </w:pP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Securities offered by the selling securityholders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We are registering the resale by the selling securityholders named in this prospectus, or their permitted transferees, of an aggregate of 38,590,131 shares of common stock, 16,708,414 warrants to purchase shares of common stock and 16,708,414 shares of common stock issuable upon exercise of warrants, which includes up to:</w:t>
      </w:r>
    </w:p>
    <w:p>
      <w:pPr>
        <w:spacing w:after="0" w:line="145" w:lineRule="exact"/>
        <w:rPr>
          <w:sz w:val="20"/>
          <w:szCs w:val="20"/>
          <w:color w:val="auto"/>
        </w:rPr>
      </w:pPr>
    </w:p>
    <w:p>
      <w:pPr>
        <w:sectPr>
          <w:pgSz w:w="11900" w:h="16838" w:orient="portrait"/>
          <w:cols w:equalWidth="0" w:num="2">
            <w:col w:w="4380" w:space="720"/>
            <w:col w:w="4740"/>
          </w:cols>
          <w:pgMar w:left="980" w:top="121" w:right="1079" w:bottom="1440" w:gutter="0" w:footer="0" w:header="0"/>
          <w:type w:val="continuous"/>
        </w:sect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31,290,514 Consideration Shares;</w:t>
      </w:r>
    </w:p>
    <w:p>
      <w:pPr>
        <w:spacing w:after="0" w:line="208"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3,664,975 Option Shares;</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3,162,500 Founder Shares;</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4,627,858 Private Warrants;</w:t>
      </w:r>
    </w:p>
    <w:p>
      <w:pPr>
        <w:spacing w:after="0" w:line="208"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Penny Warrants;</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4,627,858 Private Warrant Shares;</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457,142 $10 Warrant Shares;</w:t>
      </w:r>
    </w:p>
    <w:p>
      <w:pPr>
        <w:spacing w:after="0" w:line="208"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2,593,056 Penny Warrant Shares; and</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15,000 PIPE Investment Shares.</w:t>
      </w:r>
    </w:p>
    <w:p>
      <w:pPr>
        <w:sectPr>
          <w:pgSz w:w="11900" w:h="16838" w:orient="portrait"/>
          <w:cols w:equalWidth="0" w:num="1">
            <w:col w:w="9840"/>
          </w:cols>
          <w:pgMar w:left="980" w:top="121" w:right="1079" w:bottom="1440" w:gutter="0" w:footer="0" w:header="0"/>
          <w:type w:val="continuous"/>
        </w:sectPr>
      </w:pP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We will not receive any of the proceeds from the sale of the common stock or warrants by the selling securityholders.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for additional information.</w:t>
      </w:r>
    </w:p>
    <w:p>
      <w:pPr>
        <w:spacing w:after="0" w:line="135" w:lineRule="exact"/>
        <w:rPr>
          <w:sz w:val="20"/>
          <w:szCs w:val="20"/>
          <w:color w:val="auto"/>
        </w:rPr>
      </w:pPr>
    </w:p>
    <w:p>
      <w:pPr>
        <w:sectPr>
          <w:pgSz w:w="11900" w:h="16838" w:orient="portrait"/>
          <w:cols w:equalWidth="0" w:num="2">
            <w:col w:w="4380" w:space="720"/>
            <w:col w:w="4740"/>
          </w:cols>
          <w:pgMar w:left="980" w:top="121" w:right="107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b w:val="1"/>
          <w:bCs w:val="1"/>
          <w:color w:val="auto"/>
        </w:rPr>
        <w:t>Issuance of common stock</w:t>
      </w:r>
    </w:p>
    <w:p>
      <w:pPr>
        <w:sectPr>
          <w:pgSz w:w="11900" w:h="16838" w:orient="portrait"/>
          <w:cols w:equalWidth="0" w:num="1">
            <w:col w:w="9840"/>
          </w:cols>
          <w:pgMar w:left="980" w:top="121" w:right="1079" w:bottom="1440" w:gutter="0" w:footer="0" w:header="0"/>
          <w:type w:val="continuous"/>
        </w:sectPr>
      </w:pP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Shares of common stock offered by us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60" w:hanging="339"/>
        <w:spacing w:after="0" w:line="298" w:lineRule="auto"/>
        <w:rPr>
          <w:sz w:val="20"/>
          <w:szCs w:val="20"/>
          <w:color w:val="auto"/>
        </w:rPr>
      </w:pPr>
      <w:r>
        <w:rPr>
          <w:rFonts w:ascii="Times New Roman" w:cs="Times New Roman" w:eastAsia="Times New Roman" w:hAnsi="Times New Roman"/>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9,487,500 shares of common stock issuable upon exercise of the Public Warrants;</w:t>
      </w:r>
    </w:p>
    <w:p>
      <w:pPr>
        <w:spacing w:after="0" w:line="124" w:lineRule="exact"/>
        <w:rPr>
          <w:sz w:val="20"/>
          <w:szCs w:val="20"/>
          <w:color w:val="auto"/>
        </w:rPr>
      </w:pPr>
    </w:p>
    <w:p>
      <w:pPr>
        <w:sectPr>
          <w:pgSz w:w="11900" w:h="16838" w:orient="portrait"/>
          <w:cols w:equalWidth="0" w:num="2">
            <w:col w:w="4900" w:space="720"/>
            <w:col w:w="4220"/>
          </w:cols>
          <w:pgMar w:left="980" w:top="121" w:right="1079" w:bottom="1440" w:gutter="0" w:footer="0" w:header="0"/>
          <w:type w:val="continuous"/>
        </w:sect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4,627,858 shares of common stock issuable upon exercise of the</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Private Warrants; and</w:t>
      </w:r>
    </w:p>
    <w:p>
      <w:pPr>
        <w:spacing w:after="0" w:line="200"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2,593,056 shares of common stock issuable upon exercise of the</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Penny Warrants.</w:t>
      </w:r>
    </w:p>
    <w:p>
      <w:pPr>
        <w:sectPr>
          <w:pgSz w:w="11900" w:h="16838" w:orient="portrait"/>
          <w:cols w:equalWidth="0" w:num="1">
            <w:col w:w="9840"/>
          </w:cols>
          <w:pgMar w:left="980" w:top="121" w:right="1079" w:bottom="1440" w:gutter="0" w:footer="0" w:header="0"/>
          <w:type w:val="continuous"/>
        </w:sectPr>
      </w:pP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Common stock issued and outstanding immediately after this offering</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On a pro forma basis after giving effect to the Business Combination and the other transactions contemplated thereby:</w:t>
      </w:r>
    </w:p>
    <w:p>
      <w:pPr>
        <w:spacing w:after="0" w:line="124" w:lineRule="exact"/>
        <w:rPr>
          <w:sz w:val="20"/>
          <w:szCs w:val="20"/>
          <w:color w:val="auto"/>
        </w:rPr>
      </w:pPr>
    </w:p>
    <w:p>
      <w:pPr>
        <w:sectPr>
          <w:pgSz w:w="11900" w:h="16838" w:orient="portrait"/>
          <w:cols w:equalWidth="0" w:num="2">
            <w:col w:w="4680" w:space="420"/>
            <w:col w:w="4740"/>
          </w:cols>
          <w:pgMar w:left="980" w:top="121" w:right="1079" w:bottom="1440" w:gutter="0" w:footer="0" w:header="0"/>
          <w:type w:val="continuous"/>
        </w:sect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43,272,728 shares of common stock prior to the exercise of the</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Warrants; and</w:t>
      </w:r>
    </w:p>
    <w:p>
      <w:pPr>
        <w:spacing w:after="0" w:line="200"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59,981,142 shares of common stock assuming the issuance of</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16,708,414 shares of common stock upon the exercise of the</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365760</wp:posOffset>
            </wp:positionV>
            <wp:extent cx="6638925" cy="7016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8925" cy="701611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We will receive up to an aggregate of approximately $162.35 million from the exercise of the Warrants, assuming the exercise in full of all of Warrants for cash. We expect to use the net proceeds, if any, from the exercise of the Warrants for research and development, working capital and general corporate purposes. Because the exercise price of the Public Warrants and Private Warrants substantially exceeds the current trading price of our common stock, we are unlikely to receive any proceeds from the exercise of our warrants in the near future, if at all. See “</w:t>
      </w:r>
      <w:r>
        <w:rPr>
          <w:rFonts w:ascii="Times New Roman" w:cs="Times New Roman" w:eastAsia="Times New Roman" w:hAnsi="Times New Roman"/>
          <w:sz w:val="16"/>
          <w:szCs w:val="16"/>
          <w:i w:val="1"/>
          <w:iCs w:val="1"/>
          <w:color w:val="auto"/>
        </w:rPr>
        <w:t>Use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Proceeds</w:t>
      </w:r>
      <w:r>
        <w:rPr>
          <w:rFonts w:ascii="Times New Roman" w:cs="Times New Roman" w:eastAsia="Times New Roman" w:hAnsi="Times New Roman"/>
          <w:sz w:val="16"/>
          <w:szCs w:val="16"/>
          <w:color w:val="auto"/>
        </w:rPr>
        <w:t>” for additional information.</w:t>
      </w:r>
    </w:p>
    <w:p>
      <w:pPr>
        <w:spacing w:after="0" w:line="149"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Lock-Up Restrictions</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Times New Roman" w:cs="Times New Roman" w:eastAsia="Times New Roman" w:hAnsi="Times New Roman"/>
          <w:sz w:val="16"/>
          <w:szCs w:val="16"/>
          <w:color w:val="auto"/>
        </w:rPr>
        <w:t>The securities that are owned by certain of the selling securityholders, including the parties to the Amended and Restated Registration Rights Agreement, are subject to lock-up provisions, which provide for certain restrictions on transfer until the termination of applicable lock-up periods.</w:t>
      </w:r>
    </w:p>
    <w:p>
      <w:pPr>
        <w:spacing w:after="0" w:line="142"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Nasdaq ticker symbols</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6"/>
          <w:szCs w:val="16"/>
          <w:color w:val="auto"/>
        </w:rPr>
        <w:t>Our common stock is currently listed on the Nasdaq under the symbol “DFLI” and our public warrants are currently listed on the Nasdaq Capital Market under the symbol “DFLIW”.</w:t>
      </w:r>
    </w:p>
    <w:p>
      <w:pPr>
        <w:spacing w:after="0" w:line="137"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Any investment in the securities offered hereby is speculative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involves a high degree of risk. You should carefully consider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set forth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and elsewhere in this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prospectus.</w:t>
      </w:r>
    </w:p>
    <w:p>
      <w:pPr>
        <w:spacing w:after="0" w:line="186"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color w:val="auto"/>
        </w:rPr>
        <w:t>The resale of shares of our common stock pursuant to this prospectus</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could have a significant negative impact on the trading price of our</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common stock. This impact may be heightened by the fact that certain of</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selling securityholders purchased, or are able to purchase, shares of</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our common stock at prices that are well below the current trading price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of our common stock.</w:t>
      </w:r>
    </w:p>
    <w:p>
      <w:pPr>
        <w:sectPr>
          <w:pgSz w:w="11900" w:h="16838" w:orient="portrait"/>
          <w:cols w:equalWidth="0" w:num="1">
            <w:col w:w="9900"/>
          </w:cols>
          <w:pgMar w:left="980" w:top="121" w:right="101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20" w:right="20" w:firstLine="324"/>
        <w:spacing w:after="0" w:line="266"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the Closing Date, does not give effect to issuances of our common stock, warrants or options to purchase shares of our common stock, or the exercise of warrants or options after such date, and excludes:</w:t>
      </w:r>
    </w:p>
    <w:p>
      <w:pPr>
        <w:spacing w:after="0" w:line="172" w:lineRule="exact"/>
        <w:rPr>
          <w:sz w:val="20"/>
          <w:szCs w:val="20"/>
          <w:color w:val="auto"/>
        </w:rPr>
      </w:pPr>
    </w:p>
    <w:p>
      <w:pPr>
        <w:ind w:left="700" w:hanging="327"/>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2,785,950 shares initially reserved under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shares initially reserved under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225" w:lineRule="exact"/>
        <w:rPr>
          <w:rFonts w:ascii="Times New Roman" w:cs="Times New Roman" w:eastAsia="Times New Roman" w:hAnsi="Times New Roman"/>
          <w:sz w:val="18"/>
          <w:szCs w:val="18"/>
          <w:color w:val="auto"/>
        </w:rPr>
      </w:pPr>
    </w:p>
    <w:p>
      <w:pPr>
        <w:ind w:left="700" w:right="120" w:hanging="327"/>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 million of shares of common stock we may sell to CCM pursuant to a purchase agreement between us and CCM, dated October 7, 2022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establishing an equity facility (the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627,498 shares of common stock underlying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Cautionary Note Regarding Forward-Looking Statement.” Please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 and Other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financial statements and notes to the financial statements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 This impact may be heightened by the fact that, as described in the table below, certain of the selling securityholders purchased, or are able to purchase, shares of our common stock at prices that are well below the current trading price of our common stock. The 55,298,545 shares that may be resold and/or issued into the public markets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this prospectus represent approximately 128% of the shares of our common stock outstanding as of November 14, 2022 (after giving effect to the issuance of the Option Shares, Public Warrant Shares, Private Warrant Shares and Penny Warrant Shares).</w:t>
      </w:r>
    </w:p>
    <w:p>
      <w:pPr>
        <w:sectPr>
          <w:pgSz w:w="11900" w:h="16838" w:orient="portrait"/>
          <w:cols w:equalWidth="0" w:num="1">
            <w:col w:w="9900"/>
          </w:cols>
          <w:pgMar w:left="980" w:top="121" w:right="1019" w:bottom="1440" w:gutter="0" w:footer="0" w:header="0"/>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191"/>
        </w:trPr>
        <w:tc>
          <w:tcPr>
            <w:tcW w:w="20" w:type="dxa"/>
            <w:vAlign w:val="bottom"/>
          </w:tcPr>
          <w:p>
            <w:pPr>
              <w:spacing w:after="0"/>
              <w:rPr>
                <w:sz w:val="16"/>
                <w:szCs w:val="16"/>
                <w:color w:val="auto"/>
              </w:rPr>
            </w:pPr>
          </w:p>
        </w:tc>
        <w:tc>
          <w:tcPr>
            <w:tcW w:w="1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Consideration Shares</w:t>
            </w:r>
          </w:p>
        </w:tc>
        <w:tc>
          <w:tcPr>
            <w:tcW w:w="180" w:type="dxa"/>
            <w:vAlign w:val="bottom"/>
          </w:tcPr>
          <w:p>
            <w:pPr>
              <w:spacing w:after="0"/>
              <w:rPr>
                <w:sz w:val="16"/>
                <w:szCs w:val="16"/>
                <w:color w:val="auto"/>
              </w:rPr>
            </w:pPr>
          </w:p>
        </w:tc>
        <w:tc>
          <w:tcPr>
            <w:tcW w:w="36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Acquired by employees, investors and others</w:t>
            </w: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(31,290,514 shares)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through private placements, equity award grants</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other sales of our equity securities at prices</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that equate to purchase prices of less than $10.00</w:t>
            </w:r>
          </w:p>
        </w:tc>
      </w:tr>
      <w:tr>
        <w:trPr>
          <w:trHeight w:val="234"/>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 share of common stock</w:t>
            </w: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Shares (3,664,975</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Prices ranging from $0.372 to $4.08 per share of</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w:t>
            </w:r>
          </w:p>
        </w:tc>
      </w:tr>
      <w:tr>
        <w:trPr>
          <w:trHeight w:val="630"/>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Founders Shares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Approximately $0.0079 per share of common</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(3,162,500 shares)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w:t>
            </w: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Warrant Shares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$11.50 per share of common stock</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(9,487,500 shares)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Warrant Shares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$11.50 per share of common stock</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(4,627,858 shares)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Penny Warrant Shares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$0.01 per share of common stock</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(2,593,056 shares)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Warrant Shares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$10.00 per share of common stock</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(457,142 shares)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Investment Shares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$10.00 per share of common stock</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(15,000 shares)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$0.2549 (3) per Public Warrant</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(9,487,500 warrants)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$0.93 per Private Warrant</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(4,627,858 warrants)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Penny Warrants</w:t>
            </w:r>
          </w:p>
        </w:tc>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$0.01 per Penny Warrant</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(2,593,056 warrants)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 of shares/warrants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Potential profit</w:t>
            </w:r>
          </w:p>
        </w:tc>
      </w:tr>
      <w:tr>
        <w:trPr>
          <w:trHeight w:val="238"/>
        </w:trPr>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outstanding(1)</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 share(2)</w:t>
            </w:r>
          </w:p>
        </w:tc>
      </w:tr>
      <w:tr>
        <w:trPr>
          <w:trHeight w:val="228"/>
        </w:trPr>
        <w:tc>
          <w:tcPr>
            <w:tcW w:w="2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Approximately 72%</w:t>
            </w: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Up to $</w:t>
            </w:r>
          </w:p>
        </w:tc>
        <w:tc>
          <w:tcPr>
            <w:tcW w:w="9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share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8.5% (after</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 to $</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per share</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giving effect to the issuance</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of the Option Shares)</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7.3%</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 to $</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per share</w:t>
            </w:r>
          </w:p>
        </w:tc>
      </w:tr>
      <w:tr>
        <w:trPr>
          <w:trHeight w:val="64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22%</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spacing w:after="0"/>
              <w:rPr>
                <w:sz w:val="24"/>
                <w:szCs w:val="24"/>
                <w:color w:val="auto"/>
              </w:rPr>
            </w:pPr>
          </w:p>
        </w:tc>
      </w:tr>
      <w:tr>
        <w:trPr>
          <w:trHeight w:val="64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10.7%</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spacing w:after="0"/>
              <w:rPr>
                <w:sz w:val="24"/>
                <w:szCs w:val="24"/>
                <w:color w:val="auto"/>
              </w:rPr>
            </w:pPr>
          </w:p>
        </w:tc>
      </w:tr>
      <w:tr>
        <w:trPr>
          <w:trHeight w:val="64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6%</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 to $</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per share</w:t>
            </w:r>
          </w:p>
        </w:tc>
      </w:tr>
      <w:tr>
        <w:trPr>
          <w:trHeight w:val="64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1%</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spacing w:after="0"/>
              <w:rPr>
                <w:sz w:val="24"/>
                <w:szCs w:val="24"/>
                <w:color w:val="auto"/>
              </w:rPr>
            </w:pPr>
          </w:p>
        </w:tc>
      </w:tr>
      <w:tr>
        <w:trPr>
          <w:trHeight w:val="64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0.035%</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spacing w:after="0"/>
              <w:rPr>
                <w:sz w:val="24"/>
                <w:szCs w:val="24"/>
                <w:color w:val="auto"/>
              </w:rPr>
            </w:pPr>
          </w:p>
        </w:tc>
      </w:tr>
      <w:tr>
        <w:trPr>
          <w:trHeight w:val="64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56.8%</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spacing w:after="0"/>
              <w:rPr>
                <w:sz w:val="24"/>
                <w:szCs w:val="24"/>
                <w:color w:val="auto"/>
              </w:rPr>
            </w:pPr>
          </w:p>
        </w:tc>
      </w:tr>
      <w:tr>
        <w:trPr>
          <w:trHeight w:val="64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27.7%</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spacing w:after="0"/>
              <w:rPr>
                <w:sz w:val="24"/>
                <w:szCs w:val="24"/>
                <w:color w:val="auto"/>
              </w:rPr>
            </w:pPr>
          </w:p>
        </w:tc>
      </w:tr>
      <w:tr>
        <w:trPr>
          <w:trHeight w:val="64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15.5%</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spacing w:after="0"/>
              <w:rPr>
                <w:sz w:val="24"/>
                <w:szCs w:val="24"/>
                <w:color w:val="auto"/>
              </w:rPr>
            </w:pPr>
          </w:p>
        </w:tc>
      </w:tr>
    </w:tbl>
    <w:p>
      <w:pPr>
        <w:spacing w:after="0" w:line="537" w:lineRule="exact"/>
        <w:rPr>
          <w:sz w:val="20"/>
          <w:szCs w:val="20"/>
          <w:color w:val="auto"/>
        </w:rPr>
      </w:pPr>
    </w:p>
    <w:p>
      <w:pPr>
        <w:sectPr>
          <w:pgSz w:w="11900" w:h="16838" w:orient="portrait"/>
          <w:cols w:equalWidth="0" w:num="2">
            <w:col w:w="5720" w:space="180"/>
            <w:col w:w="4000"/>
          </w:cols>
          <w:pgMar w:left="980" w:top="121" w:right="1019" w:bottom="1440" w:gutter="0" w:footer="0" w:header="0"/>
          <w:type w:val="continuous"/>
        </w:sectPr>
      </w:pPr>
    </w:p>
    <w:p>
      <w:pPr>
        <w:spacing w:after="0" w:line="92" w:lineRule="exact"/>
        <w:rPr>
          <w:sz w:val="20"/>
          <w:szCs w:val="20"/>
          <w:color w:val="auto"/>
        </w:rPr>
      </w:pPr>
    </w:p>
    <w:p>
      <w:pPr>
        <w:ind w:left="340" w:right="2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based on 43,272,728 shares of common stock and 16,708,414 warrants outstanding, in each case as of November 14, 2022.</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common stock at a price of $   per share, which reflects the closing price of the common stock as of December</w:t>
      </w:r>
    </w:p>
    <w:p>
      <w:pPr>
        <w:spacing w:after="0" w:line="27" w:lineRule="exact"/>
        <w:rPr>
          <w:rFonts w:ascii="Times New Roman" w:cs="Times New Roman" w:eastAsia="Times New Roman" w:hAnsi="Times New Roman"/>
          <w:sz w:val="18"/>
          <w:szCs w:val="18"/>
          <w:color w:val="auto"/>
        </w:rPr>
      </w:pPr>
    </w:p>
    <w:p>
      <w:pPr>
        <w:ind w:left="640" w:hanging="83"/>
        <w:spacing w:after="0"/>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closing price of the Public Warrants as of December 8, 2022.</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will determine the timing, pricing and rate at which they sell such shares into the public market. Although the current trading price of our common stock is below $10.00 per share, which was the sales price for units in the CNTQ IPO, as shown in the table above, certain of the selling securityholders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w:t>
      </w:r>
    </w:p>
    <w:p>
      <w:pPr>
        <w:sectPr>
          <w:pgSz w:w="11900" w:h="16838" w:orient="portrait"/>
          <w:cols w:equalWidth="0" w:num="1">
            <w:col w:w="9900"/>
          </w:cols>
          <w:pgMar w:left="980" w:top="121" w:right="1019" w:bottom="1440" w:gutter="0" w:footer="0" w:header="0"/>
          <w:type w:val="continuous"/>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22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demand for our products, including sales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arrangement with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the largest manufacturer of towable RVs in North America, Keystone has agreed to fulfill certain of its LFP battery requirements exclusively through us for at least one year, with potential annual renewals. However, although in time we expect Keystone to be a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convert these relationships into meaningful orders or renew these arrangements going forward, which may require us to expend additional cost and management resources to engage other target customers.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79"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5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 state battery technologies better suited for other applications (such as electric vehicles (“</w:t>
      </w:r>
      <w:r>
        <w:rPr>
          <w:rFonts w:ascii="Times New Roman" w:cs="Times New Roman" w:eastAsia="Times New Roman" w:hAnsi="Times New Roman"/>
          <w:sz w:val="18"/>
          <w:szCs w:val="18"/>
          <w:b w:val="1"/>
          <w:bCs w:val="1"/>
          <w:color w:val="auto"/>
        </w:rPr>
        <w:t>EVs</w:t>
      </w:r>
      <w:r>
        <w:rPr>
          <w:rFonts w:ascii="Times New Roman" w:cs="Times New Roman" w:eastAsia="Times New Roman" w:hAnsi="Times New Roman"/>
          <w:sz w:val="18"/>
          <w:szCs w:val="18"/>
          <w:color w:val="auto"/>
        </w:rPr>
        <w:t>”)) to our target markets.</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 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7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 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93"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3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225"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 how;</w:t>
      </w:r>
    </w:p>
    <w:p>
      <w:pPr>
        <w:spacing w:after="0" w:line="22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as our products are susceptible to obsolescence and price declines.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8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have seen rising materials costs due to inflation, which we have had to counteract through increases in our product prices, where we believe it is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facility may be harmed or rendered inoperable by natural or man-made disasters, including earthquakes, flooding, fire and power outages, utility and transportation infrastructure disruptions, acts of war or terrorism, or by public health crises, such as the ongoing COVID-19 pandemic,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8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8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our battery communications system, expected to launch in the first half of 2023, will utilize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solid-state battery development efforts are still ongoing, and we may fail to meet our goal of commercially selling LFP batteries incorporating our manufactured solid-state cells. We may encounter delays in the design, manufacture and launch of our solid-state battery cells, and in increasing production to scale.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3"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 state batteries could be harmed.</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8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75" w:lineRule="exact"/>
        <w:rPr>
          <w:sz w:val="20"/>
          <w:szCs w:val="20"/>
          <w:color w:val="auto"/>
        </w:rPr>
      </w:pPr>
    </w:p>
    <w:p>
      <w:pPr>
        <w:ind w:right="240" w:firstLine="324"/>
        <w:spacing w:after="0" w:line="312" w:lineRule="auto"/>
        <w:rPr>
          <w:sz w:val="20"/>
          <w:szCs w:val="20"/>
          <w:color w:val="auto"/>
        </w:rPr>
      </w:pPr>
      <w:r>
        <w:rPr>
          <w:rFonts w:ascii="Times New Roman" w:cs="Times New Roman" w:eastAsia="Times New Roman" w:hAnsi="Times New Roman"/>
          <w:sz w:val="17"/>
          <w:szCs w:val="17"/>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w:t>
      </w:r>
    </w:p>
    <w:p>
      <w:pPr>
        <w:sectPr>
          <w:pgSz w:w="11900" w:h="16838" w:orient="portrait"/>
          <w:cols w:equalWidth="0" w:num="1">
            <w:col w:w="9880"/>
          </w:cols>
          <w:pgMar w:left="980" w:top="121" w:right="1039" w:bottom="1440" w:gutter="0" w:footer="0" w:header="0"/>
        </w:sect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materials for the spray deposition process depending on the final material selections that are used, although we believe that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Additionally, a prior allegation of infringement was raised by a separate third party with regards to the alternator regulators that we plan to sell, although we believe the referenced patent is invalid in view of an earlier sale of a product that the third party was made aware of and no further communications have been received from the third party since they were made aware of this position on December 18, 2020.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88" w:lineRule="exact"/>
        <w:rPr>
          <w:sz w:val="20"/>
          <w:szCs w:val="20"/>
          <w:color w:val="auto"/>
        </w:rPr>
      </w:pPr>
    </w:p>
    <w:p>
      <w:pPr>
        <w:ind w:left="680" w:right="2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22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92"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as a result of the COVID-19 pandemic and the Russia- Ukraine conflict, could reduce consumer spending and disrupt our supply chain which could negatively affect our results of operations.</w:t>
      </w:r>
    </w:p>
    <w:p>
      <w:pPr>
        <w:spacing w:after="0" w:line="15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has caused, and could in the future continue to cause, and other factors could contribute to causing, delays or disruptions in our supply chain and labor shortages and shutdowns, which would be disruptive to the production of our batteries and would adversely impact our business. For example, we experienced shortages and workforce slowdowns at our manufacturing facility due to stay-at-home mandates, delays in shipping finished products to customers and some delays in our receiving non-critical battery components. In addition, the spreading of the virus may make it more difficult for us to find alternative suppliers due to the high concentration of such suppliers located in China. Any performance failure on the part of any of our significant suppliers could interrupt production of our products, which would have a material adverse effect on our business, financial condition and results of operations. Furthermore, the severity, magnitude and duration of the current COVID-19 pandemic is uncertain, rapidly changing and hard to predict. A prolonged or worsened COVID-19 pandemic could cause continued supply disruptions which could lead to a reduction in manufacturing, lead to extended disruption of economic activity and make it difficult for us to predict demand for our products. In addition, while the COVID-19 pandemic may, for a period, positively impact our battery sales as more consumers adopt the RV lifestyle, there is no guarantee that any such increase would be sustained, which could cause our results of operations to fluctuate.</w:t>
      </w:r>
    </w:p>
    <w:p>
      <w:pPr>
        <w:spacing w:after="0" w:line="19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as we have done in 2022,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8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trade barriers, tariffs or shortages and other general economic or political conditions may limit our ability to obtain key components for our battery packs or significantly increase freight charges, raw material costs and other expenses associated with our business, which could further materially and adversely affect our financial condition and results of operations.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Because our key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LFP battery cells, battery management systems and other components we purchase from China have been, and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may not continue to provide us with LFP cells or our battery management systems in our required quantities, to our required specifications and quality levels or at attractive prices.</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Further, we may be unable to control price fluctuations for these components or negotiate supply agreements on favorable terms to us. We may also be exposed to fluctuations in the value of the U.S. dollar relative to the Renminbi with any appreciation in the value of the Renminbi increasing our costs for components sourced from China. Substantial increases in the prices for our components would increase our operating costs and negatively impact our results of operations.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other senior technical and management personnel, including our executive officers, who would be difficult to replace. The loss of Mr. Phares or other key personnel could disrupt our business and harm our results of operations, and we may not be able to successfully attract and retain senior leadership necessary to grow our business.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our growth in our businesses may cause damage to our brand or otherwise have a material adverse effect on our business, financial condition and results of operations.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w:t>
      </w:r>
    </w:p>
    <w:p>
      <w:pPr>
        <w:sectPr>
          <w:pgSz w:w="11900" w:h="16838" w:orient="portrait"/>
          <w:cols w:equalWidth="0" w:num="1">
            <w:col w:w="9900"/>
          </w:cols>
          <w:pgMar w:left="980" w:top="12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5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exchange policies or stakeholder expectations could materially and adversely impact the value of our stock and related cost of capital, and limit our ability to fund future growth, or result in increased investigations and litigation.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an adverse effect on our business, financial condition and operating results.</w:t>
      </w:r>
    </w:p>
    <w:p>
      <w:pPr>
        <w:spacing w:after="0" w:line="159"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Most of the members of our management team have limited to no experience managing a publicly traded company, interacting with public company investors and complying with the increasingly complex laws pertaining to public companies. Our management team has not worked together at prior companies that were publicly traded. Our management team may not successfully or efficiently manage their new roles and responsibilities.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transition to being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Over time, we expect that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Because the exercise price of the Public Warrants and Private Warrants substantially exceeds the current trading price of our common stock, holders are unlikely to exercise such warrants in the near future, if at all, and as a result our Public Warrants and Private Warrants may not provide any additional capital.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21"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restrictive covenants restrict our ability to, among other things:</w:t>
      </w:r>
    </w:p>
    <w:p>
      <w:pPr>
        <w:spacing w:after="0" w:line="225"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22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See “</w:t>
      </w:r>
      <w:r>
        <w:rPr>
          <w:rFonts w:ascii="Times New Roman" w:cs="Times New Roman" w:eastAsia="Times New Roman" w:hAnsi="Times New Roman"/>
          <w:sz w:val="18"/>
          <w:szCs w:val="18"/>
          <w:i w:val="1"/>
          <w:iCs w:val="1"/>
          <w:color w:val="auto"/>
        </w:rPr>
        <w:t>Certain Relationships and Related Person Transactions — Debt Financing</w:t>
      </w:r>
      <w:r>
        <w:rPr>
          <w:rFonts w:ascii="Times New Roman" w:cs="Times New Roman" w:eastAsia="Times New Roman" w:hAnsi="Times New Roman"/>
          <w:sz w:val="18"/>
          <w:szCs w:val="18"/>
          <w:color w:val="auto"/>
        </w:rPr>
        <w:t>.”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5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described elsewhere in this prospectus, our management identified material weaknesses in our internal control over financial reporting relating to (i) inadequate segregation of duties; (ii) lack of appropriate technology controls; and (iii) deficiency in the design of controls around account reconciliations and operational activity. As a result of these material weaknesses, our management concluded that our internal control over financial reporting was not effective as of December 31, 2021, and December 31, 2020.</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a plan to remediate these material weaknesses. We have recently implemented an ERP system and hired a new Chief Financial Officer, and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the Nasdaq, or to other regulatory investigations and civil or criminal sanctions.</w:t>
      </w:r>
    </w:p>
    <w:p>
      <w:pPr>
        <w:spacing w:after="0" w:line="19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will be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the Nasdaq, or other regulatory authorities, which would require additional financial and management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one or more of these analysts cease coverage of us or fail to regularly publish reports on us, we could lose visibility in the financial markets, which could cause our stock price or trading volume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fluctuations in the price of our securities could contribute to the loss of all or part of your investment. Immediately prior to the Business Combination, there was no public market for our stock and trading in shares of CNTQ Common Stock was not active. Accordingly, the valuation ascribed to our business and CNTQ Common Stock in the Business Combination may not prove to be indicative of the price that will prevail in the trading market.</w:t>
      </w:r>
    </w:p>
    <w:p>
      <w:pPr>
        <w:spacing w:after="0" w:line="18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will depend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since you might be unable to sell your shares at or above the price attributed to them in the Business Combination.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 and</w:t>
      </w:r>
    </w:p>
    <w:p>
      <w:pPr>
        <w:spacing w:after="0" w:line="159"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and other matters described or referenced under the sections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Broad market and industry factors may materially harm the market price of our securities irrespective of our operating performance. The stock market in general and the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7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debt securities and equity securities may adversely affect us, including the market price of the common stock and may be dilutive to existing stockholders.</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the future, we may incur debt or issue equity securities ranking senior to the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including the shares initially reserved under the 2022 Plan, the shares initially reserved under the ESPP, the Earnout Shares and the shares underlying outstanding options, may have rights, preferences and privileges more favorable than those of the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the common stock and be dilutive to existing stockholders.</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pursuant to the Purchase Agreement, CCM agreed to purchase from us a total of up to $150.0 million of our common stock from time to time over a 36-month period. We generally have the right to control the timing and amount of any future sales of our common stock to CCM. Additional sales of our common stock, if any, to CCM will depend upon market conditions and other factors to be determined by us. We may ultimately decide to sell to CCM all, some or none of the shares of our common stock that may be available for us to sell pursuant to the Purchase Agreement. If and when we do sell shares of our common stock to CCM, after CCM has acquired such shares, CCM may resell all, some or none of such shares at any time or from time to time in its discretion, subject to compliance with securities laws. Therefore, sales to CCM by us could result in substantial dilution to the interests of other holders of its shares of our common stock. Additionally, the sale of a substantial number of shares of our common stock to CCM, or the anticipation of such sales, could make it more difficult for us to sell equity or equity-related securities in the future at a time and at a price that it might otherwise wish to effect sales. Depending on market liquidity at the time, resales of shares by CCM may cause the public trading price of our common stock to decrease.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jc w:val="both"/>
        <w:ind w:right="60" w:firstLine="324"/>
        <w:spacing w:after="0" w:line="312"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40"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our ability to serve those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 to-period basis may not be meaningful. Investors should not rely on our past results as an indication of our future performance.</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the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stockholders must rely on sales of their common stock after price appreciation as the only way to realize any future gains on their investment.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amended and restated certificate of incorporation, requires, to the fullest extent permitted by law, that derivative actions brought in our name, actions against current or former directors, officers or other employees for breach of fiduciary duty, any action asserting a claim arising pursuant to any provision of the DGCL, the amended and restated certificate of incorporation or our amended and restated bylaws, any action asserting a claim governed by internal affairs doctrine of the State of Delaware or any other action asserting an “internal corporate claim” (as defined in Section 115 of the DGCL), confers jurisdiction to the Court of Chancery of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consents in writing to the selection of an alternative forum. This provision would not apply to suits brought to enforce a duty or liability created by the Exchange Act or any other claim for which the federal courts have exclusive jurisdiction. The amended and restated certificate of incorporation also provides that, unless we consents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9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amended and restated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the amended and restated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could discourage another company from acquiring us and may prevent attempts by our stockholders to replace or remove our management.</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92" w:lineRule="exact"/>
        <w:rPr>
          <w:sz w:val="20"/>
          <w:szCs w:val="20"/>
          <w:color w:val="auto"/>
        </w:rPr>
      </w:pPr>
    </w:p>
    <w:p>
      <w:pPr>
        <w:ind w:left="680" w:right="24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certain provisions of our amended and restated bylaws without obtaining stockholder approval;</w:t>
      </w:r>
    </w:p>
    <w:p>
      <w:pPr>
        <w:spacing w:after="0" w:line="217" w:lineRule="exact"/>
        <w:rPr>
          <w:rFonts w:ascii="Times New Roman" w:cs="Times New Roman" w:eastAsia="Times New Roman" w:hAnsi="Times New Roman"/>
          <w:sz w:val="18"/>
          <w:szCs w:val="18"/>
          <w:color w:val="auto"/>
        </w:rPr>
      </w:pPr>
    </w:p>
    <w:p>
      <w:pPr>
        <w:ind w:left="680" w:hanging="321"/>
        <w:spacing w:after="0" w:line="23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of our common shares entitled to vote at an election of our board of directors is required to adopt, amend, alter or repeal our amended and restated bylaws or amend, alter, change or repeal or adopt any provision of the amended and restated certificate of incorporation inconsistent with the provisions of our amended and restated certificate of incorporation regarding the election and removal of directors;</w:t>
      </w:r>
    </w:p>
    <w:p>
      <w:pPr>
        <w:spacing w:after="0" w:line="198"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79" w:lineRule="exact"/>
        <w:rPr>
          <w:rFonts w:ascii="Times New Roman" w:cs="Times New Roman" w:eastAsia="Times New Roman" w:hAnsi="Times New Roman"/>
          <w:sz w:val="18"/>
          <w:szCs w:val="18"/>
          <w:color w:val="auto"/>
        </w:rPr>
      </w:pPr>
    </w:p>
    <w:p>
      <w:pPr>
        <w:jc w:val="both"/>
        <w:ind w:left="680" w:right="40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we incorporated in Delaware, we will be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76" w:lineRule="exact"/>
        <w:rPr>
          <w:sz w:val="20"/>
          <w:szCs w:val="20"/>
          <w:color w:val="auto"/>
        </w:rPr>
      </w:pPr>
    </w:p>
    <w:p>
      <w:pPr>
        <w:ind w:left="680" w:right="16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62"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 convertible debt securities;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22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8"/>
          <w:szCs w:val="18"/>
          <w:i w:val="1"/>
          <w:iCs w:val="1"/>
          <w:color w:val="auto"/>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identified material weaknesses in our internal control over financial reporting. These material weaknesses could continue to adversely affect our ability to report our results of operations and financial condition accurately and in a timely manner.” </w:t>
      </w:r>
      <w:r>
        <w:rPr>
          <w:rFonts w:ascii="Times New Roman" w:cs="Times New Roman" w:eastAsia="Times New Roman" w:hAnsi="Times New Roman"/>
          <w:sz w:val="18"/>
          <w:szCs w:val="18"/>
          <w:color w:val="auto"/>
        </w:rPr>
        <w:t>We are continuing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our internal control over financial reporting and once we cease to be an emerging growth company, we will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include an attestation report on internal control over financial reporting issued by our independent registered public accounting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compliance with these requirements within the prescribed time period, we will be engaging in a process to document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evaluate our internal control over financial reporting, which is both costly and challenging. In this regard, we will need to continue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dedicate internal resources, potentially engage outside consultants and adopt a detailed work plan to assess and document the adequacy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internal control over financial reporting, validate through testing that controls are functioning as documented and implement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continuous reporting and improvement process for internal control over financial reporting. There is a risk that we will not be 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conclude, within the prescribed time period or at all, that our internal control over financial reporting is effective as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of the Sarbanes-Oxley Act. Moreover, our testing, or the subsequent testing by our independent registered public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may reveal additional deficiencies in our internal control over financial reporting that are deemed to be material weaknesses.</w:t>
      </w:r>
    </w:p>
    <w:p>
      <w:pPr>
        <w:spacing w:after="0" w:line="207"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Nasdaq, the SEC and other regulatory authorities.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our common stock at a price greater than what you paid for it.</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our board of directors may deem relevant. As a result, you may not receive any return on an investment in our common stock unless you sell your our common stock for a price greater than that which you paid for it.</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herein may not be indicative of what our actual financial position or results of operations would have been.</w:t>
      </w:r>
    </w:p>
    <w:p>
      <w:pPr>
        <w:spacing w:after="0" w:line="15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included herein is presented for illustrative purposes only and is not necessarily indicative of what our actual financial position or results of operations would have been had the Business Combination been completed on the dates indicated.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All of the common stock and the Private Warrants and Penny Warrants offered by the selling securityholders pursuant to this prospectus will be sold by the selling securityholders for their respective accounts. We will not receive any of the proceeds from these sales.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$162.35 million from the exercise of the Warrants, assuming the exercise in full of all of the Public Warrants for cash. We expect to use the net proceeds, if any, from the exercise of the Warrants for research and development, working capital and general corporate purposes. Because the exercise price of the Public Warrants and Private Warrants substantially exceeds the current trading price of our common stock, it is unlikely that holders of our Public Warrants and Private Warrants will decide to exercise such warrants in the near future, if at all. As a result, we are unlikely to receive any proceeds from the exercise of our warrants in the near future, if at all. We will have broad discretion over the use of proceeds from the exercise of the Warrants. There is no assurance that the holders of the Warrants will elect to exercise any or all of such Warrants, and there may be no economic incentive for such holders of the Public Warrants and Private Warrants to exercise unless and until the trading price of our common stock exceeds $11.50 per share. To the extent that the Warrants are exercised on a “cashless basis,” the amount of cash we would receive from the exercise of the Warrants will decrease.</w:t>
      </w:r>
    </w:p>
    <w:p>
      <w:pPr>
        <w:spacing w:after="0" w:line="19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considering our capital requirements and sources of liquidity, we have not relied on the receipt of proceeds from the exercise of the Warrants. See “</w:t>
      </w:r>
      <w:r>
        <w:rPr>
          <w:rFonts w:ascii="Times New Roman" w:cs="Times New Roman" w:eastAsia="Times New Roman" w:hAnsi="Times New Roman"/>
          <w:sz w:val="18"/>
          <w:szCs w:val="18"/>
          <w:i w:val="1"/>
          <w:iCs w:val="1"/>
          <w:color w:val="auto"/>
        </w:rPr>
        <w:t>Dragonfly’s Management’s Discussion and Analysis of Financial Condition and Results of Operations — 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 As of December 8, 2022, the closing price of our common stock and warrants was</w:t>
      </w:r>
    </w:p>
    <w:p>
      <w:pPr>
        <w:spacing w:after="0"/>
        <w:tabs>
          <w:tab w:leader="none" w:pos="3860" w:val="left"/>
          <w:tab w:leader="none" w:pos="5960" w:val="left"/>
        </w:tabs>
        <w:rPr>
          <w:sz w:val="20"/>
          <w:szCs w:val="20"/>
          <w:color w:val="auto"/>
        </w:rPr>
      </w:pPr>
      <w:r>
        <w:rPr>
          <w:rFonts w:ascii="Times New Roman" w:cs="Times New Roman" w:eastAsia="Times New Roman" w:hAnsi="Times New Roman"/>
          <w:sz w:val="18"/>
          <w:szCs w:val="18"/>
          <w:color w:val="auto"/>
        </w:rPr>
        <w:t>$9.81 and $0.2549, respectively. As of December</w:t>
        <w:tab/>
        <w:t>, 2022, there were</w:t>
      </w:r>
      <w:r>
        <w:rPr>
          <w:sz w:val="20"/>
          <w:szCs w:val="20"/>
          <w:color w:val="auto"/>
        </w:rPr>
        <w:tab/>
      </w:r>
      <w:r>
        <w:rPr>
          <w:rFonts w:ascii="Times New Roman" w:cs="Times New Roman" w:eastAsia="Times New Roman" w:hAnsi="Times New Roman"/>
          <w:sz w:val="18"/>
          <w:szCs w:val="18"/>
          <w:color w:val="auto"/>
        </w:rPr>
        <w:t>holders of record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Defined terms included below shall have the same meaning as terms defined and included elsewhere in this prospectus. Unless the context otherwise requires,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prior to the closing of the Business Combination are intended to mean Dragonfly Energy Corp., a Nevada corporation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CNTQ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Chardan NexTech Acquisition 2 Corp. prior to the Closing. References in this section to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after the closing of the Business Combination are intended to mean, Dragonfly Energy Holdings Corp. and its consolidated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financial information of CNTQ and Legacy Dragonfly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Defined terms included below have the same meaning as terms defined and included elsewhere in this prospectus.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historical financial information of CNTQ was derived from the unaudited financial statements of CNTQ as of September 30, 2022 and the audited financial statements of CNTQ for the nine months ended September 30, 2022 and as of December 31, 2021, included elsewhere in this prospectus. The historical financial information of Legacy Dragonfly was derived from the unaudited financial statements of Legacy Dragonfly as of September 30, 2022 and audited financial statements for the nine months ended September 30, 2022 and as of December 31, 2021, included elsewhere in this prospectus. Such unaudited pro forma financial information has been prepared on a basis consistent with the audited financial statements of CNTQ and Legacy Dragonfly, respectively, and should be read in conjunction with the audited historical financial statements and related notes, each of which is included elsewhere in this prospectus. This information should be read together with CNTQ’s and Legacy Dragonfly’s financial statements and related notes, the sections titled “</w:t>
      </w:r>
      <w:r>
        <w:rPr>
          <w:rFonts w:ascii="Times New Roman" w:cs="Times New Roman" w:eastAsia="Times New Roman" w:hAnsi="Times New Roman"/>
          <w:sz w:val="18"/>
          <w:szCs w:val="18"/>
          <w:i w:val="1"/>
          <w:iCs w:val="1"/>
          <w:color w:val="auto"/>
        </w:rPr>
        <w:t>CNTQ’s 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other financial information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prospectus.</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no goodwill or other intangible assets recorded, in accordance with GAAP. Under this method of accounting, CNTQ is treated as the “acquired” company for financial reporting purposes. Legacy Dragonfly has been determined to be the accounting acquirer because Legacy Dragonfly, as a group, retained a majority of the outstanding shares of Dragonfly at the Closing, they nominated five of the seven members of the board of directors at the Closing, Legacy Dragonfly’s management continues to manage Dragonfly and Legacy Dragonfly’s business comprises the ongoing operations of Dragonfly.</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2022 assumes that the Business Combination and related transactions occurred on September 30, 2022. The unaudited pro forma condensed combined statements of operations for the nine months ended September 30, 2022 and for the year ended December 31, 2021 give pro forma effect to the Business Combination and related transactions as if they had occurred on January 1, 2021. CNTQ and Legacy Dragonfly did not have any historical relationship prior to the Business Combination. Accordingly, no pro forma adjustments were required to eliminate activities between the companies.</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for informational purposes only. They do not purport to indicate the results that would have been obtained had the Business Combination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October 7, 2022, we consummated the previously announced merger pursuant to the Business Combination Agreement. CNTQ’s stockholders approved the Transactions at a special meeting of stockholders held on October 6,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At the Closing, the total consideration received by Legacy Dragonfly Equity Holders (shares and options) from CNTQ had an aggregate deemed value equal to $415,000,000, payable, in the case of Legacy Dragonfly Equity Holders, solely in new shares of common stock. The new shares of common stock were delivered to Legacy Dragonfly Equity Holders (including to holders of the Legacy Dragonfly preferred shares to be converted to common shares) and were allocated pro rata between the holders of Legacy Dragonfly common stock and options to acquire Legacy Dragonfly common stock. Based on the number of shares of Legacy Dragonfly common stock outstanding as of September 30, 2022 (together, solely for the purposes of this calculation, with additional Legacy Dragonfly shares issued upon exercise of Legacy Dragonfly Convertible Preferred Stock) on a fully-diluted and as-converted basis, taking into account the assumptions further described below, Legacy Dragonfly Stockholders have received 38,576,648 shares of common stock.</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Dragonfly Preferred Stock Conversion) are entitled to receive their pro rata share of up to 40,000,000 additional Earnout Shares of common stock. The Earnout Shares are issuable in three tranches. The first tranche of 15,000,000 shares is issuable if Dragonfly’s 2023 total audited revenue is equal to or greater than $250 million and Dragonfly’s 2023 audited operating income is equal to or greater than $35 million.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Dragonfly accounts for the Earnout Shares as either equity-classified or liability-classified instruments based on an assessment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specific terms and applicable authoritative guidance 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ASC 815, as defined below. Dragonfly has preliminarily determined that the Earnout Shares are indexed to Dragonfly’s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therefore not precluded from equity classification. Such accounting determination will be assessed at each financial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date to determine whether equity classification remains appropriate. If the Earnout Shares are later determined to be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instruments, Dragonfly would recognize subsequent changes in the fair value of such Earnout Shares within earnings at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during the earnout period. The pro forma value of the Earnout Consideration was prepared utilizing a Monte Carlo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simulation model. The significant assumptions utilized in determining the fair value of Earnout Consideration include the following: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price for our common stock of approximately $14.00; (2) a risk-free rate of 4.24%; (3) projected revenue and EBITDA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$255,100,000 and $41,000,000 respectively; (4) expected volatility of future annual revenue and future annual EBITDA of 37.0%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 respectively; (5) discount rates ranging from 4.2%-8.8%; and (6) expected probability of change in control of 15.0%.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fair value of the Earnout Shares has been determined to be $391.3 million.</w:t>
      </w:r>
    </w:p>
    <w:p>
      <w:pPr>
        <w:spacing w:after="0" w:line="20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and classified in stockholders’ equity. Because the Business Combination is accounted for as a reverse recapitalization, the issuance of the Earnout Shares has been treated as a deemed dividend and since Dragonfly does not have retained earnings on Closing, the issuance has been recorded within additional-paid-in-capital. The unaudited pro forma condensed combined financial information does not reflect pro forma adjustments related to the recognition of these shares because there is no net impact on additional paid-in capital on a pro forma combined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CNTQ and Chardan NexTech Investments 2 LLC (or an affiliate thereof if assigned pursuant to the Subscription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Sponsor agreed to purchase, and CNTQ agreed to sell to the Sponsor, an aggregate of 500,000 shares of CNTQ Common Stock for gross proceeds to CNTQ of $5 million in a private placement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8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acquired in the open market in total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The Purchased Shares were not redeemed, resulting in (i) the Company’s receipt of $5,016,547 from the Trust Account (based on a per share redemption price of $10.34) and (ii) a reduction in CCM’s purchase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commitment under the Subscription Agreement to zero in accordance with the Offset. At the Closing, the Company issued an additional 15,000 shares to CCM pursuant to the terms of the Subscription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Consistent with the commitment letter entered into concurrently with signing of the Business Combination Agreement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between CNTQ and Legacy Dragonfly, CCM Investments 5 LLC, an affiliate of CCM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Term Loan, the “</w:t>
      </w:r>
      <w:r>
        <w:rPr>
          <w:rFonts w:ascii="Times New Roman" w:cs="Times New Roman" w:eastAsia="Times New Roman" w:hAnsi="Times New Roman"/>
          <w:sz w:val="18"/>
          <w:szCs w:val="18"/>
          <w:b w:val="1"/>
          <w:bCs w:val="1"/>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b w:val="1"/>
          <w:bCs w:val="1"/>
          <w:color w:val="auto"/>
        </w:rPr>
        <w:t>Initial Term Loan Lenders</w:t>
      </w:r>
      <w:r>
        <w:rPr>
          <w:rFonts w:ascii="Times New Roman" w:cs="Times New Roman" w:eastAsia="Times New Roman" w:hAnsi="Times New Roman"/>
          <w:sz w:val="18"/>
          <w:szCs w:val="18"/>
          <w:color w:val="auto"/>
        </w:rPr>
        <w:t>”), in connection with the Closing, CNTQ, Legacy Dragonfly and the Initial Term Loan Lenders 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pursuant to which the Backstop Lender committed to purchase from the Chardan Lender the aggregate amount of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 The accounting treatment for the Term Loan remains preliminary and is subject to final analysis.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7"/>
          <w:szCs w:val="17"/>
          <w:color w:val="auto"/>
        </w:rPr>
        <w:t>In connection with the entry into the Term Loan Agreement, and as a required term and condition thereof, the Company issued (i) the penny warrants to the Term Loan Lenders exercisable to purchase an aggregate of 2,593,056 shares, which is equal to approximately 5.6% of common stock calculated on an agreed fully diluted outstanding basis on the issuance date (the “</w:t>
      </w:r>
      <w:r>
        <w:rPr>
          <w:rFonts w:ascii="Times New Roman" w:cs="Times New Roman" w:eastAsia="Times New Roman" w:hAnsi="Times New Roman"/>
          <w:sz w:val="17"/>
          <w:szCs w:val="17"/>
          <w:b w:val="1"/>
          <w:bCs w:val="1"/>
          <w:color w:val="auto"/>
        </w:rPr>
        <w:t>Penny Warrants</w:t>
      </w:r>
      <w:r>
        <w:rPr>
          <w:rFonts w:ascii="Times New Roman" w:cs="Times New Roman" w:eastAsia="Times New Roman" w:hAnsi="Times New Roman"/>
          <w:sz w:val="17"/>
          <w:szCs w:val="17"/>
          <w:color w:val="auto"/>
        </w:rPr>
        <w:t xml:space="preserve">”) and (ii) the $10 warrants to issue warrants to the Term Loan Lenders exercisable to purchase an aggregate of 1,600,000 shares of common stock at $10 per share (the </w:t>
      </w:r>
      <w:r>
        <w:rPr>
          <w:rFonts w:ascii="Times New Roman" w:cs="Times New Roman" w:eastAsia="Times New Roman" w:hAnsi="Times New Roman"/>
          <w:sz w:val="17"/>
          <w:szCs w:val="17"/>
          <w:b w:val="1"/>
          <w:bCs w:val="1"/>
          <w:color w:val="auto"/>
        </w:rPr>
        <w:t>“$10 Warrants</w:t>
      </w:r>
      <w:r>
        <w:rPr>
          <w:rFonts w:ascii="Times New Roman" w:cs="Times New Roman" w:eastAsia="Times New Roman" w:hAnsi="Times New Roman"/>
          <w:sz w:val="17"/>
          <w:szCs w:val="17"/>
          <w:color w:val="auto"/>
        </w:rPr>
        <w:t>” and, together with the Penny Warrants, the “</w:t>
      </w:r>
      <w:r>
        <w:rPr>
          <w:rFonts w:ascii="Times New Roman" w:cs="Times New Roman" w:eastAsia="Times New Roman" w:hAnsi="Times New Roman"/>
          <w:sz w:val="17"/>
          <w:szCs w:val="17"/>
          <w:b w:val="1"/>
          <w:bCs w:val="1"/>
          <w:color w:val="auto"/>
        </w:rPr>
        <w:t>Term Loan Warrants</w:t>
      </w:r>
      <w:r>
        <w:rPr>
          <w:rFonts w:ascii="Times New Roman" w:cs="Times New Roman" w:eastAsia="Times New Roman" w:hAnsi="Times New Roman"/>
          <w:sz w:val="17"/>
          <w:szCs w:val="17"/>
          <w:color w:val="auto"/>
        </w:rPr>
        <w:t>”). The $10 Warrants were exercised on a cashless basis on October 10, 2022, with the Company agreeing to issue 457,142 shares of Common Stock in connection with such exercise. The additional shares of common stock will dilute the pro forma ownership of the other Company stockholders of proportionately. None of CCM 5 or any of its affiliates have received or will receive any Term Loan Warrants. The Company preliminarily concluded that the Term Loan Warrants would be subject to equity accounting; however, based on the terms finalized as part of the merger, the warrants will be accounted for as liabilities. As such, the estimated fair value is recognized as a liability each reporting period, with changes in the fair value recognized within income each period. Additionally, the Penny Warrants are not considered in the weighted average number of outstanding shares for basic earnings per share as a result of this liability classification.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the Company and CCM entered into the Purchase Agreement and a Registration Rights Agreement (the “</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in connection with the Closing (the “</w:t>
      </w:r>
      <w:r>
        <w:rPr>
          <w:rFonts w:ascii="Times New Roman" w:cs="Times New Roman" w:eastAsia="Times New Roman" w:hAnsi="Times New Roman"/>
          <w:sz w:val="18"/>
          <w:szCs w:val="18"/>
          <w:b w:val="1"/>
          <w:bCs w:val="1"/>
          <w:color w:val="auto"/>
        </w:rPr>
        <w:t>ChEF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In addition, the Company appointed LifeSci Capital, LLC as “qualified independent underwriter”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the Purchase Agreement.</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giving effect to the Business Combination and related transactions are summarized below, and are discussed further in the footnotes to these unaudited pro forma condensed combined financial statements:</w:t>
      </w:r>
    </w:p>
    <w:p>
      <w:pPr>
        <w:spacing w:after="0" w:line="162" w:lineRule="exact"/>
        <w:rPr>
          <w:sz w:val="20"/>
          <w:szCs w:val="20"/>
          <w:color w:val="auto"/>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Business Combination and reclassification of cash held in CNTQ’s Trust Account to cash and cash equivalents, net of redemptions (see below);</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redemptions prior to Closing;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Agreement;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Term Loan;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existing debt;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certain offering costs and transaction costs incurred by both CNTQ and Dragonfly.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Closing, CNTQ’s public stockholders holding 2,031,910 ordinary shares elected to redeem such shares.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ownership of common stock of Dragonfly following the Business Combination and related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tcBorders>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Dragonfly existing shareholders</w:t>
            </w:r>
            <w:r>
              <w:rPr>
                <w:rFonts w:ascii="Times New Roman" w:cs="Times New Roman" w:eastAsia="Times New Roman" w:hAnsi="Times New Roman"/>
                <w:sz w:val="24"/>
                <w:szCs w:val="24"/>
                <w:color w:val="auto"/>
                <w:vertAlign w:val="superscript"/>
              </w:rPr>
              <w:t>(1)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38,576,648</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CNTQ existing public stockholders</w:t>
            </w:r>
            <w:r>
              <w:rPr>
                <w:rFonts w:ascii="Times New Roman" w:cs="Times New Roman" w:eastAsia="Times New Roman" w:hAnsi="Times New Roman"/>
                <w:sz w:val="25"/>
                <w:szCs w:val="25"/>
                <w:color w:val="auto"/>
                <w:vertAlign w:val="superscript"/>
              </w:rPr>
              <w:t>(2)(3)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576,438</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Initial Stockholders</w:t>
            </w:r>
            <w:r>
              <w:rPr>
                <w:rFonts w:ascii="Times New Roman" w:cs="Times New Roman" w:eastAsia="Times New Roman" w:hAnsi="Times New Roman"/>
                <w:sz w:val="25"/>
                <w:szCs w:val="25"/>
                <w:color w:val="auto"/>
                <w:vertAlign w:val="superscript"/>
              </w:rPr>
              <w:t>(4)(5)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Pro forma Common Stock</w:t>
            </w:r>
            <w:r>
              <w:rPr>
                <w:rFonts w:ascii="Times New Roman" w:cs="Times New Roman" w:eastAsia="Times New Roman" w:hAnsi="Times New Roman"/>
                <w:sz w:val="24"/>
                <w:szCs w:val="24"/>
                <w:color w:val="auto"/>
                <w:vertAlign w:val="superscript"/>
              </w:rPr>
              <w:t>(6)</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42,815,586</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9,487,500 shares of common stock underlying the public warrants.</w:t>
      </w:r>
    </w:p>
    <w:p>
      <w:pPr>
        <w:spacing w:after="0" w:line="117"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redemptions of 9,556,652 Public Shares in connection with the Charter Amendment and 2,031,910 Public Shares prior to Closing, and excludes 485,000 Public Shares purchased on the open market by an affiliate of the Sponsor pursuant to the PIPE Subscription.</w:t>
      </w:r>
    </w:p>
    <w:p>
      <w:pPr>
        <w:spacing w:after="0" w:line="6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shares of common stock underlying the private warrants.</w:t>
      </w:r>
    </w:p>
    <w:p>
      <w:pPr>
        <w:spacing w:after="0" w:line="117"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held by the Sponsor and its affiliates, including 500,000 shares of common stock pursuant to the PIPE Subscription held by CCM, an affiliate of the Sponsor, of which 485,000 shares were purchased in the open market and the remaining 15,000 shares issued at Closing.</w:t>
      </w:r>
    </w:p>
    <w:p>
      <w:pPr>
        <w:spacing w:after="0" w:line="6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pursuant to the ChEF Equity Facility after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AS OF SEPTEMBER 30, 2022 (in thousands, except share and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CNTQ</w:t>
            </w:r>
          </w:p>
        </w:tc>
        <w:tc>
          <w:tcPr>
            <w:tcW w:w="120" w:type="dxa"/>
            <w:vAlign w:val="bottom"/>
          </w:tcPr>
          <w:p>
            <w:pPr>
              <w:spacing w:after="0"/>
              <w:rPr>
                <w:sz w:val="13"/>
                <w:szCs w:val="13"/>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Dragonfly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10,517</w:t>
            </w:r>
          </w:p>
        </w:tc>
        <w:tc>
          <w:tcPr>
            <w:tcW w:w="3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31,996</w:t>
            </w: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73,486</w:t>
            </w:r>
          </w:p>
        </w:tc>
        <w:tc>
          <w:tcPr>
            <w:tcW w:w="20" w:type="dxa"/>
            <w:vAlign w:val="bottom"/>
          </w:tcPr>
          <w:p>
            <w:pPr>
              <w:spacing w:after="0"/>
              <w:rPr>
                <w:sz w:val="12"/>
                <w:szCs w:val="12"/>
                <w:color w:val="auto"/>
              </w:rPr>
            </w:pPr>
          </w:p>
        </w:tc>
        <w:tc>
          <w:tcPr>
            <w:tcW w:w="2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(29,342) </w:t>
            </w:r>
            <w:r>
              <w:rPr>
                <w:rFonts w:ascii="Times New Roman" w:cs="Times New Roman" w:eastAsia="Times New Roman" w:hAnsi="Times New Roman"/>
                <w:sz w:val="14"/>
                <w:szCs w:val="14"/>
                <w:b w:val="1"/>
                <w:bCs w:val="1"/>
                <w:color w:val="auto"/>
              </w:rPr>
              <w:t>C</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(39,312) </w:t>
            </w:r>
            <w:r>
              <w:rPr>
                <w:rFonts w:ascii="Times New Roman" w:cs="Times New Roman" w:eastAsia="Times New Roman" w:hAnsi="Times New Roman"/>
                <w:sz w:val="14"/>
                <w:szCs w:val="14"/>
                <w:b w:val="1"/>
                <w:bCs w:val="1"/>
                <w:color w:val="auto"/>
              </w:rPr>
              <w:t>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(4,000) </w:t>
            </w:r>
            <w:r>
              <w:rPr>
                <w:rFonts w:ascii="Times New Roman" w:cs="Times New Roman" w:eastAsia="Times New Roman" w:hAnsi="Times New Roman"/>
                <w:sz w:val="14"/>
                <w:szCs w:val="14"/>
                <w:b w:val="1"/>
                <w:bCs w:val="1"/>
                <w:color w:val="auto"/>
              </w:rPr>
              <w:t>H</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 xml:space="preserve">(21,017) </w:t>
            </w:r>
            <w:r>
              <w:rPr>
                <w:rFonts w:ascii="Times New Roman" w:cs="Times New Roman" w:eastAsia="Times New Roman" w:hAnsi="Times New Roman"/>
                <w:sz w:val="14"/>
                <w:szCs w:val="14"/>
                <w:b w:val="1"/>
                <w:bCs w:val="1"/>
                <w:color w:val="auto"/>
              </w:rPr>
              <w:t>J</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(3,044) </w:t>
            </w:r>
            <w:r>
              <w:rPr>
                <w:rFonts w:ascii="Times New Roman" w:cs="Times New Roman" w:eastAsia="Times New Roman" w:hAnsi="Times New Roman"/>
                <w:sz w:val="14"/>
                <w:szCs w:val="14"/>
                <w:b w:val="1"/>
                <w:bCs w:val="1"/>
                <w:color w:val="auto"/>
              </w:rPr>
              <w:t>D</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39,487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39,487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5,749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(2,709)</w:t>
            </w:r>
          </w:p>
        </w:tc>
        <w:tc>
          <w:tcPr>
            <w:tcW w:w="20" w:type="dxa"/>
            <w:vAlign w:val="bottom"/>
          </w:tcPr>
          <w:p>
            <w:pPr>
              <w:spacing w:after="0"/>
              <w:rPr>
                <w:sz w:val="12"/>
                <w:szCs w:val="12"/>
                <w:color w:val="auto"/>
              </w:rPr>
            </w:pPr>
          </w:p>
        </w:tc>
        <w:tc>
          <w:tcPr>
            <w:tcW w:w="2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inventory</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3,729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487</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66,346</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6,058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72,891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 held in Trust Account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31,996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(31,996) </w:t>
            </w:r>
            <w:r>
              <w:rPr>
                <w:rFonts w:ascii="Times New Roman" w:cs="Times New Roman" w:eastAsia="Times New Roman" w:hAnsi="Times New Roman"/>
                <w:sz w:val="14"/>
                <w:szCs w:val="14"/>
                <w:b w:val="1"/>
                <w:bCs w:val="1"/>
                <w:color w:val="auto"/>
              </w:rPr>
              <w:t>A</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issuance costs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2"/>
                <w:szCs w:val="12"/>
                <w:color w:val="auto"/>
              </w:rPr>
            </w:pPr>
          </w:p>
        </w:tc>
        <w:tc>
          <w:tcPr>
            <w:tcW w:w="28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9,816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9,816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 of use asset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4,878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32,483</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82,294</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(24,938)</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89,839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9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TEMPORARY EQUITY AND STOCKHOLDERS' EQUITY</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1,174</w:t>
            </w:r>
          </w:p>
        </w:tc>
        <w:tc>
          <w:tcPr>
            <w:tcW w:w="2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10,851</w:t>
            </w:r>
          </w:p>
        </w:tc>
        <w:tc>
          <w:tcPr>
            <w:tcW w:w="3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Customer deposits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Notes payable, current portion</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16,529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(16,529) </w:t>
            </w:r>
            <w:r>
              <w:rPr>
                <w:rFonts w:ascii="Times New Roman" w:cs="Times New Roman" w:eastAsia="Times New Roman" w:hAnsi="Times New Roman"/>
                <w:sz w:val="14"/>
                <w:szCs w:val="14"/>
                <w:b w:val="1"/>
                <w:bCs w:val="1"/>
                <w:color w:val="auto"/>
              </w:rPr>
              <w:t>D</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liability, current portion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Obligation to issue common stock</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Promissory note – related party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2"/>
                <w:szCs w:val="12"/>
                <w:color w:val="auto"/>
              </w:rPr>
            </w:pPr>
          </w:p>
        </w:tc>
        <w:tc>
          <w:tcPr>
            <w:tcW w:w="2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1,613</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28,824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(15,929)</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14,508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Notes payable-non current, net of debt discount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24,182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20,537</w:t>
            </w: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18,422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(2,115) </w:t>
            </w:r>
            <w:r>
              <w:rPr>
                <w:rFonts w:ascii="Times New Roman" w:cs="Times New Roman" w:eastAsia="Times New Roman" w:hAnsi="Times New Roman"/>
                <w:sz w:val="14"/>
                <w:szCs w:val="14"/>
                <w:b w:val="1"/>
                <w:bCs w:val="1"/>
                <w:color w:val="auto"/>
              </w:rPr>
              <w:t>C</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(24,182) </w:t>
            </w:r>
            <w:r>
              <w:rPr>
                <w:rFonts w:ascii="Times New Roman" w:cs="Times New Roman" w:eastAsia="Times New Roman" w:hAnsi="Times New Roman"/>
                <w:sz w:val="14"/>
                <w:szCs w:val="14"/>
                <w:b w:val="1"/>
                <w:bCs w:val="1"/>
                <w:color w:val="auto"/>
              </w:rPr>
              <w:t>D</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52,949</w:t>
            </w:r>
          </w:p>
        </w:tc>
        <w:tc>
          <w:tcPr>
            <w:tcW w:w="20" w:type="dxa"/>
            <w:vAlign w:val="bottom"/>
          </w:tcPr>
          <w:p>
            <w:pPr>
              <w:spacing w:after="0"/>
              <w:rPr>
                <w:sz w:val="12"/>
                <w:szCs w:val="12"/>
                <w:color w:val="auto"/>
              </w:rPr>
            </w:pPr>
          </w:p>
        </w:tc>
        <w:tc>
          <w:tcPr>
            <w:tcW w:w="2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54,939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3,603</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56,827</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31,260</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91,690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Common stock subject to possible redemption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31,706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(31,706)</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2"/>
                <w:szCs w:val="12"/>
                <w:color w:val="auto"/>
              </w:rPr>
            </w:pPr>
          </w:p>
        </w:tc>
        <w:tc>
          <w:tcPr>
            <w:tcW w:w="8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(2,000) </w:t>
            </w:r>
            <w:r>
              <w:rPr>
                <w:rFonts w:ascii="Times New Roman" w:cs="Times New Roman" w:eastAsia="Times New Roman" w:hAnsi="Times New Roman"/>
                <w:sz w:val="14"/>
                <w:szCs w:val="14"/>
                <w:b w:val="1"/>
                <w:bCs w:val="1"/>
                <w:color w:val="auto"/>
              </w:rPr>
              <w:t>F</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2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J</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18,480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(28,001) </w:t>
            </w:r>
            <w:r>
              <w:rPr>
                <w:rFonts w:ascii="Times New Roman" w:cs="Times New Roman" w:eastAsia="Times New Roman" w:hAnsi="Times New Roman"/>
                <w:sz w:val="14"/>
                <w:szCs w:val="14"/>
                <w:b w:val="1"/>
                <w:bCs w:val="1"/>
                <w:color w:val="auto"/>
              </w:rPr>
              <w:t>C</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31,703</w:t>
            </w:r>
          </w:p>
        </w:tc>
        <w:tc>
          <w:tcPr>
            <w:tcW w:w="20" w:type="dxa"/>
            <w:vAlign w:val="bottom"/>
          </w:tcPr>
          <w:p>
            <w:pPr>
              <w:spacing w:after="0"/>
              <w:rPr>
                <w:sz w:val="12"/>
                <w:szCs w:val="12"/>
                <w:color w:val="auto"/>
              </w:rPr>
            </w:pPr>
          </w:p>
        </w:tc>
        <w:tc>
          <w:tcPr>
            <w:tcW w:w="2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1,966</w:t>
            </w: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(2,811)</w:t>
            </w:r>
          </w:p>
        </w:tc>
        <w:tc>
          <w:tcPr>
            <w:tcW w:w="20" w:type="dxa"/>
            <w:vAlign w:val="bottom"/>
          </w:tcPr>
          <w:p>
            <w:pPr>
              <w:spacing w:after="0"/>
              <w:rPr>
                <w:sz w:val="12"/>
                <w:szCs w:val="12"/>
                <w:color w:val="auto"/>
              </w:rPr>
            </w:pPr>
          </w:p>
        </w:tc>
        <w:tc>
          <w:tcPr>
            <w:tcW w:w="2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 xml:space="preserve">(21,015) </w:t>
            </w:r>
            <w:r>
              <w:rPr>
                <w:rFonts w:ascii="Times New Roman" w:cs="Times New Roman" w:eastAsia="Times New Roman" w:hAnsi="Times New Roman"/>
                <w:sz w:val="14"/>
                <w:szCs w:val="14"/>
                <w:b w:val="1"/>
                <w:bCs w:val="1"/>
                <w:color w:val="auto"/>
              </w:rPr>
              <w:t>J</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 earnings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(2,826)</w:t>
            </w:r>
          </w:p>
        </w:tc>
        <w:tc>
          <w:tcPr>
            <w:tcW w:w="12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(1,535) </w:t>
            </w:r>
            <w:r>
              <w:rPr>
                <w:rFonts w:ascii="Times New Roman" w:cs="Times New Roman" w:eastAsia="Times New Roman" w:hAnsi="Times New Roman"/>
                <w:sz w:val="14"/>
                <w:szCs w:val="14"/>
                <w:b w:val="1"/>
                <w:bCs w:val="1"/>
                <w:color w:val="auto"/>
              </w:rPr>
              <w:t>C</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(1,645) </w:t>
            </w:r>
            <w:r>
              <w:rPr>
                <w:rFonts w:ascii="Times New Roman" w:cs="Times New Roman" w:eastAsia="Times New Roman" w:hAnsi="Times New Roman"/>
                <w:sz w:val="14"/>
                <w:szCs w:val="14"/>
                <w:b w:val="1"/>
                <w:bCs w:val="1"/>
                <w:color w:val="auto"/>
              </w:rPr>
              <w:t>D</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2,826</w:t>
            </w:r>
          </w:p>
        </w:tc>
        <w:tc>
          <w:tcPr>
            <w:tcW w:w="20" w:type="dxa"/>
            <w:vAlign w:val="bottom"/>
          </w:tcPr>
          <w:p>
            <w:pPr>
              <w:spacing w:after="0"/>
              <w:rPr>
                <w:sz w:val="12"/>
                <w:szCs w:val="12"/>
                <w:color w:val="auto"/>
              </w:rPr>
            </w:pPr>
          </w:p>
        </w:tc>
        <w:tc>
          <w:tcPr>
            <w:tcW w:w="2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 xml:space="preserve">(4,000) </w:t>
            </w:r>
            <w:r>
              <w:rPr>
                <w:rFonts w:ascii="Times New Roman" w:cs="Times New Roman" w:eastAsia="Times New Roman" w:hAnsi="Times New Roman"/>
                <w:sz w:val="14"/>
                <w:szCs w:val="14"/>
                <w:b w:val="1"/>
                <w:bCs w:val="1"/>
                <w:color w:val="auto"/>
              </w:rPr>
              <w:t>H</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(2,826)</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23,467</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(22,492)</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temporary equity and stockholders' equity (deficit)</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32,483</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82,294</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(24,938)</w:t>
            </w: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89,839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138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NINE MONTHS ENDED SEPTEMBER 30, 2022 (in thousands, except share and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CNTQ</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Dragonfly</w:t>
            </w: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66,042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46,481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3,657</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DD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(12,826)</w:t>
            </w:r>
            <w:r>
              <w:rPr>
                <w:rFonts w:ascii="Times New Roman" w:cs="Times New Roman" w:eastAsia="Times New Roman" w:hAnsi="Times New Roman"/>
                <w:sz w:val="18"/>
                <w:szCs w:val="18"/>
                <w:b w:val="1"/>
                <w:bCs w:val="1"/>
                <w:color w:val="auto"/>
              </w:rPr>
              <w:t>EE</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(469)</w:t>
            </w:r>
            <w:r>
              <w:rPr>
                <w:rFonts w:ascii="Times New Roman" w:cs="Times New Roman" w:eastAsia="Times New Roman" w:hAnsi="Times New Roman"/>
                <w:sz w:val="18"/>
                <w:szCs w:val="18"/>
                <w:b w:val="1"/>
                <w:bCs w:val="1"/>
                <w:color w:val="auto"/>
              </w:rPr>
              <w:t>AA</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13,957,179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8"/>
              </w:rPr>
              <w:t>21,131,993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13,957,179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8"/>
              </w:rPr>
              <w:t>21,131,993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42,815,586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CNTQ</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Dragonfly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19,626</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99"/>
              </w:rPr>
              <w:t>BB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99"/>
              </w:rPr>
              <w:t>CC</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(14,002)</w:t>
            </w:r>
            <w:r>
              <w:rPr>
                <w:rFonts w:ascii="Times New Roman" w:cs="Times New Roman" w:eastAsia="Times New Roman" w:hAnsi="Times New Roman"/>
                <w:sz w:val="18"/>
                <w:szCs w:val="18"/>
                <w:b w:val="1"/>
                <w:bCs w:val="1"/>
                <w:color w:val="auto"/>
              </w:rPr>
              <w:t>EE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indebtedness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(1,645)</w:t>
            </w:r>
            <w:r>
              <w:rPr>
                <w:rFonts w:ascii="Times New Roman" w:cs="Times New Roman" w:eastAsia="Times New Roman" w:hAnsi="Times New Roman"/>
                <w:sz w:val="18"/>
                <w:szCs w:val="18"/>
                <w:b w:val="1"/>
                <w:bCs w:val="1"/>
                <w:color w:val="auto"/>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b w:val="1"/>
                <w:bCs w:val="1"/>
                <w:color w:val="auto"/>
              </w:rPr>
              <w:t>AA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20,101,129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The Business Combination has been accounted for as a reverse recapitalization, with no goodwill or other intangible assets recorded, in accordance with GAAP. Under this method of accounting, CNTQ has been treated as the “accounting acquiree” and Legacy Dragonfly as the “accounting acquirer” for financial reporting purposes. Accordingly, for accounting purposes, the Business Combination has been treated as the equivalent of Legacy Dragonfly issuing shares for the net assets of CNTQ, followed by a recapitalization. The net assets of Legacy Dragonfly have been stated at historical cost. Operations prior to the Business Combination are those of Legacy Dragonfly.</w:t>
      </w:r>
    </w:p>
    <w:p>
      <w:pPr>
        <w:spacing w:after="0" w:line="16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2022 gives effect to the Business Combination and related transactions as if they occurred on September 30, 2022. The unaudited pro forma condensed combined statements of operations for the nine months ended September 30, 2022 and for the year ended December 31, 2021 give effect to the Business Combination and related transactions as if they occurred on January 1, 2021. These periods are presented on the basis that Legacy Dragonfly is the acquirer for accounting purposes.</w:t>
      </w:r>
    </w:p>
    <w:p>
      <w:pPr>
        <w:spacing w:after="0" w:line="183"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and the related transaction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The Company believes that its assumptions and methodologies provide a reasonable basis for presenting all of the significant effects of the Business Combination and the related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post-combination company. They should be read in conjunction with the historical financial statements and notes thereto of CNTQ and Legacy Dragonfly.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and Reclassifications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management is performing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Conversion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each share of Legacy Dragonfly’s pre-merger preferred stock has been converted into one share of Dragonfly common stock. Upon the Closing (after giving effect to the conversion of Legacy Dragonfly preferred stock into Legacy Dragonfly common stock), all shares of Legacy Dragonfly common stock outstanding have been converted into shares of Dragonfly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 Option Conversion</w:t>
      </w:r>
    </w:p>
    <w:p>
      <w:pPr>
        <w:spacing w:after="0" w:line="229" w:lineRule="exact"/>
        <w:rPr>
          <w:sz w:val="20"/>
          <w:szCs w:val="20"/>
          <w:color w:val="auto"/>
        </w:rPr>
      </w:pPr>
    </w:p>
    <w:p>
      <w:pPr>
        <w:ind w:right="220" w:firstLine="324"/>
        <w:spacing w:after="0" w:line="277" w:lineRule="auto"/>
        <w:rPr>
          <w:sz w:val="20"/>
          <w:szCs w:val="20"/>
          <w:color w:val="auto"/>
        </w:rPr>
      </w:pPr>
      <w:r>
        <w:rPr>
          <w:rFonts w:ascii="Times New Roman" w:cs="Times New Roman" w:eastAsia="Times New Roman" w:hAnsi="Times New Roman"/>
          <w:sz w:val="17"/>
          <w:szCs w:val="17"/>
          <w:color w:val="auto"/>
        </w:rPr>
        <w:t>The Company accounts for stock-based compensation arrangements with employees and non-employee consultants using a fair value method which requires the recognition of compensation expense for costs related to all stock-based payments, including stock options. As of the Effective Time, each Legacy Dragonfly option prior to the business combination that was then outstanding has been converted into an option to purchase shares of Dragonfly common stock upon substantially the same terms and conditions as were in effect with respect to such option immediately prior to the Effective Time, subject to specific terms and conditions. As the Legacy</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Dragonfly post-merger options contain only service-based vesting conditions, management will recognize the incremental fair value related to the portion of the fully vested post-merger option and subject to service-based vesting conditions as consideration transferred. As there was no change in the terms of the options, management does not expect to recognize any incremental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Adjustments to Unaudited Pro Forma Condensed Combined Financial Information</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and has been prepared for informational purposes only.</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Management’s Adjustments</w:t>
      </w:r>
      <w:r>
        <w:rPr>
          <w:rFonts w:ascii="Times New Roman" w:cs="Times New Roman" w:eastAsia="Times New Roman" w:hAnsi="Times New Roman"/>
          <w:sz w:val="18"/>
          <w:szCs w:val="18"/>
          <w:color w:val="auto"/>
        </w:rPr>
        <w:t>”). Dragonfly has elected not to present Management’s Adjustments and will only be presenting Transaction Accounting Adjustments in the unaudited pro forma condensed combined financial information. CNTQ and Legacy Dragonfly have not had any historical relationship prior to the Business Combination. Accordingly, no pro forma adjustments were required to eliminate activities between the companies.</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Legacy Dragonfly’s ordinary shares outstanding, assuming the Business Combination and related transactions occurred on January 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September 30, 2022 are as follows:</w:t>
      </w:r>
    </w:p>
    <w:p>
      <w:pPr>
        <w:spacing w:after="0" w:line="225" w:lineRule="exact"/>
        <w:rPr>
          <w:sz w:val="20"/>
          <w:szCs w:val="20"/>
          <w:color w:val="auto"/>
        </w:rPr>
      </w:pPr>
    </w:p>
    <w:p>
      <w:pPr>
        <w:ind w:left="660" w:right="3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$32.0 million held in the Trust Account, inclusive of interest earned on the Trust Account, to cash and cash equivalents that is available at the Closing, prior to the additional redemptions before the closing.</w:t>
      </w:r>
    </w:p>
    <w:p>
      <w:pPr>
        <w:spacing w:after="0" w:line="161" w:lineRule="exact"/>
        <w:rPr>
          <w:rFonts w:ascii="Times New Roman" w:cs="Times New Roman" w:eastAsia="Times New Roman" w:hAnsi="Times New Roman"/>
          <w:sz w:val="18"/>
          <w:szCs w:val="18"/>
          <w:color w:val="auto"/>
        </w:rPr>
      </w:pPr>
    </w:p>
    <w:p>
      <w:pPr>
        <w:ind w:left="660" w:hanging="328"/>
        <w:spacing w:after="0" w:line="25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proceeds of approximately $73.5 million pursuant to the Term Loan. The Term Loan involves the issuance of $75.0 million in principal amount of term loans (with an original issue discount of 3%) and the related issuance of the Term Loan Warrants (i.e., the Penny Warrants and the $10 Warrants) for net proceeds of approximately $73.5 million. Until April 1, 2023, interest will accrue on all outstanding principal amount of the term loans at 13.5% per annum, payable quarterly and partially paid-in-kind. The Company preliminarily determined that the Term Loan Warrants will be liability-classified instruments to be recognized as warrant liabilities on the balance sheet based on their fair values at issuance, and as an offset to the debt instrument to be amortized over the life of the debt instrument, with changes in fair value of the warrant liabilities being recognized within earnings at each reporting period. If the Term Loan Warrants are determined to be equity-classified instruments, the Term Loan Warrants would be recognized within equity and an offset to the debt instrument based on their relative fair values. Certain transaction costs totaling $1.5 million have been allocated to these liability-classified instruments and have been expensed (see adjustment C). For purposes of the unaudited pro forma condensed combined balance sheet, the preliminary fair value of the Term Loan Warrants of $52.9 million has been recorded as warrant liabilities with an offset against the debt as debt issuance costs. The fair value of the Term Loan Warrants was based on a Black-Scholes simulation with key inputs and assumptions such as stock price, term, dividend yield, risk-free rate, and volatility. An additional $2.1 million of transaction costs have been allocated to the Term Loan as debt issuance costs offset against the debt (see adjustment C).</w:t>
      </w:r>
    </w:p>
    <w:p>
      <w:pPr>
        <w:spacing w:after="0" w:line="195"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repayment of CNTQ related party promissory note of $0.4 million at closing, and payment of estimated transaction costs of $31.7 million in relation to the Business Combination, of which $28.9 million was paid at closing, and $2.7 million was paid prior to closing and included within other current assets of Legacy Dragonfly. Certain transaction costs totaling $0.7 million have been identified as direct and incremental to the execution of the Term Loan and Term Loan Warrants, of which $0.4 million was recognized as an offset against the debt, and $0.3 million was expensed based on allocation to these instruments based on their relative fair values. Certain transaction costs totaling $12.8 million, which include legal, accounting, and other services incurred related to the Business Combination have been allocated between the following financial instruments issued and assumed in the Business Combination based on their relative fair values at Closing: shares of CNTQ Common Stock, CNTQ Warrants, the Earnout Shares, the Term Loan, and the Term Loan Warrants. The allocation of these costs resulted in $1.7 million recognized as debt issuance costs offset against the Term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40"/>
        <w:spacing w:after="0" w:line="273" w:lineRule="auto"/>
        <w:rPr>
          <w:sz w:val="20"/>
          <w:szCs w:val="20"/>
          <w:color w:val="auto"/>
        </w:rPr>
      </w:pPr>
      <w:r>
        <w:rPr>
          <w:rFonts w:ascii="Times New Roman" w:cs="Times New Roman" w:eastAsia="Times New Roman" w:hAnsi="Times New Roman"/>
          <w:sz w:val="17"/>
          <w:szCs w:val="17"/>
          <w:color w:val="auto"/>
        </w:rPr>
        <w:t>Loan, $9.9 million recognized as equity issuance costs offset to additional paid-in capital, and $1.2 million recognized within expense. CNTQ incurred an estimated $18.1 million, inclusive of $4.1 million pursuant to a Business Combination Marketing Agreement with CCM, $7.1 million in legal costs, and $6.8 million of printing, legal, financial advisory, insurance, and accounting services including the Duff &amp; Phelps fairness opinion, all of which were expensed and recognized to CNTQ’s accumulated deficit and reclassified to additional paid-in capital at Closing to reflect the reclassification of CNTQ’s historical accumulated deficit. Dragonfly continues to evaluate eligible costs that may need to be allocated to the respective instruments issued or assumed pursuant to the Business Combination which could impact amounts reported as equity or debt issuance costs.</w:t>
      </w:r>
    </w:p>
    <w:p>
      <w:pPr>
        <w:spacing w:after="0" w:line="171" w:lineRule="exact"/>
        <w:rPr>
          <w:sz w:val="20"/>
          <w:szCs w:val="20"/>
          <w:color w:val="auto"/>
        </w:rPr>
      </w:pPr>
    </w:p>
    <w:p>
      <w:pPr>
        <w:ind w:left="660" w:right="3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repayment of outstanding principal indebtedness of Legacy Dragonfly totaling $42.4 million and the write off of unamortized debt discount and other settlement fees incurred totaling $1.6 million.</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$31.7 million of common stock subject to possible redemption to permanent equity.</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recapitalization of Legacy Dragonfly’s outstanding equity as a result of the reverse recapitalization and the issuance of common stock to Legacy Dragonfly Equity Holders as consideration for the reverse recapitalization.</w:t>
      </w:r>
    </w:p>
    <w:p>
      <w:pPr>
        <w:spacing w:after="0" w:line="1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CNTQ’s historical accumulated deficit into additional paid-in capital as part of the reverse recapitalization.</w:t>
      </w:r>
    </w:p>
    <w:p>
      <w:pPr>
        <w:spacing w:after="0" w:line="16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Legacy Dragonfly, as well as the amount of public warrants exercised following completion of the Business Combination.</w:t>
      </w:r>
    </w:p>
    <w:p>
      <w:pPr>
        <w:spacing w:after="0" w:line="179"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obligation to issue shares of Dragonfly common stock with a discount of up to $1.0 million over the term of the ChEF Equity Facility, payable by way of a reduction of the VWAP Purchase Price. Dragonfly may terminate the facility at any time subject to the full payment of a commitment fee of $1.0 million.</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additional redemptions of 2,031,910 Public Shares prior to closing, for aggregate payments to redeeming Public Shareholders of $21.0 million at a redemption price of $10.34 per share allocated to common stock and additional paid-in capital using par value $0.001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nine months ended September 30, 2022 and the year ended December 31, 2021 are as follows:</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investment income on the Trust Account.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transaction costs of $19.6 million as if incurred on January 1, 2021, the date the Business Combination occurred for the purposes of the unaudited pro forma condensed combined statement of operations. This is a non-recurring item.</w:t>
      </w:r>
    </w:p>
    <w:p>
      <w:pPr>
        <w:spacing w:after="0" w:line="16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expense recognized on Legacy Dragonfly indebtedness and the recognition of a loss on extinguishment of Legacy Dragonfly indebtedness as if the Business Combination closed, and the indebtedness was settled, on January 1, 2021 (see adjustment 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interest expense on the Term Loan as if the facility was executed on January 1, 2021, consisting of $7.6 million and $10.1 million of interest expense for the nine months ended September 30, 2022 and the year ended December 31, 2021, respectively, calculated using an approximated rate of 13.50% per annum (as further detailed in the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Term Loan Agreement), and $5.2 million and $3.9 million of amortization of debt issuance costs related to the Term Loan for the for the nine months ended September 30, 2022 and the year ended December 31, 2021, respectively. The amortization of debt issuance costs was calculated using an effective interest rate of 70.1% based on an estimated initial book value of the Term Loan of $18.4 million after deducting the proceeds allocated to the Term Loan Warrants of $52.9 million, allocated transaction costs of $2.1 million, and a $1.5 million original issue discount (or 3%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Share</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loss per share was calculated using the historical weighted average shares outstanding, and the issuance of additional shares in connection with the Business Combination and the related transactions, assuming the shares were outstanding since January 1, 2021. As the Business Combination and the related transactions are being reflected as if they had occurred at the beginning of the period presented, the calculation of weighted average shares outstanding for basic and diluted net loss per share assumes that the shares issuable relating to the Business Combination and related have been outstanding for the entirety of all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820" w:type="dxa"/>
            <w:vAlign w:val="bottom"/>
            <w:gridSpan w:val="4"/>
          </w:tcPr>
          <w:p>
            <w:pPr>
              <w:ind w:left="136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September 30, 2022 </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13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December 31, 2021 </w:t>
            </w:r>
            <w:r>
              <w:rPr>
                <w:rFonts w:ascii="Times New Roman" w:cs="Times New Roman" w:eastAsia="Times New Roman" w:hAnsi="Times New Roman"/>
                <w:sz w:val="20"/>
                <w:szCs w:val="20"/>
                <w:b w:val="1"/>
                <w:bCs w:val="1"/>
                <w:color w:val="auto"/>
                <w:w w:val="99"/>
                <w:vertAlign w:val="superscript"/>
              </w:rPr>
              <w:t>(1)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Weighted average shares outstanding – basic and diluted </w:t>
            </w:r>
            <w:r>
              <w:rPr>
                <w:rFonts w:ascii="Times New Roman" w:cs="Times New Roman" w:eastAsia="Times New Roman" w:hAnsi="Times New Roman"/>
                <w:sz w:val="25"/>
                <w:szCs w:val="25"/>
                <w:color w:val="auto"/>
                <w:vertAlign w:val="superscript"/>
              </w:rPr>
              <w:t>(2)</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 basic and diluted</w:t>
            </w:r>
          </w:p>
        </w:tc>
        <w:tc>
          <w:tcPr>
            <w:tcW w:w="1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i w:val="1"/>
                <w:iCs w:val="1"/>
                <w:color w:val="auto"/>
              </w:rPr>
              <w:t>Excluded securities:</w:t>
            </w:r>
            <w:r>
              <w:rPr>
                <w:rFonts w:ascii="Times New Roman" w:cs="Times New Roman" w:eastAsia="Times New Roman" w:hAnsi="Times New Roman"/>
                <w:sz w:val="25"/>
                <w:szCs w:val="25"/>
                <w:i w:val="1"/>
                <w:iCs w:val="1"/>
                <w:color w:val="auto"/>
                <w:vertAlign w:val="superscript"/>
              </w:rPr>
              <w:t>(3)</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Earnout Shares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Warrants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Private Warrants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Dragonfly Options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3,664,975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Penny Warrants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2,593,056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 Warrants</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ind w:left="340" w:right="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income (loss) per share includes the related pro forma adjustments as referred to within the section “Unaudited Pro Forma Condensed Combined Financial Information.”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after Closing pursuant to the ChEF Equity Facility.</w:t>
      </w:r>
    </w:p>
    <w:p>
      <w:pPr>
        <w:spacing w:after="0" w:line="225" w:lineRule="exact"/>
        <w:rPr>
          <w:rFonts w:ascii="Times New Roman" w:cs="Times New Roman" w:eastAsia="Times New Roman" w:hAnsi="Times New Roman"/>
          <w:sz w:val="18"/>
          <w:szCs w:val="18"/>
          <w:color w:val="auto"/>
        </w:rPr>
      </w:pPr>
    </w:p>
    <w:p>
      <w:pPr>
        <w:ind w:left="340" w:right="58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potentially dilutive outstanding securities were excluded from the computation of pro forma net loss per share, basic and diluted, because their effect would have been anti-dilutive or the issuance or vesting of such shares is contingent upon the satisfaction of certain conditions which were not satisfied by the end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Formed in 2012 and based in Reno, Nevada, we are a manufacturer of non-toxic deep cycle lithium-ion batteries that caters to customers in the RV, marine vessel and off-grid residence industries, with disruptive solid-state cell technology currently under development. We believe that green energy is more than just a trend.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other companies, which still incorporate less stable components in their chemistries (such as sulfide glasses, which are chemically unstable and form hydrogen sulfide when exposed to air).</w:t>
      </w:r>
    </w:p>
    <w:p>
      <w:pPr>
        <w:spacing w:after="0" w:line="18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a dual-brand strategy,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 (“</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 to consumers, while the Dragonfly 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expect to launch our unique battery communication system during the first half of 2023. We currently source the LFP cells incorporated into our batteries from a limited number of carefully selected suppliers that can meet our demanding quality standards and with whom we have developed long-term relationships.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began as an aftermarket-focused business initially targeting direct-to-consumer sales in the RV market. Since 2020, we have sold over 198,000 batteries. For the nine months ended September 30, 2021 and 2022, we sold 59,082 and 72,873 batteries, respectively, and had $57.8 million and $66.0 million in net sales, respectively. For the years ended December 31, 2020 and 2021, we sold 51,434 and 74,652 batteries, respectively, and had $47.2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has agreed to fulfill certain of its LFP battery requirements exclusively through us for at least one year (with potential annual renewals), THOR, who has made a strategic investment in our business and with whom we intend to enter into a future, mutually agreed exclusive two-year North American distribution agreement (with potential annual renewals), Airstream, and REV, and we are in ongoing discussions with a number of additional RV OEMS to further increase adoption of our products.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40" w:firstLine="324"/>
        <w:spacing w:after="0" w:line="312" w:lineRule="auto"/>
        <w:rPr>
          <w:sz w:val="20"/>
          <w:szCs w:val="20"/>
          <w:color w:val="auto"/>
        </w:rPr>
      </w:pPr>
      <w:r>
        <w:rPr>
          <w:rFonts w:ascii="Times New Roman" w:cs="Times New Roman" w:eastAsia="Times New Roman" w:hAnsi="Times New Roman"/>
          <w:sz w:val="17"/>
          <w:szCs w:val="17"/>
          <w:color w:val="auto"/>
        </w:rPr>
        <w:t>We currently offer a line of batteries across our two brands, each differentiated by size, power and capacity, consisting of eight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100330</wp:posOffset>
            </wp:positionV>
            <wp:extent cx="5143500" cy="2083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new 99,000 square foot facility,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currently focus on three main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founder and CEO, is currently developing the next generation of LFP solid-state cells. Running in parallel with our current business operations, to date we have fully self-funded our solid-state R&amp;D efforts.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allowing us to vertically integrate our cells into our batteries, thereby lowering our production costs as a result of our proprietary cost-effective manufacturing processes.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the world transitions towards greater clean energy use and energy storage, we will continue to deliver on our mission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72" w:lineRule="exact"/>
        <w:rPr>
          <w:sz w:val="20"/>
          <w:szCs w:val="20"/>
          <w:color w:val="auto"/>
        </w:rPr>
      </w:pPr>
    </w:p>
    <w:p>
      <w:pPr>
        <w:ind w:left="680" w:hanging="321"/>
        <w:spacing w:after="0" w:line="255"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Environmentally Friendly, Socially Responsible and Safer</w:t>
      </w:r>
      <w:r>
        <w:rPr>
          <w:rFonts w:ascii="Times New Roman" w:cs="Times New Roman" w:eastAsia="Times New Roman" w:hAnsi="Times New Roman"/>
          <w:sz w:val="18"/>
          <w:szCs w:val="18"/>
          <w:color w:val="auto"/>
        </w:rPr>
        <w:t>. Lead-acid batteries that are not recycled or disposed of properly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and are 100% environmentally friendly.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84"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Longer Lifespan</w:t>
      </w:r>
      <w:r>
        <w:rPr>
          <w:rFonts w:ascii="Times New Roman" w:cs="Times New Roman" w:eastAsia="Times New Roman" w:hAnsi="Times New Roman"/>
          <w:sz w:val="18"/>
          <w:szCs w:val="18"/>
          <w:color w:val="auto"/>
        </w:rPr>
        <w:t>. Lithium-ion batteries have longer lifecycles compared to lead-acid batteries. LFP batteries are able to cycle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 acid batteries, which have a one- to two-year useful life in most applications.</w:t>
      </w:r>
    </w:p>
    <w:p>
      <w:pPr>
        <w:spacing w:after="0" w:line="184"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Power and Performance</w:t>
      </w:r>
      <w:r>
        <w:rPr>
          <w:rFonts w:ascii="Times New Roman" w:cs="Times New Roman" w:eastAsia="Times New Roman" w:hAnsi="Times New Roman"/>
          <w:sz w:val="18"/>
          <w:szCs w:val="18"/>
          <w:color w:val="auto"/>
        </w:rPr>
        <w:t>. As new technologies evolve and people consume more electricity, the importance of battery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82" w:lineRule="exact"/>
        <w:rPr>
          <w:rFonts w:ascii="Times New Roman" w:cs="Times New Roman" w:eastAsia="Times New Roman" w:hAnsi="Times New Roman"/>
          <w:sz w:val="18"/>
          <w:szCs w:val="18"/>
          <w:color w:val="auto"/>
        </w:rPr>
      </w:pPr>
    </w:p>
    <w:p>
      <w:pPr>
        <w:ind w:left="680" w:right="60" w:hanging="321"/>
        <w:spacing w:after="0" w:line="257"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Charging</w:t>
      </w:r>
      <w:r>
        <w:rPr>
          <w:rFonts w:ascii="Times New Roman" w:cs="Times New Roman" w:eastAsia="Times New Roman" w:hAnsi="Times New Roman"/>
          <w:sz w:val="18"/>
          <w:szCs w:val="18"/>
          <w:color w:val="auto"/>
        </w:rPr>
        <w:t>. Lead-acid batteries were the first rechargeable batteries on the market. However, due to new advancements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density (i.e., the amount of energy stored by mass volume) and charge/ 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82" w:lineRule="exact"/>
        <w:rPr>
          <w:rFonts w:ascii="Times New Roman" w:cs="Times New Roman" w:eastAsia="Times New Roman" w:hAnsi="Times New Roman"/>
          <w:sz w:val="18"/>
          <w:szCs w:val="18"/>
          <w:color w:val="auto"/>
        </w:rPr>
      </w:pPr>
    </w:p>
    <w:p>
      <w:pPr>
        <w:ind w:left="680" w:right="140" w:hanging="321"/>
        <w:spacing w:after="0" w:line="275" w:lineRule="auto"/>
        <w:tabs>
          <w:tab w:leader="none" w:pos="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Maintenance-Free</w:t>
      </w:r>
      <w:r>
        <w:rPr>
          <w:rFonts w:ascii="Times New Roman" w:cs="Times New Roman" w:eastAsia="Times New Roman" w:hAnsi="Times New Roman"/>
          <w:sz w:val="17"/>
          <w:szCs w:val="17"/>
          <w:color w:val="auto"/>
        </w:rPr>
        <w:t>. LFP batteries provide the benefit of being a maintenance-free option compared to lead-acid batteries.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22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155" w:lineRule="exact"/>
        <w:rPr>
          <w:sz w:val="20"/>
          <w:szCs w:val="20"/>
          <w:color w:val="auto"/>
        </w:rPr>
      </w:pPr>
    </w:p>
    <w:p>
      <w:pPr>
        <w:ind w:left="680" w:right="80" w:hanging="321"/>
        <w:spacing w:after="0" w:line="253"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Recreational Vehicles</w:t>
      </w:r>
      <w:r>
        <w:rPr>
          <w:rFonts w:ascii="Times New Roman" w:cs="Times New Roman" w:eastAsia="Times New Roman" w:hAnsi="Times New Roman"/>
          <w:sz w:val="18"/>
          <w:szCs w:val="18"/>
          <w:color w:val="auto"/>
        </w:rPr>
        <w:t>. The growth of the RV market is expected to continue to drive demand for LFP storage batteries.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the RV 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there are over 11 million RVs on the road in America and 9.6 million households intend to purchase an RV within the next five years.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6.8% from 2012 to 2022, with RV shipments estimated to be over 549,900 in 2022. The need for greater power and power storage capabilities to power interiors is driving a shift towards the use of LFP batteries. Incumbent lead-acid batteries are heavy, take up a lot of space, have inefficient power discharge and require ventilation. Our solution addresses all of these problems by allowing for shorter charge times, weighing one-fifth of a standard lead-acid battery, providing a reliable and consistent source of power and being maintenance-free. Our market focus has traditionally been on motorized RVs (i.e., driveable RVs). OEMs have begun to introduce batteries into towable units (i.e., RVs that require another vehicle to drive them), which will create a new potential subsector in the RV market for LFP batteries. According to the RVIA’s 2021 RV Market Report, approximately 91% of wholesale RV units shipped in 2021 were towable units, representing a significant opportunity for LFP batteries.</w:t>
      </w:r>
    </w:p>
    <w:p>
      <w:pPr>
        <w:spacing w:after="0" w:line="185" w:lineRule="exact"/>
        <w:rPr>
          <w:rFonts w:ascii="Times New Roman" w:cs="Times New Roman" w:eastAsia="Times New Roman" w:hAnsi="Times New Roman"/>
          <w:sz w:val="18"/>
          <w:szCs w:val="18"/>
          <w:color w:val="auto"/>
        </w:rPr>
      </w:pPr>
    </w:p>
    <w:p>
      <w:pPr>
        <w:ind w:left="680" w:right="20" w:hanging="321"/>
        <w:spacing w:after="0" w:line="255"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Marine Vessels</w:t>
      </w:r>
      <w:r>
        <w:rPr>
          <w:rFonts w:ascii="Times New Roman" w:cs="Times New Roman" w:eastAsia="Times New Roman" w:hAnsi="Times New Roman"/>
          <w:sz w:val="18"/>
          <w:szCs w:val="18"/>
          <w:color w:val="auto"/>
        </w:rPr>
        <w:t>. As boating becomes more popular in North America, the need for a reliable, non-flammable energy storage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is becoming 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84" w:lineRule="exact"/>
        <w:rPr>
          <w:rFonts w:ascii="Times New Roman" w:cs="Times New Roman" w:eastAsia="Times New Roman" w:hAnsi="Times New Roman"/>
          <w:sz w:val="18"/>
          <w:szCs w:val="18"/>
          <w:color w:val="auto"/>
        </w:rPr>
      </w:pPr>
    </w:p>
    <w:p>
      <w:pPr>
        <w:ind w:left="680" w:right="40" w:hanging="321"/>
        <w:spacing w:after="0" w:line="254"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Off-Grid Residences</w:t>
      </w:r>
      <w:r>
        <w:rPr>
          <w:rFonts w:ascii="Times New Roman" w:cs="Times New Roman" w:eastAsia="Times New Roman" w:hAnsi="Times New Roman"/>
          <w:sz w:val="18"/>
          <w:szCs w:val="18"/>
          <w:color w:val="auto"/>
        </w:rPr>
        <w:t>. Many people are turning to off-grid housing and, as individuals and governments become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BloombergNEF.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Addressable Markets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76" w:lineRule="exact"/>
        <w:rPr>
          <w:sz w:val="20"/>
          <w:szCs w:val="20"/>
          <w:color w:val="auto"/>
        </w:rPr>
      </w:pPr>
    </w:p>
    <w:p>
      <w:pPr>
        <w:ind w:left="680" w:right="40" w:hanging="321"/>
        <w:spacing w:after="0" w:line="256"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Industrial / Material Handlings / Work Truck</w:t>
      </w:r>
      <w:r>
        <w:rPr>
          <w:rFonts w:ascii="Times New Roman" w:cs="Times New Roman" w:eastAsia="Times New Roman" w:hAnsi="Times New Roman"/>
          <w:sz w:val="18"/>
          <w:szCs w:val="18"/>
          <w:color w:val="auto"/>
        </w:rPr>
        <w:t>. The industrial vehicle market includes work trucks, material handling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warehousing equipment and compact construction equipment. As industrial vehicles increase in terms of automation and incorporate more onboard tools, the need for a long- 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20" w:hanging="321"/>
        <w:spacing w:after="0" w:line="25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Specialty Vehicles</w:t>
      </w:r>
      <w:r>
        <w:rPr>
          <w:rFonts w:ascii="Times New Roman" w:cs="Times New Roman" w:eastAsia="Times New Roman" w:hAnsi="Times New Roman"/>
          <w:sz w:val="18"/>
          <w:szCs w:val="18"/>
          <w:color w:val="auto"/>
        </w:rPr>
        <w:t>. According to Mordor Intelligence, as of 2019, approximately 40% of the specialty vehicle market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82"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Emergency and Standby Power</w:t>
      </w:r>
      <w:r>
        <w:rPr>
          <w:rFonts w:ascii="Times New Roman" w:cs="Times New Roman" w:eastAsia="Times New Roman" w:hAnsi="Times New Roman"/>
          <w:sz w:val="18"/>
          <w:szCs w:val="18"/>
          <w:color w:val="auto"/>
        </w:rPr>
        <w:t>. Demand for reliable emergency and standby power sources is expected to continue to drive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88" w:lineRule="exact"/>
        <w:rPr>
          <w:rFonts w:ascii="Times New Roman" w:cs="Times New Roman" w:eastAsia="Times New Roman" w:hAnsi="Times New Roman"/>
          <w:sz w:val="18"/>
          <w:szCs w:val="18"/>
          <w:color w:val="auto"/>
        </w:rPr>
      </w:pPr>
    </w:p>
    <w:p>
      <w:pPr>
        <w:ind w:left="680" w:hanging="321"/>
        <w:spacing w:after="0" w:line="254"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Telecom</w:t>
      </w:r>
      <w:r>
        <w:rPr>
          <w:rFonts w:ascii="Times New Roman" w:cs="Times New Roman" w:eastAsia="Times New Roman" w:hAnsi="Times New Roman"/>
          <w:sz w:val="18"/>
          <w:szCs w:val="18"/>
          <w:color w:val="auto"/>
        </w:rPr>
        <w:t>. Demand for mobile data continues to increase and network providers are investing heavily in 5G networks,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88" w:lineRule="exact"/>
        <w:rPr>
          <w:rFonts w:ascii="Times New Roman" w:cs="Times New Roman" w:eastAsia="Times New Roman" w:hAnsi="Times New Roman"/>
          <w:sz w:val="18"/>
          <w:szCs w:val="18"/>
          <w:color w:val="auto"/>
        </w:rPr>
      </w:pPr>
    </w:p>
    <w:p>
      <w:pPr>
        <w:ind w:left="680" w:right="240" w:hanging="321"/>
        <w:spacing w:after="0" w:line="255"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Rail</w:t>
      </w:r>
      <w:r>
        <w:rPr>
          <w:rFonts w:ascii="Times New Roman" w:cs="Times New Roman" w:eastAsia="Times New Roman" w:hAnsi="Times New Roman"/>
          <w:sz w:val="18"/>
          <w:szCs w:val="18"/>
          <w:color w:val="auto"/>
        </w:rPr>
        <w:t>. Rail transportation is a large potential market, with an estimated market size of $98.6 billion in 2022, according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w:t>
      </w:r>
    </w:p>
    <w:p>
      <w:pPr>
        <w:spacing w:after="0" w:line="2" w:lineRule="exact"/>
        <w:rPr>
          <w:rFonts w:ascii="Times New Roman" w:cs="Times New Roman" w:eastAsia="Times New Roman" w:hAnsi="Times New Roman"/>
          <w:sz w:val="18"/>
          <w:szCs w:val="18"/>
          <w:color w:val="auto"/>
        </w:rPr>
      </w:pPr>
    </w:p>
    <w:p>
      <w:pPr>
        <w:ind w:left="6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84" w:lineRule="exact"/>
        <w:rPr>
          <w:rFonts w:ascii="Times New Roman" w:cs="Times New Roman" w:eastAsia="Times New Roman" w:hAnsi="Times New Roman"/>
          <w:sz w:val="18"/>
          <w:szCs w:val="18"/>
          <w:color w:val="auto"/>
        </w:rPr>
      </w:pPr>
    </w:p>
    <w:p>
      <w:pPr>
        <w:ind w:left="680" w:right="120" w:hanging="321"/>
        <w:spacing w:after="0" w:line="254"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Centers</w:t>
      </w:r>
      <w:r>
        <w:rPr>
          <w:rFonts w:ascii="Times New Roman" w:cs="Times New Roman" w:eastAsia="Times New Roman" w:hAnsi="Times New Roman"/>
          <w:sz w:val="18"/>
          <w:szCs w:val="18"/>
          <w:color w:val="auto"/>
        </w:rPr>
        <w:t>. Data centers have seen strong growth in recent years, with over 2,750 data centers in the United States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2022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5" w:lineRule="exact"/>
        <w:rPr>
          <w:rFonts w:ascii="Times New Roman" w:cs="Times New Roman" w:eastAsia="Times New Roman" w:hAnsi="Times New Roman"/>
          <w:sz w:val="18"/>
          <w:szCs w:val="18"/>
          <w:color w:val="auto"/>
        </w:rPr>
      </w:pPr>
    </w:p>
    <w:p>
      <w:pPr>
        <w:ind w:left="680" w:right="160" w:hanging="321"/>
        <w:spacing w:after="0" w:line="25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On-grid Storage</w:t>
      </w:r>
      <w:r>
        <w:rPr>
          <w:rFonts w:ascii="Times New Roman" w:cs="Times New Roman" w:eastAsia="Times New Roman" w:hAnsi="Times New Roman"/>
          <w:sz w:val="18"/>
          <w:szCs w:val="18"/>
          <w:color w:val="auto"/>
        </w:rPr>
        <w:t>. On-grid energy storage is used on a large-scale platform within an electrical power grid in conjunction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spacing w:after="0" w:line="261" w:lineRule="auto"/>
        <w:rPr>
          <w:sz w:val="20"/>
          <w:szCs w:val="20"/>
          <w:color w:val="auto"/>
        </w:rPr>
      </w:pPr>
      <w:r>
        <w:rPr>
          <w:rFonts w:ascii="Times New Roman" w:cs="Times New Roman" w:eastAsia="Times New Roman" w:hAnsi="Times New Roman"/>
          <w:sz w:val="18"/>
          <w:szCs w:val="18"/>
          <w:color w:val="auto"/>
        </w:rPr>
        <w:t>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36" w:lineRule="exact"/>
        <w:rPr>
          <w:sz w:val="20"/>
          <w:szCs w:val="20"/>
          <w:color w:val="auto"/>
        </w:rPr>
      </w:pPr>
    </w:p>
    <w:p>
      <w:pPr>
        <w:ind w:left="680" w:hanging="321"/>
        <w:spacing w:after="0" w:line="255"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Premier Lithium-Ion Battery Technology</w:t>
      </w:r>
      <w:r>
        <w:rPr>
          <w:rFonts w:ascii="Times New Roman" w:cs="Times New Roman" w:eastAsia="Times New Roman" w:hAnsi="Times New Roman"/>
          <w:sz w:val="18"/>
          <w:szCs w:val="18"/>
          <w:color w:val="auto"/>
        </w:rPr>
        <w:t>. Each of our innovative batteries features custom designed components to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and stops drawing power from the battery at -4 degrees Fahrenheit. This technology increases performance in cold weather conditions while possessing a unique heating solution that does not require an external energy source.</w:t>
      </w:r>
    </w:p>
    <w:p>
      <w:pPr>
        <w:spacing w:after="0" w:line="184" w:lineRule="exact"/>
        <w:rPr>
          <w:rFonts w:ascii="Times New Roman" w:cs="Times New Roman" w:eastAsia="Times New Roman" w:hAnsi="Times New Roman"/>
          <w:sz w:val="18"/>
          <w:szCs w:val="18"/>
          <w:color w:val="auto"/>
        </w:rPr>
      </w:pPr>
    </w:p>
    <w:p>
      <w:pPr>
        <w:jc w:val="both"/>
        <w:ind w:left="680" w:right="240" w:hanging="321"/>
        <w:spacing w:after="0" w:line="268"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Extensive, Growing Patent Portfolio</w:t>
      </w:r>
      <w:r>
        <w:rPr>
          <w:rFonts w:ascii="Times New Roman" w:cs="Times New Roman" w:eastAsia="Times New Roman" w:hAnsi="Times New Roman"/>
          <w:sz w:val="18"/>
          <w:szCs w:val="18"/>
          <w:color w:val="auto"/>
        </w:rPr>
        <w:t>. We have developed and filed patent applications on commercially relevant aspects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business including chemical compositions systems and production processes. To date, we have owned 24 issued patents, with an additional 20 patent applications pending, in the United States, China, Europe, Australia, Canada and other regions.</w:t>
      </w:r>
    </w:p>
    <w:p>
      <w:pPr>
        <w:spacing w:after="0" w:line="170" w:lineRule="exact"/>
        <w:rPr>
          <w:rFonts w:ascii="Times New Roman" w:cs="Times New Roman" w:eastAsia="Times New Roman" w:hAnsi="Times New Roman"/>
          <w:sz w:val="18"/>
          <w:szCs w:val="18"/>
          <w:color w:val="auto"/>
        </w:rPr>
      </w:pPr>
    </w:p>
    <w:p>
      <w:pPr>
        <w:ind w:left="680" w:right="240" w:hanging="321"/>
        <w:spacing w:after="0" w:line="257"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Proven Go-To-Market Strategy</w:t>
      </w:r>
      <w:r>
        <w:rPr>
          <w:rFonts w:ascii="Times New Roman" w:cs="Times New Roman" w:eastAsia="Times New Roman" w:hAnsi="Times New Roman"/>
          <w:sz w:val="18"/>
          <w:szCs w:val="18"/>
          <w:color w:val="auto"/>
        </w:rPr>
        <w:t>. We have successfully established a direct-to-consumer platform and have developed strong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relationships 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82" w:lineRule="exact"/>
        <w:rPr>
          <w:rFonts w:ascii="Times New Roman" w:cs="Times New Roman" w:eastAsia="Times New Roman" w:hAnsi="Times New Roman"/>
          <w:sz w:val="18"/>
          <w:szCs w:val="18"/>
          <w:color w:val="auto"/>
        </w:rPr>
      </w:pPr>
    </w:p>
    <w:p>
      <w:pPr>
        <w:ind w:left="680" w:right="120" w:hanging="321"/>
        <w:spacing w:after="0" w:line="259"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Established Customer Base with Brand Recognition</w:t>
      </w:r>
      <w:r>
        <w:rPr>
          <w:rFonts w:ascii="Times New Roman" w:cs="Times New Roman" w:eastAsia="Times New Roman" w:hAnsi="Times New Roman"/>
          <w:sz w:val="18"/>
          <w:szCs w:val="18"/>
          <w:color w:val="auto"/>
        </w:rPr>
        <w:t>. We have a growing customer base of approximately 14,000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180% since 2018) with visibility for future growth through further expansion of our existing relationships.</w:t>
      </w:r>
    </w:p>
    <w:p>
      <w:pPr>
        <w:spacing w:after="0" w:line="179" w:lineRule="exact"/>
        <w:rPr>
          <w:rFonts w:ascii="Times New Roman" w:cs="Times New Roman" w:eastAsia="Times New Roman" w:hAnsi="Times New Roman"/>
          <w:sz w:val="18"/>
          <w:szCs w:val="18"/>
          <w:color w:val="auto"/>
        </w:rPr>
      </w:pPr>
    </w:p>
    <w:p>
      <w:pPr>
        <w:jc w:val="both"/>
        <w:ind w:left="680" w:right="440" w:hanging="321"/>
        <w:spacing w:after="0" w:line="268"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Quality Manufacturing Process</w:t>
      </w:r>
      <w:r>
        <w:rPr>
          <w:rFonts w:ascii="Times New Roman" w:cs="Times New Roman" w:eastAsia="Times New Roman" w:hAnsi="Times New Roman"/>
          <w:sz w:val="18"/>
          <w:szCs w:val="18"/>
          <w:color w:val="auto"/>
        </w:rPr>
        <w:t>. Unlike competitors that outsource their manufacturing processes, our batteries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assembled and tested in the United States, ensuring that our manufacturing process is thoroughly tested and our batteries are of the highest quality.</w:t>
      </w:r>
    </w:p>
    <w:p>
      <w:pPr>
        <w:spacing w:after="0" w:line="170" w:lineRule="exact"/>
        <w:rPr>
          <w:rFonts w:ascii="Times New Roman" w:cs="Times New Roman" w:eastAsia="Times New Roman" w:hAnsi="Times New Roman"/>
          <w:sz w:val="18"/>
          <w:szCs w:val="18"/>
          <w:color w:val="auto"/>
        </w:rPr>
      </w:pPr>
    </w:p>
    <w:p>
      <w:pPr>
        <w:ind w:left="680" w:right="20" w:hanging="321"/>
        <w:spacing w:after="0" w:line="25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Drop-in Replacement</w:t>
      </w:r>
      <w:r>
        <w:rPr>
          <w:rFonts w:ascii="Times New Roman" w:cs="Times New Roman" w:eastAsia="Times New Roman" w:hAnsi="Times New Roman"/>
          <w:sz w:val="18"/>
          <w:szCs w:val="18"/>
          <w:color w:val="auto"/>
        </w:rPr>
        <w:t>. Our battery modules are largely designed to be “drop-in replacements” for traditional lead-acid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158" w:lineRule="exact"/>
        <w:rPr>
          <w:sz w:val="20"/>
          <w:szCs w:val="20"/>
          <w:color w:val="auto"/>
        </w:rPr>
      </w:pPr>
    </w:p>
    <w:p>
      <w:pPr>
        <w:ind w:left="680" w:right="200" w:hanging="321"/>
        <w:spacing w:after="0" w:line="28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Product Offerings</w:t>
      </w:r>
      <w:r>
        <w:rPr>
          <w:rFonts w:ascii="Times New Roman" w:cs="Times New Roman" w:eastAsia="Times New Roman" w:hAnsi="Times New Roman"/>
          <w:sz w:val="18"/>
          <w:szCs w:val="18"/>
          <w:color w:val="auto"/>
        </w:rPr>
        <w:t>. In the short-term, our aim is to further diversify our product offerings to give consumers,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OEMs and distributors, more options for additional applications. This will be accelerated by the expansion of our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60"/>
        <w:spacing w:after="0" w:line="261" w:lineRule="auto"/>
        <w:rPr>
          <w:sz w:val="20"/>
          <w:szCs w:val="20"/>
          <w:color w:val="auto"/>
        </w:rPr>
      </w:pPr>
      <w:r>
        <w:rPr>
          <w:rFonts w:ascii="Times New Roman" w:cs="Times New Roman" w:eastAsia="Times New Roman" w:hAnsi="Times New Roman"/>
          <w:sz w:val="18"/>
          <w:szCs w:val="18"/>
          <w:color w:val="auto"/>
        </w:rPr>
        <w:t>production capacity in our new manufacturing facility. We intend to launch and scale production of additional 12 voltage and 24 voltage batteries and introduce 48 voltage batteries, which we believe will extend our market reach in each of our targeted end markets. We believe the natural evolution of our product offering is to become a system integrator for solar and other energy storage solutions.</w:t>
      </w:r>
    </w:p>
    <w:p>
      <w:pPr>
        <w:spacing w:after="0" w:line="176" w:lineRule="exact"/>
        <w:rPr>
          <w:sz w:val="20"/>
          <w:szCs w:val="20"/>
          <w:color w:val="auto"/>
        </w:rPr>
      </w:pPr>
    </w:p>
    <w:p>
      <w:pPr>
        <w:ind w:left="680" w:right="20" w:hanging="321"/>
        <w:spacing w:after="0" w:line="259"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End Markets</w:t>
      </w:r>
      <w:r>
        <w:rPr>
          <w:rFonts w:ascii="Times New Roman" w:cs="Times New Roman" w:eastAsia="Times New Roman" w:hAnsi="Times New Roman"/>
          <w:sz w:val="18"/>
          <w:szCs w:val="18"/>
          <w:color w:val="auto"/>
        </w:rPr>
        <w:t>. We have identified additional end markets that we believe in the medium- to longer-term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79" w:lineRule="exact"/>
        <w:rPr>
          <w:rFonts w:ascii="Times New Roman" w:cs="Times New Roman" w:eastAsia="Times New Roman" w:hAnsi="Times New Roman"/>
          <w:sz w:val="18"/>
          <w:szCs w:val="18"/>
          <w:color w:val="auto"/>
        </w:rPr>
      </w:pPr>
    </w:p>
    <w:p>
      <w:pPr>
        <w:ind w:left="680" w:right="200" w:hanging="321"/>
        <w:spacing w:after="0" w:line="26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Commercialize Solid-State Technology</w:t>
      </w:r>
      <w:r>
        <w:rPr>
          <w:rFonts w:ascii="Times New Roman" w:cs="Times New Roman" w:eastAsia="Times New Roman" w:hAnsi="Times New Roman"/>
          <w:sz w:val="18"/>
          <w:szCs w:val="18"/>
          <w:color w:val="auto"/>
        </w:rPr>
        <w:t>. We believe solid-state technology presents a significant advantage to all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 charging batteries has led to the development of lithium-ion batteries and, within the lithium-ion battery market, different chemistries.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and nickel cobalt aluminum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electric vehicle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130810</wp:posOffset>
            </wp:positionV>
            <wp:extent cx="5109210" cy="13373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092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“Lithium and Cobalt: A tale of two commodities,”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 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 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 LFP batteries have a tendency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w:t>
      </w:r>
      <w:r>
        <w:rPr>
          <w:rFonts w:ascii="Times New Roman" w:cs="Times New Roman" w:eastAsia="Times New Roman" w:hAnsi="Times New Roman"/>
          <w:sz w:val="18"/>
          <w:szCs w:val="18"/>
          <w:i w:val="1"/>
          <w:iCs w:val="1"/>
          <w:color w:val="auto"/>
        </w:rPr>
        <w:t>“— Research and Development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2021 and 2022 we sold 59,082 and 72,873 batteries, respectively, and had $57.8 million and $66.0 million in sales, respectively. Net income for the nine months ended September 30, 2021 was $4.4 million and net loss for the nine months ended September 30, 2022 was $7.5 million, respectively, and Adjusted EBITDA was $7.5 million and $(1.1) million, respectively. For the years ended December 31, 2020 and 2021 we sold 51,434 and 74,652 batteries, respectively, and had $47.2 million and $78.0 million in sales, respectively. Net income for the years ended December 31, 2020 and 2021 was $6.9 million and $4.3 million, respectively, and Adjusted EBITDA was $9.4 million and $8.7 million, respectively. For a reconciliation of Adjusted EBITDA to its most directly comparable GAAP measure, information on why we consider Adjusted EBITDA useful and a discussion of the material risks and limitations of this measure, please see the section entitled, “</w:t>
      </w:r>
      <w:r>
        <w:rPr>
          <w:rFonts w:ascii="Times New Roman" w:cs="Times New Roman" w:eastAsia="Times New Roman" w:hAnsi="Times New Roman"/>
          <w:sz w:val="18"/>
          <w:szCs w:val="18"/>
          <w:i w:val="1"/>
          <w:iCs w:val="1"/>
          <w:color w:val="auto"/>
        </w:rPr>
        <w:t>Dragonfly’s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 Non-GAAP Financial Measures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core products are LFP battery modules with a built-in battery management system offered under our two brand names: Dragonfly Energy, which sells only to OEMs, and Battle Born Batteries, which sells direct to consumers and increasingly to OEMs. We currently offer eight LFP battery models across our two brands, each differentiated by size, power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123190</wp:posOffset>
            </wp:positionV>
            <wp:extent cx="5143500" cy="2082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114300</wp:posOffset>
            </wp:positionV>
            <wp:extent cx="5194935" cy="21088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949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114300</wp:posOffset>
            </wp:positionV>
            <wp:extent cx="5177790" cy="1920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777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proprietary battery management system is designed,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76" w:lineRule="exact"/>
        <w:rPr>
          <w:sz w:val="20"/>
          <w:szCs w:val="20"/>
          <w:color w:val="auto"/>
        </w:rPr>
      </w:pPr>
    </w:p>
    <w:p>
      <w:pPr>
        <w:ind w:left="680" w:right="64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between -4 degrees Fahrenheit and 135 degrees Fahrenheit, and is designed to cut off charging at 24 degrees Fahrenheit to protect cells;</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 battery hub communication system,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this hub to customers as an adjacent component and in our product bundles during the first half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pacing w:after="0" w:line="158" w:lineRule="exact"/>
        <w:rPr>
          <w:sz w:val="20"/>
          <w:szCs w:val="20"/>
          <w:color w:val="auto"/>
        </w:rPr>
      </w:pPr>
    </w:p>
    <w:p>
      <w:pPr>
        <w:jc w:val="both"/>
        <w:ind w:left="680" w:right="40" w:hanging="321"/>
        <w:spacing w:after="0" w:line="268"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New Products</w:t>
      </w:r>
      <w:r>
        <w:rPr>
          <w:rFonts w:ascii="Times New Roman" w:cs="Times New Roman" w:eastAsia="Times New Roman" w:hAnsi="Times New Roman"/>
          <w:sz w:val="18"/>
          <w:szCs w:val="18"/>
          <w:color w:val="auto"/>
        </w:rPr>
        <w:t>. Our current offerings feature battery products that serve the RV, marine vessel and off-grid markets. Although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operations were previously capacity constrained the expansion into our new manufacturing facility will allow us to add production capacity and increase product offerings and scale based on demand.</w:t>
      </w:r>
    </w:p>
    <w:p>
      <w:pPr>
        <w:spacing w:after="0" w:line="174" w:lineRule="exact"/>
        <w:rPr>
          <w:rFonts w:ascii="Times New Roman" w:cs="Times New Roman" w:eastAsia="Times New Roman" w:hAnsi="Times New Roman"/>
          <w:sz w:val="18"/>
          <w:szCs w:val="18"/>
          <w:color w:val="auto"/>
        </w:rPr>
      </w:pPr>
    </w:p>
    <w:p>
      <w:pPr>
        <w:ind w:left="1000" w:right="60" w:hanging="317"/>
        <w:spacing w:after="0" w:line="258"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voltage batteries, which provide 85 amp hours of power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83" w:lineRule="exact"/>
        <w:rPr>
          <w:rFonts w:ascii="Times New Roman" w:cs="Times New Roman" w:eastAsia="Times New Roman" w:hAnsi="Times New Roman"/>
          <w:sz w:val="18"/>
          <w:szCs w:val="18"/>
          <w:color w:val="auto"/>
        </w:rPr>
      </w:pPr>
    </w:p>
    <w:p>
      <w:pPr>
        <w:ind w:left="1000" w:right="100" w:hanging="317"/>
        <w:spacing w:after="0" w:line="256"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ranging from 125 to 175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87" w:lineRule="exact"/>
        <w:rPr>
          <w:rFonts w:ascii="Times New Roman" w:cs="Times New Roman" w:eastAsia="Times New Roman" w:hAnsi="Times New Roman"/>
          <w:sz w:val="18"/>
          <w:szCs w:val="18"/>
          <w:color w:val="auto"/>
        </w:rPr>
      </w:pPr>
    </w:p>
    <w:p>
      <w:pPr>
        <w:ind w:left="1000" w:right="20" w:hanging="317"/>
        <w:spacing w:after="0" w:line="258"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that will range from an anticipated 60 to 85 amp hours.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79"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 Integrator</w:t>
      </w:r>
      <w:r>
        <w:rPr>
          <w:rFonts w:ascii="Times New Roman" w:cs="Times New Roman" w:eastAsia="Times New Roman" w:hAnsi="Times New Roman"/>
          <w:sz w:val="18"/>
          <w:szCs w:val="18"/>
          <w:color w:val="auto"/>
        </w:rPr>
        <w:t>. A natural evolution of our business is to offer customers a system integration solution providing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 power solutions at a cost-effective price point. We currently offer direct parts, accessories, chargers and bundles to customers under the Battle Born Energy and Battle Born Solar brands to help establish our products as part of new green energy and solar power solutions. We have an in-house expert customer service team that assists customers in fully integrating their applications to our technologies for a seamless transition. Through our evolving technology and the customized architecture and application of our products, we are able to offer customers a seamless transition to creating a centralized coordinated system.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during 2023.</w:t>
      </w:r>
    </w:p>
    <w:p>
      <w:pPr>
        <w:spacing w:after="0" w:line="19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 state cell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128270</wp:posOffset>
            </wp:positionV>
            <wp:extent cx="2726055" cy="1842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2605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 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114300</wp:posOffset>
            </wp:positionV>
            <wp:extent cx="3240405" cy="2339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4040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87"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8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6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154305</wp:posOffset>
            </wp:positionV>
            <wp:extent cx="5143500" cy="9690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9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On February 8, 2022, we entered into a 124-month lease for an additional 390,240 square foot warehouse, which, once built, we intend to utilize for the manufacture of our solid-state batteries.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 standing relationships with these suppliers, we are able to source LFP cells on favorable terms and within reasonable lead-times.</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we look toward the production of our solid-state cells, we have signed a Memorandum of Understanding with a lithium mining company located in Nevada for the supply of lithium.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currently serve approximately 14,000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nine months ended September 30, 2022, OEM sales represented 36.8% of our total revenues and for the years ended December 31, 2020 and 2021, OEM sales represented 7.4% and 10.5% of our total revenues, respectively, which we expect to increase to approximately 37% of our total revenues by 2023 (including as a result of the strategic arrangements described below).</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deep, long-standing relationships with many of our customers. We also have a diverse customer base, with our top 10 customers accounting for 34% of our revenue for the nine months ended September 30, 2022. Our customers primarily utilize our products for RVs, marine vessels and off-grid residences. We work directly with OEMs to ensure compatibility with existing designs and also collaborate on custom designs for new applications.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In January 2022, we entered into a long-term supply arrangement with Keystone, a member of the THOR group and the largest towable RV OEM in North America. Under this supply arrangement we will be the exclusive supplier to Keystone for certain of its future LFP battery requirements, solidifying our long-standing relationship with Keystone.</w:t>
      </w:r>
    </w:p>
    <w:p>
      <w:pPr>
        <w:spacing w:after="0" w:line="187"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will be negotiated and agreed with THOR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9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utilize a multi-pronged sales and marketing strategy to ensure that the Dragonfly Energy and Battle Born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as well as with professional anglers, to create a lasting relationship that showcases the performance of our products, rather than one-off promotions. Our products have also been featured in television shows and on podcasts that cater specifically to RV enthusiasts.</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also value our direct relationships with retail customers. Our website and our customer service are key elements to our sales strategy. Our website enables customers to purchase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9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 focused energy storage companies such as EOS Energy, ESS and 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2022 we owned 24 issued patents and 20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protecting the design of our GC2 and GC3 batteries, the device and method for monitoring battery systems, powderized solid-state electrolyte and electroactive materials, preparation and film deposition of these pre-coated powders and the manufacturing process for the solid-state cell technology which includes the manufacturing of conductive particle films for lithium-ion batteries and the dry powder coating of an electrochemical cell. Our issued patents start expiring on May 30, 2033.</w:t>
      </w:r>
    </w:p>
    <w:p>
      <w:pPr>
        <w:spacing w:after="0" w:line="19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September 30, 2022, we own four trademark registrations to cover our house marks in the United States and we have seven pending trademark applications relating to our design logos and slogans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229" w:lineRule="exact"/>
        <w:rPr>
          <w:sz w:val="20"/>
          <w:szCs w:val="20"/>
          <w:color w:val="auto"/>
        </w:rPr>
      </w:pPr>
    </w:p>
    <w:p>
      <w:pPr>
        <w:jc w:val="both"/>
        <w:ind w:right="80" w:firstLine="324"/>
        <w:spacing w:after="0" w:line="255"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located in Reno, Nevada and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(for example, machine guarding, hot work, hazardous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material management and transportation). We train our employees and conduct audits of our operations to assess our fulfillment of these policies.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2022, we have 174 employees; 168 full-time, 2 part-time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78" w:lineRule="exact"/>
        <w:rPr>
          <w:sz w:val="20"/>
          <w:szCs w:val="20"/>
          <w:color w:val="auto"/>
        </w:rPr>
      </w:pPr>
    </w:p>
    <w:p>
      <w:pPr>
        <w:ind w:left="680" w:right="40" w:hanging="321"/>
        <w:spacing w:after="0" w:line="267"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Safety — Employees </w:t>
      </w:r>
      <w:r>
        <w:rPr>
          <w:rFonts w:ascii="Times New Roman" w:cs="Times New Roman" w:eastAsia="Times New Roman" w:hAnsi="Times New Roman"/>
          <w:sz w:val="18"/>
          <w:szCs w:val="18"/>
          <w:color w:val="auto"/>
        </w:rPr>
        <w:t>are regularly educated in safety around their workspaces, and employees participate in volunteer roles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committee, and in emergency readiness roles. We have a dedicated safety coordinator who tracks and measures our performance, and helps us benchmark our safety programs against our peers.</w:t>
      </w:r>
    </w:p>
    <w:p>
      <w:pPr>
        <w:spacing w:after="0" w:line="173" w:lineRule="exact"/>
        <w:rPr>
          <w:rFonts w:ascii="Times New Roman" w:cs="Times New Roman" w:eastAsia="Times New Roman" w:hAnsi="Times New Roman"/>
          <w:sz w:val="18"/>
          <w:szCs w:val="18"/>
          <w:color w:val="auto"/>
        </w:rPr>
      </w:pPr>
    </w:p>
    <w:p>
      <w:pPr>
        <w:jc w:val="both"/>
        <w:ind w:left="680" w:right="520" w:hanging="321"/>
        <w:spacing w:after="0" w:line="261"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Diversity, Equity &amp; Inclusion — Our </w:t>
      </w:r>
      <w:r>
        <w:rPr>
          <w:rFonts w:ascii="Times New Roman" w:cs="Times New Roman" w:eastAsia="Times New Roman" w:hAnsi="Times New Roman"/>
          <w:sz w:val="18"/>
          <w:szCs w:val="18"/>
          <w:color w:val="auto"/>
        </w:rPr>
        <w:t>culture has benefitted from the diversity of our workforce from the very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79" w:lineRule="exact"/>
        <w:rPr>
          <w:rFonts w:ascii="Times New Roman" w:cs="Times New Roman" w:eastAsia="Times New Roman" w:hAnsi="Times New Roman"/>
          <w:sz w:val="18"/>
          <w:szCs w:val="18"/>
          <w:color w:val="auto"/>
        </w:rPr>
      </w:pPr>
    </w:p>
    <w:p>
      <w:pPr>
        <w:ind w:left="680" w:right="240" w:hanging="321"/>
        <w:spacing w:after="0" w:line="267"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Collaboration — As </w:t>
      </w:r>
      <w:r>
        <w:rPr>
          <w:rFonts w:ascii="Times New Roman" w:cs="Times New Roman" w:eastAsia="Times New Roman" w:hAnsi="Times New Roman"/>
          <w:sz w:val="18"/>
          <w:szCs w:val="18"/>
          <w:color w:val="auto"/>
        </w:rPr>
        <w:t>we grow, opportunities for cross-functional collaboration are not as organic as they used to be.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responded to that change by staying mindful and acting intentionally to gather cross-functional input on new initiatives and continuous improvement efforts.</w:t>
      </w:r>
    </w:p>
    <w:p>
      <w:pPr>
        <w:spacing w:after="0" w:line="173" w:lineRule="exact"/>
        <w:rPr>
          <w:rFonts w:ascii="Times New Roman" w:cs="Times New Roman" w:eastAsia="Times New Roman" w:hAnsi="Times New Roman"/>
          <w:sz w:val="18"/>
          <w:szCs w:val="18"/>
          <w:color w:val="auto"/>
        </w:rPr>
      </w:pPr>
    </w:p>
    <w:p>
      <w:pPr>
        <w:ind w:left="680" w:right="400" w:hanging="321"/>
        <w:spacing w:after="0" w:line="267"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Improvement — We </w:t>
      </w:r>
      <w:r>
        <w:rPr>
          <w:rFonts w:ascii="Times New Roman" w:cs="Times New Roman" w:eastAsia="Times New Roman" w:hAnsi="Times New Roman"/>
          <w:sz w:val="18"/>
          <w:szCs w:val="18"/>
          <w:color w:val="auto"/>
        </w:rPr>
        <w:t>apply continuous improvement measures to processes as well as people. We encourage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development of our employees, through ongoing learning, credentialing, and collaboration with their industry peers.</w:t>
      </w:r>
    </w:p>
    <w:p>
      <w:pPr>
        <w:spacing w:after="0" w:line="1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 based compensation that rewards individual and organizational achievements.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DRAGONFLY’S 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Corp. and its consolidated subsidiaries prior to the Business Combination.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Holdings Corp. and its consolidated subsidiaries after giving effect to the Business Combination. The following discussion and analysis of our results of operations and financial condition should be read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our financial statements and related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included elsewhere in this prospectus. This discussion contains forward-looking statements based upon our current expectations, estimates and projections that involve risks and uncertainties. Actual results could differ materially from those anticipated in these forward-looking statements due to, among other considerations, the matters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Founded in 2012 and based in Reno, Nevada, 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Since 2020, we have sold over 198,000 batteries. For the nine months ended September 30, 2021 and 2022, we sold 59,082 and 72,873 batteries, respectively, and had $57.8 million and $66.0 million in net sales, respectively. For the years ended December 31, 2020 and 2021, we sold 51,434 and 74,652 batteries, respectively, and had $47.2 million and $78.0 million in net sales, respectively. We currently offer a line of batteries across our “Battle Born” and “Dragonfly” brands, each differentiated by size, power and capacity, consisting of eight different models, four of which come with a heated option. We primarily sell “Battle Born” branded batteries directly to consumers and “Dragonfly” branded batteries to OEMs.</w:t>
      </w:r>
    </w:p>
    <w:p>
      <w:pPr>
        <w:spacing w:after="0" w:line="18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increased total sales are a reflection of strong growth in OEM sales,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8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jc w:val="both"/>
        <w:ind w:right="160" w:firstLine="324"/>
        <w:spacing w:after="0" w:line="272" w:lineRule="auto"/>
        <w:rPr>
          <w:sz w:val="20"/>
          <w:szCs w:val="20"/>
          <w:color w:val="auto"/>
        </w:rPr>
      </w:pPr>
      <w:r>
        <w:rPr>
          <w:rFonts w:ascii="Times New Roman" w:cs="Times New Roman" w:eastAsia="Times New Roman" w:hAnsi="Times New Roman"/>
          <w:sz w:val="17"/>
          <w:szCs w:val="17"/>
          <w:color w:val="auto"/>
        </w:rPr>
        <w:t>In addition to our conventional LFP batteries, our experienced research and development team, headed by our 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Solid-state technology eliminates the use of a liquid electrolyte, which addresses the residual heat and flammability issues arising from traditional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allowing us to vertically integrate our cells into our batteries, thereby lowering our production costs as a result of our proprietary cost-effective manufacturing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October 7, 2022,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Dragonfly is deemed the accounting acquirer, which means that Legacy Dragonfly’s financial statements for previous periods will be disclosed in our future periodic reports filed with the SEC.</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Business Combination is anticipated to be accounted for as a reverse recapitalization. Under this method of accounting, CNTQ will be treated as the acquired company for financial statement reporting purposes. See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approximately 11.6 million shares of CNTQ Common Stock were redeemed, which represented a significant portion of the publicly traded shares outstanding prior to the Business Combination and resulted in only approximately $11 million of the remaining cash from the Trust Account becoming available to us in connection with the closing of the Business Combination.</w:t>
      </w:r>
    </w:p>
    <w:p>
      <w:pPr>
        <w:spacing w:after="0" w:line="17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discussed within the section entitled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we have entered into the ChEF Equity Facility, pursuant to which we have the option to direct CCM to purchase up to $150.0 million of common stock, pursuant to, on the terms of and subject to satisfaction of the terms and conditions of availability in the Purchase Agreement. Further, we have entered into the Term Loan, which allows us to borrow up to an aggregate principal amount of $75 million. We believe that our cash on hand, which we anticipate will include utilization of the borrowings under the Term Loan and equity issuances under the ChEF Equity Facility, will be sufficient to meet our working capital and capital expenditure requirements for a period of at least twelve months from the filing date of this registration statement. In considering our capital requirements and sources of liquidity, we have not relied on the receipt of proceeds from the exercise of our Public Warrants and Private Warrants and, since the exercise price of our Public Warrants and Private Warrants exceeds the recent trading prices for shares of our common stock, it is unlikely that we will receive significant proceeds, if any, from the exercise of the Public Warrants and Private Warrants in the near future.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more information regarding our liquidity and capital resources.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55,298,545 shares that may be resold and/or issued into the public markets pursuant to this prospectus represent approximately 128% of the shares of our common stock outstanding as of November 14, 2022 (after giving effect to the issuance of the Option Shares, Public Warrant Shares and Private Warrant Shares). The selling securityholders will determine the timing, pricing and rate at which they sell such shares into the public market. Although the current trading price of our common stock is below $10.00 per share, which was the sales price for units in the CNTQ IPO, certain of the selling securityholders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we filed a registration statement registering the resale of up to 21,512,027 shares that may be resold into the public markets by CCM.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a result of becoming a publicly traded company, we continue to need to hire additional personnel and implement procedures and processes to address public company regulatory requirements and customary practices. We expect to incur additional annual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expenses as a public company for, among other things, directors’ and officers’ liability insurance, director fees and additional internal and external accounting and legal and administrative resources, including increased audit and legal fees.</w:t>
      </w:r>
    </w:p>
    <w:p>
      <w:pPr>
        <w:spacing w:after="0" w:line="16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Business Combination, we considered, among other things, certain internal financial projections and forecasts prepared by, or at the direction of, our management. Any projections and forecasts were inherently based on various estimates and assumptions that were subject to the judgment of those preparing them. Projections and forecasts are also subject to significant economic, competitive, industry and other uncertainties and contingencies, including the timing of closing of the Business Combination, increases in inflation and interest rates, volatility in financial and credit markets, the ongoing COVID-19 pandemic, the ongoing military conflict involving Russia and Ukraine, and the impact thereof on the global supply chain and the global economy, all of which are difficult or impossible to predict and many of which are beyond our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demand for our products ultimately depends on demand from consumers in our current end markets. We generate sales through (1)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and (2) through OEMs, particularly in the RV market.</w:t>
      </w:r>
    </w:p>
    <w:p>
      <w:pPr>
        <w:spacing w:after="0" w:line="16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(as a result of COVID-19 or otherwise), fuel costs and energy demands (including an increasing trend towards the use of green energy), as well as overall macro-economic conditions. Sales of our batteries have benefited from the increased adoption of the RV lifestyle and the demand for additional appliances and electronics in RVs during the COVID-19 pandemic. However, in recent months rising fuel costs and other macro-economic conditions have caused a downward shift in decisions taken by end market consumers around spending. We have also experienced delays and disruptions in our supply chain, as well as labor shortages and shutdowns, which disrupted the production of our batteries and impacted our ability to keep up with customer demand. In addition, the spreading of the virus may make it more difficult for us to find alternative suppliers due to the high concentration of such suppliers located in China.</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 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experienced a significant increase in prepaid inventory compared to prior periods as suppliers required upfront deposits in response to global supply chain disruptions.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Memorandum of Understanding with a lithium mining company located in Nevada for the supply of lithium, which we expect will enable us to further manage our cost of goods.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eight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(whether sold individually or as part of a bundle) typically have lower related margin. We expect DTC accessory sales to increase as we further develop full-system design expertise and product offerings and consumers increasingly demand more sophisticated systems, rather than simple drop-in replacement.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DTC,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and debt issuance costs.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2022 and 2021</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2022 and 2021. This data should be read together with our unaudited financial statements and related notes included elsewhere in this prospectus, and is qualified in its entirety by reference to such financial statements and related notes.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0"/>
                <w:szCs w:val="10"/>
                <w:color w:val="auto"/>
              </w:rPr>
            </w:pPr>
          </w:p>
        </w:tc>
        <w:tc>
          <w:tcPr>
            <w:tcW w:w="1100" w:type="dxa"/>
            <w:vAlign w:val="bottom"/>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232"/>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center"/>
              <w:ind w:left="6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2720" w:type="dxa"/>
            <w:vAlign w:val="bottom"/>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(Benefit) Provision for Income</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Tax</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7"/>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Distributor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Net Sales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Net Sales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66,042</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sales increased by $8.2 million, or 14.2%, to $66.0 million for the nine months ended September 30, 2022, as compared to $57.8 million for the nine months ended September 30, 2021. This increase was primarily due to strong growth in the Company’s OEM business partially offset by a decline in DTC sales. For the nine months ended September 30, 2022, OEM revenue increased by $17.6 million primarily as a result of increased sales to RV OEM customers. DTC revenue decreased by $9.4 million compared to the nine months ended September 30, 2021, primarily due to lower unit volumes as a result of decreased demand due to macro-economic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by $12.2 million, or 35.5%, to $46.5 million for the nine months ended September 30, 2022, as compared to $34.3 million for the nine months ended September 30, 2021. This increase was primarily due to growth in unit sales, higher material, shipping and logistics costs (which we expect are likely to continue)in the amount of $9.0 million, a $2.0 million increase in overhead expense associated with the new manufacturing facility, and higher labor costs due to growth in the Company’s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decreased by $3.9 million, or 16.8%, to $19.6 million for the nine months ended September 30, 2022, as compared to $23.5 million for the nine months ended September 30, 2021. The decrease in gross profit was primarily due to a change in revenue mix that included a larger percentage of lower margin OEM sales a lower percentage of DTC sales, together with an increase in cost of goods sold as noted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2.7%, to $2.0 million for the nine months ended September 30, 2022, as compared to $1.9 million for the nine months ended September 30, 2021. This increase was primarily due to higher wage expense partially offset by lower material costs in relation to research and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or 62.7%, to $13.7 million for the nine months ended September 30, 2022, as compared to $8.4 million for the nine months ended September 30, 2021. This increase was primarily due to higher professional fees associated with the Business Combination process in the amount of $1.9 million, a $2.0 million increase in costs associated with systems and personnel needed for public company readiness, and higher insurance fees due to growth in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$2.7 million, or 40.2%, to $9.3 million for the nine months ended September 30, 2022, as compared to $6.7 million for the nine months ended September 30, 2021. This increase was primarily due to an additional $1.6 million in wage expenses as a result of higher headcount to support growth initiatives in our existing and new adjacent markets, as well as increases across advertising, sponsorship and other sales and marketing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Other expense totaled $3.7 million for the nine months ended September 30, 2022 as compared to total other expense of $0.1 million for the nine months ended September 30, 2021. Other expense in 2022 is comprised primarily of interest expense related to $45.0 million in senior secured notes issued in November 2021. Interest expense will increase significantly as a result of approximately $75 million in post-closing indebtedness following completion of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Income tax benefit was $1.7 million for the nine months ended September 30, 2022, as compared to a $2.0 million expense for the nine months ended September 30, 2021. The income tax benefit reflects the Company’s expected use of losses in the period against future tax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experienced a net loss of $7.5 million for the nine months ended September 30, 2022, as compared to net income of $4.4 million for the nine months ended September 30, 2021. As described above, this result was driven primarily by higher sales offset by increased cost of goods sold, higher operating expenses, and increased other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2021 and 2020</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2021 and 2020. This data should be read together with our financial statements and related notes included elsewhere in this prospectus, and is qualified in its entirety by reference to such financial statements and related notes.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0"/>
                <w:szCs w:val="10"/>
                <w:color w:val="auto"/>
              </w:rPr>
            </w:pPr>
          </w:p>
        </w:tc>
        <w:tc>
          <w:tcPr>
            <w:tcW w:w="70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6"/>
          </w:tcPr>
          <w:p>
            <w:pPr>
              <w:jc w:val="center"/>
              <w:ind w:left="9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4,662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(Expense)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6,878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356"/>
        </w:trPr>
        <w:tc>
          <w:tcPr>
            <w:tcW w:w="3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Retailer</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w:t>
            </w: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Distributor</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sales increased by $30.8 million, or 65.3%, to $78.0 million for the years ended December 31, 2021, as compared to</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$47.2 million for the year ended December 31, 2020. This increase was primarily due to increased DTC sales and OEMs. For the year ended December 31, 2021, OEM revenue increased by $4.7 million as a result of increased adoption our products by existing customers, several of whom have begun to “design in” our batteries in various RV models as original equipment or have increased purchases in response to end- customer demand for safer, more efficient batteries and as a replacement for traditional lead-acid batteries.</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DTC revenue increased by $26.1 million as a result of increased customer demand for existing products and the introduction of new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by $21.8 million, or 82.0%, to $48.4 million for the year ended December 31, 2021, as compared to $26.6 million for the year ended December 31, 2020. This increase was primarily due to higher unit volumes and higher headcount associated with increased production, and higher overhead costs which increased due to the Company’s relocation into a new 99,000 sq. ft. facility in April 2021.</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increased by $9.0 million, or 43.8%, to $29.6 million for the year ended December 31, 2021, as compared to</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$20.6 million for the year ended December 31, 2020. This increase was primarily due to the increase in revenue, partially offset by the increase in cost of goods sold.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$1.5 million, or 117.0%, to $2.7 million for the year ended December 31, 2021, as compared to $1.2 million for the year ended December 31, 2020. This increase was primarily due to increased headcount as we continued to build our research and development staff associated with our solid-state technology development efforts and increased patent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$6.0 million, or 127.8%, to $10.6 million for the year ended December 31, 2021, as compared to $4.7 million for the year ended December 31, 2020. This increase was primarily due to increased headcount as we continued to expand our finance, legal and support teams, overhead costs associated with our large manufacturing facility and higher professional services fees arising from the Company’s business combination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$3.9 million, or 65.2%, to $9.8 million for the year ended December 31, 2021, as compared to $6.0 million for the year ended December 31, 2020. This increase was primarily due to the addition of sales and marketing personnel to support growth in our existing end markets, as well as to drive growth in the new, adjacent, end markets we are targeting, overhead costs associated with our large manufacturing facility, increased shipping expenses due to higher volumes and price increases, and advertising and sponsorship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decreased to other expense of $0.5 million for the year ended December 31, 2021, as compared to other income of $0.02 million for the year ended December 31, 2020. This decrease was primarily due to interest expense related to the senior secured debt facility and a loss on the disposition of certain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decreased by $0.3 million, or 14.6%, to $1.6 million for the year ended December 31, 2021, as compared to $1.9 million for the year ended December 31, 2020. This decrease was primarily due to lower income for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income decreased by $2.5 million, or 36.9%, to $4.3 million for the year ended December 31, 2021, as compared to $6.9 million for the year ended December 31, 2020. This decrease was primarily due to higher costs which more than offset the increase in revenue for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includes a non-GAAP measure that we use to supplement our results presented in accordance with U.S. GAAP. EBITDA is defined as earnings before interest and other income, tax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titled measure used by other companies. This non-GAAP measure excludes certain items required by U.S. GAAP and should not be considered as an alternative to information reported in accordance with U.S. GAAP.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income for the nine months ended September 30,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1"/>
                <w:szCs w:val="1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16"/>
        </w:trPr>
        <w:tc>
          <w:tcPr>
            <w:tcW w:w="100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r>
      <w:tr>
        <w:trPr>
          <w:trHeight w:val="216"/>
        </w:trPr>
        <w:tc>
          <w:tcPr>
            <w:tcW w:w="100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Stock-Based Compensation</w:t>
            </w:r>
            <w:r>
              <w:rPr>
                <w:rFonts w:ascii="Times New Roman" w:cs="Times New Roman" w:eastAsia="Times New Roman" w:hAnsi="Times New Roman"/>
                <w:sz w:val="25"/>
                <w:szCs w:val="25"/>
                <w:color w:val="auto"/>
                <w:vertAlign w:val="superscript"/>
              </w:rPr>
              <w:t>(1)</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ERP Implementation</w:t>
            </w:r>
            <w:r>
              <w:rPr>
                <w:rFonts w:ascii="Times New Roman" w:cs="Times New Roman" w:eastAsia="Times New Roman" w:hAnsi="Times New Roman"/>
                <w:sz w:val="25"/>
                <w:szCs w:val="25"/>
                <w:color w:val="auto"/>
                <w:vertAlign w:val="superscript"/>
              </w:rPr>
              <w:t>(2)</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Promissory Note Forgiveness</w:t>
            </w:r>
            <w:r>
              <w:rPr>
                <w:rFonts w:ascii="Times New Roman" w:cs="Times New Roman" w:eastAsia="Times New Roman" w:hAnsi="Times New Roman"/>
                <w:sz w:val="25"/>
                <w:szCs w:val="25"/>
                <w:color w:val="auto"/>
                <w:vertAlign w:val="superscript"/>
              </w:rPr>
              <w:t>(3)</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Business Combination Expenses</w:t>
            </w:r>
            <w:r>
              <w:rPr>
                <w:rFonts w:ascii="Times New Roman" w:cs="Times New Roman" w:eastAsia="Times New Roman" w:hAnsi="Times New Roman"/>
                <w:sz w:val="25"/>
                <w:szCs w:val="25"/>
                <w:color w:val="auto"/>
                <w:vertAlign w:val="superscript"/>
              </w:rPr>
              <w:t>(4)</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76"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63" w:lineRule="exact"/>
        <w:rPr>
          <w:rFonts w:ascii="Times New Roman" w:cs="Times New Roman" w:eastAsia="Times New Roman" w:hAnsi="Times New Roman"/>
          <w:sz w:val="18"/>
          <w:szCs w:val="18"/>
          <w:color w:val="auto"/>
        </w:rPr>
      </w:pPr>
    </w:p>
    <w:p>
      <w:pPr>
        <w:ind w:left="340" w:right="40" w:hanging="332"/>
        <w:spacing w:after="0" w:line="28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 Forgiveness is comprised of the loan that was forgiven in connection with the promissory note, with a maturity date of March 1, 2026, between us and our Chief Financial Officer.</w:t>
      </w:r>
    </w:p>
    <w:p>
      <w:pPr>
        <w:spacing w:after="0" w:line="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29"/>
        </w:trPr>
        <w:tc>
          <w:tcPr>
            <w:tcW w:w="4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1"/>
                <w:szCs w:val="1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Stock-Based Compensation</w:t>
            </w:r>
            <w:r>
              <w:rPr>
                <w:rFonts w:ascii="Times New Roman" w:cs="Times New Roman" w:eastAsia="Times New Roman" w:hAnsi="Times New Roman"/>
                <w:sz w:val="25"/>
                <w:szCs w:val="25"/>
                <w:color w:val="auto"/>
                <w:vertAlign w:val="superscript"/>
              </w:rPr>
              <w:t>(1)</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41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ERP Implementation</w:t>
            </w:r>
            <w:r>
              <w:rPr>
                <w:rFonts w:ascii="Times New Roman" w:cs="Times New Roman" w:eastAsia="Times New Roman" w:hAnsi="Times New Roman"/>
                <w:sz w:val="25"/>
                <w:szCs w:val="25"/>
                <w:color w:val="auto"/>
                <w:vertAlign w:val="superscript"/>
              </w:rPr>
              <w:t>(2)</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10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Debt Transaction</w:t>
            </w:r>
            <w:r>
              <w:rPr>
                <w:rFonts w:ascii="Times New Roman" w:cs="Times New Roman" w:eastAsia="Times New Roman" w:hAnsi="Times New Roman"/>
                <w:sz w:val="25"/>
                <w:szCs w:val="25"/>
                <w:color w:val="auto"/>
                <w:vertAlign w:val="superscript"/>
              </w:rPr>
              <w:t>(3)</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Loss on Disposal of Assets</w:t>
            </w:r>
            <w:r>
              <w:rPr>
                <w:rFonts w:ascii="Times New Roman" w:cs="Times New Roman" w:eastAsia="Times New Roman" w:hAnsi="Times New Roman"/>
                <w:sz w:val="25"/>
                <w:szCs w:val="25"/>
                <w:color w:val="auto"/>
                <w:vertAlign w:val="superscript"/>
              </w:rPr>
              <w:t>(4)</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Business Combination Expenses</w:t>
            </w:r>
            <w:r>
              <w:rPr>
                <w:rFonts w:ascii="Times New Roman" w:cs="Times New Roman" w:eastAsia="Times New Roman" w:hAnsi="Times New Roman"/>
                <w:sz w:val="25"/>
                <w:szCs w:val="25"/>
                <w:color w:val="auto"/>
                <w:vertAlign w:val="superscript"/>
              </w:rPr>
              <w:t>(5)</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63" w:lineRule="exact"/>
        <w:rPr>
          <w:rFonts w:ascii="Times New Roman" w:cs="Times New Roman" w:eastAsia="Times New Roman" w:hAnsi="Times New Roman"/>
          <w:sz w:val="18"/>
          <w:szCs w:val="18"/>
          <w:color w:val="auto"/>
        </w:rPr>
      </w:pPr>
    </w:p>
    <w:p>
      <w:pPr>
        <w:ind w:left="340" w:right="40" w:hanging="332"/>
        <w:spacing w:after="0" w:line="28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1" w:lineRule="exact"/>
        <w:rPr>
          <w:rFonts w:ascii="Times New Roman" w:cs="Times New Roman" w:eastAsia="Times New Roman" w:hAnsi="Times New Roman"/>
          <w:sz w:val="18"/>
          <w:szCs w:val="18"/>
          <w:color w:val="auto"/>
        </w:rPr>
      </w:pPr>
    </w:p>
    <w:p>
      <w:pPr>
        <w:ind w:left="340" w:right="800" w:hanging="332"/>
        <w:spacing w:after="0" w:line="28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Transaction is comprised of costs and expenses associated with our issuance of $45 million fixed rate senior notes in November 2021.</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is comprised of amounts in relation to leasehold improvements that were written off in April 2021 as part of the transfer of our operations to our new manufacturing facility.</w:t>
      </w:r>
    </w:p>
    <w:p>
      <w:pPr>
        <w:spacing w:after="0" w:line="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September 30, 2022, our principal source of liquidity was cash totaling $13.6 million. We intend to utilize borrowings under the Term Loan and equity issuances under the ChEF Equity Facility, pursuant to which we have the option to direct CCM to purchase up to $150.0 million of common stock, pursuant to, on the terms of and subject to satisfaction the terms and conditions of availability in the Purchase Agreement. Following the consummation of the Business Combination, as of November 1, 2022, we had cash totaling $18.9 million.</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growth of our business and in anticipation of future needs and to protect against supply-chain and logistics related shortages, during the third quarter of 2022, we continued to increase our inventory purchasing activities. As a result, our inventory balance at September 30, 2022 increased by $12.4 million to $39.5 million, compared to $27.1 million at December 31, 2021.</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solid-state lithium- 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We believe that our cash on hand following the Closing, which we assume will include utilization of the borrowings under the Term Loan and equity issuances under the ChEF Equity Facility, will be sufficient to meet our working capital and capital expenditure requirements for a period of at least twelve months from the date of this prospectus. We may, however, need additional cash if there are material changes to our business conditions or other developments, including unanticipated delays in production, supply chain challenges, disruptions due to the COVID-19 pandemic, competitive pressures and regulatory developments, or if we decide to accelerate our research and development efforts and/or any of our other growth strategies. To the extent that our resources are insufficient to satisfy our cash requirements, we may need to seek additional equity or debt financing. If the financing is not available, or if the terms of financing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For more information about risks related to our business, please see the sections entitled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Existing Lithium-Ion Battery Operations</w:t>
      </w:r>
      <w:r>
        <w:rPr>
          <w:rFonts w:ascii="Times New Roman" w:cs="Times New Roman" w:eastAsia="Times New Roman" w:hAnsi="Times New Roman"/>
          <w:sz w:val="18"/>
          <w:szCs w:val="18"/>
          <w:color w:val="auto"/>
        </w:rPr>
        <w:t>” and “— Risks</w:t>
      </w:r>
      <w:r>
        <w:rPr>
          <w:rFonts w:ascii="Times New Roman" w:cs="Times New Roman" w:eastAsia="Times New Roman" w:hAnsi="Times New Roman"/>
          <w:sz w:val="18"/>
          <w:szCs w:val="18"/>
          <w:i w:val="1"/>
          <w:iCs w:val="1"/>
          <w:color w:val="auto"/>
        </w:rPr>
        <w:t xml:space="preserve"> Related to Our Solid-State Technology Development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foregoing, based on our current assessment, we do not expect any material adverse effect on our long-term liquidity due to the COVID-19 pandemic. However, we will continue to assess the effect of the pandemic to our operations. The pandemic has in recent periods moderated in the United States following the availability of vaccines (although vaccination rates often vary by geography, age and other factors) and increased immunity (including natural immunity from infection). However, the extent to which the COVID-19 pandemic will affect our business and operations will depend on future developments that are highly uncertain and cannot be predicted with confidence. These uncertainties include the ultimate geographic spread of the disease (including emergence of new variants against which existing vaccinations or treatments may be ineffective), the duration of the pandemic and the perceived effectiveness of actions taken in the United States and other countries to contain and treat the disease. While the potential economic impact of COVID-19 may be difficult to assess or predict, a widespread pandemic alone or in combination with other events, such as the Russia/Ukraine conflict, could result in significant disruption of global financial markets and supply chains, reducing our ability to access capital in the future or access required raw materials and components, which could result in price increases. In addition, a recession or long-term market correction resulting from the spread of COVID-19 or other events could materially affect our business and the value of our common stock.</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Historically, we funded development of our solid-state and cell manufacturing technologies internally through operationally generated cash and, in recent periods, with proceeds from our secured borrowings in November 2021 and in October 2022 (in connection with the consummation of the Business Combination). Additionally, we intend to utilize our borrowings under the Term Loan and equity issuances under our ChEF Equity Facility, subject to the terms and conditions thereof, along with our cash generated by operations, to fund the continued development of our solid-state technologies. To date, our focus has been on seeking to prove the fundamental soundness of our manufacturing techniques and our solid-state chemistry. Moving forward, our solid-state related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we had cash totaling $13.6 million. Since inception and until recently, we funded ourselves from internally generated cash and $2 million in equity raised in 2017. On November 24, 2021, we issued $45 million of fixed rate senior notes, secured by among other things, a security interest in our intellectual property.</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we entered into a series of transactions that is expected to provide us additional cash to fund our capital and liquidity requirements in the short and long-term. Following the consummation of the Business Combination, as of November 1, 2022, we had cash totaling $18.9 million.</w:t>
      </w:r>
    </w:p>
    <w:p>
      <w:pPr>
        <w:spacing w:after="0" w:line="176"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The Term Loan proceeds were used to (i) to support the Business Combination, (ii) to prepay the fixed rate senior notes at closing of the Business Combination, (iii) to pay fees and expenses in connection with the foregoing, (iv) to provide additional growth capital and</w:t>
      </w:r>
    </w:p>
    <w:p>
      <w:pPr>
        <w:spacing w:after="0" w:line="1" w:lineRule="exact"/>
        <w:rPr>
          <w:sz w:val="20"/>
          <w:szCs w:val="20"/>
          <w:color w:val="auto"/>
        </w:rPr>
      </w:pPr>
    </w:p>
    <w:p>
      <w:pPr>
        <w:ind w:right="220" w:firstLine="8"/>
        <w:spacing w:after="0" w:line="260"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general corporate purposes. The Term Loan will mature four years from the Closing Date and will be subject to quarterly amortization of 5% per annum beginning 24 months after the Closing Date.</w:t>
      </w:r>
    </w:p>
    <w:p>
      <w:pPr>
        <w:spacing w:after="0" w:line="181"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The definitive documents for the Term Loan incorporate certain mandatory prepayment events and certain affirmative and negative covenants and exceptions thereto. The financial covenants for the Term Loan include a maximum senior leverage ratio covenant, a minimum liquidity covenant, a springing fixed charge coverage ratio covenant and a maximum capital expenditures covenant.</w:t>
      </w:r>
    </w:p>
    <w:p>
      <w:pPr>
        <w:spacing w:after="0" w:line="15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Term Loan accrues interest (i) until April 1, 2023 at a per annum rate equal to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provided that the Company provides notice to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Pursuant to the Term Loan Agreement, each of the Company and Legacy Dragonfly granted the Administrative Agent, a security interest in substantially all of its personal property, rights and assets to secure the payment of all amounts owed to lenders under the Term Loan Agreement. In addition, the Company entered into a Pledge Agreement pursuant to which the Company pledged to the Administrative Agent its equity interests in Legacy Dragonfly as further collateral security for the obligations under the Term Loan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Closing, we issued to the Term Loan Lenders (i) the Penny Warrants and (ii) the $10 Warrants.</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the Company will have the right from time to time at its option to direct CCM to purchase up to a specified maximum amount of shares of common stock, up to a maximum aggregate purchase price of $150 million over the term of the ChEF Equity Facility.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 Nine months ended September 30, 2022 and 2021</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28"/>
        </w:trPr>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$24.7 million for the nine months ended September 30, 2022 primarily due to a net loss during the period, an increase in purchased inventory to support future growth and to protect against potential supply disruptions, and an increase in accounts payable and accrued expenses as a result of the increased sales to OEM customers.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$2.7 million for the nine months ended September 30, 2021 primarily due to net income during the period which was more than offset by an increase in working capital as a result of growth in the Company’s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$6.1 million for the nine months ended September 30, 2022, as compared to net cash used in investing activities of $2.5 million for the nine months ended September 30, 2021. The increase in cash used in investing activities was primarily due to an increase in capital expenditures to support the Company’s growing manufacturing base as well as its efforts to develop solid-state battery technology and manufacturing processes.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$15.7 million for the nine months ended September 30, 2022, as compared to net cash provided by financing activities of $0.03 million for the nine months ended September 30, 2021, and was primarily due to the strategic investment made by Thor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 Years ended December 31, 2021 and 2020</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29"/>
        </w:trPr>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tcPr>
          <w:p>
            <w:pPr>
              <w:jc w:val="center"/>
              <w:ind w:left="39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$13.6 million for the year ended December 31, 2021, as compared to net cash provided by operating activities of $6.6 million for the year ended December 31, 2020. The increase in cash used by operations was primarily due to an increase in working capital as a result of growth in Legacy Dragonfly’s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$2.9 million for the year ended December 31, 2021, as compared to $1.4 million for the year ended December 31, 2020. The increase in net cash used in investing activities was primarily due to an increase in capital expenditures to support our ongoing efforts to develop solid-state battery technology and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$38.9 million for the year ended December 31, 2021 and was primarily due to cash received from the issuance of fixed rate senior notes.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$0.01 million for the year ended December 31, 2020 and was primarily due to cash utilized from the Company’s line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September 30, 2022, we had $1.2 million in short-term operating lease liabilities and $3.8 million in long-term operating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not experienced any significant losses in such accounts, nor does management believe it is exposed to any significant credit risk. The risk-free interest rate is based on a treasury instrument whose term is consistent with the expected term of the stock options. We use an assumed dividend yield of zero as we have never paid dividends and have no current plans to pay any dividends on our common stock. We account for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the entity will collect the consideration it is entitled to in exchange for the goods or services it transfers to the customer. At contract inception, once the contract is determined to be within the scope of Topic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exclude from the transaction price all taxes that are assessed by a governmental authority and imposed on and concurrent with our revenue transactions, and therefore present these taxes (such as sales tax) on a net basis in operating revenues on the Statement of Income.</w:t>
      </w:r>
    </w:p>
    <w:p>
      <w:pPr>
        <w:spacing w:after="0" w:line="19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we expect to be entitled to in exchange for those goods and services. Revenue associated with products holding rights of return are recognized when we conclude there is no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may receive payments at the onset of the contract and before delivery of goods for customers in the retail channel. In such instances, we record a customer deposit liability. Payment terms for distributors and OEMs are due within 30-60 days after shipment. We recognize these contract liabilities as sales after the revenue criteria are met. As of September 30, 2022, the contract liability related to our customer deposits approximated $0.3 million compared to approximately $0.4 million as of December 31, 2021. The entire contract liability balance as of December 31, 2021 was recognized as revenue during the nine months ended September 30, 2022.</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Inventories,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2021, and as of December 31, 2021 and 2020, no such reserves were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All our facilities are leased and none are owned. Depreciation and amortization are calculated by the straight-line method over the estimated useful lives for owned property, or, for leasehold improvements, over the shorter of the asset’s useful life or term of the lease. Depreciation expense for the nine months ended September 30, 2022 and 2021 was $0.6 million and $0.4 million, respectively. Depreciation expense for the years ended December 31, 2021 and 2020 was $617 and $198, respectively. The various classes of property and equipment and estimated useful lives are as follows:</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Remaining Term of Lease</w:t>
            </w:r>
          </w:p>
        </w:tc>
      </w:tr>
    </w:tbl>
    <w:p>
      <w:pPr>
        <w:spacing w:after="0" w:line="17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we add to our production capabilities and make related capital expenditures (including with respect to our solid-state battery capabilities) we expect our depreciation expenses to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 We expect our research and development costs to increase as we continue to develop our proprietary solid-state cell technology and manufacturing processes.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issued accounting pronouncements and recently adopted accounting pronouncements, please see Note 2, Summary of Significant Accounting Policies, to our consolidated financial statements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Dragonfly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the CNTQ IPO, (ii) the last day of the fiscal year in which we have total annual gross revenue of at least $1.235 billion, (iii) the last day of the fiscal year in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CNTQ’S MANAGEMENT’S DISCUSSION AND ANALYSIS OF</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Except where noted or the context otherwise requires, as used in this section, the terms “we,” “us,” “our,” “our company,” “our business” and similar terms refer to CNTQ before giving effect to the Business Combination. The following discussion and analysis of CNTQ’s results of operations and financial condition should be read in conjunction with CNTQ’s financial statements and related notes and other information included elsewhere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Prior to the Closing, we were a blank check company formed under the laws of the State of Delaware on June 23, 2020, for the purpose of effecting a merger, capital stock exchange, asset acquisition, stock purchase, reorganization or other similar business combination with one or more businesses. We effectuated our initial business combination using cash from the proceeds of the CNTQ IPO and the sale of the private warrants, the proceeds of the sale of our securities in connection with our initial business combination (pursuant to forward purchase agreements or backstop agreements we may enter into following the consummation of the CNTQ IPO or otherwise), shares issued to the owners of the target, debt issued to bank or other lenders or the owners of the target, or a combination of the foregoing.</w:t>
      </w:r>
    </w:p>
    <w:p>
      <w:pPr>
        <w:spacing w:after="0" w:line="18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Financial information included in this section are as of September 30, 2022 as in our September 30, 2022 Form 10-Q filed with the SEC on November 14, 2022 and for the year ended December 31, 2021 as in our December 31, 2021 Form 10-K filed with the SEC on March 29,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223"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color w:val="auto"/>
        </w:rPr>
        <w:t>On August 5, 2022, we held a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holders of 11,331,512 shares of CNTQ Common Stock, were present in person or by proxy, representing approximately 71.66% of the voting power of the 15,812,500 shares of CNTQ Common Stock issued and outstanding entitled to vote at the Special Meeting at the close of business on July 11, 2022, which was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Stockholders of record as of the close of business on the Record Date are referred to herein as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Special Meeting, the Stockholders approved the proposal to amend CNTQ’s Amended and Restated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provide CNTQ’s officers, directors, initial stockholders and Warrant Holdings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the ability to extend the date by which CNTQ must complete a business combination up to three (3) times for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(1) month each time (for a maximum of three (3) one-month extensions) upon the deposit into the Trust Account by the Insiders,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affiliates or designees of $200,000 upon five days’ advance notice prior to August 13, 2022 (or such other applicable deadline)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On July 29, 2022, to effectuate the Charter Amendment,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CNTQ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and adopted the Second Amended and Restated Certificate of Incorporation of CNTQ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A&amp;R Charter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CNTQ Common Stock, representing approximately 60.44% of the issued and outstanding shares of CNTQ Common Stock and 75.55% of the issued outstanding CNTQ Common Stock sold in the CNTQ IPO.</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CNTQ and Continental Stock Transfer &amp;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authorize the Extension and its implementation by CNTQ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On July 29, 2022, to effectuate the Trust Amendment Proposal, the Board approved and adopted Amendment No. 1 to the Investment Management Trust Agreement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Amendment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w:t>
      </w:r>
    </w:p>
    <w:p>
      <w:pPr>
        <w:spacing w:after="0" w:line="227" w:lineRule="exact"/>
        <w:rPr>
          <w:sz w:val="20"/>
          <w:szCs w:val="20"/>
          <w:color w:val="auto"/>
        </w:rPr>
      </w:pPr>
    </w:p>
    <w:p>
      <w:pPr>
        <w:jc w:val="both"/>
        <w:ind w:right="3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the Insiders notified CNTQ on August 8, 2022 of the Insiders’ intention to extend the date by which CNTQ must complete a business combination for an additional one (1) month by depositing $200,000 into the Trust Account.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Also in connection with the Extension, CNTQ and Warrant Holdings entered into a promissory note on August 11, 2022 (the “</w:t>
      </w:r>
      <w:r>
        <w:rPr>
          <w:rFonts w:ascii="Times New Roman" w:cs="Times New Roman" w:eastAsia="Times New Roman" w:hAnsi="Times New Roman"/>
          <w:sz w:val="18"/>
          <w:szCs w:val="18"/>
          <w:b w:val="1"/>
          <w:bCs w:val="1"/>
          <w:color w:val="auto"/>
        </w:rPr>
        <w:t>Extension Note</w:t>
      </w:r>
      <w:r>
        <w:rPr>
          <w:rFonts w:ascii="Times New Roman" w:cs="Times New Roman" w:eastAsia="Times New Roman" w:hAnsi="Times New Roman"/>
          <w:sz w:val="18"/>
          <w:szCs w:val="18"/>
          <w:color w:val="auto"/>
        </w:rPr>
        <w:t>”), whereby CNTQ agreed to pay $200,000 to Warrant Holdings.</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Insiders notified CNTQ on September 6, 2022 of the Insiders’ intention to extend the date by which CNTQ must complete a business combination for an additional one (1) month by depositing $200,000 into the Trust Account (the “</w:t>
      </w:r>
      <w:r>
        <w:rPr>
          <w:rFonts w:ascii="Times New Roman" w:cs="Times New Roman" w:eastAsia="Times New Roman" w:hAnsi="Times New Roman"/>
          <w:sz w:val="18"/>
          <w:szCs w:val="18"/>
          <w:b w:val="1"/>
          <w:bCs w:val="1"/>
          <w:color w:val="auto"/>
        </w:rPr>
        <w:t>Extension No.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No. 2, CNTQ and Warrant Holdings entered into a promissory note on September 8, 2022 (the “</w:t>
      </w:r>
      <w:r>
        <w:rPr>
          <w:rFonts w:ascii="Times New Roman" w:cs="Times New Roman" w:eastAsia="Times New Roman" w:hAnsi="Times New Roman"/>
          <w:sz w:val="18"/>
          <w:szCs w:val="18"/>
          <w:b w:val="1"/>
          <w:bCs w:val="1"/>
          <w:color w:val="auto"/>
        </w:rPr>
        <w:t>Extension Note 2</w:t>
      </w:r>
      <w:r>
        <w:rPr>
          <w:rFonts w:ascii="Times New Roman" w:cs="Times New Roman" w:eastAsia="Times New Roman" w:hAnsi="Times New Roman"/>
          <w:sz w:val="18"/>
          <w:szCs w:val="18"/>
          <w:color w:val="auto"/>
        </w:rPr>
        <w:t>”), whereby CNTQ agreed to pay $200,000 to Warrant Holdings.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for the nine months ended September 30, 2022 and for the period from June 23, 2020 (inception) through September 30, 2022 were organizational activities, those necessary to prepare for the CNTQ IPO, described below, and, after the CNTQ IPO, activities related to identifying a target company for a business combination. We do not expect to generate any operating revenues until after the completion of our initial business combination. We generate non-operating income in the form of interest income on cash and cash equivalents held after the CNTQ IPO. We incur expenses as a result of being a public company (for legal, financial reporting, accounting and auditing compliance), as well as for due diligence expenses.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we had a net loss of $1,919,615, which resulted from a net gain on marketable securities held in Trust Account in the amount of $279,627, which was partially offset by the change in fair value of warrant liabilities of $1,110,686, operating and formation costs of $999,216, franchise tax expense of $50,000, and income tax expense of $39,340.</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we had a net loss of $1,298,108, which resulted from the change in fair value of warrant liabilities of $46,279 and a net gain on marketable securities held in Trust Account in the amount of $469,109, which was partially offset by operating and formation costs of $1,623,500, franchise tax expense of $150,656, and income tax expense of $39,340.</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2021, we had net income of $2,690,543, which resulted from by the change in fair value of warrant liabilities of $4,072,514 and a net gain on marketable securities held in Trust Account in the amount of $7,023, which was partially offset by operating and formation costs of $92,234, franchise tax expense of $24,034, loss on sale of Private Warrants of $1,253,929, and warrant issuance costs of $18,797.</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2021, we had net income of $2,689,709, which resulted from the change in fair value of warrant liabilities of $4,072,514, and an unrealized gain on marketable securities held in Trust Account in the amount of 7,023, which was partially offset by warrant issuance costs of $18,797 associated with the Initial Public Offering, operating and formation costs of $93,068, loss on sale of Private Warrants of $1,253,929, and franchise tax expense of $24,034.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$316,023 and $799,808 in cash held outside of the Trust Account, respectively. As of September 30, 2022, the Company had a working capital deficit of $1,125,637. As of December 31, 2021, the Company had a working capital surplus of $988,187.</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operating activities was $583,456, which was due to the change in fair value of warrants of $46,279, a net gain on investments in the Trust Account of $469,109, and our net loss of $1,298,108, partially offset by changes in operating assets and liabilities of $1,230,040.</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operating activities was $459,653, which was due to the change in fair value of warrants of $4,072,514, changes in operating assets and liabilities of $342,550, and net gain on investments in the Trust Account of $7,023, partially offset by our net income of $2,689,709, loss on sale of Private Warrants of $1,253,929, and expensed offering costs of $18,797.</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investing activities was $96,894,621, of which was due to proceeds from the trust account for payment of redeeming stockholder $97,194,950, and $99,671 due to proceeds from the Trust Account to pay franchise tax, partially offset by $400,000 deposited into the Trust Account.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investing activities was $128,397,500, which was due to the amount of net proceeds from the Initial Public Offering being deposited to the Trust Account.</w:t>
      </w:r>
    </w:p>
    <w:p>
      <w:pPr>
        <w:spacing w:after="0" w:line="162" w:lineRule="exact"/>
        <w:rPr>
          <w:sz w:val="20"/>
          <w:szCs w:val="20"/>
          <w:color w:val="auto"/>
        </w:rPr>
      </w:pPr>
    </w:p>
    <w:p>
      <w:pPr>
        <w:jc w:val="both"/>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net cash flows used in financing activities was $96,794,950, which was due to $97,194,950 of payments to redeeming stockholders, partially offset by $400,000 of proceeds from promissory notes-related party.</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net cash provided by financing activities was $129,719,361, which was comprised of $126,000,000 in proceeds from the issuance of units in the CNTQ IPO net of underwriter’s discount paid, $4,299,500 in proceeds from the issuance of warrants in a private placement to Warrant Holdings, and proceeds from issuance of a promissory note of $155,000 to our Sponsor, offset in part by payment of $580,139 for offering costs associated with the CNTQ IPO and repayment of the outstanding balance on the promissory note to our Sponsor of $155,000.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13, 2021, we consummated the CNTQ IPO of 11,000,000 Units, at $10.00 per Unit, generating gross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$110,000,000. Each Unit consisted of one public share and three-quarters of one Public Warrant. Each Public Warrant entitles the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w:t>
      </w:r>
    </w:p>
    <w:p>
      <w:pPr>
        <w:spacing w:after="0" w:line="20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CNTQ IPO, Warrant Holdings purchased an aggregate of 4,361,456 Private Warrants at a price of $0.93 per Private Warrant ($4,052,000 in the aggregate). Each Private Warrant entitles the holder to purchase three-fourths of one share of common stock at an exercise price of $11.50 per share.</w:t>
      </w:r>
    </w:p>
    <w:p>
      <w:pPr>
        <w:spacing w:after="0" w:line="176" w:lineRule="exact"/>
        <w:rPr>
          <w:sz w:val="20"/>
          <w:szCs w:val="20"/>
          <w:color w:val="auto"/>
        </w:rPr>
      </w:pPr>
    </w:p>
    <w:p>
      <w:pPr>
        <w:jc w:val="both"/>
        <w:ind w:right="28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62"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September 30, 2022 or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we did not have any long-term debt, capital or operating lease obligations. We entered into an administrative services agreement pursuant to which we pay the Sponsor for office space and secretarial and administrative services provided to members of our management team, in an amount not to exceed $10,000 per month.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Stockholder Rights Agreement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are entitled to registration rights pursuant to a registration rights agreement dated as of August 10, 2021, by and between CNTQ, the Sponsor, Warrant Holdings, and the other parties thereto. The holders of a majority of these securities are entitled to make up to two demands that CNTQ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CNTQ consummates a business combination. In addition, the holders have certain “piggy-back” registration rights with respect to registration statements filed subsequent to the consummation of a business combination. CNTQ will bear the expenses incurred in connection with the filing of any such registration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granted the underwriters a 45-day option to purchase up to 1,650,000 additional units to cover over-allotments at the CNTQ IPO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CNTQ IPO.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engaged CCM as an advisor in connection with the Business Combination to assist us in holding meetings with the stockholders to discuss the potential Business Combination and the target business’ attributes, introduce us to potential investors that would be interested in purchasing our securities, assist us in obtaining stockholder approval for the Business Combination and assist us with press releases and public filings in connection with the Business Combination. CCM was entitled to a cash fee for such services upon the consummation of the initial Business Combination in an amount equal to, in the aggregate, $4,427,500, being 3.5% of the gross proceeds of the CNTQ IPO. CCM was not entitled to such fee unless we consummated the initial Business Combination. Mr. Grossman is the Chief Executive Officer of, and Mr. Weil is Managing Director and Co-Head of Fintech Investment Banking of, CCM, an affiliate of the Sponsor. Mr. Grossman and Mr. Propper are also members of the board of directors of CCM. CCM was also entitled to a cash fee of $1,170,000 for providing services for a private placement and for arranging the Term Loan.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and ASC 815, Derivatives and Hedging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consolidated statements of operations.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account for the Private Warrants issued concurrently in connection with the CNTQ IPO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with changes in fair value recognized in the consolidated statements of operations in the period of change.</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22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our control) is classified as temporary equity. At all other times, common stock is classified as stockholders’ equity. Our common stock feature certain redemption rights that are considered to be outside of our control and subject to the occurrence of uncertain future events. Accordingly, as of September 30, 2022 and December 31, 2021, 12,650,000 shares of common stock subject to possible redemption are presented as temporary equity, outside of the stockholders’ equity section of our balance sheet. Effective with the closing of the CNTQ IPO, we recognized the accretion from the initial book value to redemption amount, which resulted in charges against additional paid-in capital (to the extent available) and accumulated deficit.</w:t>
      </w:r>
    </w:p>
    <w:p>
      <w:pPr>
        <w:spacing w:after="0" w:line="19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 the carrying value of redeemable common stock to equal the redemption value at the end of each reporting period. Increases or decreases in the carrying amount of redeemable common stock are affected by charges against additional paid-in capital and accumulated deficit.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 of Common Stock</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We have not considered the effect of the warrants sold in the CNTQ IPO and private placement to purchase an aggregate of 14,115,358 shares in the calculation of diluted income per share, since the exercise of the warrants are contingent upon the occurrence of future events and the inclusion of such warrants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directors as of the date of this prospectus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 w:type="dxa"/>
            <w:vAlign w:val="bottom"/>
          </w:tcPr>
          <w:p>
            <w:pPr>
              <w:spacing w:after="0"/>
              <w:rPr>
                <w:sz w:val="20"/>
                <w:szCs w:val="20"/>
                <w:color w:val="auto"/>
              </w:rPr>
            </w:pPr>
          </w:p>
        </w:tc>
        <w:tc>
          <w:tcPr>
            <w:tcW w:w="460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Position(s) Held</w:t>
            </w:r>
          </w:p>
        </w:tc>
      </w:tr>
      <w:tr>
        <w:trPr>
          <w:trHeight w:val="209"/>
        </w:trPr>
        <w:tc>
          <w:tcPr>
            <w:tcW w:w="1000" w:type="dxa"/>
            <w:vAlign w:val="bottom"/>
          </w:tcPr>
          <w:p>
            <w:pPr>
              <w:spacing w:after="0"/>
              <w:rPr>
                <w:sz w:val="18"/>
                <w:szCs w:val="18"/>
                <w:color w:val="auto"/>
              </w:rPr>
            </w:pPr>
          </w:p>
        </w:tc>
        <w:tc>
          <w:tcPr>
            <w:tcW w:w="2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top w:val="single" w:sz="8" w:color="CCEEFF"/>
            </w:tcBorders>
            <w:shd w:val="clear" w:color="auto" w:fill="CCEEFF"/>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Chief Executive Officer and Chairman of the Board</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00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4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Counsel, Compliance Officer and Corporate Secretary</w:t>
            </w:r>
          </w:p>
        </w:tc>
      </w:tr>
      <w:tr>
        <w:trPr>
          <w:trHeight w:val="216"/>
        </w:trPr>
        <w:tc>
          <w:tcPr>
            <w:tcW w:w="100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100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4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100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Perry Boyle</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00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4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00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Rick Parod</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4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00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4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76" w:lineRule="exact"/>
        <w:rPr>
          <w:sz w:val="20"/>
          <w:szCs w:val="20"/>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the Company announced that Sean Nichols, Chief Operating Officer, would be leaving Dragonfly on November 7,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Denis Phares </w:t>
      </w:r>
      <w:r>
        <w:rPr>
          <w:rFonts w:ascii="Times New Roman" w:cs="Times New Roman" w:eastAsia="Times New Roman" w:hAnsi="Times New Roman"/>
          <w:sz w:val="18"/>
          <w:szCs w:val="18"/>
          <w:color w:val="auto"/>
        </w:rPr>
        <w:t>has served as Dragonfly’s Chief Executive Officer and Chairman of the Board since it was incorporated in 2012.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2005 until 2012 Dr. Phares served as a faculty member of the Aerospace &amp; Mechanical Engineering Department at the University of Southern California, where he worked extensively on renewable energy technologies and received tenure in 2010. Dr. Phares holds a M.B.A. from University of Nevada  — Reno, a Ph.D. in Engineering from the California Institute of Technology and a B.S. in Physics from Villanova University. Dr. Phares is qualified to serve on the Dragonfly Board based on his substantial business, leadership, and management experience as the CEO and Chairman of the Board of Dragonfly.</w:t>
      </w:r>
    </w:p>
    <w:p>
      <w:pPr>
        <w:spacing w:after="0" w:line="18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Marchetti </w:t>
      </w:r>
      <w:r>
        <w:rPr>
          <w:rFonts w:ascii="Times New Roman" w:cs="Times New Roman" w:eastAsia="Times New Roman" w:hAnsi="Times New Roman"/>
          <w:sz w:val="18"/>
          <w:szCs w:val="18"/>
          <w:color w:val="auto"/>
        </w:rPr>
        <w:t>has served as Dragonfly’s Chief Financial Officer since September 2021. Mr. Marchetti has over 20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technology and financial services industries. Prior to joining Dragonfly, Mr. Marchetti served as a Managing Director and senior research analyst at Stifel, focused on communications infrastructure and applied technology markets, including advanced battery technologies. From 2016 to 2018, Mr. Marchetti served as Senior Vice President for Strategy and Business Development of Cloudbus and, from 2012 to 2015, he served as Chief Strategy Officer and Executive Vice President at Fabrinet.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Nicole Harvey </w:t>
      </w:r>
      <w:r>
        <w:rPr>
          <w:rFonts w:ascii="Times New Roman" w:cs="Times New Roman" w:eastAsia="Times New Roman" w:hAnsi="Times New Roman"/>
          <w:sz w:val="18"/>
          <w:szCs w:val="18"/>
          <w:color w:val="auto"/>
        </w:rPr>
        <w:t>has served as Dragonfly’s General Counsel and Compliance Officer since October 2021, and as Dragonfly’s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Secretary since April 2022. From 2017 through 2019, Ms. Harvey served Harley-Davidson Financial Services as an American Bankers’ Association Certified Compliance and Risk Manager. In 2018, Ms. Harvey worked for Corix Group of Companies as Senior Corporate Counsel, overseeing the development and implementation of corporate policies, and providing legal services to affiliate and subsidiary companies. In 2020, Ms. Harvey returned to private practice with the law firm of Blanchard, Krasner &amp; French, where she focused on business transactions and litigation, including outside counsel services for Dragonfly. In 2021, Ms. Harvey had the opportunity to serve Northern Nevada HOPES, a non-profit providing medical and social services in Northern Nevada, as its General Counsel and Compliance Officer prior to joining Dragonfly as its full time General Counsel in October 2021. Ms. Harvey holds a J.D. from Arizona State University Sandra Day O’Connor College of Law, and a B.S. in Economics from the University of Nevada, Reno. She has been licensed to practice law in the State of Nevada since 2008.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jc w:val="both"/>
        <w:ind w:right="2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Luisa Ingargiola </w:t>
      </w:r>
      <w:r>
        <w:rPr>
          <w:rFonts w:ascii="Times New Roman" w:cs="Times New Roman" w:eastAsia="Times New Roman" w:hAnsi="Times New Roman"/>
          <w:sz w:val="18"/>
          <w:szCs w:val="18"/>
          <w:color w:val="auto"/>
        </w:rPr>
        <w:t>has served as a member of Dragonfly’s board of directors since August 5, 2021. Since 2017, Ms. Ingargiola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Avalon GlobalCare Corp., a publicly listed bio-tech health care company. Prior to joining Avalon GlobalCare Corp., Ms. Ingargiola served as the Chief Financial Officer and Co-Founder of MagneGas Corporation from 2007 to 2016. Ms. Ingargiola has also served as Board Director and Audit Committee Chair for various over-the-counter and Nasdaq companies.</w:t>
      </w:r>
    </w:p>
    <w:p>
      <w:pPr>
        <w:spacing w:after="0" w:line="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Ms. Ingargiola has served as a member of the Board of Directors and as Audit Committee Chair for Progress Acquisition Corporation since 2020, as a member of the Board of Directors and as Audit Committee Chair for AgEagle Aerial Systems since 2019, and as a</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member of the Board Directors and as Audit Committee Chair for Electra Meccanica since 2018. Ms. Ingargiola holds a M.B.A. in Health from the University of South Florida and a B.S. in Finance from Boston University. Ms. Ingargiola is qualified to serve on the Dragonfly Board based on her previous roles serving as Chief Financial Officer for multiple companies and extensive experience serving on multiple boards of directors for Nasdaq companies.</w:t>
      </w:r>
    </w:p>
    <w:p>
      <w:pPr>
        <w:spacing w:after="0" w:line="17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Nelson </w:t>
      </w:r>
      <w:r>
        <w:rPr>
          <w:rFonts w:ascii="Times New Roman" w:cs="Times New Roman" w:eastAsia="Times New Roman" w:hAnsi="Times New Roman"/>
          <w:sz w:val="18"/>
          <w:szCs w:val="18"/>
          <w:color w:val="auto"/>
        </w:rPr>
        <w:t>has served as a member of Dragonfly’s board of directors since April 18, 2022. Mr. Nelson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the Dragonfly Board based on his years of business experience as President and Chief Executive Officer of Precision Surfacing Solutions Group and Lapmaster.</w:t>
      </w:r>
    </w:p>
    <w:p>
      <w:pPr>
        <w:spacing w:after="0" w:line="18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Perry Boyle. </w:t>
      </w:r>
      <w:r>
        <w:rPr>
          <w:rFonts w:ascii="Times New Roman" w:cs="Times New Roman" w:eastAsia="Times New Roman" w:hAnsi="Times New Roman"/>
          <w:sz w:val="18"/>
          <w:szCs w:val="18"/>
          <w:color w:val="auto"/>
        </w:rPr>
        <w:t>Mr. Boyle has served as a member of the Dragonfly Board since the consummation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Boyle was with Point 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LaunchPoint Program, and helped drive the internationalization of the Point72, overseeing offices in London, Hong Kong, Tokyo and Singapore.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1 upon the effectiveness of its registration statement.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He has lectured on investing at Brown, Yale, Dartmouth, Columbia, Tufts, Harvard, Cambridge and the University of North Carolina, and delivered testimony to Congress on financial regulation. Mr. Boyle is qualified to serve on the Dragonfly Board based on his industry leadership and capital markets experience from research to fundraising.</w:t>
      </w:r>
    </w:p>
    <w:p>
      <w:pPr>
        <w:spacing w:after="0" w:line="188" w:lineRule="exact"/>
        <w:rPr>
          <w:sz w:val="20"/>
          <w:szCs w:val="20"/>
          <w:color w:val="auto"/>
        </w:rPr>
      </w:pPr>
    </w:p>
    <w:p>
      <w:pPr>
        <w:ind w:right="100" w:firstLine="32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Jonathan Bellows</w:t>
      </w:r>
      <w:r>
        <w:rPr>
          <w:rFonts w:ascii="Times New Roman" w:cs="Times New Roman" w:eastAsia="Times New Roman" w:hAnsi="Times New Roman"/>
          <w:sz w:val="17"/>
          <w:szCs w:val="17"/>
          <w:color w:val="auto"/>
        </w:rPr>
        <w:t>. Mr. Bellows has served as a member of the Dragonfly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Mr. Bellows currently serves as President of KORE Power, which acquired Northern Reliability in March 2022. He has served as President and Chief Executive Officer of Northern Reliability since April 2015. KORE Power is a fully integrated energy storage manufacturer, combining Northern Reliability’s energy storage technology with KORE Power’s cell manufacturing capabilities. Mr. Bellows is also President and CEO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the Dragonfly Board based on his energy storage industry expertise and operating and leadership experience.</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Rick Parod</w:t>
      </w:r>
      <w:r>
        <w:rPr>
          <w:rFonts w:ascii="Times New Roman" w:cs="Times New Roman" w:eastAsia="Times New Roman" w:hAnsi="Times New Roman"/>
          <w:sz w:val="18"/>
          <w:szCs w:val="18"/>
          <w:color w:val="auto"/>
        </w:rPr>
        <w:t>. Mr. Parod has served as a member of the Dragonfly Board since the consummation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of Alamo Group Inc., a designer, manufacturer, distributor, and servicer of equipment for infrastructure maintenance and agriculture, since 2017.</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Mr. Parod is qualified to serve on the Dragonfly Board based on his experience in manufacturing operations, product development and sales and marketing.</w:t>
      </w:r>
    </w:p>
    <w:p>
      <w:pPr>
        <w:spacing w:after="0" w:line="15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Karina Edmonds</w:t>
      </w:r>
      <w:r>
        <w:rPr>
          <w:rFonts w:ascii="Times New Roman" w:cs="Times New Roman" w:eastAsia="Times New Roman" w:hAnsi="Times New Roman"/>
          <w:sz w:val="18"/>
          <w:szCs w:val="18"/>
          <w:color w:val="auto"/>
        </w:rPr>
        <w:t>. Dr. Edmonds has served as a member of the Dragonfly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a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the Dragonfly Board based on her industry leadership and expertise in technology transfer and commercialization.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the Dragonfly Board. The Amended and Restated Charter provide for a staggered, or classified, Board consisting of three classes of directors, each serving a staggered three-year term and with one class being elected at each year’s annual meeting of stockholders, as follows:</w:t>
      </w:r>
    </w:p>
    <w:p>
      <w:pPr>
        <w:spacing w:after="0" w:line="176" w:lineRule="exact"/>
        <w:rPr>
          <w:sz w:val="20"/>
          <w:szCs w:val="20"/>
          <w:color w:val="auto"/>
        </w:rPr>
      </w:pPr>
    </w:p>
    <w:p>
      <w:pPr>
        <w:ind w:left="660" w:right="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Edmonds, whose terms will expire at the first annual meeting of stockholders to be held after the consummation of the Business Combination;</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the second annual meeting of stockholders to be held after the consummation of the Business Combination; and</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third annual meeting of stockholders to be held after the consummation of the Business Combination.</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the Dragonfly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the Dragonfly Board may have the effect of delaying or preventing changes in Dragonfly’s control or management. Dragonfly’s directors may be removed for cause by the affirmative vote of the holders of at least two-thirds of Dragonfly’s voting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Dr. Denis Phares serves as the chairman of the Dragonfly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the independent Lead Director of Dragonfly. We believe that this structure provides an environment in which the independent directors are fully informed, have significant input into the content of board meetings, and are able to provide objective and thoughtful oversight of management.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Dragonfly Board has determined that each of the directors on the Dragonfly Board other than Denis Phares qualifies as independent directors, as defined under the rules of the Nasdaq, and the Dragonfly Board consists of a majority of “independent directors,” as defined under the rules of the SEC and the Nasdaq relating to director independence requirements. In addition, Dragonfly is subject to the rules of the SEC and the Nasdaq relating to the membership, qualifications, and operations of the audit committee, as discussed below. Luisa Ingargiola is the Dragonfly lead independent director under the Nasdaq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Dragonfly Board in Risk Oversight/Risk Committee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One of the key functions of the Dragonfly Board is informed oversight of Dragonfly’s risk management process. The Dragonfly Board does not anticipate having a standing risk management committee, but rather anticipates administering this oversight function directly through the Dragonfly Board as a whole, as well as through various standing committees of the Dragonfly Board that address risks inherent in their respective areas of oversight. In particular, the Dragonfly Board is responsible for monitoring and assessing strategic risk exposure and Dragonfly’s audit committee has the responsibility to consider and discuss Dragonfly’s major financial risk exposures and the steps our management will take to monitor and control such exposures, including guidelines and policies to govern the process by which risk assessment and management is undertaken.</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Dragonfly’s compensation committee also assess and monitors whether Dragonfly’s compensation plans, policies and programs comply with applicable legal and regulatory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Dragonfly Board has three standing committees — an audit committee, a compensation committee, and a nominating and corporate governance committee. Copies of the charters for each committee are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Luisa Ingargiola, Rick Parod and Perry Boyle. The Dragonfly Board determined that each of the members of the audit committee satisfy the independence requirements of the Nasdaq and Rule 10A-3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are able to read and understand fundamental financial statements in accordance with the Nasdaq audit committee requirements. In arriving at this determination, the Dragonfly Board examined each audit committee member’s scope of experience and the nature of their prior and/or current employment.</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Dragonfly Board determined that Luisa Ingargiola qualifies as an audit committee financial expert within the meaning of SEC regulations and meets the financial sophistication requirements of the Nasdaq rules. In making this determination, the Dragonfly Board considered Luisa Ingargiola’s formal education and previous experience in financial roles. Both Dragonfly’s independent registered public accounting firm and management will periodically meet privately with Dragonfly’s audit committee.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225" w:lineRule="exact"/>
        <w:rPr>
          <w:sz w:val="20"/>
          <w:szCs w:val="20"/>
          <w:color w:val="auto"/>
        </w:rPr>
      </w:pPr>
    </w:p>
    <w:p>
      <w:pPr>
        <w:ind w:left="680" w:right="140" w:hanging="321"/>
        <w:spacing w:after="0" w:line="266"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Dragonfly’s independent auditors and determining whether to retain Dragonfly’s existing independent auditors or engage new independent auditors;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Dragonfly’s independent auditors to perform audit services and any permissible non-audit services;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Dragonfly’s internal control policies and procedures;</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Dragonfly;</w:t>
      </w:r>
    </w:p>
    <w:p>
      <w:pPr>
        <w:sectPr>
          <w:pgSz w:w="11900" w:h="16838" w:orient="portrait"/>
          <w:cols w:equalWidth="0" w:num="1">
            <w:col w:w="9900"/>
          </w:cols>
          <w:pgMar w:left="980" w:top="12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6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Dragonfly’s independent auditors describing the independent auditors’ internal quality control procedures and any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Dragonfly’s independent auditors and consider regular rotation of the accounting firm serving as Dragonfly’s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annual and financial statements and reports and discussing the statements and reports with Dragonfly’s independent auditors and management;</w:t>
      </w:r>
    </w:p>
    <w:p>
      <w:pPr>
        <w:spacing w:after="0" w:line="161"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Dragonfly’s independent auditors and management significant issues that arise regarding accounting principles and financial statement presentation and matters concerning the scope, adequacy, and effectiveness of Dragonfly’s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Dragonfly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Dragonfly’s annual proxy statement;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significant risk exposures;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all applicable U.S. Securities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 and regulations. We will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Luisa Ingargiola, Brian Nelson and Rick Parod. Brian Nelson serves as the chair of the compensation committee. The Dragonfly Board determined that each of the members of the compensation committee are a non-employee director, as defined in Rule 16b-3 promulgated under the Exchange Act and satisfies the independence requirements of the Nasdaq.</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the committee are expected to include, among other things:</w:t>
      </w:r>
    </w:p>
    <w:p>
      <w:pPr>
        <w:spacing w:after="0" w:line="225"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Dragonfly’s executive officers;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Dragonfly’s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assessing the CEO’s performance against these goals and objectives;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Dragonfly Board regarding the adoption, termination, amendment of equity and cash incentive plans and approving amendments to such plans to the extent authorized by the Dragonfly Board;</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CEO and other executives;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right="100" w:hanging="321"/>
        <w:spacing w:after="0" w:line="267"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Dragonfly’s disclosures under the caption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w:t>
      </w:r>
      <w:r>
        <w:rPr>
          <w:rFonts w:ascii="Times New Roman" w:cs="Times New Roman" w:eastAsia="Times New Roman" w:hAnsi="Times New Roman"/>
          <w:sz w:val="18"/>
          <w:szCs w:val="18"/>
          <w:color w:val="auto"/>
        </w:rPr>
        <w:t>” in Dragonfly’s periodic reports or proxy statements to be filed with the SEC, to the extent such caption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report or proxy statement;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Dragonfly’s annual proxy statement; and</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Dragonfly Board for executive officer development and retention and corporate succession plans.</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nominating committee consists of Brian Nelson, Jonathan Bellows and Karina Edmonds. Karina Edmonds serves as the chair of the nominating governance committee. The Dragonfly Board determined that each of the members of the nominating governance committee satisfies the independence requirements of the Nasdaq.</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225"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Dragonfly Board;</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the Dragonfly’s proxy statement;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the Dragonfly Board;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the Dragonfly Board’s committees and making recommendations to the Dragonfly Board for approvals;</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Dragonfly Board any changes to such policies and principles;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will comply with all applicable requirements of the Sarbanes-Oxley Act and all applicable SEC and the Nasdaq rules and regulations. Dragonfly will comply with future requirements to the extent they become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the Dragonfly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Code of Ethics</w:t>
      </w:r>
    </w:p>
    <w:p>
      <w:pPr>
        <w:spacing w:after="0" w:line="225"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The Dragonfly Board adopted a code of conduct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and a code of ethics (“</w:t>
      </w:r>
      <w:r>
        <w:rPr>
          <w:rFonts w:ascii="Times New Roman" w:cs="Times New Roman" w:eastAsia="Times New Roman" w:hAnsi="Times New Roman"/>
          <w:sz w:val="18"/>
          <w:szCs w:val="18"/>
          <w:b w:val="1"/>
          <w:bCs w:val="1"/>
          <w:color w:val="auto"/>
        </w:rPr>
        <w:t>Code of Ethics</w:t>
      </w:r>
      <w:r>
        <w:rPr>
          <w:rFonts w:ascii="Times New Roman" w:cs="Times New Roman" w:eastAsia="Times New Roman" w:hAnsi="Times New Roman"/>
          <w:sz w:val="18"/>
          <w:szCs w:val="18"/>
          <w:color w:val="auto"/>
        </w:rPr>
        <w:t>”) that applies to all of Dragonfly’s directors, officers and employees. The full text of the Code of Conduct and Code of Ethics is posted on the investor relations page on our website at https://dragonflyenergy.com/investors/. We will disclose any amendments to our Code of Conduct and Code of Ethics, or waivers of its requirements on our website identified above, or in filings under the Exchange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76"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Dragonfly’s directors for monetary damages will be eliminated or limited to the fullest extent permitted by the DGCL, as so amended. Additionally, the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Further, we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plan to maintain a directors’ and officers’ insurance policy pursuant to which our directors and officers are insured against liability for actions taken in their capacities as directors and officers. We believe these provisions in the Amended and Restated Charter and the Amended and Restated Bylaws and these indemnification agreements are necessary to attract and retain qualified persons as directors and officers.</w:t>
      </w:r>
    </w:p>
    <w:p>
      <w:pPr>
        <w:spacing w:after="0" w:line="180"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spacing w:after="0" w:line="13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the long-term success of the company.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compensation earned by, or awarded to, our NEOs for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00" w:type="dxa"/>
            <w:vAlign w:val="bottom"/>
          </w:tcPr>
          <w:p>
            <w:pPr>
              <w:jc w:val="right"/>
              <w:ind w:right="123"/>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579,593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963,964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Sean Nichols</w:t>
            </w:r>
            <w:r>
              <w:rPr>
                <w:rFonts w:ascii="Times New Roman" w:cs="Times New Roman" w:eastAsia="Times New Roman" w:hAnsi="Times New Roman"/>
                <w:sz w:val="22"/>
                <w:szCs w:val="22"/>
                <w:color w:val="auto"/>
                <w:vertAlign w:val="superscript"/>
              </w:rPr>
              <w:t>(4)</w:t>
            </w:r>
          </w:p>
        </w:tc>
        <w:tc>
          <w:tcPr>
            <w:tcW w:w="5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7"/>
                <w:szCs w:val="17"/>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579,593</w:t>
            </w:r>
          </w:p>
        </w:tc>
        <w:tc>
          <w:tcPr>
            <w:tcW w:w="140" w:type="dxa"/>
            <w:vAlign w:val="bottom"/>
          </w:tcPr>
          <w:p>
            <w:pPr>
              <w:spacing w:after="0"/>
              <w:rPr>
                <w:sz w:val="17"/>
                <w:szCs w:val="17"/>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362,137</w:t>
            </w:r>
          </w:p>
        </w:tc>
        <w:tc>
          <w:tcPr>
            <w:tcW w:w="140" w:type="dxa"/>
            <w:vAlign w:val="bottom"/>
          </w:tcPr>
          <w:p>
            <w:pPr>
              <w:spacing w:after="0"/>
              <w:rPr>
                <w:sz w:val="17"/>
                <w:szCs w:val="17"/>
                <w:color w:val="auto"/>
              </w:rPr>
            </w:pPr>
          </w:p>
        </w:tc>
        <w:tc>
          <w:tcPr>
            <w:tcW w:w="640" w:type="dxa"/>
            <w:vAlign w:val="bottom"/>
            <w:gridSpan w:val="2"/>
          </w:tcPr>
          <w:p>
            <w:pPr>
              <w:ind w:left="2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20,244</w:t>
            </w:r>
          </w:p>
        </w:tc>
        <w:tc>
          <w:tcPr>
            <w:tcW w:w="140" w:type="dxa"/>
            <w:vAlign w:val="bottom"/>
          </w:tcPr>
          <w:p>
            <w:pPr>
              <w:spacing w:after="0"/>
              <w:rPr>
                <w:sz w:val="17"/>
                <w:szCs w:val="17"/>
                <w:color w:val="auto"/>
              </w:rPr>
            </w:pPr>
          </w:p>
        </w:tc>
        <w:tc>
          <w:tcPr>
            <w:tcW w:w="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961,974</w:t>
            </w:r>
          </w:p>
        </w:tc>
        <w:tc>
          <w:tcPr>
            <w:tcW w:w="0" w:type="dxa"/>
            <w:vAlign w:val="bottom"/>
          </w:tcPr>
          <w:p>
            <w:pPr>
              <w:spacing w:after="0"/>
              <w:rPr>
                <w:sz w:val="1"/>
                <w:szCs w:val="1"/>
                <w:color w:val="auto"/>
              </w:rPr>
            </w:pPr>
          </w:p>
        </w:tc>
      </w:tr>
      <w:tr>
        <w:trPr>
          <w:trHeight w:val="23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Marchetti</w:t>
            </w:r>
            <w:r>
              <w:rPr>
                <w:rFonts w:ascii="Times New Roman" w:cs="Times New Roman" w:eastAsia="Times New Roman" w:hAnsi="Times New Roman"/>
                <w:sz w:val="25"/>
                <w:szCs w:val="25"/>
                <w:color w:val="auto"/>
                <w:vertAlign w:val="superscript"/>
              </w:rPr>
              <w:t>(5)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855,154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292215"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41" w:lineRule="exact"/>
        <w:rPr>
          <w:sz w:val="20"/>
          <w:szCs w:val="20"/>
          <w:color w:val="auto"/>
        </w:rPr>
      </w:pPr>
    </w:p>
    <w:p>
      <w:pPr>
        <w:ind w:left="340" w:right="28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2021. Pursuant to Mr. Marchetti’s employment agreement with Dragonfly and subject to his continued employment, he is guaranteed to receive at least his target bonus amount of $75,000 per quarter for the first four quarters of his employment.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2021 under the Dragonfly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F-58 of Dragonfly’s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Dragonfly’s matching contribution to the executive’s account under the Dragonfly’s 401(k)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Dragonfly announced that Mr. Nichols would be leaving Dragonfly on November 7,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Dragonfly’s Chief Financial Officer on September 6,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18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Dragonfly common stock held by each of the NEOs as of December 31, 2021, including the vesting dates for the portions of these awards that had not vested as of that date. The NEOs did not hold any other outstanding equity awards as of that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4780" w:type="dxa"/>
            <w:vAlign w:val="bottom"/>
            <w:gridSpan w:val="3"/>
            <w:vMerge w:val="continue"/>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60" w:type="dxa"/>
            <w:vAlign w:val="bottom"/>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Sean Nichols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 xml:space="preserve">250,000 </w:t>
            </w:r>
            <w:r>
              <w:rPr>
                <w:rFonts w:ascii="Times New Roman" w:cs="Times New Roman" w:eastAsia="Times New Roman" w:hAnsi="Times New Roman"/>
                <w:sz w:val="25"/>
                <w:szCs w:val="25"/>
                <w:color w:val="auto"/>
                <w:vertAlign w:val="superscript"/>
              </w:rPr>
              <w:t>(1)</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 xml:space="preserve">200,000 </w:t>
            </w:r>
            <w:r>
              <w:rPr>
                <w:rFonts w:ascii="Times New Roman" w:cs="Times New Roman" w:eastAsia="Times New Roman" w:hAnsi="Times New Roman"/>
                <w:sz w:val="25"/>
                <w:szCs w:val="25"/>
                <w:color w:val="auto"/>
                <w:vertAlign w:val="superscript"/>
              </w:rPr>
              <w:t>(2)</w:t>
            </w:r>
          </w:p>
        </w:tc>
        <w:tc>
          <w:tcPr>
            <w:tcW w:w="10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9/12/31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in 20 monthly installments from January 12, 2022 and August 12, 2023.</w:t>
      </w:r>
    </w:p>
    <w:p>
      <w:pPr>
        <w:spacing w:after="0" w:line="6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as to 25% of the option on September 10, 2022 and as to 75% of the option in 36 monthly installments from October 10, 2022 through September 10,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Grants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2021, Mr. Marchetti received an option to purchase 200,000 shares of our common stock at a price of $3.41 per share. This option was granted under Dragonfly’s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http://www.sec.gov.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Pre-Closing Stock Incentive Plans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we maintained the 2019 Plan and the 2021 Plan. Under these plans,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 cancelled upon the transaction. Such adjustments were made to each of the then-outstanding options under the 2019 Plan and the 2021 Plan upon the Closing.</w:t>
      </w:r>
    </w:p>
    <w:p>
      <w:pPr>
        <w:spacing w:after="0" w:line="162"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225"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We maintain the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for purposes of granting equity-based awards to attract, motivate, retain and reward selected employees and other eligible persons. Our Board of Directors administers the 2022 Plan. The plan administrator has broad authority to (without limitation):</w:t>
      </w:r>
    </w:p>
    <w:p>
      <w:pPr>
        <w:spacing w:after="0" w:line="175" w:lineRule="exact"/>
        <w:rPr>
          <w:sz w:val="20"/>
          <w:szCs w:val="20"/>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2022 Plan and any agreements relating to the plan;</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161"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2022 Plan, make certain adjustments to an outstanding award and authorize the termination, conversion, substitution or succession of an award; and</w:t>
      </w:r>
    </w:p>
    <w:p>
      <w:pPr>
        <w:spacing w:after="0" w:line="161"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total 2,785,950 shares of our common stock are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the date of this prospectus, no awards have been granted under the 2022 Plan, and the full number of shares authorized under the 2022 Plan is available for award purposes.</w:t>
      </w:r>
    </w:p>
    <w:p>
      <w:pPr>
        <w:spacing w:after="0" w:line="18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plan will terminate on May 13, 2032. However, the plan administrator will retain its authority until all outstanding awards are exercised or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5"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We maintain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 total of 2,464,400 shares of our common stock will initially be available for issuance under the ESPP. The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80"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We currently expect the ESPP will have a series of successive six-month offering periods. However,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73"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Individuals scheduled to work more than 20 hours per week for more than five calendar months per year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 an offering period on the start date of that period. Employees may participate in only one offering period at a time.</w:t>
      </w:r>
    </w:p>
    <w:p>
      <w:pPr>
        <w:spacing w:after="0" w:line="15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A participant may contribute up to 15% of his or her cash earnings through payroll deductions,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If we are acquired by merger or sale of all or substantially all of our assets or more than 50% of our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 date of the offering period in which the acquisition occurs or, if lower, 85% of the fair market value per share on the purchase date.</w:t>
      </w:r>
    </w:p>
    <w:p>
      <w:pPr>
        <w:spacing w:after="0" w:line="223"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plan provisions</w:t>
      </w:r>
      <w:r>
        <w:rPr>
          <w:rFonts w:ascii="Times New Roman" w:cs="Times New Roman" w:eastAsia="Times New Roman" w:hAnsi="Times New Roman"/>
          <w:sz w:val="18"/>
          <w:szCs w:val="18"/>
          <w:color w:val="auto"/>
        </w:rPr>
        <w:t>. No new offering periods will commence on or after May 13, 2032. The board of directors may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suspend or discontinue the ESPP. However, certain amendments may require stockholder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has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the Company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the executive’s employment is terminated by the Company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the Company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of the Company and ending 12 months after a change in control, the executive’s employment is terminated by the Company without cause (or as a result of the Company’s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the Company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his providing a release of claims to the Company and his continued compliance with the restrictive covenants in favor of the Company in the agreement.</w:t>
      </w:r>
    </w:p>
    <w:p>
      <w:pPr>
        <w:spacing w:after="0" w:line="16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 Operating Officer, would be leaving the Company to pursue other interests. His last day of employment was November 7, 2022. Mr. Nichols and the Company have entered into a separation and release agreement (the “Separation Agreement”) that became effective and fully irrevocable on November 2, 2022. Pursuant to the Separation Agreement, 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non-competition and non-solicitation covenants for 12 months following his termination date.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part of our overall compensation program, Dragonfly provides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Dragonfly’s current practice is to match 100% of an employee’s contributions to the plan up to 4% of the employee’s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Closing, we adopted a policy that provides for cash and equity compensation for members of the Board who are not employed by us or any of our subsidiaries (our </w:t>
      </w:r>
      <w:r>
        <w:rPr>
          <w:rFonts w:ascii="Calibri" w:cs="Calibri" w:eastAsia="Calibri" w:hAnsi="Calibri"/>
          <w:sz w:val="18"/>
          <w:szCs w:val="18"/>
          <w:color w:val="auto"/>
        </w:rPr>
        <w:t>“</w:t>
      </w:r>
      <w:r>
        <w:rPr>
          <w:rFonts w:ascii="Times New Roman" w:cs="Times New Roman" w:eastAsia="Times New Roman" w:hAnsi="Times New Roman"/>
          <w:sz w:val="18"/>
          <w:szCs w:val="18"/>
          <w:b w:val="1"/>
          <w:bCs w:val="1"/>
          <w:color w:val="auto"/>
        </w:rPr>
        <w:t>Non-Employee Directors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The policy provides that each Non-Employee Director is entitled to receive the following cash compensation for Board service, as applicable:</w:t>
      </w:r>
    </w:p>
    <w:p>
      <w:pPr>
        <w:spacing w:after="0" w:line="175" w:lineRule="exact"/>
        <w:rPr>
          <w:sz w:val="20"/>
          <w:szCs w:val="20"/>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184"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Board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restricted stock units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Dragonfly for their reasonable travel (including airfare and ground transportation), lodging and meal expenses incident to meetings of the Board or committees thereof or in connection with other Board-related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may change the terms of our director compensation policy from time to time.</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r>
        <w:rPr>
          <w:rFonts w:ascii="Calibri" w:cs="Calibri" w:eastAsia="Calibri" w:hAnsi="Calibri"/>
          <w:sz w:val="18"/>
          <w:szCs w:val="18"/>
          <w:b w:val="1"/>
          <w:bCs w:val="1"/>
          <w:color w:val="auto"/>
        </w:rPr>
        <w:t> — </w:t>
      </w:r>
      <w:r>
        <w:rPr>
          <w:rFonts w:ascii="Times New Roman" w:cs="Times New Roman" w:eastAsia="Times New Roman" w:hAnsi="Times New Roman"/>
          <w:sz w:val="18"/>
          <w:szCs w:val="18"/>
          <w:b w:val="1"/>
          <w:bCs w:val="1"/>
          <w:color w:val="auto"/>
        </w:rPr>
        <w:t>Fiscal 2021</w:t>
      </w:r>
    </w:p>
    <w:p>
      <w:pPr>
        <w:spacing w:after="0" w:line="23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paid to Ms. Ingargiola for her services on the Dragonfly Board during 2021. Messrs. Phares and Nichols did not receive any additional compensation for their service on the Dragonfly Board during 2021. The other members of our board did not serve on the Dragonfly board during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80" w:type="dxa"/>
            <w:vAlign w:val="bottom"/>
            <w:gridSpan w:val="2"/>
            <w:vMerge w:val="continue"/>
          </w:tcPr>
          <w:p>
            <w:pPr>
              <w:spacing w:after="0"/>
              <w:rPr>
                <w:sz w:val="12"/>
                <w:szCs w:val="12"/>
                <w:color w:val="auto"/>
              </w:rPr>
            </w:pPr>
          </w:p>
        </w:tc>
        <w:tc>
          <w:tcPr>
            <w:tcW w:w="9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4560" w:type="dxa"/>
            <w:vAlign w:val="bottom"/>
            <w:gridSpan w:val="3"/>
            <w:vMerge w:val="continue"/>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900" w:type="dxa"/>
            <w:vAlign w:val="bottom"/>
          </w:tcPr>
          <w:p>
            <w:pPr>
              <w:ind w:left="2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(1)(2)</w:t>
            </w:r>
          </w:p>
        </w:tc>
        <w:tc>
          <w:tcPr>
            <w:tcW w:w="16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281,325</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281,325</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140" w:hanging="332"/>
        <w:spacing w:after="0" w:line="258"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Ingargiola was granted an option to purchase 82,500 shares of Dragonfly common stock in August 2021 with an exercise price of $3.41 per share and that was scheduled to vest in monthly installments over a three-year period after the grant date. The option has a five-year term and will fully vest and be exercisable if a change in control of Dragonfly or an initial public offering of Dragonfly’s stock occurs and Ms. Ingargiola is asked to resign from the Board through no fault of her own. As of December 31, 2021, Ms. Ingargiola did not hold any outstanding equity awards from Dragonfly other than this option to purchase 82,500 shares.</w:t>
      </w:r>
    </w:p>
    <w:p>
      <w:pPr>
        <w:spacing w:after="0" w:line="21" w:lineRule="exact"/>
        <w:rPr>
          <w:rFonts w:ascii="Times New Roman" w:cs="Times New Roman" w:eastAsia="Times New Roman" w:hAnsi="Times New Roman"/>
          <w:sz w:val="18"/>
          <w:szCs w:val="18"/>
          <w:color w:val="auto"/>
        </w:rPr>
      </w:pPr>
    </w:p>
    <w:p>
      <w:pPr>
        <w:ind w:left="340" w:right="40" w:hanging="332"/>
        <w:spacing w:after="0" w:line="281"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reported in this column reflects the grant date fair value of the stock option granted to Ms. Ingargiola during 2021 under the Dragonfly Energy Corp. stock incentive plan as described above and is accounted for in accordance with FASB ASC Topic 718. Please see the section titled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beginning on page F-58 of Dragonfly’s Notes to Consolidated Financial Statements included elsewhere in this prospectus for a discussion of the relevant assumptions used in calculating this amount.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Arrangements with Dragonfly’s Executive Officers, Directors, 5% or more holders or their Immediate Family Members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John Marchetti.</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an inducement to hire Mr. John Marchetti as our Chief Financial Officer,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the Amended and Restated Charter and the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believes that these charter provisions and indemnification agreements are necessary to attract and retain qualified persons as directors and officers.</w:t>
      </w:r>
    </w:p>
    <w:p>
      <w:pPr>
        <w:spacing w:after="0" w:line="187"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Amended and Restated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CNTQ Related Party Transactions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CNTQ, the Sponsor and certain other CNTQ shareholders parties thereto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Legacy Dragonfly, and certain Legacy Dragonfly stockholders entered into an Amended and Restated Registration Rights Agreement (the “</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LLC pursuant to the terms of the Subscription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Consistent with the Debt Commitment Letter, in connection with the Closing, CNTQ, Legacy Dragonfly and the Initial Term Loan Lenders entered into the Term Loan Agreement setting forth the terms of the Term Loan. The Chardan Lender backstopped its commitment under the Debt Commitment Letter by entering into the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In addition, the Company entered into the Pledge Agreement pursuant to which the Company pledged to the Administrative Agent its equity interests in Legacy Dragonfly as further collateral security for the obligations under the Term Loan Agreement.</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the Company’s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w:t>
      </w:r>
    </w:p>
    <w:p>
      <w:pPr>
        <w:spacing w:after="0" w:line="27" w:lineRule="exact"/>
        <w:rPr>
          <w:sz w:val="20"/>
          <w:szCs w:val="20"/>
          <w:color w:val="auto"/>
        </w:rPr>
      </w:pPr>
    </w:p>
    <w:p>
      <w:pPr>
        <w:ind w:left="220" w:hanging="212"/>
        <w:spacing w:after="0"/>
        <w:tabs>
          <w:tab w:leader="none" w:pos="2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Penny Warrants and (ii) the $10 Warrants. The $10 Warrants were exercised on a cashless basis on October 10, 2022, with the</w:t>
      </w:r>
    </w:p>
    <w:p>
      <w:pPr>
        <w:spacing w:after="0" w:line="9"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agreeing to issue 457,142 shares of Common Stock in connection with such exercise. The additional shares of common stock will dilute the pro forma ownership of the other Company stockholders of proportionately.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$10 Warrants have been exercised in full and are no longer outstanding.</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Company’s $150 million ChEF Equity Facility (or replacement thereof) sold at a per share price above $5.00.</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shares issuable upon exercise of the Penny Warrants, and the shares issued upon exercise of the $10 Warrants have customary registration rights, which are contained in the respective forms of the Penny Warrants and the $10 Warrants, requiring the Company to file and keep effective a resale registration statement registering the resale of the shares of common stock underlying the Penny Warrants and the $10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the Company and CCM entered into the Purchase Agreement and the ChEF RRA in connection with the Closing. In addition, the Company appointed LifeSci Capital, LLC as “qualified independent underwriter” with respect to the transactions contemplated by the Purchase Agreement.</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The Dragonfly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w:t>
      </w:r>
    </w:p>
    <w:p>
      <w:pPr>
        <w:spacing w:after="0" w:line="2" w:lineRule="exact"/>
        <w:rPr>
          <w:sz w:val="20"/>
          <w:szCs w:val="20"/>
          <w:color w:val="auto"/>
        </w:rPr>
      </w:pPr>
    </w:p>
    <w:p>
      <w:pPr>
        <w:ind w:right="280" w:firstLine="8"/>
        <w:spacing w:after="0" w:line="260" w:lineRule="auto"/>
        <w:tabs>
          <w:tab w:leader="none" w:pos="2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(including any of our subsidiaries, if any) was, is or will be a participant, (ii) the aggregate amount involved exceeds or may be expected to exceed $120,000, and (iii) a related person has or will have a direct or indirect material interest.</w:t>
      </w:r>
    </w:p>
    <w:p>
      <w:pPr>
        <w:spacing w:after="0" w:line="18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8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certain significant stockholders. In considering related person transactions, our audit committee will take into account the relevant available facts and circumstances, which may include, but are not limited to:</w:t>
      </w:r>
    </w:p>
    <w:p>
      <w:pPr>
        <w:spacing w:after="0" w:line="162" w:lineRule="exact"/>
        <w:rPr>
          <w:sz w:val="20"/>
          <w:szCs w:val="20"/>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You are encouraged to read the applicable provisions of the DGCL, the Amended and Restated Charter and Bylaws in their entirety for a complete description of the rights and preferences of the Company’s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170,000,000 shares of common stock, par value $0.0001 per share, and 5,000,000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170,000,000 shares of Dragonfly common stock, par value $0.0001 per share.</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Dragonfly common stock are entitled to receive proportionately any dividends as may be declared by the Dragonfly Board, subject to any preferential dividend rights of any series of preferred stock that we may designate and issue in the future.</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Dragonfly common stock are entitled to receive proportionately our net assets available for distribution to stockholders after the payment of all debts and other liabilities and subject to the prior rights of any outstanding preferred stock.</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Holders of Dragonfly common stock have no preemptive, subscription, redemption or conversion rights. The rights, preferences and privileges of holders of Dragonfly common stock are subject to and may be adversely affected by the rights of the holders of shares of any series of preferred stock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Each whole redeemable warrant entitles the registered holder to purchase one share of common stock at a price of $11.50 per share, subject to adjustment as discussed below, at any time commencing 30 days after the completion of the Business Combination. Pursuant to the amended and restated warrant agreement, a warrant holder may exercise its warrants only for a whole number of shares of common stock. The warrants will expire five years after the completion of the Business Combination, at 5:00 p.m., New York City time, or earlier upon redemption or liquidation.</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9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amended and restated warrant agreement, we have agreed that as soon as practicable, but in no event later than 15 business days after the closing of the Business Combination, we will use our best efforts to file with the SEC a registration statement for the registration under the Securities Act of the offer and sale of the shares of common stock issuable upon exercise of the warrants and thereafter will use our best efforts to cause the same to become effective within 60 business days following the Business Combination and to maintain a current prospectus relating to the common stock issuable upon exercise of the warrants, until the</w:t>
      </w:r>
    </w:p>
    <w:p>
      <w:pPr>
        <w:sectPr>
          <w:pgSz w:w="11900" w:h="16838" w:orient="portrait"/>
          <w:cols w:equalWidth="0" w:num="1">
            <w:col w:w="9900"/>
          </w:cols>
          <w:pgMar w:left="980" w:top="121" w:right="101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expiration of the warrants in accordance with the provisions of the amended and restated warrant agreement. If we do not maintain in effect a registration statement covering the offer and sale of the issuance of shares of common stock upon exercise of the warrants, we will be required to permit registered holders to exercise their warrants on a cashless basis. However, no warrant will be exercisable for cash or on a cashless basis, and we will not be obligated to issue any shares to registered holders seeking to exercise their warrants, unless the issuance of the shares upon such exercise is registered or qualified under the securities laws of the state of the exercising registered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registered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9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(except as described herein with respect to the private placement warrants):</w:t>
      </w:r>
    </w:p>
    <w:p>
      <w:pPr>
        <w:spacing w:after="0" w:line="162" w:lineRule="exact"/>
        <w:rPr>
          <w:sz w:val="20"/>
          <w:szCs w:val="20"/>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42" w:lineRule="exact"/>
        <w:rPr>
          <w:rFonts w:ascii="Times New Roman" w:cs="Times New Roman" w:eastAsia="Times New Roman" w:hAnsi="Times New Roman"/>
          <w:sz w:val="18"/>
          <w:szCs w:val="18"/>
          <w:color w:val="auto"/>
        </w:rPr>
      </w:pPr>
    </w:p>
    <w:p>
      <w:pPr>
        <w:ind w:left="680" w:right="20" w:hanging="321"/>
        <w:spacing w:after="0" w:line="297"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62" w:lineRule="exact"/>
        <w:rPr>
          <w:rFonts w:ascii="Times New Roman" w:cs="Times New Roman" w:eastAsia="Times New Roman" w:hAnsi="Times New Roman"/>
          <w:sz w:val="18"/>
          <w:szCs w:val="18"/>
          <w:color w:val="auto"/>
        </w:rPr>
      </w:pPr>
    </w:p>
    <w:p>
      <w:pPr>
        <w:ind w:left="680" w:right="60" w:hanging="321"/>
        <w:spacing w:after="0" w:line="281"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pacing w:after="0" w:line="17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CNTQ IPO. However, there may be instances in which registered holders of our public warrants may be unable to exercise such public warrants but registered holders of our private warrants may be able to exercise such private warrants.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our management will have the option to require all holders that wish to exercise warrants to do so on a cashless basis. In the event of an exercise on a cashless basis, a holder would pay the warrant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the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warrants have certain anti-dilution and adjustment rights upon certain events.</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exercise of the private warrants) will not be transferable, assignable or salable until 30 days after the completion of the Business Combination (except, among other limited exceptions, to our officers and directors and other persons or entities affiliated with our sponsor) and they will not be redeemable by us so long as they are held by our sponsor or its permitted transferees. Our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our sponsor or its permitted transferees, the private warrants will be redeemable by us and exercisable by the holders on the same basis as the public warrants.</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7"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holders of our private warrants are entitled to certain registration rights and any private warrants purchased by Warrant Holdings will not be exercisable more than five years from August 10, 2021, the effective date of the registration statement on Form S-1 for the Business Combination, in accordance with FINRA Rule 5110(g), as long as CNTQ or any of its related persons beneficially own these private warrants.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Pursuant to letter agreements that we have entered into with our sponsor, officers and directors, the private warrants (including the common stock issuable upon exercise of any of the private warrants) are not transferable or salable until 30 days after the completion of the Business Combination, except (a) to our officers or directors, any affiliates or family members of any of our officers or directors, any members of Warrant Holdings, our sponsor,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the Business Combination; or (g) by virtue of the laws of Delaware or the applicable limited liability company agreement upon dissolution of Warrant Holdings,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Warrant Holdings, our sponsor, officers, and directors of the Company, as the case may be, with respect to such securities (including provisions relating to voting, the trust account and liquidation distributions described in the prospectus relating to the CNTQ IPO).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and are exercisable for an aggregate of 2,593,056 shares of Common Stock, representing 5.6% of fully-diluted outstanding shares of common stock calculated as of immediately following the Closing Date. The calculation of ownership of common stock “on a fully diluted basis” included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the Company’s planned $150 million equity line of credit (or replacement thereof) sold at a per share price above $5.00. The shares issuable upon exercise of the Penny Warrants have customary registration rights requiring the Company to file and keep effective a resale registration statement registering the resale of the shares of common stock underlying the Penny Warrants.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American Stock Transfer &amp; Trust Company,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5,000,000 shares of preferred stock, par value $0.0001 per share.</w:t>
      </w:r>
    </w:p>
    <w:p>
      <w:pPr>
        <w:spacing w:after="0" w:line="162" w:lineRule="exact"/>
        <w:rPr>
          <w:sz w:val="20"/>
          <w:szCs w:val="20"/>
          <w:color w:val="auto"/>
        </w:rPr>
      </w:pPr>
    </w:p>
    <w:p>
      <w:pPr>
        <w:ind w:right="420" w:firstLine="324"/>
        <w:spacing w:after="0" w:line="312" w:lineRule="auto"/>
        <w:rPr>
          <w:sz w:val="20"/>
          <w:szCs w:val="20"/>
          <w:color w:val="auto"/>
        </w:rPr>
      </w:pPr>
      <w:r>
        <w:rPr>
          <w:rFonts w:ascii="Times New Roman" w:cs="Times New Roman" w:eastAsia="Times New Roman" w:hAnsi="Times New Roman"/>
          <w:sz w:val="17"/>
          <w:szCs w:val="17"/>
          <w:color w:val="auto"/>
        </w:rPr>
        <w:t>Under the terms of the amended and restated certificate of incorporation, the Dragonfly board of directors is authorized to issue shares of preferred stock in one or more series without stockholder approval. The Dragonfly board of directors has the discretion to</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determine the terms, rights, preferences, privileges and restrictions, including voting rights, dividend rights, conversion rights, redemption privileges and liquidation preferences, of each series of preferred stock.</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amended and restated bylaws provide that, unless Dragonfly consents in writing to the selection of an alternative forum, (A) (i) any derivative action or proceeding brought on behalf of Dragonfly, (ii) any action asserting a claim of breach of a fiduciary duty owed by any current or former director, officer, other employee or stockholder of Dragonfly to Dragonfly or Dragonfly’s stockholders, (iii) any action asserting a claim arising pursuant to any provision of the DGCL, the amended and restated certificate of incorporation or the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of America shall, to the fullest extent permitted by applicable law, be the exclusive forum for the resolution of any complaint asserting a cause of action arising under the Securities Act of 1933, as amended. Although we believe these provisions benefit us by providing increased consistency in the application of Delaware law in the types of lawsuits to which it applies, these provisions may have the effect of discouraging lawsuits against our directors and officers.</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the Amended and Restated Certificate of Incorporation, the Amended and Restated Bylaws and Delaware Law</w:t>
      </w:r>
    </w:p>
    <w:p>
      <w:pPr>
        <w:spacing w:after="0" w:line="15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62" w:lineRule="exact"/>
        <w:rPr>
          <w:sz w:val="20"/>
          <w:szCs w:val="20"/>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38" w:lineRule="exact"/>
        <w:rPr>
          <w:rFonts w:ascii="Times New Roman" w:cs="Times New Roman" w:eastAsia="Times New Roman" w:hAnsi="Times New Roman"/>
          <w:sz w:val="18"/>
          <w:szCs w:val="18"/>
          <w:color w:val="auto"/>
        </w:rPr>
      </w:pPr>
    </w:p>
    <w:p>
      <w:pPr>
        <w:ind w:left="680" w:right="820" w:hanging="321"/>
        <w:spacing w:after="0" w:line="29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162" w:lineRule="exact"/>
        <w:rPr>
          <w:rFonts w:ascii="Times New Roman" w:cs="Times New Roman" w:eastAsia="Times New Roman" w:hAnsi="Times New Roman"/>
          <w:sz w:val="18"/>
          <w:szCs w:val="18"/>
          <w:color w:val="auto"/>
        </w:rPr>
      </w:pPr>
    </w:p>
    <w:p>
      <w:pPr>
        <w:ind w:left="680" w:right="520" w:hanging="321"/>
        <w:spacing w:after="0" w:line="29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includes a merger or a sale of more than 10% of our assets. However, the above provisions of Section 203 do not apply if:</w:t>
      </w:r>
    </w:p>
    <w:p>
      <w:pPr>
        <w:spacing w:after="0" w:line="162" w:lineRule="exact"/>
        <w:rPr>
          <w:rFonts w:ascii="Times New Roman" w:cs="Times New Roman" w:eastAsia="Times New Roman" w:hAnsi="Times New Roman"/>
          <w:sz w:val="18"/>
          <w:szCs w:val="18"/>
          <w:color w:val="auto"/>
        </w:rPr>
      </w:pPr>
    </w:p>
    <w:p>
      <w:pPr>
        <w:ind w:left="680" w:right="680" w:hanging="321"/>
        <w:spacing w:after="0" w:line="29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either the business combination or transaction that made the stockholder an “interested stockholder,” prior to the date of such business combination;</w:t>
      </w:r>
    </w:p>
    <w:p>
      <w:pPr>
        <w:spacing w:after="0" w:line="162" w:lineRule="exact"/>
        <w:rPr>
          <w:rFonts w:ascii="Times New Roman" w:cs="Times New Roman" w:eastAsia="Times New Roman" w:hAnsi="Times New Roman"/>
          <w:sz w:val="18"/>
          <w:szCs w:val="18"/>
          <w:color w:val="auto"/>
        </w:rPr>
      </w:pPr>
    </w:p>
    <w:p>
      <w:pPr>
        <w:jc w:val="both"/>
        <w:ind w:left="680" w:right="360" w:hanging="321"/>
        <w:spacing w:after="0" w:line="281"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77" w:lineRule="exact"/>
        <w:rPr>
          <w:rFonts w:ascii="Times New Roman" w:cs="Times New Roman" w:eastAsia="Times New Roman" w:hAnsi="Times New Roman"/>
          <w:sz w:val="18"/>
          <w:szCs w:val="18"/>
          <w:color w:val="auto"/>
        </w:rPr>
      </w:pPr>
    </w:p>
    <w:p>
      <w:pPr>
        <w:ind w:left="680" w:right="160" w:hanging="321"/>
        <w:spacing w:after="0" w:line="281"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such business combination,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amended and restated certificate of incorporation provides otherwise. The amended and restated certificate of incorporation precludes stockholder action by written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amended and restated certificate of incorporation further provides that the affirmative vote of holders of at least 66 2∕3% of the voting power of all of the then outstanding shares of voting stock, voting as a single class, is required to amend certain provisions of our amended and restated certificate of incorporation, including provisions relating to the size of the board, removal of directors, special meetings and actions by written consent. The affirmative vote of holders of at least 66 2/3% of the voting power of all of the then outstanding shares of voting stock, voting as a single class, is required to adopt, amend, alter or repeal our proposed bylaws, although our proposed bylaws may be amended by a majority vote of the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Company’s common stock as of November 14, 2022, except as otherwise set forth below, by:</w:t>
      </w:r>
    </w:p>
    <w:p>
      <w:pPr>
        <w:spacing w:after="0" w:line="121" w:lineRule="exact"/>
        <w:rPr>
          <w:sz w:val="20"/>
          <w:szCs w:val="20"/>
          <w:color w:val="auto"/>
        </w:rPr>
      </w:pPr>
    </w:p>
    <w:p>
      <w:pPr>
        <w:ind w:left="680" w:right="600" w:hanging="321"/>
        <w:spacing w:after="0" w:line="297"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the Company to be the beneficial owner of more than 5% of the outstanding shares of the Company’s common stock;</w:t>
      </w:r>
    </w:p>
    <w:p>
      <w:pPr>
        <w:spacing w:after="0" w:line="13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which includes the power to dispose of or to direct the disposition of the security or has the right to acquire such powers within 60 days. In computing the number of shares of the Company’s common stock beneficially owned by a person or entity and the percentage ownership, the Company deemed outstanding shares of its common stock subject to options and warrants held by that person or entity that are currently exercisable or exercisable within 60 days of the Closing Date. The Company did not deem these shares outstanding, however, for the purpose of computing the percentage ownership of any other person or entity.</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3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 and other equity securities.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beneficial ownership of the Company’s common stock is based on 43,272,728 shares of the Company’s common stock issued and outstanding immediately following consummation of the Transactions, including the redemption of public shares of the Company’s common stock as described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900" w:type="dxa"/>
            <w:vAlign w:val="bottom"/>
            <w:gridSpan w:val="4"/>
            <w:vMerge w:val="continue"/>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Dynavolt Technology (HK) Ltd.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11,820,900</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Jonas Grossman</w:t>
            </w:r>
            <w:r>
              <w:rPr>
                <w:rFonts w:ascii="Times New Roman" w:cs="Times New Roman" w:eastAsia="Times New Roman" w:hAnsi="Times New Roman"/>
                <w:sz w:val="25"/>
                <w:szCs w:val="25"/>
                <w:color w:val="auto"/>
                <w:vertAlign w:val="superscript"/>
              </w:rPr>
              <w:t>(1)(2)(3)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Chardan NexTech Investments 2 LLC</w:t>
            </w:r>
            <w:r>
              <w:rPr>
                <w:rFonts w:ascii="Times New Roman" w:cs="Times New Roman" w:eastAsia="Times New Roman" w:hAnsi="Times New Roman"/>
                <w:sz w:val="25"/>
                <w:szCs w:val="25"/>
                <w:color w:val="auto"/>
                <w:vertAlign w:val="superscript"/>
              </w:rPr>
              <w:t>(1)(2)(3)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Gong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2,364,180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Sean Nichols</w:t>
            </w:r>
            <w:r>
              <w:rPr>
                <w:rFonts w:ascii="Times New Roman" w:cs="Times New Roman" w:eastAsia="Times New Roman" w:hAnsi="Times New Roman"/>
                <w:sz w:val="25"/>
                <w:szCs w:val="25"/>
                <w:color w:val="auto"/>
                <w:vertAlign w:val="superscript"/>
              </w:rPr>
              <w:t>(4)(6)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3,558,683</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Dr. Denis Phares</w:t>
            </w:r>
            <w:r>
              <w:rPr>
                <w:rFonts w:ascii="Times New Roman" w:cs="Times New Roman" w:eastAsia="Times New Roman" w:hAnsi="Times New Roman"/>
                <w:sz w:val="25"/>
                <w:szCs w:val="25"/>
                <w:color w:val="auto"/>
                <w:vertAlign w:val="superscript"/>
              </w:rPr>
              <w:t>(4)(5)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15,899,110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Perry Boyle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Rick Parod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gridSpan w:val="2"/>
          </w:tcPr>
          <w:p>
            <w:pPr>
              <w:spacing w:after="0"/>
              <w:rPr>
                <w:sz w:val="9"/>
                <w:szCs w:val="9"/>
                <w:color w:val="auto"/>
              </w:rPr>
            </w:pPr>
          </w:p>
        </w:tc>
        <w:tc>
          <w:tcPr>
            <w:tcW w:w="442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Less than one percent.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20" w:hanging="332"/>
        <w:spacing w:after="0" w:line="254"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10004.</w:t>
      </w:r>
    </w:p>
    <w:p>
      <w:pPr>
        <w:spacing w:after="0" w:line="1" w:lineRule="exact"/>
        <w:rPr>
          <w:rFonts w:ascii="Times New Roman" w:cs="Times New Roman" w:eastAsia="Times New Roman" w:hAnsi="Times New Roman"/>
          <w:sz w:val="18"/>
          <w:szCs w:val="18"/>
          <w:color w:val="auto"/>
        </w:rPr>
      </w:pPr>
    </w:p>
    <w:p>
      <w:pPr>
        <w:ind w:left="340" w:right="20" w:hanging="332"/>
        <w:spacing w:after="0" w:line="25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15,000 shares issued to CCM pursuant to the Subscription Agreement.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CCM is 17 State Street, Suite 2130, New York, NY 10004.</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9" w:lineRule="auto"/>
        <w:tabs>
          <w:tab w:leader="none" w:pos="3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New York, NY 10004.</w:t>
      </w:r>
    </w:p>
    <w:p>
      <w:pPr>
        <w:spacing w:after="0" w:line="2"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103"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 On November 4, 2022, Dragonfly announced that Mr. Nichols would be leaving Dragonfly on November 7,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registering the offer and sale of these securities to satisfy certain registration rights we have granted to the selling securityholders pursuant to the terms of the Registration Rights Agreement, the Private Warrants, the Public Warrants, the $10 Warrants and the Penny Warrants. The selling securityholders may offer and sell, from time to time, any or all of the shares of common stock or Private Warrants, Public Warrants and Penny Warrants being offered for resale by this prospectus, which consists of up to:</w:t>
      </w:r>
    </w:p>
    <w:p>
      <w:pPr>
        <w:spacing w:after="0" w:line="180"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31,290,514 Consideration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3,664,975 Option Shares;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3,162,500 Founder Shares;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Public Warrants;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 Shares;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457,142 $10 Warrant Shares;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Penny Warrant Shares; and</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PIPE Investment Shares.</w:t>
      </w:r>
    </w:p>
    <w:p>
      <w:pPr>
        <w:spacing w:after="0" w:line="19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or Private Warrants and Penny Warrants set forth below pursuant to this prospectus. In this prospectus, the term “selling securityholders” includes (i) the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beneficial ownership of our common stock and Private Warrants and Penny Warrants of each selling securityholder, the number of shares of common stock and number of Private Warrants and Penny Warrants that may be sold by each selling securityholder under this prospectus and that each selling securityholder will beneficially own after this offering. The immediately following table also sets forth the percentage of common stock beneficially owned by a selling securityholder after giving effect to the sale by the selling securityholder of all offered securities, based on 43,272,728 shares of common stock outstanding as of November 14, 2022.</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the table below, we have assumed that (i) no holders of Public Warrants exercise any of the outstanding Warrants,</w:t>
      </w:r>
    </w:p>
    <w:p>
      <w:pPr>
        <w:spacing w:after="0" w:line="27" w:lineRule="exact"/>
        <w:rPr>
          <w:sz w:val="20"/>
          <w:szCs w:val="20"/>
          <w:color w:val="auto"/>
        </w:rPr>
      </w:pPr>
    </w:p>
    <w:p>
      <w:pPr>
        <w:ind w:right="220" w:firstLine="8"/>
        <w:spacing w:after="0" w:line="253" w:lineRule="auto"/>
        <w:tabs>
          <w:tab w:leader="none" w:pos="2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termination of this offering, none of the shares of common stock covered by this prospectus will be beneficially owned by the selling securityholders and (iii) the selling securityholders will not acquire beneficial ownership of any additional securities during the offering. In addition, we assume that the selling securityholders have not sold, transferred or otherwise disposed of, our securities in transactions exempt from the registration requirements of the Securities Act. See “</w:t>
      </w:r>
      <w:r>
        <w:rPr>
          <w:rFonts w:ascii="Times New Roman" w:cs="Times New Roman" w:eastAsia="Times New Roman" w:hAnsi="Times New Roman"/>
          <w:sz w:val="18"/>
          <w:szCs w:val="18"/>
          <w:i w:val="1"/>
          <w:iCs w:val="1"/>
          <w:color w:val="auto"/>
        </w:rPr>
        <w:t>Certain Relationships and Related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Certain of the selling securityholders have an incentive to sell because they purchased shares and/or warrants at prices below the initial public offering price of $10 per share and/or below the recent trading prices of our securities. Given the substantial number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initial public offering price and may cause the trading prices of our securities to experience a further decline. Since many of our public stockholders purchased shares at prices above, and the exercise price of our warrants exceeds, the recent trading prices for shares of our common stock, other of our securityholders may not experience a positive rate of return if they were to sell at the same prices.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Selling securityholders information for each additional selling securityholders, if any, will be set forth by a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shares of common stock or Private Warrants, shares underlying the Penny Warrants registered on its behalf.</w:t>
      </w:r>
    </w:p>
    <w:p>
      <w:pPr>
        <w:spacing w:after="0" w:line="141"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shares of common stock and Private Warrants and Penny Warrants.</w:t>
      </w:r>
    </w:p>
    <w:p>
      <w:pPr>
        <w:spacing w:after="0" w:line="13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selling securityholders is c/o Dragonfly Energy Holdings Corp., 1190 Trademark Drive #108, Reno, Nevada 89521.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Securities Being</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ind w:left="6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left="253"/>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 Securities</w:t>
            </w: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the Offering</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0" w:type="dxa"/>
            <w:vAlign w:val="bottom"/>
          </w:tcPr>
          <w:p>
            <w:pPr>
              <w:spacing w:after="0"/>
              <w:rPr>
                <w:sz w:val="1"/>
                <w:szCs w:val="1"/>
                <w:color w:val="auto"/>
              </w:rPr>
            </w:pPr>
          </w:p>
        </w:tc>
      </w:tr>
      <w:tr>
        <w:trPr>
          <w:trHeight w:val="117"/>
        </w:trPr>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vMerge w:val="restart"/>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vMerge w:val="restart"/>
          </w:tcPr>
          <w:p>
            <w:pPr>
              <w:spacing w:after="0"/>
              <w:rPr>
                <w:sz w:val="12"/>
                <w:szCs w:val="12"/>
                <w:color w:val="auto"/>
              </w:rPr>
            </w:pP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73"/>
        </w:trPr>
        <w:tc>
          <w:tcPr>
            <w:tcW w:w="1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Dr. Denis Phares</w:t>
            </w:r>
            <w:r>
              <w:rPr>
                <w:rFonts w:ascii="Times New Roman" w:cs="Times New Roman" w:eastAsia="Times New Roman" w:hAnsi="Times New Roman"/>
                <w:sz w:val="24"/>
                <w:szCs w:val="24"/>
                <w:color w:val="auto"/>
                <w:vertAlign w:val="superscript"/>
              </w:rPr>
              <w:t>(1)(2)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15,899,110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15,899,110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8"/>
        </w:trPr>
        <w:tc>
          <w:tcPr>
            <w:tcW w:w="2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Dynavolt Technology</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(HK) Ltd.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11,820,900</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11,820,900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Jonas Grossman</w:t>
            </w:r>
            <w:r>
              <w:rPr>
                <w:rFonts w:ascii="Times New Roman" w:cs="Times New Roman" w:eastAsia="Times New Roman" w:hAnsi="Times New Roman"/>
                <w:sz w:val="25"/>
                <w:szCs w:val="25"/>
                <w:color w:val="auto"/>
                <w:vertAlign w:val="superscript"/>
              </w:rPr>
              <w:t>(3)(4)(5)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3,030,500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0"/>
        </w:trPr>
        <w:tc>
          <w:tcPr>
            <w:tcW w:w="2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Chardan NexTech</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40" w:type="dxa"/>
            <w:vAlign w:val="bottom"/>
            <w:gridSpan w:val="2"/>
          </w:tcPr>
          <w:p>
            <w:pPr>
              <w:ind w:left="140"/>
              <w:spacing w:after="0" w:line="242" w:lineRule="exact"/>
              <w:rPr>
                <w:sz w:val="20"/>
                <w:szCs w:val="20"/>
                <w:color w:val="auto"/>
              </w:rPr>
            </w:pPr>
            <w:r>
              <w:rPr>
                <w:rFonts w:ascii="Times New Roman" w:cs="Times New Roman" w:eastAsia="Times New Roman" w:hAnsi="Times New Roman"/>
                <w:sz w:val="18"/>
                <w:szCs w:val="18"/>
                <w:color w:val="auto"/>
              </w:rPr>
              <w:t>Investments 2 LLC</w:t>
            </w:r>
            <w:r>
              <w:rPr>
                <w:rFonts w:ascii="Times New Roman" w:cs="Times New Roman" w:eastAsia="Times New Roman" w:hAnsi="Times New Roman"/>
                <w:sz w:val="26"/>
                <w:szCs w:val="26"/>
                <w:color w:val="auto"/>
                <w:vertAlign w:val="superscript"/>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3,030,500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Chardan NexTech 2</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40" w:type="dxa"/>
            <w:vAlign w:val="bottom"/>
            <w:gridSpan w:val="2"/>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6"/>
                <w:szCs w:val="26"/>
                <w:color w:val="auto"/>
                <w:vertAlign w:val="superscript"/>
              </w:rPr>
              <w:t>(6)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4,627,858</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4,627,858</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Sean Nichols</w:t>
            </w:r>
            <w:r>
              <w:rPr>
                <w:rFonts w:ascii="Times New Roman" w:cs="Times New Roman" w:eastAsia="Times New Roman" w:hAnsi="Times New Roman"/>
                <w:sz w:val="25"/>
                <w:szCs w:val="25"/>
                <w:color w:val="auto"/>
                <w:vertAlign w:val="superscript"/>
              </w:rPr>
              <w:t>(1)(7)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3,558,683</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3,558,683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Marchetti</w:t>
            </w:r>
            <w:r>
              <w:rPr>
                <w:rFonts w:ascii="Times New Roman" w:cs="Times New Roman" w:eastAsia="Times New Roman" w:hAnsi="Times New Roman"/>
                <w:sz w:val="25"/>
                <w:szCs w:val="25"/>
                <w:color w:val="auto"/>
                <w:vertAlign w:val="superscript"/>
              </w:rPr>
              <w:t>(8)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236,417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Chardan Capital Markets</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40" w:type="dxa"/>
            <w:vAlign w:val="bottom"/>
            <w:gridSpan w:val="2"/>
            <w:shd w:val="clear" w:color="auto" w:fill="CCEEFF"/>
          </w:tcPr>
          <w:p>
            <w:pPr>
              <w:ind w:left="140"/>
              <w:spacing w:after="0" w:line="242"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2"/>
                <w:szCs w:val="12"/>
                <w:color w:val="auto"/>
              </w:rPr>
              <w:t>(9)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Biele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Roderick Hardamon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Jory Des Jardins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Hitesh Thakrar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Thomson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BP Holdings XVII LP</w:t>
            </w:r>
            <w:r>
              <w:rPr>
                <w:rFonts w:ascii="Times New Roman" w:cs="Times New Roman" w:eastAsia="Times New Roman" w:hAnsi="Times New Roman"/>
                <w:sz w:val="25"/>
                <w:szCs w:val="25"/>
                <w:color w:val="auto"/>
                <w:vertAlign w:val="superscript"/>
              </w:rPr>
              <w:t>(10)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274,285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1,555,834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0"/>
        </w:trPr>
        <w:tc>
          <w:tcPr>
            <w:tcW w:w="20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Energy Impact Credit</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40" w:type="dxa"/>
            <w:vAlign w:val="bottom"/>
            <w:gridSpan w:val="2"/>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Fund II LP</w:t>
            </w:r>
            <w:r>
              <w:rPr>
                <w:rFonts w:ascii="Times New Roman" w:cs="Times New Roman" w:eastAsia="Times New Roman" w:hAnsi="Times New Roman"/>
                <w:sz w:val="26"/>
                <w:szCs w:val="26"/>
                <w:color w:val="auto"/>
                <w:vertAlign w:val="superscript"/>
              </w:rPr>
              <w:t>(11)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121,920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691,568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0"/>
        </w:trPr>
        <w:tc>
          <w:tcPr>
            <w:tcW w:w="2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Energy Impact Credit</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 I LP</w:t>
            </w:r>
            <w:r>
              <w:rPr>
                <w:rFonts w:ascii="Times New Roman" w:cs="Times New Roman" w:eastAsia="Times New Roman" w:hAnsi="Times New Roman"/>
                <w:sz w:val="26"/>
                <w:szCs w:val="26"/>
                <w:color w:val="auto"/>
                <w:vertAlign w:val="superscript"/>
              </w:rPr>
              <w:t>(12)</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60,937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345,654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568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one percent.</w:t>
      </w:r>
    </w:p>
    <w:p>
      <w:pPr>
        <w:spacing w:after="0" w:line="63"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140" w:hanging="332"/>
        <w:spacing w:after="0" w:line="258"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21st Floor, New York, NY 10004.</w:t>
      </w:r>
    </w:p>
    <w:p>
      <w:pPr>
        <w:spacing w:after="0" w:line="21" w:lineRule="exact"/>
        <w:rPr>
          <w:rFonts w:ascii="Times New Roman" w:cs="Times New Roman" w:eastAsia="Times New Roman" w:hAnsi="Times New Roman"/>
          <w:sz w:val="18"/>
          <w:szCs w:val="18"/>
          <w:color w:val="auto"/>
        </w:rPr>
      </w:pPr>
    </w:p>
    <w:p>
      <w:pPr>
        <w:ind w:left="340" w:right="120" w:hanging="332"/>
        <w:spacing w:after="0" w:line="277" w:lineRule="auto"/>
        <w:tabs>
          <w:tab w:leader="none" w:pos="3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Schedule 13D filed by the Sponsor on October 12, 2022.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w:t>
      </w:r>
    </w:p>
    <w:p>
      <w:pPr>
        <w:spacing w:after="0" w:line="5" w:lineRule="exact"/>
        <w:rPr>
          <w:rFonts w:ascii="Times New Roman" w:cs="Times New Roman" w:eastAsia="Times New Roman" w:hAnsi="Times New Roman"/>
          <w:sz w:val="17"/>
          <w:szCs w:val="17"/>
          <w:color w:val="auto"/>
        </w:rPr>
      </w:pPr>
    </w:p>
    <w:p>
      <w:pPr>
        <w:ind w:left="340" w:right="20" w:hanging="332"/>
        <w:spacing w:after="0" w:line="261"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Warrant Holdings is an affiliate of the Sponsor. The business address of Warrant Holdings is 17 State Street, 21st Floor, New York, NY 10004.</w:t>
      </w:r>
    </w:p>
    <w:p>
      <w:pPr>
        <w:spacing w:after="0" w:line="1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13" w:lineRule="exact"/>
        <w:rPr>
          <w:rFonts w:ascii="Times New Roman" w:cs="Times New Roman" w:eastAsia="Times New Roman" w:hAnsi="Times New Roman"/>
          <w:sz w:val="18"/>
          <w:szCs w:val="18"/>
          <w:color w:val="auto"/>
        </w:rPr>
      </w:pPr>
    </w:p>
    <w:p>
      <w:pPr>
        <w:ind w:left="340" w:right="26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 On November 4, 2022, Dragonfly announced that Mr. Nichols would be leaving Dragonfly on November 7, 2022.</w:t>
      </w:r>
    </w:p>
    <w:p>
      <w:pPr>
        <w:spacing w:after="0" w:line="1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236,417 shares of common stock issuable upon the exercise of stock options.</w:t>
      </w:r>
    </w:p>
    <w:p>
      <w:pPr>
        <w:spacing w:after="0" w:line="63" w:lineRule="exact"/>
        <w:rPr>
          <w:rFonts w:ascii="Times New Roman" w:cs="Times New Roman" w:eastAsia="Times New Roman" w:hAnsi="Times New Roman"/>
          <w:sz w:val="18"/>
          <w:szCs w:val="18"/>
          <w:color w:val="auto"/>
        </w:rPr>
      </w:pPr>
    </w:p>
    <w:p>
      <w:pPr>
        <w:ind w:left="340" w:hanging="332"/>
        <w:spacing w:after="0" w:line="253"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 We have excluded from the number of shares beneficially owned prior to the offering all of the shares that CCM may be required to purchase upon the terms of the ChEF Equity Facility, because the issuance of such shares of common stock is solely at our discretion and is subject to conditions and limitations contained in the Purchase Agreement, the satisfaction of which are entirely outside of CCM’s control.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274,285 shares purchased upon exercise of the $10 Warrants and 1,555,834 shares underlying the Penny Warrants.</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121,920 shares purchased upon exercise of the $10 Warrants and 691,568 shares underlying the Penny Warrants.</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60,937 shares purchased upon exercise of the $10 Warrants and 345,654 shares underlying the Penny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securityholders pursuant to this offering and hold the common stock as a capital asset within the meaning of Section 1221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3" w:lineRule="exact"/>
        <w:rPr>
          <w:sz w:val="20"/>
          <w:szCs w:val="20"/>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“applicable financial statement” accounting rules under Section 451(b) of the Code;</w:t>
      </w:r>
    </w:p>
    <w:p>
      <w:pPr>
        <w:spacing w:after="0" w:line="238" w:lineRule="exact"/>
        <w:rPr>
          <w:rFonts w:ascii="Times New Roman" w:cs="Times New Roman" w:eastAsia="Times New Roman" w:hAnsi="Times New Roman"/>
          <w:sz w:val="18"/>
          <w:szCs w:val="18"/>
          <w:color w:val="auto"/>
        </w:rPr>
      </w:pPr>
    </w:p>
    <w:p>
      <w:pPr>
        <w:ind w:left="680" w:right="60" w:hanging="321"/>
        <w:spacing w:after="0" w:line="297"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38" w:lineRule="exact"/>
        <w:rPr>
          <w:rFonts w:ascii="Times New Roman" w:cs="Times New Roman" w:eastAsia="Times New Roman" w:hAnsi="Times New Roman"/>
          <w:sz w:val="18"/>
          <w:szCs w:val="18"/>
          <w:color w:val="auto"/>
        </w:rPr>
      </w:pPr>
    </w:p>
    <w:p>
      <w:pPr>
        <w:ind w:left="680" w:right="260" w:hanging="321"/>
        <w:spacing w:after="0" w:line="297"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conversion or other integrated or similar transaction;</w:t>
      </w:r>
    </w:p>
    <w:p>
      <w:pPr>
        <w:spacing w:after="0" w:line="162" w:lineRule="exact"/>
        <w:rPr>
          <w:rFonts w:ascii="Times New Roman" w:cs="Times New Roman" w:eastAsia="Times New Roman" w:hAnsi="Times New Roman"/>
          <w:sz w:val="18"/>
          <w:szCs w:val="18"/>
          <w:color w:val="auto"/>
        </w:rPr>
      </w:pPr>
    </w:p>
    <w:p>
      <w:pPr>
        <w:ind w:left="680" w:right="320" w:hanging="321"/>
        <w:spacing w:after="0" w:line="297"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holding our common stock, you are urged to consult your tax advisor regarding the tax consequences of the acquisition, ownership and disposition of our common stock.</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6"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8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who or that is for U.S. federal income tax purposes:</w:t>
      </w:r>
    </w:p>
    <w:p>
      <w:pPr>
        <w:spacing w:after="0" w:line="162" w:lineRule="exact"/>
        <w:rPr>
          <w:sz w:val="20"/>
          <w:szCs w:val="20"/>
          <w:color w:val="auto"/>
        </w:rPr>
      </w:pPr>
    </w:p>
    <w:p>
      <w:pPr>
        <w:ind w:left="680" w:right="520" w:hanging="321"/>
        <w:spacing w:after="0" w:line="297"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3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 — Gain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Our Common Stock</w:t>
      </w:r>
      <w:r>
        <w:rPr>
          <w:rFonts w:ascii="Times New Roman" w:cs="Times New Roman" w:eastAsia="Times New Roman" w:hAnsi="Times New Roman"/>
          <w:sz w:val="18"/>
          <w:szCs w:val="18"/>
          <w:color w:val="auto"/>
        </w:rPr>
        <w:t>” below. In addition, if we determine that we are likely to be classified as a “United States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holding corporation” (see “</w:t>
      </w:r>
      <w:r>
        <w:rPr>
          <w:rFonts w:ascii="Times New Roman" w:cs="Times New Roman" w:eastAsia="Times New Roman" w:hAnsi="Times New Roman"/>
          <w:sz w:val="18"/>
          <w:szCs w:val="18"/>
          <w:i w:val="1"/>
          <w:iCs w:val="1"/>
          <w:color w:val="auto"/>
        </w:rPr>
        <w:t>Non-U.S. Holders — Gain on Sale, Taxable Exchange or Other Taxable Disposition of 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9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Our Common Stock</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80" w:right="120" w:hanging="321"/>
        <w:spacing w:after="0" w:line="281"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77" w:lineRule="exact"/>
        <w:rPr>
          <w:rFonts w:ascii="Times New Roman" w:cs="Times New Roman" w:eastAsia="Times New Roman" w:hAnsi="Times New Roman"/>
          <w:sz w:val="18"/>
          <w:szCs w:val="18"/>
          <w:color w:val="auto"/>
        </w:rPr>
      </w:pPr>
    </w:p>
    <w:p>
      <w:pPr>
        <w:ind w:left="680" w:hanging="321"/>
        <w:spacing w:after="0" w:line="291" w:lineRule="auto"/>
        <w:tabs>
          <w:tab w:leader="none" w:pos="6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Each selling securityholder and any of their pledgees, assignees, transferees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securityholder may use any one or more of the following methods when selling securities:</w:t>
      </w:r>
    </w:p>
    <w:p>
      <w:pPr>
        <w:spacing w:after="0" w:line="153" w:lineRule="exact"/>
        <w:rPr>
          <w:sz w:val="20"/>
          <w:szCs w:val="20"/>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subscribers;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securityholders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securityholders may also sell securities under Rule 144 or any other exemption from registration under the Securities Act, if available, rather than under this prospectus.</w:t>
      </w:r>
    </w:p>
    <w:p>
      <w:pPr>
        <w:spacing w:after="0" w:line="12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4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1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all of the securities have been sold pursuant to this prospectus or Rule 144 under the Securities Act or any other rule of similar effect or (ii) they may be sold pursuant to Rule 144 without volume or manner-of-sale restrictions, as determined by the Company.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4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or Public Warrants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or Public Warrants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O’Melveny &amp; Myers LLP has passed upon the validity of the securities offered by this prospectus and certain other legal matters related to this 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Dragonfly and its subsidiaries as of December 31, 2021 and December 31, 2020, and for the years then ended, included in this prospectus and in this Registration Statement, have been so included in reliance on the reports of BDO USA, LLP, an independent registered public accounting firm, given on the authority of said firms as experts in auditing and accounting.</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of CNTQ as of December 31, 2021 and 2020, and for the year ended December 31, 2021 and for the period from June 23, 2020 (inception) through December 31, 2020 included in this prospectus have been audited by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an independent registered public accounting firm, as set forth in their report thereon, (which report expresses an unqualified opinion and includes an explanatory paragraph relating to a going concern) appearing elsewhere in this prospectus, and are included in reliance on such report given upon such firm as experts in auditing and accounting.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On October 7, 2022, the Audit Committee informed Withum, the Company’s independent registered public accounting firm prior to the Transactions, that Withum will be dismissed effective following the completion of the Company’s review for the nine month period ended September 30, 2022, which consists only of the pre-Transactions accounts of CNTQ.</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report of Withum on CNTQ’s financial statements as of September 30, 2022,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 (v) of Regulation S-K under the Exchange Act other than the previously disclosed material weakness over financial reporting.</w:t>
      </w:r>
    </w:p>
    <w:p>
      <w:pPr>
        <w:spacing w:after="0" w:line="18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provided Withum with a copy of the foregoing disclosures prior to the filing of this prospectus and requested that Withum furnish a letter addressed to the SEC, which is attached hereto as Exhibit 16.1, stating whether it agrees with such disclosures, and, if not, stating the respects in which is does not agree.</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the Closing Date, the Audit Committee approved the engagement of BDO as the Company’s independent registered public accounting firm to audit the Company’s consolidated financial statements for the year ending December 31, 2022. BDO served as the independent registered public accounting firm of Legacy Dragonfly prior to the Transactions, including the audit of the consolidated financial statements of Legacy Dragonfly for the fiscal year ending December 31, 2021. During the fiscal years ended December 31, 2020 and December 31, 2021, Legacy Dragonfly did not consult with BDO with respect to (i) the application of accounting principles to a specified transaction, either completed or proposed, the type of audit opinion that might be rendered on Legacy Dragonfly’s financial statements, and neither a written report nor oral advice was provided to Legacy Dragonfly that BDO concluded was an important factor considered by BDO in reaching a decision as to any accounting, auditing or financial reporting issue, or (ii) any other matter that was the subject of a disagreement or a reportable event (each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https://www.dragonflyenergy.com/</w:t>
      </w:r>
      <w:r>
        <w:rPr>
          <w:rFonts w:ascii="Times New Roman" w:cs="Times New Roman" w:eastAsia="Times New Roman" w:hAnsi="Times New Roman"/>
          <w:sz w:val="18"/>
          <w:szCs w:val="18"/>
          <w:color w:val="auto"/>
        </w:rPr>
        <w:t>. Through our website, we make available, free of charge, annual, quarterly and current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91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17"/>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18"/>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CHARDAN NEXTECH ACQUISITION 2 CORP.</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December 31, 2020</w:t>
            </w:r>
          </w:p>
        </w:tc>
        <w:tc>
          <w:tcPr>
            <w:tcW w:w="420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2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 ended December 31, 2021 and for the period from June 23, 2020 (inception)</w:t>
            </w:r>
          </w:p>
        </w:tc>
        <w:tc>
          <w:tcPr>
            <w:tcW w:w="500" w:type="dxa"/>
            <w:vAlign w:val="bottom"/>
            <w:gridSpan w:val="4"/>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through December 31, 2020</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Equity (Deficit) for the year ended December 31, 2021 and for the period from</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0000EE"/>
            </w:tcBorders>
            <w:gridSpan w:val="2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June 23, 2020 (inception) through December 31, 2020</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80" w:type="dxa"/>
            <w:vAlign w:val="bottom"/>
            <w:tcBorders>
              <w:bottom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 ended December 31, 2021 and for the period from June 23, 2020 (inception)</w:t>
            </w:r>
          </w:p>
        </w:tc>
        <w:tc>
          <w:tcPr>
            <w:tcW w:w="440" w:type="dxa"/>
            <w:vAlign w:val="bottom"/>
            <w:gridSpan w:val="3"/>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through December 31, 2020</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September 30, 2022 (unaudited) and December 31, 2021</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Operations for the nine months ended September 30, 2022 and 2021</w:t>
            </w:r>
          </w:p>
        </w:tc>
        <w:tc>
          <w:tcPr>
            <w:tcW w:w="1200" w:type="dxa"/>
            <w:vAlign w:val="bottom"/>
            <w:tcBorders>
              <w:bottom w:val="single" w:sz="8" w:color="CCEEFF"/>
            </w:tcBorders>
            <w:gridSpan w:val="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tcBorders>
              <w:bottom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(Deficit) Equity for the nine months ended September 30,</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Cash Flows for the nine months ended September 30, 2022 and 2021</w:t>
            </w:r>
          </w:p>
        </w:tc>
        <w:tc>
          <w:tcPr>
            <w:tcW w:w="114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5160" w:type="dxa"/>
            <w:vAlign w:val="bottom"/>
            <w:gridSpan w:val="16"/>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December 31, 2020</w:t>
            </w:r>
          </w:p>
        </w:tc>
        <w:tc>
          <w:tcPr>
            <w:tcW w:w="420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2021 and December 31, 2020</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1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Equity (Deficit) for the years ended December 31, 2021 and December 31, 2020</w:t>
            </w: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20" w:type="dxa"/>
            <w:vAlign w:val="bottom"/>
            <w:tcBorders>
              <w:top w:val="single" w:sz="8" w:color="CCEEFF"/>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December 31, 2020</w:t>
            </w: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at September 30, 2022 and December 31, 2021 (unaudited)</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Nine Months Ended September 30, 2022 and 2021 (unaudited)</w:t>
            </w:r>
          </w:p>
        </w:tc>
        <w:tc>
          <w:tcPr>
            <w:tcW w:w="102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4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for the Nine Months Ended September 30, 2022 and 2021</w:t>
            </w:r>
          </w:p>
        </w:tc>
        <w:tc>
          <w:tcPr>
            <w:tcW w:w="280" w:type="dxa"/>
            <w:vAlign w:val="bottom"/>
            <w:gridSpan w:val="2"/>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Nine Months Ended September 30, 2022 and 2021 (unaudited)</w:t>
            </w:r>
          </w:p>
        </w:tc>
        <w:tc>
          <w:tcPr>
            <w:tcW w:w="96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308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Financial Statements</w:t>
            </w:r>
          </w:p>
        </w:tc>
        <w:tc>
          <w:tcPr>
            <w:tcW w:w="6040" w:type="dxa"/>
            <w:vAlign w:val="bottom"/>
            <w:gridSpan w:val="17"/>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sheets of Chardan NexTech Acquisition 2 Corp. (the “Company”) as of December 31, 2021 and 2020, the related statements of operations, changes in stockholders’ equity and cash flows for the year ended December 31, 2021 and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June 23, 2020 (inception) through December 31, 2020,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23,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302,590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2,150,469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12,650,000 and 0 shares at redemption value of $10.15 at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 shares authorized; 3,162,500 shares issued and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(excluding 12,650,000 and 12,650,000 shares subject to possible redemption) at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(1,024,673)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(1,024,356)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w:t>
            </w:r>
          </w:p>
        </w:tc>
        <w:tc>
          <w:tcPr>
            <w:tcW w:w="4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160" w:type="dxa"/>
            <w:vAlign w:val="bottom"/>
          </w:tcPr>
          <w:p>
            <w:pPr>
              <w:spacing w:after="0"/>
              <w:rPr>
                <w:sz w:val="15"/>
                <w:szCs w:val="15"/>
                <w:color w:val="auto"/>
              </w:rPr>
            </w:pPr>
          </w:p>
        </w:tc>
        <w:tc>
          <w:tcPr>
            <w:tcW w:w="420" w:type="dxa"/>
            <w:vAlign w:val="bottom"/>
            <w:gridSpan w:val="2"/>
            <w:vMerge w:val="restart"/>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4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2"/>
                <w:szCs w:val="12"/>
                <w:color w:val="auto"/>
              </w:rPr>
            </w:pPr>
          </w:p>
        </w:tc>
        <w:tc>
          <w:tcPr>
            <w:tcW w:w="130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June 23, 2020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5"/>
                <w:szCs w:val="15"/>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1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8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(18,797)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(1,253,928)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1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7,991,952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STATEMENTS OF CHANGES IN STOCKHOLDERS’ EQUITY (DEFICIT) FOR THE YEAR ENDED DECEMBER 31, 2021 AND THE PERIOD FROM JUNE 23, 2020 (INCEPTION) THROUGH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23, 2020 (inception)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Issuance of common stock to Sponsor</w:t>
            </w:r>
            <w:r>
              <w:rPr>
                <w:rFonts w:ascii="Times New Roman" w:cs="Times New Roman" w:eastAsia="Times New Roman" w:hAnsi="Times New Roman"/>
                <w:sz w:val="23"/>
                <w:szCs w:val="23"/>
                <w:color w:val="auto"/>
                <w:vertAlign w:val="superscript"/>
              </w:rPr>
              <w:t>(1)(2)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3,162,500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3,162,500</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Initial Public Offering Costs allocated to Public</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 (net of offering costs)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15,052,646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15,052,646</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Accretion of common stock to redemption amount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(15,077,329)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(2,934,160)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(18,011,489)</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1,910,487</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317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(1,024,673)</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(1,024,356)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8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412,500 shares of common stock subject to forfeiture if the over-allotment option is not exercised in full or in part by the underwriter. On August 18, 2021, the underwriters’ exercised the over-allotment option in full, thus these shares are no longer subject to forfeiture (see Note 6).</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18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June 23,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(3,517,171)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(302,590)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(128,397,500)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Founder Shares to Sponsor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129,719,360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799,808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year ended December 31, 2021 and for the period from June 23, 2020 (inception) through December 31, 2020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described in Note 4.</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Act</w:t>
      </w:r>
      <w:r>
        <w:rPr>
          <w:rFonts w:ascii="Times New Roman" w:cs="Times New Roman" w:eastAsia="Times New Roman" w:hAnsi="Times New Roman"/>
          <w:sz w:val="18"/>
          <w:szCs w:val="18"/>
          <w:color w:val="auto"/>
        </w:rPr>
        <w:t>”), with a maturity of 185 days or in money market funds meeting certain conditions under Rule 2a-7 promulgated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Company Act which invest only in direct U.S. government treasury obligations, until the earlier of: (i) the completion of a Business Combination and (ii) the distribution of the funds held in the Trust Account, as described below.</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color w:val="auto"/>
        </w:rPr>
        <w:t xml:space="preserve">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w:t>
      </w:r>
    </w:p>
    <w:p>
      <w:pPr>
        <w:spacing w:after="0" w:line="17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ind w:right="620" w:firstLine="8"/>
        <w:spacing w:after="0" w:line="255" w:lineRule="auto"/>
        <w:tabs>
          <w:tab w:leader="none" w:pos="1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9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2021, the Company had $799,808 in cash held outside of the Trust Account and working capital of $988,186. The Company has incurred and expects to continue to incur significant costs in pursuit of its acquisition plans. In connection with our assessment of going concern considerations in accordance with FASB ASC Topic 205-40, “Presentation of Financial Statements — Going Concern,” the Company has until February 13,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conformity with accounting principles generally accepted in the United States of America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w:t>
      </w:r>
    </w:p>
    <w:p>
      <w:pPr>
        <w:spacing w:after="0" w:line="27"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with a maturity of 185 days or less, or investments in money market funds that invest in U.S.</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(loss) from investments held in Trust Account in the accompanying statement of operations. The estimated fair values of investments held in the Trust Account are determined using available market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December 31, 2021, 12,650,000 shares of common stock subject to possible redemption is presented as temporary equity, outside of the stockholders’ equity section of the Company’s balance sheet. Effective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accumulated deficit.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the common stock reflected in the balance sheet is reconciled in the following table:</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allocated to common stock</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(933,989)</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18,011,489</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0"/>
        </w:trPr>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4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complies with the requirements of ASC 340-10-S99-1 and SEC Staff Accounting Bulletin Topic 5A — </w:t>
      </w:r>
      <w:r>
        <w:rPr>
          <w:rFonts w:ascii="Times New Roman" w:cs="Times New Roman" w:eastAsia="Times New Roman" w:hAnsi="Times New Roman"/>
          <w:sz w:val="18"/>
          <w:szCs w:val="18"/>
          <w:i w:val="1"/>
          <w:iCs w:val="1"/>
          <w:color w:val="auto"/>
        </w:rPr>
        <w:t>Expenses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Offering costs consist principally of professional and registration fees incurred through the balance sheet date that are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with changes in fair value recognized in the statements of operations in the period of change.</w:t>
      </w:r>
    </w:p>
    <w:p>
      <w:pPr>
        <w:spacing w:after="0" w:line="18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effective tax rate is less than the U.S. statutory corporate tax rate of 21% because of the unrealized change in fair value of warrant liabilities, which was the biggest factor in net income and is not taxable. The Company had a loss from operations during the year ended December 31, 2021. The Company is subject to income tax examinations by major taxing authorities since inception.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from June 23,</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2020 (inception)</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320" w:type="dxa"/>
            <w:vAlign w:val="bottom"/>
            <w:gridSpan w:val="3"/>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7,991,952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 for current assets and current liabilities approximate fair value due to their short-term nature.</w:t>
      </w:r>
    </w:p>
    <w:p>
      <w:pPr>
        <w:spacing w:after="0" w:line="162"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adopted ASU 2020-06 effective January 1, 2021 using the full retrospective method of transition. The adoption of ASU 2020-06 did not have a material impact on the financial statements for the fiscal year ended December 31, 2021.</w:t>
      </w:r>
    </w:p>
    <w:p>
      <w:pPr>
        <w:spacing w:after="0" w:line="19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completed its Initial Public Offering of 11,000,000 Units, at $10.00 per Unit, generating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$110,000,000. Each Unit consisted of one Public Share, and three-quarters of one Public Warrant. Each Public Warrant entitles the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 (see Note 7).</w:t>
      </w:r>
    </w:p>
    <w:p>
      <w:pPr>
        <w:spacing w:after="0" w:line="20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76"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68"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8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With certain limited exceptions,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December 31, 2021 and December 31, 2020, there was no outstanding balance under the note. The Company cannot make any additional draws under this promissory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8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To date, the Company has not exercised its option to use such services.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2021 and December 31, 2020, the Company had no working capital loans outstanding.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2021 and December 31, 2020 there was 9,487,500 and no Public Warrants and 4,627,858 and no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8"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6"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7"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71"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225"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par value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December 31, 2021 and December 31, 2020, the Company had no issued or outstanding shares of preferred stock.</w:t>
      </w:r>
    </w:p>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Common stock —</w:t>
      </w:r>
      <w:r>
        <w:rPr>
          <w:rFonts w:ascii="Times New Roman" w:cs="Times New Roman" w:eastAsia="Times New Roman" w:hAnsi="Times New Roman"/>
          <w:sz w:val="18"/>
          <w:szCs w:val="18"/>
          <w:color w:val="auto"/>
        </w:rPr>
        <w:t>The Company is authorized to issue 50,000,000 shares of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December 31, 2021 and December 31, 2020,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6"/>
              </w:rPr>
              <w:t>CHARDAN NEXTECH ACQUISITION 2 CORP.</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5"/>
              </w:rPr>
              <w:t>NOTES TO FINANCIAL STATEMENTS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8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6"/>
              </w:rPr>
              <w:t>DECEMBER 31, 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INCOME TAX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Company’s net deferred tax assets (liabilities) as of December 31, 2021 is as follows: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vMerge w:val="restart"/>
          </w:tcPr>
          <w:p>
            <w:pPr>
              <w:spacing w:after="0"/>
              <w:rPr>
                <w:sz w:val="19"/>
                <w:szCs w:val="19"/>
                <w:color w:val="auto"/>
              </w:rPr>
            </w:pPr>
          </w:p>
        </w:tc>
        <w:tc>
          <w:tcPr>
            <w:tcW w:w="67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3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allowance</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2021 consists of the following:</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67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0"/>
        </w:trPr>
        <w:tc>
          <w:tcPr>
            <w:tcW w:w="77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U.S. federal operating loss carry forwards of approximately $357,674 that may be carried forward indefinitely.</w:t>
      </w:r>
    </w:p>
    <w:p>
      <w:pPr>
        <w:spacing w:after="0" w:line="162" w:lineRule="exact"/>
        <w:rPr>
          <w:sz w:val="20"/>
          <w:szCs w:val="20"/>
          <w:color w:val="auto"/>
        </w:rPr>
      </w:pPr>
    </w:p>
    <w:p>
      <w:pPr>
        <w:jc w:val="both"/>
        <w:ind w:right="200" w:firstLine="324"/>
        <w:spacing w:after="0" w:line="257"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valuation allowance was $354,792.</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2021 is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tax assets were deemed to be de minimis as of December 31,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8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as of December 31, 2020.</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Private Warrants: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60" w:type="dxa"/>
            <w:vAlign w:val="bottom"/>
          </w:tcPr>
          <w:p>
            <w:pPr>
              <w:spacing w:after="0"/>
              <w:rPr>
                <w:sz w:val="13"/>
                <w:szCs w:val="13"/>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Pr>
          <w:p>
            <w:pPr>
              <w:spacing w:after="0"/>
              <w:rPr>
                <w:sz w:val="18"/>
                <w:szCs w:val="18"/>
                <w:color w:val="auto"/>
              </w:rPr>
            </w:pPr>
          </w:p>
        </w:tc>
        <w:tc>
          <w:tcPr>
            <w:tcW w:w="3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0.81 %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5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Warrant</w:t>
            </w:r>
          </w:p>
        </w:tc>
      </w:tr>
      <w:tr>
        <w:trPr>
          <w:trHeight w:val="173"/>
        </w:trPr>
        <w:tc>
          <w:tcPr>
            <w:tcW w:w="1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5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09"/>
        </w:trPr>
        <w:tc>
          <w:tcPr>
            <w:tcW w:w="10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23, 2020 (inception)</w:t>
            </w:r>
          </w:p>
        </w:tc>
        <w:tc>
          <w:tcPr>
            <w:tcW w:w="27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5,553,429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c>
          <w:tcPr>
            <w:tcW w:w="980" w:type="dxa"/>
            <w:vAlign w:val="bottom"/>
          </w:tcPr>
          <w:p>
            <w:pPr>
              <w:spacing w:after="0"/>
              <w:rPr>
                <w:sz w:val="18"/>
                <w:szCs w:val="18"/>
                <w:color w:val="auto"/>
              </w:rPr>
            </w:pPr>
          </w:p>
        </w:tc>
      </w:tr>
      <w:tr>
        <w:trPr>
          <w:trHeight w:val="210"/>
        </w:trPr>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27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F-20</w:t>
            </w:r>
          </w:p>
        </w:tc>
      </w:tr>
      <w:tr>
        <w:trPr>
          <w:trHeight w:val="547"/>
        </w:trPr>
        <w:tc>
          <w:tcPr>
            <w:tcW w:w="10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December 31, 2021.</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gains in connection with changes in the fair value of warrant liabilities of $3,517,171 within change in fair value of warrant liabilities in the Statements of Operations for the year ended December 31, 2021 and $0 for the period from June 23, 2020 (inception) through December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171,026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302,590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487,049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Assets held in Trust Account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31,995,703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128,421,215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32,482,752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129,523,613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LIABILITIES, COMMON STOCK SUBJECT TO POSSIBLE REDEMPTION AND</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7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990,587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Franchise tax payable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Promissory note – related party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Income tax payable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1,612,686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Warrant liabilities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1,989,979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2,036,258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3,602,665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2,150,469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subject to possible redemption, $0.0001 par value; 3,093,348 and 12,650,000 shares at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approximately $10.25 and $10.15 per share at September 30, 2022 and December 31, 2021,</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31,706,363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128,397,500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$0.0001 par value; 1,000,000 shares authorized; none issued or outstanding at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September 30, 2022 and December 31, 2021</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$0.0001 par value; 50,000,000 shares authorized; 3,162,500 shares issued and</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(excluding 3,093,348 and 12,650,000 shares subject to possible redemption) at September</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30, 2022 and December 31, 2021, respectively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(2,826,593)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(2,826,276)</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(1,024,356)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Common Stock Subject to Possible Redemption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32,482,752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129,523,613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 w:type="dxa"/>
            <w:vAlign w:val="bottom"/>
          </w:tcPr>
          <w:p>
            <w:pPr>
              <w:spacing w:after="0"/>
              <w:rPr>
                <w:sz w:val="15"/>
                <w:szCs w:val="15"/>
                <w:color w:val="auto"/>
              </w:rPr>
            </w:pPr>
          </w:p>
        </w:tc>
        <w:tc>
          <w:tcPr>
            <w:tcW w:w="1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5"/>
                <w:szCs w:val="15"/>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and formation costs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999,216</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92,234</w:t>
            </w: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1,623,500</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24,034</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150,656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(1,049,216)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(116,268)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(1,774,156)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Warrant issuance costs</w:t>
            </w:r>
          </w:p>
        </w:tc>
        <w:tc>
          <w:tcPr>
            <w:tcW w:w="200" w:type="dxa"/>
            <w:vAlign w:val="bottom"/>
          </w:tcPr>
          <w:p>
            <w:pPr>
              <w:spacing w:after="0"/>
              <w:rPr>
                <w:sz w:val="17"/>
                <w:szCs w:val="17"/>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sale of private warrants</w:t>
            </w: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(1,253,929)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Net gain on investments held in</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 Account</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liability</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4,072,514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auto"/>
              </w:rPr>
              <w:t>Net income (loss) before</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(1,880,275)</w:t>
            </w:r>
          </w:p>
        </w:tc>
        <w:tc>
          <w:tcPr>
            <w:tcW w:w="2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2,690,543</w:t>
            </w:r>
          </w:p>
        </w:tc>
        <w:tc>
          <w:tcPr>
            <w:tcW w:w="6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(1,258,768)</w:t>
            </w: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2,689,709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(39,340)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(39,340)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(1,919,615)</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2,690,543</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(1,298,108)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2,689,709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Basic weighted average shares</w:t>
            </w:r>
          </w:p>
        </w:tc>
        <w:tc>
          <w:tcPr>
            <w:tcW w:w="20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10,307,037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9,453,125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13,957,179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w:t>
            </w: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Basic net income (loss) per</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(0.19)</w:t>
            </w:r>
          </w:p>
        </w:tc>
        <w:tc>
          <w:tcPr>
            <w:tcW w:w="26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0.28</w:t>
            </w:r>
          </w:p>
        </w:tc>
        <w:tc>
          <w:tcPr>
            <w:tcW w:w="60" w:type="dxa"/>
            <w:vAlign w:val="bottom"/>
          </w:tcPr>
          <w:p>
            <w:pPr>
              <w:spacing w:after="0"/>
              <w:rPr>
                <w:sz w:val="12"/>
                <w:szCs w:val="12"/>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(0.09)</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0.54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200" w:type="dxa"/>
            <w:vAlign w:val="bottom"/>
            <w:vMerge w:val="continue"/>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Diluted weighted average shares</w:t>
            </w:r>
          </w:p>
        </w:tc>
        <w:tc>
          <w:tcPr>
            <w:tcW w:w="20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10,307,037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9,672,826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13,957,179</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5,356,456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w:t>
            </w: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Diluted net income (loss) per</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(0.19)</w:t>
            </w:r>
          </w:p>
        </w:tc>
        <w:tc>
          <w:tcPr>
            <w:tcW w:w="26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0.28</w:t>
            </w:r>
          </w:p>
        </w:tc>
        <w:tc>
          <w:tcPr>
            <w:tcW w:w="60" w:type="dxa"/>
            <w:vAlign w:val="bottom"/>
          </w:tcPr>
          <w:p>
            <w:pPr>
              <w:spacing w:after="0"/>
              <w:rPr>
                <w:sz w:val="12"/>
                <w:szCs w:val="12"/>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(0.09)</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200" w:type="dxa"/>
            <w:vAlign w:val="bottom"/>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right="820" w:firstLine="822"/>
        <w:spacing w:after="0" w:line="507" w:lineRule="auto"/>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 (DEFICIT) For the Three and Nine Months Ended September 30, 2022</w:t>
      </w: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(1,024,673)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(1,024,356)</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1,191,840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1,191,840</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2022 (unaudited)</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167,167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167,484</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(570,333)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(570,333)</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2022 (unaudited)</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(403,166)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(402,849)</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common stock to redemption amount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(503,812)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(503,812)</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(1,919,615)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(1,919,615)</w:t>
            </w:r>
          </w:p>
        </w:tc>
        <w:tc>
          <w:tcPr>
            <w:tcW w:w="0" w:type="dxa"/>
            <w:vAlign w:val="bottom"/>
          </w:tcPr>
          <w:p>
            <w:pPr>
              <w:spacing w:after="0"/>
              <w:rPr>
                <w:sz w:val="1"/>
                <w:szCs w:val="1"/>
                <w:color w:val="auto"/>
              </w:rPr>
            </w:pPr>
          </w:p>
        </w:tc>
      </w:tr>
      <w:tr>
        <w:trPr>
          <w:trHeight w:val="142"/>
        </w:trPr>
        <w:tc>
          <w:tcPr>
            <w:tcW w:w="4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2022 (unaudited)</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(2,826,593)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(2,826,276)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6"/>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8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24,683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24,000</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2021 (unaudited)</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24,683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24,000</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2021 (unaudited)</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24,683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23,166</w:t>
            </w:r>
          </w:p>
        </w:tc>
        <w:tc>
          <w:tcPr>
            <w:tcW w:w="0" w:type="dxa"/>
            <w:vAlign w:val="bottom"/>
          </w:tcPr>
          <w:p>
            <w:pPr>
              <w:spacing w:after="0"/>
              <w:rPr>
                <w:sz w:val="1"/>
                <w:szCs w:val="1"/>
                <w:color w:val="auto"/>
              </w:rPr>
            </w:pPr>
          </w:p>
        </w:tc>
      </w:tr>
      <w:tr>
        <w:trPr>
          <w:trHeight w:val="126"/>
        </w:trPr>
        <w:tc>
          <w:tcPr>
            <w:tcW w:w="41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Proceeds from Initial Public Offering Costs allocated to Public</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15,052,646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15,052,646</w:t>
            </w:r>
          </w:p>
        </w:tc>
        <w:tc>
          <w:tcPr>
            <w:tcW w:w="0" w:type="dxa"/>
            <w:vAlign w:val="bottom"/>
          </w:tcPr>
          <w:p>
            <w:pPr>
              <w:spacing w:after="0"/>
              <w:rPr>
                <w:sz w:val="1"/>
                <w:szCs w:val="1"/>
                <w:color w:val="auto"/>
              </w:rPr>
            </w:pPr>
          </w:p>
        </w:tc>
      </w:tr>
      <w:tr>
        <w:trPr>
          <w:trHeight w:val="171"/>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Warrants (net of offering costs)</w:t>
            </w: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Accretion of common stock to redemption amount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(15,077,329)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(2,934,160)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(18,011,489)</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2,690,543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2,690,543</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2021 (unaudited)</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(245,451)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(245,134)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(1,298,108)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issuance costs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(469,109)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(46,279)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 tax payable</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(583,456)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(459,653)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withdrawn from Trust Account for payment of taxes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withdrawn from Trust Account for payment to redeeming stockholders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97,194,950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deposited into Trust Account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6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96,894,621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to redeeming stockholders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(97,194,950)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 costs paid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(96,794,950)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129,719,361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(483,785)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316,023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Chardan NexTech Acquisition 2 Corp (the “Company” or “Chardan”)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had not yet commenced any operations. All activity for the period from June 23, 2020 (Inception) through September 30,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83"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(“Warrant Holdings” or “Holdings”), an affiliate of Chardan NexTech Investments 2 LLC, a Delaware limited liability company (the “Sponsor”), generating gross proceeds of $4,052,000, which is described in Note 4.</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w:t>
      </w:r>
    </w:p>
    <w:p>
      <w:pPr>
        <w:spacing w:after="0" w:line="18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ind w:right="620" w:firstLine="8"/>
        <w:spacing w:after="0" w:line="255" w:lineRule="auto"/>
        <w:tabs>
          <w:tab w:leader="none" w:pos="1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had 12 months, or until August 13, 2022, from the closing of the Initial Public Offering to consummate an initial Business Combination. However, prior to such date, the Stockholders (as defined in this Note 1) approved a proposal to amend the Company’s Amended and Restated Certificate of Incorporation (the “Charter”), to extend the date by which the Company must complete a Business Combination, as further discussed in this Note 1.</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May 15, 2022, Chardan entered into an Agreement and Plan of Merger (the “Merger Agreement”) with Dragonfly Energy Corp., a Nevada corporation (“Dragonfly”), and Bronco Merger Sub, Inc., a Nevada corporation and a direct, wholly owned subsidiary of Chardan (“Merger Sub”). The Merger Agreement provides that, among other things and upon the terms and subject to the conditions thereof, the following transactions will occur:</w:t>
      </w:r>
    </w:p>
    <w:p>
      <w:pPr>
        <w:spacing w:after="0" w:line="180" w:lineRule="exact"/>
        <w:rPr>
          <w:sz w:val="20"/>
          <w:szCs w:val="20"/>
          <w:color w:val="auto"/>
        </w:rPr>
      </w:pPr>
    </w:p>
    <w:p>
      <w:pPr>
        <w:ind w:left="680" w:right="40" w:hanging="321"/>
        <w:spacing w:after="0" w:line="258" w:lineRule="auto"/>
        <w:tabs>
          <w:tab w:leader="none" w:pos="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the Merger Agreement (the “Closing”), upon the terms and subject to the conditions of the Merger Agreement, in accordance with applicable provisions of the Nevada Revised Statutes (“NRS”) and the Delaware General Corporation Law (“DGCL”), Merger Sub will merge with and into Dragonfly, the separate corporate existence of Merger Sub ceased and Dragonfly was the surviving corporation and a wholly owned subsidiary of Chardan (the “Merger”);</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Chardan changed its name to “Dragonfly Energy Holdings Corp.” and is referred to herein as “New Dragonfly”;</w:t>
      </w:r>
    </w:p>
    <w:p>
      <w:pPr>
        <w:spacing w:after="0" w:line="225"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among other things, all shares of capital stock of Dragonfly outstanding as of immediately prior to the effective time of the Merger were canceled in exchange for the right to receive shares of common stock, par value $0.0001 per share, of New Dragonfly (“New Dragonfly Common Stock”);</w:t>
      </w:r>
    </w:p>
    <w:p>
      <w:pPr>
        <w:spacing w:after="0" w:line="175" w:lineRule="exact"/>
        <w:rPr>
          <w:rFonts w:ascii="Times New Roman" w:cs="Times New Roman" w:eastAsia="Times New Roman" w:hAnsi="Times New Roman"/>
          <w:sz w:val="18"/>
          <w:szCs w:val="18"/>
          <w:color w:val="auto"/>
        </w:rPr>
      </w:pPr>
    </w:p>
    <w:p>
      <w:pPr>
        <w:ind w:left="680" w:right="480" w:hanging="321"/>
        <w:spacing w:after="0" w:line="266" w:lineRule="auto"/>
        <w:tabs>
          <w:tab w:leader="none" w:pos="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each Dragonfly option outstanding as of immediately prior to the effective time of the Merger converted into the right to receive a New Dragonfly option, subject to certain exceptions and conditions as set forth in the Merger Agreement;</w:t>
      </w:r>
    </w:p>
    <w:p>
      <w:pPr>
        <w:spacing w:after="0" w:line="17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40,000,000 shares of New Dragonfly Common Stock became issuable to existing holders of Dragonfly capital stock or pursuant to the aforementioned converted options;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existing holders of Dragonfly capital stock will have the right to receive up to an aggregate of 40,000,000 additional shares of New Dragonfly Common Stock in three tranches as follows:</w:t>
      </w:r>
    </w:p>
    <w:p>
      <w:pPr>
        <w:spacing w:after="0" w:line="161"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8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“SEC”), New Dragonfly’s (x) total audited revenue for the year ended December 31, 2023 is equal to or greater than $250,000,000, and (y) audited operating income for the year ended December 31, 2023 is equal to or greater than $35,000,000;</w:t>
      </w:r>
    </w:p>
    <w:p>
      <w:pPr>
        <w:spacing w:after="0" w:line="183"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“Second Earnout”), if at any time during the period beginning on the Closing Date and ending on December 31, 2026, the VWAP of the New Dragonfly common stock over any 20 Trading Days (which may or may not be consecutive)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within any 30 consecutive Trading Day period is greater than or equal to $22.50 per share of New Dragonfly common stock (the “Second Milestone”); and</w:t>
      </w:r>
    </w:p>
    <w:p>
      <w:pPr>
        <w:spacing w:after="0" w:line="162" w:lineRule="exact"/>
        <w:rPr>
          <w:sz w:val="20"/>
          <w:szCs w:val="20"/>
          <w:color w:val="auto"/>
        </w:rPr>
      </w:pPr>
    </w:p>
    <w:p>
      <w:pPr>
        <w:ind w:left="980" w:right="80" w:hanging="324"/>
        <w:spacing w:after="0" w:line="258"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“Third Earnout”), if at any time during the period beginning on the Closing Date and ending on December 31, 2028, the VWAP of the New Dragonfly common stock over any 20 Trading Days (which may or may not be consecutive) within any 30 consecutive Trading Day period is greater than or equal to $32.50 per share of New Dragonfly common stock (the “Third Milestone”).</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8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of Chardan (the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76"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Board will be composed of seven members, five of whom will be designated by Dragonfly and two of whom will be designated by Chardan.</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80"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“Extended Termination Date”);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July 12, 2022, the Company, Dragonfly and Merger Sub entered into that certain Amendment to the Agreement and Plan of Merger, between the Company, Dragonfly and Merger Sub (the “Amendment”), which amended the Merger Agreement to, among other things, reflect a $15 million increase in the consideration to be issued in the business combination in connection with Dragonfly entering into a Stock Purchase Agreement with THOR Industries, Inc. (“THOR”), dated as of July 12, 2022, whereby for $15 million in cash, THOR purchased 1,267,502 shares of Dragonfly common stock (the “THOR Investment”). In connection with the THOR Investment, THOR and Dragonfly will enter into a commercial arrangement pursuant to which (i) THOR and certain of THOR’s affiliates will, among other things, transition to lithium-ion batteries manufactured and sold by Dragonfly, and (ii) Dragonfly will, among other things, grant certain board observer rights (with customary limitations) to THOR. Other than as expressly modified by the Amendment, the Merger Agreement remains in full force and effect.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August 5, 2022, Chardan held a special meeting (the “Special Meeting”), at which holders of 11,331,512 shares of common stock of Chardan, par value $0.0001 per share (“Chardan Common Stock”), were present in person or by proxy, representing approximately 71.66% of the voting power of the 15,812,500 shares of Chardan Common Stock issued and outstanding entitled to vote at the Special Meeting at the close of business on July 11, 2022, which was the record date (the “Record Date”) for the Special Meeting. Stockholders of record as of the close of business on the Record Date are referred to herein as “Stockholders.”</w:t>
      </w:r>
    </w:p>
    <w:p>
      <w:pPr>
        <w:spacing w:after="0" w:line="18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At the Special Meeting, the Stockholders approved the proposal to amend the Company’s Amended and Restated Certificate of Incorporation (the “Charter”) to provide the Company’s officers, directors, initial stockholders and Chardan NexTech 2 Warrant Holdings, LLC (collectively, the “Insiders”) the ability to extend the date by which the Company must complete a business combination up to three (3) times for an additional one (1) month each time (for a maximum of three (3) one-month extensions) upon the deposit into the trust account (the “Trust Account”) by the Insiders, their affiliates or designees of $200,000 upon five days’ advance notice prior to August 13, 2022 (or such other applicable deadline) (the “Extension,” and such proposal, the “Charter Amendment”). On July 29, 2022, to effectuate the Charter Amendment, the board of directors of the Company (the “Board”) approved and adopted the Second Amended and Restated Memorandum and Articles of Association of the Company (the “Second A&amp;R Charter”).</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 resulting in the distribution of $97,194,950 from the Trust Account to the redeeming Stockholders. Following such redemptions, approximately $31,460,579 remains in the Trust Account and 6,255,848 shares of Chardan Common Stock will remain issued and outstanding.</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“Trust Agreement”), by and between the Company and Continental Stock Transfer &amp; Company (the “Trustee”) to authorize the Extension and its implementation by the Company (the “Trust Amendment Proposal”). On July 29, 2022, to effectuate the Trust Amendment Proposal, the Board approved and adopted Amendment No. 1 to the Investment Management Trust Agreement (the “Trust Agreement Amendment”).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&amp; Certain Restrictions on Transfer</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Merger Agreement contemplates that, at the Closing, New Dragonfly, Chardan NexTech Investments 2 LLC, a Delaware limited liability company (the “Sponsor”), Chardan’s initial stockholders, certain stockholders of Dragonfly and certain of each of their respective affiliates, as applicable, and the other parties thereto, will enter into an Amended and Restated Registration Rights Agreement (the “Registration Rights Agreement”), pursuant to which New Dragonfly will agree to register for resale, pursuant to Rule 415 under the Securities Act of 1933, as amended (the “Securities Act”),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“Lock-up Shares”). Such restrictions begin at the Closing and end on the date that is six months after Closing.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15, 2022, the Sponsor, Chardan and Dragonfly entered into the Sponsor Support Agreement (the “Sponsor Support Agreement”),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set forth in the Subscription Agreement, the PIPE Investor may purchase shares of the Chardan common stock, par value $0.0001 per share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PIPE Investment was consummated substantially concurrently with the Closing.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Commitment Letter</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15, 2022, Chardan and Dragonfly entered into a commitment letter (the “Debt Commitment Letter”), with EICF Agent LLC (“EIP”) and CCM Investments 5 LLC, an affiliate of the Sponsor (“CCM 5”, and collectively with EIP, the “Initial Lenders”), pursuant to which the Initial Lenders have agreed to provide Dragonfly with a senior secured term loan facility in an aggregate principal amount of $75,000,000 (the “Term Loan Facility”) subject to the satisfaction of a number of specified conditions set forth in the Debt Commitment Letter. CCM 5 intends to backstop its commitment under the Debt Commitment Letter by entering into a backstop commitment letter (the “Backstop Commitment Letter”) with certain third party financing sources prior to the Closing Date.</w:t>
      </w:r>
    </w:p>
    <w:p>
      <w:pPr>
        <w:spacing w:after="0" w:line="187" w:lineRule="exact"/>
        <w:rPr>
          <w:sz w:val="20"/>
          <w:szCs w:val="20"/>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w:t>
      </w:r>
    </w:p>
    <w:p>
      <w:pPr>
        <w:spacing w:after="0" w:line="1" w:lineRule="exact"/>
        <w:rPr>
          <w:sz w:val="20"/>
          <w:szCs w:val="20"/>
          <w:color w:val="auto"/>
        </w:rPr>
      </w:pPr>
    </w:p>
    <w:p>
      <w:pPr>
        <w:ind w:right="200" w:firstLine="8"/>
        <w:spacing w:after="0" w:line="255" w:lineRule="auto"/>
        <w:tabs>
          <w:tab w:leader="none" w:pos="2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pacing w:after="0" w:line="18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“Penny Warrants”) exercisable to purchase 3.6% of New Dragonfly’s common stock on a fully-diluted basis, calculated as of the Closing Date, and (ii) warrants (the “$10 Per Share Warrants”)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Facility Letter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15, 2022, Chardan, Dragonfly and CCM 5 (the “Equity Facility Investor”) entered into a letter agreement (together with the Summary of Indicative Terms attached as an exhibit thereto, the “Equity Facility Letter Agreement”) pursuant to which Chardan and Dragonfly agreed to enter into definitive documentation (the “Equity Facility Definitive Documentation”) to establish a committed equity facility (the “Equity Facility”)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were filed on Form 8-K, as filed on May 16, 2022.</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unaudited condensed consolidated financial statements. The specific impact on the Company’s financial condition, results of operations, and cash flows is also not determinable as of the date of these unaudited condensed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right="1740" w:firstLine="2189"/>
        <w:spacing w:after="0" w:line="502" w:lineRule="auto"/>
        <w:rPr>
          <w:sz w:val="20"/>
          <w:szCs w:val="20"/>
          <w:color w:val="auto"/>
        </w:rPr>
      </w:pPr>
      <w:r>
        <w:rPr>
          <w:rFonts w:ascii="Times New Roman" w:cs="Times New Roman" w:eastAsia="Times New Roman" w:hAnsi="Times New Roman"/>
          <w:sz w:val="18"/>
          <w:szCs w:val="18"/>
          <w:b w:val="1"/>
          <w:bCs w:val="1"/>
          <w:color w:val="auto"/>
        </w:rPr>
        <w:t>NOTES TO UNAUDITED CONDENSED FINANCIAL STATEMENTS NOTE 2. BASIS OF PRESENTATION AND SUMMARY OF SIGNIFICANT ACCOUNTING POLICIES Basis of Presentation</w:t>
      </w:r>
    </w:p>
    <w:p>
      <w:pPr>
        <w:spacing w:after="0" w:line="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The accompanying unaudited condensed consolidated financial statements should be read in conjunction with the Company’s annual report on Form 10-K as filed with the SEC on March 29, 2022. The interim results for the three and nine months ended September 30, 2022 are not necessarily indicative of the results to be expected for the year ending December 31, 2022 or for any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periods.</w:t>
      </w:r>
    </w:p>
    <w:p>
      <w:pPr>
        <w:spacing w:after="0" w:line="15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2022 and December 31, 2021.</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Investments Held in Trust Account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 Account in the accompanying statement of operations. The estimated fair values of investments held in the Trust Account are determined using available market information. At September 30, 2022, cash held in the Trust Account was $31,995,703. As of December 31, 2021, investments held in the Trust Account were $128,421,215.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On August 5, 2022, in connection with the Charter Amendment, 9,556,652 shares of Chardan common stock were redeemed, resulting in the distribution of $97,194,950 from the Trust Account to the redeeming stockholders. Following such redemptions, approximately $31,460,579 million remained in the Trust Account and 6,255,848 shares of Common Stock remained issued and outstanding. Accordingly, as of September 30, 2022 and December 31, 2021, 3,093,348 and 12,650,000 shares of common stock subject to possible redemption are presented as temporary equity, outside of the stockholders’ equity (deficit) section of the Company’s unaudited condensed consolidated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9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common stock reflected in the unaudited condensed consolidated balance sheets are reconciled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126,500,000</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(15,180,000)</w:t>
            </w:r>
          </w:p>
        </w:tc>
      </w:tr>
      <w:tr>
        <w:trPr>
          <w:trHeight w:val="216"/>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costs allocated to common stock</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(933,989)</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Accretion of common stock to redemption amount</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18,011,489</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at December 31, 2021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Redemption of common stock by stockholders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(97,194,950)</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Accretion of common stock to redemption amount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503,812</w:t>
            </w: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at September 30, 2022</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31,706,363</w:t>
            </w: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Expenses of Offering.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unaudited condensed consolidated statements of operations.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unaudited condensed consolidated statements of operations in the period of change.</w:t>
      </w:r>
    </w:p>
    <w:p>
      <w:pPr>
        <w:spacing w:after="0" w:line="18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unaudited condensed consolidated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unaudited condensed consolidated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260, Earnings Per Share. Net income (loss) per common share is computed by dividing net earnings by the weighted-average number of shares of common stock outstanding during the period.</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7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(1,919,615)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(1,298,108)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2,689,709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10,307,037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13,957,179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5,008,929</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10,307,037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9,672,826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13,957,179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5,356,456</w:t>
            </w:r>
          </w:p>
        </w:tc>
        <w:tc>
          <w:tcPr>
            <w:tcW w:w="0" w:type="dxa"/>
            <w:vAlign w:val="bottom"/>
          </w:tcPr>
          <w:p>
            <w:pPr>
              <w:spacing w:after="0"/>
              <w:rPr>
                <w:sz w:val="1"/>
                <w:szCs w:val="1"/>
                <w:color w:val="auto"/>
              </w:rPr>
            </w:pPr>
          </w:p>
        </w:tc>
      </w:tr>
      <w:tr>
        <w:trPr>
          <w:trHeight w:val="234"/>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 Insurance Corporation coverage limit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condensed consolidated balance sheet for current assets and current liabilities approximate fair value due to their short-term nature.</w:t>
      </w:r>
    </w:p>
    <w:p>
      <w:pPr>
        <w:spacing w:after="0" w:line="162"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completed its Initial Public Offering of 11,000,000 Units, at $10.00 per Unit, generating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$110,000,000. Each Unit consisted of one Public Share, and three-quarters of one Public Warrant. Each Public Warrant entitles the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 (see Note 7).</w:t>
      </w:r>
    </w:p>
    <w:p>
      <w:pPr>
        <w:spacing w:after="0" w:line="20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unaudited condensed consolidated balance sheet in accordance with the guidance contained in ASC 815-40.</w:t>
      </w:r>
    </w:p>
    <w:p>
      <w:pPr>
        <w:spacing w:after="0" w:line="18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unaudited condensed consolidated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9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September 30, 2022 and December 31, 2021, there was no outstanding balance under the note. The Promissory Note is no longer available to the Company.</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August 8, 2022, the Company notified the Trustee that it was extending the time available to the Company to consummate its initial business combination for an additional one (1) month from August 13, 2022 to September 13, 2022 (“Extension No. 1”). Extension No. 1 provides the Company with additional time to complete its proposed business combination with Dragonfly Energy Corp. (“Dragonfly”), a leader in energy storage and producer of deep cycle lithium-ion storage batteries. Extension No. 1 is the first of up to three (3) one-month extensions permitted under the Company’s Second A&amp;R Charter.</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Extension No. 1, the Company’s officers, directors, initial stockholders and Chardan NexTech 2 Warrant Holdings, LLC (collectively, the “Insiders”), their affiliates or designees will deposit an aggregate of $200,000 (the “First Extension Payment”) into the Trust Account prior to August 13, 2022, on behalf of the Company. In connection with its First Extension Payment, the Insiders will receive a non-interest bearing, unsecured promissory note equal to the First Extension Payment that will not be repaid if the Company is unable to close a business combination, unless there are funds available outside its Trust Account to do so.</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September 6, 2022, the Company notified Continental Stock Transfer &amp; Trust Company that it was extending the time available to the Company to consummate its initial business combination for an additional one (1) month from September 13, 2022 to October 13, 2022 (“Extension No. 2”). Extension No. 2 provides the Company with additional time to complete its proposed business combination with Dragonfly. Extension No. 2 is the second of up to three (3) 1-month extensions permitted under the Company’s Second A&amp;R Charter.</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Extension No. 2, the Company’s officers, directors, initial stockholders and Chardan NexTech 2 Warrant Holdings, LLC, their affiliates or designees will deposit an aggregate of $200,000 (the “Second Extension Payment”) into the Trust Account prior to September 12, 2022, on behalf of the Company. In connection with its Second Extension Payment, the Insiders will receive a non-interest bearing, unsecured promissory note equal to the Second Extension Payment that will not be repaid if the Company is unable to close a business combination, unless there are funds available outside its Trust Account to do so.</w:t>
      </w:r>
    </w:p>
    <w:p>
      <w:pPr>
        <w:spacing w:after="0" w:line="18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2022 , the Company had an outstanding balance in promissory note - related party of $400,000 in relation to Extension No 1 and Extension No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September 30, 2022, the Company has not exercised its option to use such services.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September 30, 2022 and December 31, 2021, the Company had no working capital loans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Reduction Act of 2022</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Department of the Treasury (the “Treasury”) has been given authority to provide regulations and other guidance to carry out and prevent the abuse or avoidance of the excise tax.</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2022 and December 31, 2021 there were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8"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6"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7"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w:t>
      </w:r>
    </w:p>
    <w:p>
      <w:pPr>
        <w:sectPr>
          <w:pgSz w:w="11900" w:h="16838" w:orient="portrait"/>
          <w:cols w:equalWidth="0" w:num="1">
            <w:col w:w="9880"/>
          </w:cols>
          <w:pgMar w:left="980" w:top="513" w:right="1039" w:bottom="1440" w:gutter="0" w:footer="0" w:header="0"/>
        </w:sect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6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88"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22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The Company is authorized to issue 1,000,000 shares of preferred stock, par value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September 30, 2022 and December 31, 2021, the Company had no issued or outstanding shares of preferred stock.</w:t>
      </w:r>
    </w:p>
    <w:p>
      <w:pPr>
        <w:spacing w:after="0" w:line="17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—The Company is authorized to issue 50,000,000 shares of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5, 2022, in connection with the Charter Amendment, 9,556,652 shares of Chardan common stock were redeemed by certain stockholders. As such, on September 30, 2022 and December 31, 2021, there were 6,255,848 and 15,812,500 shares of common stock issued and outstanding, including 3,093,348 and 12,650,000 shares of common stock subject to possible redemption, respectively.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9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2022 was (2.1)% and (3.1)%. The effective tax rate for the three and nine months ended September 30, 2021 was 0.0%.The Company’s effective tax rate differs from the statutory</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income tax rate of 21% primarily due to the recognition of gains or losses from the changes in the fair value of warrant liabilities and unrealized gains on the investments held in the Trust Account, which are not recognized for tax purposes. The Company has historically calculated the provision for income taxes during interim reporting periods by applying an estimate of the annual effective tax rate for the full fiscal year to income or loss for the reporting period. The Company has used a discrete effective tax rate method to calculate taxes for the three and nine months ended September 30, 2022. The Company believes that, at this time, the use of the discrete method for the three and nine months ended September 30, 2022 is more appropriate than the estimated annual effective tax rate method as the estimated annual effective tax rate method is not reliable due to a high degree of uncertainty in estimating annual pretax earnings.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September 30, 2022 and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3"/>
                <w:szCs w:val="13"/>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3"/>
                <w:szCs w:val="13"/>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1,989,979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1,989,979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remaining balance held in the Trust Account of September 30, 2022 was held in cash.</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8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investments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Private Warrants: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3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780" w:type="dxa"/>
            <w:vAlign w:val="bottom"/>
            <w:tcBorders>
              <w:bottom w:val="single" w:sz="8" w:color="CCEEFF"/>
            </w:tcBorders>
          </w:tcPr>
          <w:p>
            <w:pPr>
              <w:spacing w:after="0"/>
              <w:rPr>
                <w:sz w:val="15"/>
                <w:szCs w:val="15"/>
                <w:color w:val="auto"/>
              </w:rPr>
            </w:pPr>
          </w:p>
        </w:tc>
        <w:tc>
          <w:tcPr>
            <w:tcW w:w="29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Borders>
              <w:bottom w:val="single" w:sz="8" w:color="CCEEFF"/>
            </w:tcBorders>
          </w:tcPr>
          <w:p>
            <w:pPr>
              <w:spacing w:after="0"/>
              <w:rPr>
                <w:sz w:val="15"/>
                <w:szCs w:val="15"/>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8"/>
                <w:szCs w:val="18"/>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Term to Business Combination (years)</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spacing w:after="0"/>
              <w:rPr>
                <w:sz w:val="18"/>
                <w:szCs w:val="18"/>
                <w:color w:val="auto"/>
              </w:rPr>
            </w:pPr>
          </w:p>
        </w:tc>
      </w:tr>
      <w:tr>
        <w:trPr>
          <w:trHeight w:val="864"/>
        </w:trPr>
        <w:tc>
          <w:tcPr>
            <w:tcW w:w="3780" w:type="dxa"/>
            <w:vAlign w:val="bottom"/>
          </w:tcPr>
          <w:p>
            <w:pPr>
              <w:spacing w:after="0"/>
              <w:rPr>
                <w:sz w:val="24"/>
                <w:szCs w:val="24"/>
                <w:color w:val="auto"/>
              </w:rPr>
            </w:pPr>
          </w:p>
        </w:tc>
        <w:tc>
          <w:tcPr>
            <w:tcW w:w="308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F-42</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23, 2020 (inception)</w:t>
            </w:r>
          </w:p>
        </w:tc>
        <w:tc>
          <w:tcPr>
            <w:tcW w:w="4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5,553,429</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r>
      <w:tr>
        <w:trPr>
          <w:trHeight w:val="250"/>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December 31, 2021</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r>
      <w:tr>
        <w:trPr>
          <w:trHeight w:val="197"/>
        </w:trPr>
        <w:tc>
          <w:tcPr>
            <w:tcW w:w="8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(1,434,636)</w:t>
            </w:r>
          </w:p>
        </w:tc>
      </w:tr>
      <w:tr>
        <w:trPr>
          <w:trHeight w:val="249"/>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March 31, 2022</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601,622</w:t>
            </w:r>
          </w:p>
        </w:tc>
      </w:tr>
      <w:tr>
        <w:trPr>
          <w:trHeight w:val="197"/>
        </w:trPr>
        <w:tc>
          <w:tcPr>
            <w:tcW w:w="8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277,671</w:t>
            </w:r>
          </w:p>
        </w:tc>
      </w:tr>
      <w:tr>
        <w:trPr>
          <w:trHeight w:val="249"/>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June 30, 2022</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879,293</w:t>
            </w:r>
          </w:p>
        </w:tc>
      </w:tr>
      <w:tr>
        <w:trPr>
          <w:trHeight w:val="197"/>
        </w:trPr>
        <w:tc>
          <w:tcPr>
            <w:tcW w:w="8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1,110,686</w:t>
            </w:r>
          </w:p>
        </w:tc>
      </w:tr>
      <w:tr>
        <w:trPr>
          <w:trHeight w:val="20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September 30, 2022</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1,989,979</w:t>
            </w: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recognized a gain (loss) in connection with changes in the fair value of warrant liabilities of $(1,110,686)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$4,072,514 within change in fair value of warrant liabilities in the unaudited condensed consolidated statement of operations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2022 and 2021. The Company recognized a gain in connection with changes in the fair value of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of $46,279 and $4,072,514 within change in fair value of warrant liabilities in the unaudited condensed consolidated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for the nine months ended September 30,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Based upon this review, except as noted below, the Company did not identify any subsequent events that would have required adjustment or disclosure in the unaudited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Closing</w:t>
      </w:r>
    </w:p>
    <w:p>
      <w:pPr>
        <w:spacing w:after="0" w:line="22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On October 7, 2022 (the “Closing Date”), Dragonfly Energy Holdings Corp., a Delaware corporation (f/k/a Chardan NexTech Acquisition 2 Corp. (“Chardan”)), consummated the previously announced merger pursuant to the Business Combination Agreement, dated May 15, 2022, as amended by the Amendment to the Business Combination Agreement, dated July 12, 2022, by and among Chardan, Bronco Merger Sub, Inc., a Nevada corporation and a wholly owned subsidiary of Chardan (“Merger Sub”), and Dragonfly Energy Corp., a Nevada corporation (“Legacy Dragonfly”). Chardan’s stockholders approved the Transactions (as defined below) at a special meeting of stockholders held on October 6, 2022.</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the Business Combination Agreement, Merger Sub merged with and into Legacy Dragonfly (the “Merger” and, together with the other transactions contemplated by the Business Combination Agreement, the “Transactions”), with Legacy Dragonfly continuing as the surviving corporation in the Merger and a wholly-owned subsidiary of Chardan. On the Closing Date, the registrant changed its name from Chardan NexTech Acquisition 2 Corp. to Dragonfly Energy Holdings Corp.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Chardan, Merger Sub, Legacy Dragonfly or the holders of any of the following securities:</w:t>
      </w:r>
    </w:p>
    <w:p>
      <w:pPr>
        <w:spacing w:after="0" w:line="162" w:lineRule="exact"/>
        <w:rPr>
          <w:sz w:val="20"/>
          <w:szCs w:val="20"/>
          <w:color w:val="auto"/>
        </w:rPr>
      </w:pPr>
    </w:p>
    <w:p>
      <w:pPr>
        <w:ind w:left="660" w:right="20" w:hanging="328"/>
        <w:spacing w:after="0" w:line="277" w:lineRule="auto"/>
        <w:tabs>
          <w:tab w:leader="none" w:pos="6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share of Legacy Dragonfly’s common stock, par value $0.001 per share(“Legacy Dragonfly Common Stock”), converted into (i) a certain number of shares of the Company’s common stock, par value $0.0001 per share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660" w:hanging="328"/>
        <w:spacing w:after="0" w:line="255"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options to acquire shares of Common Stock. The portion of the Merger Consideration reflecting the conversion of the Legacy Dragonfly options was calculated assuming that all the Company options are net-settled. With respect to the Company options received in respect of Legacy Dragonfly options that are outstanding immediately prior to the Closing and cash exercised after the Closing, up to 627,498 additional shares of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22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Common Stock in three tranches.</w:t>
      </w:r>
    </w:p>
    <w:p>
      <w:pPr>
        <w:spacing w:after="0" w:line="176"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first tranche of 15,000,000 shares is issuable if the Company’s 2023 total audited revenue is equal to or greater than $250 million and the Company’s 2023 audited operating income is equal to or greater than $35 million. The second tranche of 12,500,000 shares is issuable upon achieving a volume-weighted average trading price threshold of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92"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description of the Merger and the terms of the Business Combination Agreement are included in the proxy statement/prospectus, dated September 16, 2022 (the “Proxy Statement/Prospectus”) as filed with the SEC in the section entitled “Proposal No. 1 — The Business Combination Proposal” of the Proxy Statement/Prospectus.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227"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“Subscription Agreement”), by and between Chardan and Chardan NexTech Investments 2 LLC (or an affiliate thereof if assigned pursuant to the Subscription Agreement, the “Sponsor”), the Sponsor agreed to purchase, and Chardan agreed to sell to the Sponsor, an aggregate of 500,000 shares of Chardan common stock (“Chardan Common Stock”) for gross proceeds to Chardan of $5 million in a private placement. On September 28, 2022, the Sponsor and Chardan Capital Markets LLC, a New York limited liability company (“CCM LLC”), entered into an assignment, assumption and joinder agreement, pursuant to which the Sponsor assigned all of the Sponsor’s rights, benefits and obligations under the Subscription Agreement to CCM LLC.</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the Company because such shares are not redeemed (the “Offset”). During the week of September 26, 2022 CCM LLC acquired in the open market in total 485,000 shares of Common Stock at purchase prices per share ranging from $10.33 to $10.38 (such shares, the “Purchased Shares”). The Purchased Shares were not redeemed, resulting in (i) the Company’s receipt of $5,016,547 from the Trust Account (based on a per share redemption price of $10.34) and (ii) a reduction in CCM LLC’s purchase commitment under the Subscription Agreement to zero in accordance with the Offset.</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Consistent with the previously disclosed commitment letter (the “Debt Commitment Letter”) between Chardan and Legacy Dragonfly, CCM Investments 5 LLC, an affiliate of CCM LLC (“CCM 5”, and in connection with the Term Loan, the “Chardan Lender”), and EICF Agent LLC (“EIP” and, collectively with the Chardan Lender, the “Initial Term Loan Lenders”), in connection with the Closing, Chardan, Legacy Dragonfly and the Initial Term Loan Lenders entered into the Term Loan, Guarantee and Security Agreement (the “Term Loan Agreement”) setting forth the terms of a senior secured term loan facility in an aggregate principal amount of $75 million (the “Term Loan”). The Chardan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Pursuant to the terms of the Term Loan Agreement, the Term Loan was advanced in one tranche on the Closing Date. The proceeds of the Term Loan were used (i) to refinance on the Closing Date prior indebtedness, (ii) to support the Transaction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w:t>
      </w:r>
    </w:p>
    <w:p>
      <w:pPr>
        <w:ind w:right="200" w:firstLine="8"/>
        <w:spacing w:after="0" w:line="253" w:lineRule="auto"/>
        <w:tabs>
          <w:tab w:leader="none" w:pos="2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w:t>
      </w:r>
    </w:p>
    <w:p>
      <w:pPr>
        <w:spacing w:after="0" w:line="27" w:lineRule="exact"/>
        <w:rPr>
          <w:sz w:val="20"/>
          <w:szCs w:val="20"/>
          <w:color w:val="auto"/>
        </w:rPr>
      </w:pPr>
    </w:p>
    <w:p>
      <w:pPr>
        <w:ind w:right="20" w:firstLine="8"/>
        <w:spacing w:after="0" w:line="253" w:lineRule="auto"/>
        <w:tabs>
          <w:tab w:leader="none" w:pos="2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 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Consistent with the previously disclosed equity facility letter agreement between Legacy Dragonfly and CCM 5, the Company and CCM LLC entered into a purchase agreement (the “Purchase Agreement”) and a Registration Rights Agreement (the “ChEF RRA”) in connection with the Closing.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“qualified independent underwriter” with respect to the transactions contemplated by the Purchase Agreement.</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 million, over the term of the equity facility (“ChEF Equity Facility”).</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Chardan, Legacy Dragonfly and the Sponsor entered into a sponsor support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Transactions, the Company entered into indemnification agreements with each of its directors and executive officers. These agreements, among other things, will require the Company to indemnify the Company’s directors and executive officers for certain expenses, including attorneys’ fees, judgments and fines incurred by a director or executive officer in any action or proceeding arising out of their services as one of the Company’s directors or executive officers or any other company or enterprise to which the person provides services at the Company’s request.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Transactions, the Company entered into the Amended and Restated Registration Rights Agreement with the Sponsor, Chardan’s officers, directors, initial stockholders, CCM LLC and Warrant Holdings, an affiliate of the Sponsor (collectively, the “Insiders”) and certain Legacy Dragonfly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26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FINANCIAL STATEMENT FOR THE YEARS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6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7240" w:type="dxa"/>
            <w:vAlign w:val="bottom"/>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520" w:type="dxa"/>
            <w:vAlign w:val="bottom"/>
            <w:tcBorders>
              <w:top w:val="single" w:sz="8" w:color="CCEEFF"/>
            </w:tcBorders>
            <w:gridSpan w:val="2"/>
          </w:tcPr>
          <w:p>
            <w:pPr>
              <w:spacing w:after="0"/>
              <w:rPr>
                <w:sz w:val="15"/>
                <w:szCs w:val="15"/>
                <w:color w:val="auto"/>
              </w:rPr>
            </w:pPr>
          </w:p>
        </w:tc>
        <w:tc>
          <w:tcPr>
            <w:tcW w:w="7240" w:type="dxa"/>
            <w:vAlign w:val="bottom"/>
            <w:tcBorders>
              <w:top w:val="single" w:sz="8" w:color="CCEEFF"/>
            </w:tcBorders>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Statements of Income</w:t>
            </w:r>
          </w:p>
        </w:tc>
        <w:tc>
          <w:tcPr>
            <w:tcW w:w="1100" w:type="dxa"/>
            <w:vAlign w:val="bottom"/>
            <w:tcBorders>
              <w:bottom w:val="single" w:sz="8" w:color="CCEEFF"/>
            </w:tcBorders>
            <w:gridSpan w:val="4"/>
            <w:shd w:val="clear" w:color="auto" w:fill="CCEEFF"/>
          </w:tcPr>
          <w:p>
            <w:pPr>
              <w:spacing w:after="0"/>
              <w:rPr>
                <w:sz w:val="18"/>
                <w:szCs w:val="18"/>
                <w:color w:val="auto"/>
              </w:rPr>
            </w:pPr>
          </w:p>
        </w:tc>
        <w:tc>
          <w:tcPr>
            <w:tcW w:w="7240" w:type="dxa"/>
            <w:vAlign w:val="bottom"/>
            <w:tcBorders>
              <w:bottom w:val="single" w:sz="8" w:color="CCEEFF"/>
            </w:tcBorders>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Statements of Shareholders’ Equity</w:t>
            </w:r>
          </w:p>
        </w:tc>
        <w:tc>
          <w:tcPr>
            <w:tcW w:w="7240" w:type="dxa"/>
            <w:vAlign w:val="bottom"/>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7240" w:type="dxa"/>
            <w:vAlign w:val="bottom"/>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40" w:type="dxa"/>
            <w:vAlign w:val="bottom"/>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color w:val="auto"/>
                <w:w w:val="99"/>
              </w:rPr>
              <w:t>F-47</w:t>
            </w: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Dragonfly Energy Corp. (the “Company”) as of December 31, 2021 and 2020, the related statements of income, shareholders’ equity,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$ 25,586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Vehicle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$ 76,251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payable-noncurrent, net of debt issuance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10,000,000 shares at $0.0002 par value, authorized, 10,000,000 shares issued and outstanding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40,000,000 shares at $0.0002 par value, authorized, 20,875,475 shares issued and outstanding as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December 31, 2021, 20,040,470 shares issued and outstanding as of December 31, 2020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Shareholders’ Equity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$ 76,251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197"/>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 Basic</w:t>
            </w:r>
          </w:p>
        </w:tc>
        <w:tc>
          <w:tcPr>
            <w:tcW w:w="2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0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tcBorders>
              <w:bottom w:val="single" w:sz="8" w:color="CCEEFF"/>
            </w:tcBorders>
            <w:vMerge w:val="continue"/>
          </w:tcPr>
          <w:p>
            <w:pPr>
              <w:spacing w:after="0"/>
              <w:rPr>
                <w:sz w:val="20"/>
                <w:szCs w:val="20"/>
                <w:color w:val="auto"/>
              </w:rPr>
            </w:pPr>
          </w:p>
        </w:tc>
        <w:tc>
          <w:tcPr>
            <w:tcW w:w="20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197"/>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 Basic</w:t>
            </w:r>
          </w:p>
        </w:tc>
        <w:tc>
          <w:tcPr>
            <w:tcW w:w="2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20,101,129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20,040,470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21,931,108</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21,388,785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20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Redeemable Preferred Stock</w:t>
            </w:r>
          </w:p>
        </w:tc>
        <w:tc>
          <w:tcPr>
            <w:tcW w:w="60" w:type="dxa"/>
            <w:vAlign w:val="bottom"/>
          </w:tcPr>
          <w:p>
            <w:pPr>
              <w:spacing w:after="0"/>
              <w:rPr>
                <w:sz w:val="15"/>
                <w:szCs w:val="15"/>
                <w:color w:val="auto"/>
              </w:rPr>
            </w:pPr>
          </w:p>
        </w:tc>
        <w:tc>
          <w:tcPr>
            <w:tcW w:w="13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(21,179)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(6,353)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 payable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(6,278)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revolving note agreement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revolving note agreement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5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r>
      <w:tr>
        <w:trPr>
          <w:trHeight w:val="197"/>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of options exercised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bl>
    <w:p>
      <w:pPr>
        <w:spacing w:after="0" w:line="19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These accompanying financial statements have been prepared pursuant to the rules and regulations of the Securities and Exchange Commission (“SEC”) and in accordance with generally accepted accounting principles in the United States of America (“GAAP”).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amounts disclosed in prior period financial statements have been reclassified to conform to the current period presentation.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had no effect on reported income, cash flows, total assets, or shareholders’ equity as previously reported.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The new standard reduces the complexity of accounting for income taxes by eliminating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Company adopted this guidance effective January 1, 2021 which did not have a material impact on the accompanying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2021-04 are effective January 1, 2022. This ASU shall be applied on a prospective basis. The Company determined that the change in guidance did not have a material impact to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Restricted Cash, and Cash Equivalents</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December 31, 2021 or 2020. The Company also maintains a restricted cash balance to satisfy its note payable requirements (Refer to Note 5).</w:t>
      </w:r>
    </w:p>
    <w:p>
      <w:pPr>
        <w:spacing w:after="0" w:line="17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December 31, 2021 and 2020 of $50 and $0,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ind w:right="160" w:firstLine="324"/>
        <w:spacing w:after="0" w:line="272" w:lineRule="auto"/>
        <w:rPr>
          <w:sz w:val="20"/>
          <w:szCs w:val="20"/>
          <w:color w:val="auto"/>
        </w:rPr>
      </w:pPr>
      <w:r>
        <w:rPr>
          <w:rFonts w:ascii="Times New Roman" w:cs="Times New Roman" w:eastAsia="Times New Roman" w:hAnsi="Times New Roman"/>
          <w:sz w:val="17"/>
          <w:szCs w:val="17"/>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Depreciation expense for the years ended December 31, 2021 and 2020 was $617 and $198, respectively. The various classes of property and equipment and estimated useful lives are as follows:</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Remaining Term of Lease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The Company does not have any finance leases as of December 31, 2021 or 2020.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 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Income.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In such instances, the Company records a customer deposit liability. Payment terms for distributors and OEMs are due within 30-60 days after shipment. The Company recognizes these contract liabilities as sales after the revenue criteria are met. As of December 31, 2021 and 2020, the contract liability related to the Company’s customer deposits approximated $434 and $1,779, respectively. The entire contract liability balance as of December 31, 2020 was recognized as revenue during the year ended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10"/>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47,187</w:t>
            </w: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$5,105 and $2,568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2021 and 2020 are immaterial to the Company’s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and Sales Allowances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provision for returns and sales allowances is determined by an analysis of the historical rate of returns and sales allowances over recent quarters and adjusted to reflect management’s future expectations. The Company has accrued for sales allowances as of December 31, 2021 in the amount of $170. There was no accrual for sales allowances as of December 31,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significant revenue concentrations for the years ended December 31, 2021 and 2020.</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Receivables from two customers comprised approximately 42% and 16%, respectively, of accounts receivable as of December 31, 2021. Receivables from one customer comprised approximately 22% of accounts receivable as of December 31, 2020. There are no other significant accounts receivable concentrations.</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three vendors accounted for approximately 27%, 10% and 10% of the Company’s total purchases, respectively. For the year ended December 31, 2020, four vendors accounted for approximately 19%, 14%, 11% and 10% of the Company’s total purchases,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$1,690 and $1,069 for the years ending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 consultants using a fair value method which requires the recognition of compensation expense for costs related to all stock-based payments, including stock options (Note 8). The fair value method requires the Company to estimate the fair value of stock-based payment awards to employees and non-employees on the date of grant using an option pricing model.</w:t>
      </w:r>
    </w:p>
    <w:p>
      <w:pPr>
        <w:spacing w:after="0" w:line="180"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costs are based on the fair value of the underlying option calculated using the Black Scholes option pricing model and recognized as expense on a straight-line basis over the requisite service period, which is the vesting period. The Company measures equity-based compensation awards granted to non-employees at fair value as the awards vest and recognizes the resulting value as compensation expense at each financial reporting period.</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7)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$0 and $19 as of December 31, 2021 and 2020, respectively, of uncertain tax positions.</w:t>
      </w:r>
    </w:p>
    <w:p>
      <w:pPr>
        <w:spacing w:after="0" w:line="17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available for distribution</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6,878</w:t>
            </w: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 Net</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0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1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0"/>
        </w:trPr>
        <w:tc>
          <w:tcPr>
            <w:tcW w:w="5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34"/>
        </w:trPr>
        <w:tc>
          <w:tcPr>
            <w:tcW w:w="5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20,101,129</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20,040,470</w:t>
            </w: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20,101,129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1,829,979</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1,348,315</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21,931,108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21,388,785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5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all periods presented, there were no outstanding shares that were potentially anti-dilutive.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provides a substantial stimulus and assistance package intended to address the impact of COVID-19, including tax relief and government loans, grants, and investments. The CARES Act did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20" w:right="242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We have experienced longer lead times in the supply of our components because of global supply chain disruptions caused in-part by the ongoing COVID-19 pandemic, which have led to the build-up in inventory as well as the significant increase in prepaid inventory as suppliers are requiring upfront deposits. While there was not a material impact to the Company’s financial statements as of and for the years ended December 31, 2021 and 2020, respectively, COVID-19 could result in material impacts to the Company’s financial statements in future reporting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INVENTORY</w:t>
            </w: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Inventory consists of the following as of:</w:t>
            </w: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760" w:type="dxa"/>
            <w:vAlign w:val="bottom"/>
            <w:gridSpan w:val="3"/>
          </w:tcPr>
          <w:p>
            <w:pPr>
              <w:ind w:left="1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inventory</w:t>
            </w:r>
          </w:p>
        </w:tc>
        <w:tc>
          <w:tcPr>
            <w:tcW w:w="18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OPERATING LEASES</w:t>
            </w: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As of December 31, 2020, the Company had a main office, warehouse space, research and development lab, engineering office, and sales office all located in Reno, Nevada that required annual escalating monthly payments ranging from $4 to $11. In December of 2020, the Company entered a fourth amendment lease and effective April 30, 2021, the Company moved its main office, warehouse, and sales office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54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CCEEFF"/>
            </w:tcBorders>
          </w:tcPr>
          <w:p>
            <w:pPr>
              <w:spacing w:after="0"/>
              <w:rPr>
                <w:sz w:val="15"/>
                <w:szCs w:val="15"/>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shd w:val="clear" w:color="auto" w:fill="CCEEFF"/>
          </w:tcPr>
          <w:p>
            <w:pPr>
              <w:spacing w:after="0"/>
              <w:rPr>
                <w:sz w:val="18"/>
                <w:szCs w:val="18"/>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20" w:type="dxa"/>
            <w:vAlign w:val="bottom"/>
            <w:shd w:val="clear" w:color="auto" w:fill="CCEEFF"/>
          </w:tcPr>
          <w:p>
            <w:pPr>
              <w:spacing w:after="0"/>
              <w:rPr>
                <w:sz w:val="18"/>
                <w:szCs w:val="18"/>
                <w:color w:val="auto"/>
              </w:rPr>
            </w:pPr>
          </w:p>
        </w:tc>
      </w:tr>
      <w:tr>
        <w:trPr>
          <w:trHeight w:val="249"/>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3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20" w:type="dxa"/>
            <w:vAlign w:val="bottom"/>
            <w:tcBorders>
              <w:bottom w:val="single" w:sz="8" w:color="CCEEFF"/>
            </w:tcBorders>
          </w:tcPr>
          <w:p>
            <w:pPr>
              <w:spacing w:after="0"/>
              <w:rPr>
                <w:sz w:val="21"/>
                <w:szCs w:val="21"/>
                <w:color w:val="auto"/>
              </w:rPr>
            </w:pPr>
          </w:p>
        </w:tc>
      </w:tr>
      <w:tr>
        <w:trPr>
          <w:trHeight w:val="197"/>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6.0 %</w:t>
            </w:r>
          </w:p>
        </w:tc>
      </w:tr>
    </w:tbl>
    <w:p>
      <w:pPr>
        <w:spacing w:after="0" w:line="17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 (continued)</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$952 and $148 for the years ended December 31, 2021 and 2020, respectively. These amounts are included in operating cash flows.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2021, the future minimum lease payments under these operating leases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231F20"/>
              </w:rPr>
              <w:t>Total lease payments</w:t>
            </w:r>
          </w:p>
        </w:tc>
        <w:tc>
          <w:tcPr>
            <w:tcW w:w="2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6,524</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000" w:type="dxa"/>
            <w:vAlign w:val="bottom"/>
          </w:tcPr>
          <w:p>
            <w:pPr>
              <w:spacing w:after="0"/>
              <w:rPr>
                <w:sz w:val="17"/>
                <w:szCs w:val="17"/>
                <w:color w:val="auto"/>
              </w:rPr>
            </w:pPr>
          </w:p>
        </w:tc>
        <w:tc>
          <w:tcPr>
            <w:tcW w:w="42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Less imputed interest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right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231F20"/>
              </w:rPr>
              <w:t>748</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231F20"/>
              </w:rPr>
              <w:t>Total operating lease liabilities</w:t>
            </w: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5,776</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20" w:type="dxa"/>
            <w:vAlign w:val="bottom"/>
          </w:tcPr>
          <w:p>
            <w:pPr>
              <w:spacing w:after="0"/>
              <w:rPr>
                <w:sz w:val="24"/>
                <w:szCs w:val="24"/>
                <w:color w:val="auto"/>
              </w:rPr>
            </w:pPr>
          </w:p>
        </w:tc>
        <w:tc>
          <w:tcPr>
            <w:tcW w:w="20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24"/>
                <w:szCs w:val="24"/>
                <w:color w:val="auto"/>
              </w:rPr>
            </w:pPr>
          </w:p>
        </w:tc>
        <w:tc>
          <w:tcPr>
            <w:tcW w:w="12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 lease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a prepaid loan monitoring fee of $60,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included in debt issuance costs, and $1,553 in other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20" w:right="242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principle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will make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w:t>
      </w:r>
    </w:p>
    <w:p>
      <w:pPr>
        <w:spacing w:after="0" w:line="18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76"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a total of $390 of interest expense was incurred under the debt. Amortization of the debt issuance costs under the interest method amounted to $77 during the year ended December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Reserve Accounts</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Deposits into the reserve accounts consisted of the following items: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Reserve Fund</w:t>
            </w:r>
          </w:p>
        </w:tc>
        <w:tc>
          <w:tcPr>
            <w:tcW w:w="16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Interest Fund</w:t>
            </w:r>
          </w:p>
        </w:tc>
        <w:tc>
          <w:tcPr>
            <w:tcW w:w="1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Payment Reserve Fund is a debt service fund to be maintained by UMB Bank, and the initial deposit is equal to the maximum amount of monthly interest and principal debt service payment due on the Series 2021-6 notes, plus interest earned on special redemptions (see </w:t>
      </w:r>
      <w:r>
        <w:rPr>
          <w:rFonts w:ascii="Times New Roman" w:cs="Times New Roman" w:eastAsia="Times New Roman" w:hAnsi="Times New Roman"/>
          <w:sz w:val="18"/>
          <w:szCs w:val="18"/>
          <w:i w:val="1"/>
          <w:iCs w:val="1"/>
          <w:color w:val="auto"/>
        </w:rPr>
        <w:t>Special Redemptions</w:t>
      </w:r>
      <w:r>
        <w:rPr>
          <w:rFonts w:ascii="Times New Roman" w:cs="Times New Roman" w:eastAsia="Times New Roman" w:hAnsi="Times New Roman"/>
          <w:sz w:val="18"/>
          <w:szCs w:val="18"/>
          <w:color w:val="auto"/>
        </w:rPr>
        <w:t xml:space="preserve"> below).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w:t>
      </w:r>
    </w:p>
    <w:p>
      <w:pPr>
        <w:spacing w:after="0" w:line="18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for the period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Redemptions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fails to make a scheduled payments of principal and interest as required under the loan agreements on the due dates, and fails to cure such non-payment within 10 days, UMB Bank may, upon the direction of the registered noteholders of at least 75% of the principal amount outstanding under the Series 2021-6 Notes, declare that an event of “Special Redemption” has occurred, and such failure shall trigger the provisions of the Insurance Policy. These provisions include filing of a claim notice with the insurer, withdrawal of the unpaid amount from the Payment Reserve Fund and pay such amount to the holders of those Series 2021-6 Notes, and acceleration of the Series 2021-6 Notes that remain outstanding after the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all substantially all of the assets of the Company.</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Trust Indenture, the Insurance Policy is required as additional collateral guaranteeing the payments under the debt by the Company. The Company determined this was not a direct incremental cost of the financing. The premium costs were recognized as a debt issuance cost. The term of the policy aligns with the term of the debt (three years, unless reduced due to default provisions). The secured party (UMB Bank, as trustee) would not have the right to sell or repledge either the intellectual property or the insurance collateral unless and until the Company defaults and a claim is made.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Monitoring Fees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will incur ongoing monitoring service by NewLight Capital LLC for 24 months at $180 total expense. These services entail monitoring of financial records and information related to collateral enforcement on an ongoing basis. The $60 prepayment funded at closing was recognized as a prepaid expense and will be amortized straight-line over the first 8 months of the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must comply with certain financial covenants, including minimum adjusted EBITDA, capital expenditures and minimum fixed charge coverage ratio. These covenants are not effective as of December 31, 2021 but will begin to take effect with the fiscal quarter ending March 31, 2022.</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6960" w:type="dxa"/>
            <w:vAlign w:val="bottom"/>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6960" w:type="dxa"/>
            <w:vAlign w:val="bottom"/>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w w:val="98"/>
              </w:rPr>
              <w:t>NOTES TO FINANCIAL STATEMENTS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60" w:type="dxa"/>
            <w:vAlign w:val="bottom"/>
          </w:tcPr>
          <w:p>
            <w:pPr>
              <w:jc w:val="center"/>
              <w:ind w:left="876"/>
              <w:spacing w:after="0"/>
              <w:rPr>
                <w:sz w:val="20"/>
                <w:szCs w:val="20"/>
                <w:color w:val="auto"/>
              </w:rPr>
            </w:pPr>
            <w:r>
              <w:rPr>
                <w:rFonts w:ascii="Times New Roman" w:cs="Times New Roman" w:eastAsia="Times New Roman" w:hAnsi="Times New Roman"/>
                <w:sz w:val="18"/>
                <w:szCs w:val="18"/>
                <w:b w:val="1"/>
                <w:bCs w:val="1"/>
                <w:color w:val="auto"/>
              </w:rPr>
              <w:t>DECEMBER 31, 2021 AND 2020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6960" w:type="dxa"/>
            <w:vAlign w:val="bottom"/>
          </w:tcPr>
          <w:p>
            <w:pPr>
              <w:jc w:val="center"/>
              <w:ind w:left="876"/>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Long-Term Debt Maturities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 December 31, 2021, the future debt maturities are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debt</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38,928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196"/>
        </w:trPr>
        <w:tc>
          <w:tcPr>
            <w:tcW w:w="796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Total long-term debt</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Series 2021-6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9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49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(Sec. 263A)</w:t>
            </w:r>
          </w:p>
        </w:tc>
        <w:tc>
          <w:tcPr>
            <w:tcW w:w="1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5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60" w:right="238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is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Tax</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0.94 %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r>
      <w:tr>
        <w:trPr>
          <w:trHeight w:val="20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27.08 %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is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Tax</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w:t>
            </w:r>
          </w:p>
        </w:tc>
      </w:tr>
      <w:tr>
        <w:trPr>
          <w:trHeight w:val="20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21.52 %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federal tax returns are open for the Company for 2018, 2019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August 12, 2019, the Board of Directors approved the 2019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3,000,000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1,000,000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 (continued)</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an incentive award granted under the Plan expires, terminates, is unexercised or is forfeited, or if any shares are surrendered to us in connection with an incentive award, the shares subject to such award and the surrendered shares will become available for future awards under the Plan. The number of shares subject to the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Share-based compensation expense for options totaling $734 and $324 was recognized in our statements of income for the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2021 and 2020, respectively. Of the $734 of share-based compensation incurred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$252 is allocated to cost of goods sold, $95 to research and development, $156 to selling and marketing, and $231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Of the $324 of share-based compensation incurred during the year ended December 31, 2020, $48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allocated to cost of goods sold, $23 to research and development, $61 to selling and marketing, and $192 to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The Company did not receive payment for 615,124 of the 835,005 options exercised during the period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accordingly a receivable of $250 was recognized and included in other current assets on the balance sheet. This payment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on January 4, 2022.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there were 10,327 shares of unissued authorized and available for future awards under the plans.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stock-based compensation expense of $3,646, related to unvested stock options not yet recognized that are expected to be recognized over an estimated weighted average period of 2.9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 (continued)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risk-free interest rate, and the weighted average expected life of the options. The fair value of the underlying stock is determined by the Board of Directors. Given the absence of a public trading market, the Board of Directors utilizes a 409A valuation which considers numerous objective and subjective factors to determine the fair value of our common stock. These factors included but are not limited to: (i) the rights, preferences and privileges of convertible preferred stock relative to common stock;</w:t>
      </w:r>
    </w:p>
    <w:p>
      <w:pPr>
        <w:spacing w:after="0" w:line="5" w:lineRule="exact"/>
        <w:rPr>
          <w:sz w:val="20"/>
          <w:szCs w:val="20"/>
          <w:color w:val="auto"/>
        </w:rPr>
      </w:pPr>
    </w:p>
    <w:p>
      <w:pPr>
        <w:ind w:right="40" w:firstLine="8"/>
        <w:spacing w:after="0" w:line="253" w:lineRule="auto"/>
        <w:tabs>
          <w:tab w:leader="none" w:pos="2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common stock; (iii) stage and development of the Company’s business; (iv) general economic conditions; and (v) the likelihood of achieving a liquidity event, such as an initial public offering (“IPO”) or sale of the Company, given prevailing market conditions. To evaluate the fair value of the underlying shares for grants between two independent valuations and after the last independent valuation, a linear interpolation framework is used to evaluate the fair value of the underlying shares. The expected term was estimated using the simplified method.</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8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0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 – 2.18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 – 2.39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0.46 %</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52.6 %</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52.5 %</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holders of record of the shares of Series A Preferred Stock, exclusively and as a separate class, shall be entitled to elect one director of the Corporation (the “Series A Director”). The Series A Director shall be given two votes on any action requiring the vote or approval of the Board of Directors.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holders of record of the shares of Common Stock, exclusively and as a separate class, shall be entitled to elect two directors of the Corporation, the “Common Stock Director A” and the “Common Stock Director B”).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Dissolution or Winding Up; Certain Mergers, Consolidations and Assets Sales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the holders of shares of Series A Preferred Stock then outstanding (the “Series A shareholders”) shall be entitled to be paid out of the assets of the Corporation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Corporation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Corporation available for distribution to its stockholders shall be distributed among the holders of shares of Common Stock, pro rata based on the number of shares held by each such holder.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Corporation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Corporation under Nevada Law with ninety days after a deemed liquidation event is not within the control of the Company. As such the Preferred Stock is precluded from permanent equity classification and has been presented as mezzanine equity.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at a price of at least $1 per share, in a firm- commitment underwritten public offering pursuant to an effective registration statement under the Securities Act of 1933, as amended, resulting in at least $25,000 of gross proceeds to the Corporation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40,000,000 shares of common stock with $0.0002 par value. At December 31, 2021 and 2020, there were 20,875,475 and 20,040,470 shares issued and outstanding.</w:t>
      </w:r>
    </w:p>
    <w:p>
      <w:pPr>
        <w:spacing w:after="0" w:line="16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December 31, 2021 and 2020, no dividends on common stock had been declared by the Company. At December 31, 2021 and 2020, the Company had reserved shares of common stock for issuance as follows: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2,563,080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404,650</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34,008,200</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33,008,200</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November of 2020, the board of directors approved and granted 8,200 common shares to consultants for historical services provided. The shares were fair valued at $3.41 per share for total compensation of $27. The amount was expensed immediately and is included in selling,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from December 31, 2021 through April 20, 2022, which is the date the financial statements were available for issuance and has determined that there are no subsequent events requiring adjustment to or disclosure in the financial statements, other than as follows: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b w:val="1"/>
          <w:bCs w:val="1"/>
          <w:color w:val="auto"/>
        </w:rPr>
        <w:t>DRAGONFLY ENERGY CORP.</w:t>
      </w:r>
    </w:p>
    <w:p>
      <w:pPr>
        <w:spacing w:after="0" w:line="21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FINANCIAL STATEMENTS</w:t>
      </w:r>
    </w:p>
    <w:p>
      <w:pPr>
        <w:spacing w:after="0" w:line="18"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22"/>
          <w:szCs w:val="22"/>
          <w:b w:val="1"/>
          <w:bCs w:val="1"/>
          <w:color w:val="auto"/>
        </w:rPr>
        <w:t>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90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6100" w:type="dxa"/>
            <w:vAlign w:val="bottom"/>
            <w:gridSpan w:val="5"/>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100" w:type="dxa"/>
            <w:vAlign w:val="bottom"/>
            <w:gridSpan w:val="5"/>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Balance Sheets at September 30, 2022 and December 31, 2021 (unaudited)</w:t>
            </w:r>
          </w:p>
        </w:tc>
        <w:tc>
          <w:tcPr>
            <w:tcW w:w="2800" w:type="dxa"/>
            <w:vAlign w:val="bottom"/>
            <w:tcBorders>
              <w:bottom w:val="single" w:sz="8" w:color="CCEEFF"/>
            </w:tcBorders>
            <w:gridSpan w:val="4"/>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Nine Months Ended September 30, 2022 and 2021 (unaudited)</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0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for the Nine Months Ended September 30, 2022 and 2021</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tcBorders>
              <w:top w:val="single" w:sz="8" w:color="0000EE"/>
            </w:tcBorders>
            <w:gridSpan w:val="8"/>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0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Nine Months Ended September 30, 2022 and 2021 (unaudited)</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Financial Statements</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F-76-F-88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25,586</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27,127</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inventory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income tax</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66,346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66,081</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Vehicle</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(1,406)</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196"/>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9,816</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payroll and other liabilities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Customer deposits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payable</w:t>
            </w: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Notes payable- current portion net of debt issuance costs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0" w:type="dxa"/>
            <w:vAlign w:val="bottom"/>
          </w:tcPr>
          <w:p>
            <w:pPr>
              <w:spacing w:after="0"/>
              <w:rPr>
                <w:sz w:val="1"/>
                <w:szCs w:val="1"/>
                <w:color w:val="auto"/>
              </w:rPr>
            </w:pPr>
          </w:p>
        </w:tc>
      </w:tr>
      <w:tr>
        <w:trPr>
          <w:trHeight w:val="196"/>
        </w:trPr>
        <w:tc>
          <w:tcPr>
            <w:tcW w:w="7100" w:type="dxa"/>
            <w:vAlign w:val="bottom"/>
          </w:tcPr>
          <w:p>
            <w:pPr>
              <w:spacing w:after="0" w:line="184" w:lineRule="exact"/>
              <w:rPr>
                <w:sz w:val="20"/>
                <w:szCs w:val="20"/>
                <w:color w:val="auto"/>
              </w:rPr>
            </w:pPr>
            <w:r>
              <w:rPr>
                <w:rFonts w:ascii="Times New Roman" w:cs="Times New Roman" w:eastAsia="Times New Roman" w:hAnsi="Times New Roman"/>
                <w:sz w:val="16"/>
                <w:szCs w:val="16"/>
                <w:b w:val="1"/>
                <w:bCs w:val="1"/>
                <w:color w:val="auto"/>
              </w:rPr>
              <w:t>Long</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Term Liabilities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6"/>
                <w:szCs w:val="16"/>
                <w:color w:val="auto"/>
              </w:rPr>
              <w:t>Notes payable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noncurrent, net of debt issuance costs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37,053</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ind w:left="220"/>
              <w:spacing w:after="0" w:line="184" w:lineRule="exact"/>
              <w:rPr>
                <w:sz w:val="20"/>
                <w:szCs w:val="20"/>
                <w:color w:val="auto"/>
              </w:rPr>
            </w:pPr>
            <w:r>
              <w:rPr>
                <w:rFonts w:ascii="Times New Roman" w:cs="Times New Roman" w:eastAsia="Times New Roman" w:hAnsi="Times New Roman"/>
                <w:sz w:val="16"/>
                <w:szCs w:val="16"/>
                <w:color w:val="auto"/>
              </w:rPr>
              <w:t>Total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42,200</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60,190</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2)</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Redeemable Preferred Stock</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10,000,000 shares at $0.0002 par value, authorized, 10,000,000 shares issued and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40,000,000 shares at $0.0002 par value, authorized, 22,634,276 shares issued and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 as of September 30, 2022, 20,875,475 shares issued and outstanding as of December 31,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12,438</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Redeemable Preferred Stock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82,294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76,251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both"/>
        <w:ind w:left="2460" w:right="2440" w:hanging="13"/>
        <w:spacing w:after="0" w:line="317" w:lineRule="auto"/>
        <w:rPr>
          <w:sz w:val="20"/>
          <w:szCs w:val="20"/>
          <w:color w:val="auto"/>
        </w:rPr>
      </w:pPr>
      <w:r>
        <w:rPr>
          <w:rFonts w:ascii="Times New Roman" w:cs="Times New Roman" w:eastAsia="Times New Roman" w:hAnsi="Times New Roman"/>
          <w:sz w:val="17"/>
          <w:szCs w:val="17"/>
          <w:b w:val="1"/>
          <w:bCs w:val="1"/>
          <w:color w:val="auto"/>
        </w:rPr>
        <w:t>UNAUDITED CONDENSED STATEMENTS OF OPERATIONS (IN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340" w:type="dxa"/>
            <w:vAlign w:val="bottom"/>
            <w:tcBorders>
              <w:bottom w:val="single" w:sz="8" w:color="auto"/>
            </w:tcBorders>
            <w:gridSpan w:val="5"/>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66,042</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24,998</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(3,657)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disposition of assets</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Other Expense</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(Loss) Income Before Taxes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(9,156)</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(Benefit) Provision for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236"/>
        </w:trPr>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60" w:type="dxa"/>
            <w:vAlign w:val="bottom"/>
            <w:tcBorders>
              <w:top w:val="single" w:sz="8" w:color="CCEEFF"/>
              <w:bottom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(Loss) Earnings Per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Basic</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(Loss) Earnings Per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Diluted</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240" w:type="dxa"/>
            <w:vAlign w:val="bottom"/>
            <w:vMerge w:val="continue"/>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60" w:type="dxa"/>
            <w:vAlign w:val="bottom"/>
            <w:tcBorders>
              <w:top w:val="single" w:sz="8" w:color="CCEEFF"/>
              <w:bottom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Weighted Average Number of Shares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Basic</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21,131,993</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20,063,211</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Weighted Average Number of Shares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21,131,993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21,926,105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STATEMENTS OF SHAREHOLDERS’ EQUITY FOR THE NINE MONTHS ENDED SEPTEMBER 30, 2022 AND 2021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2960" w:type="dxa"/>
            <w:vAlign w:val="bottom"/>
          </w:tcPr>
          <w:p>
            <w:pPr>
              <w:spacing w:after="0"/>
              <w:rPr>
                <w:sz w:val="3"/>
                <w:szCs w:val="3"/>
                <w:color w:val="auto"/>
              </w:rPr>
            </w:pPr>
          </w:p>
        </w:tc>
        <w:tc>
          <w:tcPr>
            <w:tcW w:w="20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Redeemable Preferred Stock</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296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restart"/>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 Capital</w:t>
            </w:r>
          </w:p>
        </w:tc>
        <w:tc>
          <w:tcPr>
            <w:tcW w:w="16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96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January 1,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49,727</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7"/>
        </w:trPr>
        <w:tc>
          <w:tcPr>
            <w:tcW w:w="2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September 30, 2021</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20,090,197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13,430</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January 1, 2022</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20,875,475</w:t>
            </w:r>
          </w:p>
        </w:tc>
        <w:tc>
          <w:tcPr>
            <w:tcW w:w="1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1,619</w:t>
            </w: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12,438</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197"/>
        </w:trPr>
        <w:tc>
          <w:tcPr>
            <w:tcW w:w="2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(7,456)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(7,456)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agreement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491,299</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197"/>
        </w:trPr>
        <w:tc>
          <w:tcPr>
            <w:tcW w:w="2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September 30, 2022</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22,634,276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4,982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23,467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STATEMENTS OF CASH FLOWS FOR THE NINE MONTHS ENDED SEPTEMBER 30, 2022 AND 2021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(Used in) Provided by Operating Activities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(12,360)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inventory</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(3,915)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deposits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Adjustments</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(6,065)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stock purchase agreement</w:t>
            </w:r>
          </w:p>
        </w:tc>
        <w:tc>
          <w:tcPr>
            <w:tcW w:w="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(15,069)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560" w:type="dxa"/>
            <w:vAlign w:val="bottom"/>
          </w:tcPr>
          <w:p>
            <w:pPr>
              <w:spacing w:after="0"/>
              <w:rPr>
                <w:sz w:val="21"/>
                <w:szCs w:val="21"/>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2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Cash paid for interest</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Supplemental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Items</w:t>
            </w: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notes have been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The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unaudited condensed consolidated financial statements and notes should be read in conjunction with the audited consolidated financial statements and accompanying notes for the year ended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 Debt with Conversion and Other Options (Subtopic 470-20) and Derivatives and Hedging — Contracts in Entity’s Own Equity (Subtopic 815-40) </w:t>
      </w:r>
      <w:r>
        <w:rPr>
          <w:rFonts w:ascii="Times New Roman" w:cs="Times New Roman" w:eastAsia="Times New Roman" w:hAnsi="Times New Roman"/>
          <w:sz w:val="18"/>
          <w:szCs w:val="18"/>
          <w:color w:val="auto"/>
        </w:rPr>
        <w:t>(“ASU 2020-06”) to simplify accounting for certain financial instruments. ASU 2020-06 eliminates the current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Immaterial error correction</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Company corrected an immaterial error and recognized $857 in expenses during the third quarter ending September 30, 2022 related to costs previously incorrectly deferred within other current assets on the balance sheet. Of this amount, $450 is related to costs incurred during the fourth quarter ending December 31, 2021 and the remaining $407 were incurred during the nine months ended September 30,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Restricted Cash, and Cash Equivalents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September 30, 2022 and December 31, 2021. The Company also maintains a restricted cash balance to satisfy its note payable requirements (Refer to Note 5).</w:t>
      </w:r>
    </w:p>
    <w:p>
      <w:pPr>
        <w:spacing w:after="0" w:line="17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September 30, 2022 and December 31, 2021 of $54 and $50,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December 31, 2021, no such reserves were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Nine months ended September 30, 2022 and 2021 was $648 and $432, respectively. The various classes of property and equipment and estimated useful lives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9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3 to 7 years</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5 years</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9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3 to 7 years</w:t>
            </w: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Remaining Term of Lease</w:t>
            </w:r>
          </w:p>
        </w:tc>
        <w:tc>
          <w:tcPr>
            <w:tcW w:w="980" w:type="dxa"/>
            <w:vAlign w:val="bottom"/>
          </w:tcPr>
          <w:p>
            <w:pPr>
              <w:spacing w:after="0"/>
              <w:rPr>
                <w:sz w:val="20"/>
                <w:szCs w:val="20"/>
                <w:color w:val="auto"/>
              </w:rPr>
            </w:pPr>
          </w:p>
        </w:tc>
      </w:tr>
      <w:tr>
        <w:trPr>
          <w:trHeight w:val="846"/>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9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F-77</w:t>
            </w:r>
          </w:p>
        </w:tc>
      </w:tr>
      <w:tr>
        <w:trPr>
          <w:trHeight w:val="547"/>
        </w:trPr>
        <w:tc>
          <w:tcPr>
            <w:tcW w:w="10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 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Operations.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September 30, 2022 and December 31, 2021, the contract liability related to the Company’s customer deposits approximated $287 and $434, respectively. The entire contract liability balance as of December 31, 2021 was recognized as revenue during the Nine months ended September 30, 2022.</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disaggregated revenues by distribution channel:</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5"/>
                <w:szCs w:val="15"/>
                <w:color w:val="auto"/>
              </w:rPr>
            </w:pPr>
          </w:p>
        </w:tc>
        <w:tc>
          <w:tcPr>
            <w:tcW w:w="2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24,287</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0" w:type="dxa"/>
            <w:vAlign w:val="bottom"/>
          </w:tcPr>
          <w:p>
            <w:pPr>
              <w:spacing w:after="0"/>
              <w:rPr>
                <w:sz w:val="1"/>
                <w:szCs w:val="1"/>
                <w:color w:val="auto"/>
              </w:rPr>
            </w:pPr>
          </w:p>
        </w:tc>
      </w:tr>
      <w:tr>
        <w:trPr>
          <w:trHeight w:val="20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$4,042 and $3,912 for the Nine months ended September 30, 2022 and 2021,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0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Receivables from one customer comprised approximately 43% of accounts receivable as of September 30 2022. Receivables from two customers comprised approximately 42% and 16%, respectively, of accounts receivable as of December 31, 2021.</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nine months ended September 30, 2022, one customer accounted for approximately 20% of the Company’s total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revenue concentrations for the nine months ended September 30, 2021.</w:t>
      </w:r>
    </w:p>
    <w:p>
      <w:pPr>
        <w:spacing w:after="0" w:line="16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Payables to one vendor comprised approximately 45% of accounts payable as of September 30, 2022. There are no significant payable concentrations as of December 31, 2021</w:t>
      </w:r>
    </w:p>
    <w:p>
      <w:pPr>
        <w:spacing w:after="0" w:line="135"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For the nine months ended September 30, 2022, one vendor accounted for approximately 24% of the Company’s total purchases. For the nine months ended September 30, 2021, two vendors accounted for approximately 20% and 12% of the Company’s total purchases.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w:t>
      </w:r>
    </w:p>
    <w:p>
      <w:pPr>
        <w:spacing w:after="0" w:line="22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$1,777 and $1,069 for the nine months ended September 30, 2022 and 2021,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6). The fair value method requires the Company to estimate the fair value of stock based payment awards to employees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The Company measures equity based compensation awards granted to non employees at fair value as the awards vest and recognizes the resulting value as compensation expense at each financial reporting period.</w:t>
      </w:r>
    </w:p>
    <w:p>
      <w:pPr>
        <w:spacing w:after="0" w:line="12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200" w:right="224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7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197"/>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Income available for distribution</w:t>
            </w:r>
          </w:p>
        </w:tc>
        <w:tc>
          <w:tcPr>
            <w:tcW w:w="9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(7,456)</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4,421</w:t>
            </w:r>
          </w:p>
        </w:tc>
      </w:tr>
      <w:tr>
        <w:trPr>
          <w:trHeight w:val="21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w:t>
            </w:r>
          </w:p>
        </w:tc>
        <w:tc>
          <w:tcPr>
            <w:tcW w:w="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9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0"/>
        </w:trPr>
        <w:tc>
          <w:tcPr>
            <w:tcW w:w="4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r>
      <w:tr>
        <w:trPr>
          <w:trHeight w:val="334"/>
        </w:trPr>
        <w:tc>
          <w:tcPr>
            <w:tcW w:w="4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7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3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197"/>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9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21,384,734</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20,063,211</w:t>
            </w:r>
          </w:p>
        </w:tc>
      </w:tr>
      <w:tr>
        <w:trPr>
          <w:trHeight w:val="25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Earnings per share, basic</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197"/>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9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3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21,384,734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20,063,211</w:t>
            </w:r>
          </w:p>
        </w:tc>
      </w:tr>
      <w:tr>
        <w:trPr>
          <w:trHeight w:val="21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9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1,862,894</w:t>
            </w: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21,384,734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21,926,105</w:t>
            </w: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Earnings per share, diluted</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4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per share net (loss) income per share because their effect was anti-dilutive:</w:t>
      </w:r>
    </w:p>
    <w:p>
      <w:pPr>
        <w:spacing w:after="0" w:line="20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7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Weighted average number of common shares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basic</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60" w:type="dxa"/>
            <w:vAlign w:val="bottom"/>
          </w:tcPr>
          <w:p>
            <w:pPr>
              <w:spacing w:after="0"/>
              <w:rPr>
                <w:sz w:val="18"/>
                <w:szCs w:val="18"/>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w:t>
      </w:r>
    </w:p>
    <w:p>
      <w:pPr>
        <w:spacing w:after="0" w:line="16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00"/>
          </w:cols>
          <w:pgMar w:left="980" w:top="513" w:right="12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COVID-19</w:t>
      </w:r>
    </w:p>
    <w:p>
      <w:pPr>
        <w:spacing w:after="0" w:line="22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While there was not a material impact to the Company's financial statements as of September 30, 2022 and December 31, 2021 and for the nine months ended September 30, 2022 and 2021, respectively, COVID-19 could result in material impacts to the Company's financial statements in future reporting periods.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On September 30, 2022 and December 31, 2021 inventory consists of the following:</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6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OPERATING LEASES</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0" w:type="dxa"/>
            <w:vAlign w:val="bottom"/>
            <w:vMerge w:val="continue"/>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The Company originally had leases related to the main office, warehouse space, research and development lab, engineering office, and sales office, all located in Reno, Nevada. The original leases required annual escalating monthly payments ranging from $4 to $11. In December of 2020, the Company entered a fourth amendment lease and effective April 30, 2021, the Company terminated its original main office, warehouse and sales office lease and moved these spaces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September 30, 2022, the lease has not commenced as the Company does not have control over the asset.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660" w:type="dxa"/>
            <w:vAlign w:val="bottom"/>
            <w:gridSpan w:val="4"/>
          </w:tcPr>
          <w:p>
            <w:pPr>
              <w:ind w:left="1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9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5"/>
                <w:szCs w:val="15"/>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420" w:type="dxa"/>
            <w:vAlign w:val="bottom"/>
            <w:shd w:val="clear" w:color="auto" w:fill="CCEEFF"/>
          </w:tcPr>
          <w:p>
            <w:pPr>
              <w:spacing w:after="0"/>
              <w:rPr>
                <w:sz w:val="18"/>
                <w:szCs w:val="18"/>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4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420" w:type="dxa"/>
            <w:vAlign w:val="bottom"/>
            <w:shd w:val="clear" w:color="auto" w:fill="CCEEFF"/>
          </w:tcPr>
          <w:p>
            <w:pPr>
              <w:spacing w:after="0"/>
              <w:rPr>
                <w:sz w:val="18"/>
                <w:szCs w:val="18"/>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42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-16510</wp:posOffset>
            </wp:positionV>
            <wp:extent cx="503174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4320" w:type="dxa"/>
            <w:vAlign w:val="bottom"/>
          </w:tcPr>
          <w:p>
            <w:pPr>
              <w:ind w:left="1000"/>
              <w:spacing w:after="0" w:line="198"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36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3.8 years</w:t>
            </w:r>
          </w:p>
        </w:tc>
        <w:tc>
          <w:tcPr>
            <w:tcW w:w="19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4.6 years</w:t>
            </w:r>
          </w:p>
        </w:tc>
      </w:tr>
      <w:tr>
        <w:trPr>
          <w:trHeight w:val="234"/>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5.2 %</w:t>
            </w:r>
          </w:p>
        </w:tc>
        <w:tc>
          <w:tcPr>
            <w:tcW w:w="1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5.2 %</w:t>
            </w:r>
          </w:p>
        </w:tc>
      </w:tr>
      <w:tr>
        <w:trPr>
          <w:trHeight w:val="864"/>
        </w:trPr>
        <w:tc>
          <w:tcPr>
            <w:tcW w:w="4320" w:type="dxa"/>
            <w:vAlign w:val="bottom"/>
          </w:tcPr>
          <w:p>
            <w:pPr>
              <w:spacing w:after="0"/>
              <w:rPr>
                <w:sz w:val="24"/>
                <w:szCs w:val="24"/>
                <w:color w:val="auto"/>
              </w:rPr>
            </w:pPr>
          </w:p>
        </w:tc>
        <w:tc>
          <w:tcPr>
            <w:tcW w:w="3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F-82</w:t>
            </w:r>
          </w:p>
        </w:tc>
        <w:tc>
          <w:tcPr>
            <w:tcW w:w="1980" w:type="dxa"/>
            <w:vAlign w:val="bottom"/>
          </w:tcPr>
          <w:p>
            <w:pPr>
              <w:spacing w:after="0"/>
              <w:rPr>
                <w:sz w:val="24"/>
                <w:szCs w:val="24"/>
                <w:color w:val="auto"/>
              </w:rPr>
            </w:pPr>
          </w:p>
        </w:tc>
      </w:tr>
      <w:tr>
        <w:trPr>
          <w:trHeight w:val="547"/>
        </w:trPr>
        <w:tc>
          <w:tcPr>
            <w:tcW w:w="43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2022, the future minimum lease payments under these operating leases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2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9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9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980" w:type="dxa"/>
            <w:vAlign w:val="bottom"/>
          </w:tcPr>
          <w:p>
            <w:pPr>
              <w:spacing w:after="0"/>
              <w:rPr>
                <w:sz w:val="18"/>
                <w:szCs w:val="18"/>
                <w:color w:val="auto"/>
              </w:rPr>
            </w:pPr>
          </w:p>
        </w:tc>
      </w:tr>
      <w:tr>
        <w:trPr>
          <w:trHeight w:val="209"/>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60" w:type="dxa"/>
            <w:vAlign w:val="bottom"/>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F-83</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20" w:right="242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a prepaid loan monitoring fee of $60 and $1,553 in debt issuance costs.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is making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 (the “Maturity Date”).</w:t>
      </w:r>
    </w:p>
    <w:p>
      <w:pPr>
        <w:spacing w:after="0" w:line="18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a total of $1,873 of interest expense was incurred under the debt. Amortization of the debt issuance costs amounted to $1,783 during the nine months ended September 30, 2022. The net balance of $40,712 at September 30, 2022 consists of $45,000 in principal less $4,288 in unamortized debt discount. In connection with the Business Combination on October 7, 2022, the outstanding principal balance of the loan was paid in full.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Accounts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Initial deposits into the reserve accounts consisted of the following items: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Reserve Fund</w:t>
            </w:r>
          </w:p>
        </w:tc>
        <w:tc>
          <w:tcPr>
            <w:tcW w:w="1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Interest Fund</w:t>
            </w:r>
          </w:p>
        </w:tc>
        <w:tc>
          <w:tcPr>
            <w:tcW w:w="1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 The balance at September 30, 2022 remained at $3,044.</w:t>
      </w:r>
    </w:p>
    <w:p>
      <w:pPr>
        <w:spacing w:after="0" w:line="18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 therefore the balance as of September 30, 2022 was $0.</w:t>
      </w:r>
    </w:p>
    <w:p>
      <w:pPr>
        <w:sectPr>
          <w:pgSz w:w="11900" w:h="16838" w:orient="portrait"/>
          <w:cols w:equalWidth="0" w:num="1">
            <w:col w:w="9880"/>
          </w:cols>
          <w:pgMar w:left="980" w:top="513" w:right="103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at September 30, 2022 or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certain financial covenants which include maintaining minimum adjusted EBITDA, Capital Expenditures and Minimum Fixed Charge Coverage Ratio requirements.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in compliance with all financial covenants as of September 30, 2022 and December 31,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 Term Debt Maturities</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 September 30, 2022, the future debt maturities are as follows: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Years Ended December 31,</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2022 (3 months)</w:t>
            </w:r>
          </w:p>
        </w:tc>
        <w:tc>
          <w:tcPr>
            <w:tcW w:w="17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 noncurrent</w:t>
            </w:r>
          </w:p>
        </w:tc>
        <w:tc>
          <w:tcPr>
            <w:tcW w:w="1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debt, net of debt discount</w:t>
            </w:r>
          </w:p>
        </w:tc>
        <w:tc>
          <w:tcPr>
            <w:tcW w:w="1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(16,529)</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Total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1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2021-6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 which approximated fair market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COMMON STOCK</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September 30, 2022 and December 31, 2021, no dividends on common stock had been declared by the Company.</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July 12, 2022, Dragonfly entered into a Stock Purchase Agreement with THOR Industries, whereby THOR purchased 1,267,502 shares of Dragonfly common stock for $11.8343 per share 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 had reserved shares of common stock for issuance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4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10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10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r>
      <w:tr>
        <w:trPr>
          <w:trHeight w:val="216"/>
        </w:trPr>
        <w:tc>
          <w:tcPr>
            <w:tcW w:w="10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22,634,276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r>
      <w:tr>
        <w:trPr>
          <w:trHeight w:val="216"/>
        </w:trPr>
        <w:tc>
          <w:tcPr>
            <w:tcW w:w="1000" w:type="dxa"/>
            <w:vAlign w:val="bottom"/>
          </w:tcPr>
          <w:p>
            <w:pPr>
              <w:spacing w:after="0"/>
              <w:rPr>
                <w:sz w:val="18"/>
                <w:szCs w:val="18"/>
                <w:color w:val="auto"/>
              </w:rPr>
            </w:pPr>
          </w:p>
        </w:tc>
        <w:tc>
          <w:tcPr>
            <w:tcW w:w="592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Shares available for future issuance </w:t>
            </w:r>
            <w:r>
              <w:rPr>
                <w:rFonts w:ascii="Times New Roman" w:cs="Times New Roman" w:eastAsia="Times New Roman" w:hAnsi="Times New Roman"/>
                <w:sz w:val="25"/>
                <w:szCs w:val="25"/>
                <w:color w:val="auto"/>
                <w:vertAlign w:val="superscript"/>
              </w:rPr>
              <w:t>(1)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540,902</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r>
      <w:tr>
        <w:trPr>
          <w:trHeight w:val="209"/>
        </w:trPr>
        <w:tc>
          <w:tcPr>
            <w:tcW w:w="100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36,275,702</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34,008,200</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During March 2022, the Company increased the shares authorized under the plan by 1,000,000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vMerge w:val="restart"/>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20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(299,939)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(49,727)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3,213,952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7,616,691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6,549,591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(40,075)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(491,299)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5,220,204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2022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864,984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2,201,553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3,018,651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40" w:firstLine="324"/>
        <w:spacing w:after="0" w:line="261" w:lineRule="auto"/>
        <w:rPr>
          <w:sz w:val="20"/>
          <w:szCs w:val="20"/>
          <w:color w:val="auto"/>
        </w:rPr>
      </w:pPr>
      <w:r>
        <w:rPr>
          <w:rFonts w:ascii="Times New Roman" w:cs="Times New Roman" w:eastAsia="Times New Roman" w:hAnsi="Times New Roman"/>
          <w:sz w:val="18"/>
          <w:szCs w:val="18"/>
          <w:color w:val="auto"/>
        </w:rPr>
        <w:t>Share-based compensation expense for options totaling $1,155 and $428 was recognized in our statements of income for the nine months ended September 30, 2022 and 2021, respectively. Of the $1,155 of share-based compensation incurred during the</w:t>
      </w:r>
    </w:p>
    <w:p>
      <w:pPr>
        <w:ind w:right="200"/>
        <w:spacing w:after="0" w:line="260" w:lineRule="auto"/>
        <w:rPr>
          <w:sz w:val="20"/>
          <w:szCs w:val="20"/>
          <w:color w:val="auto"/>
        </w:rPr>
      </w:pPr>
      <w:r>
        <w:rPr>
          <w:rFonts w:ascii="Times New Roman" w:cs="Times New Roman" w:eastAsia="Times New Roman" w:hAnsi="Times New Roman"/>
          <w:sz w:val="18"/>
          <w:szCs w:val="18"/>
          <w:color w:val="auto"/>
        </w:rPr>
        <w:t>nine months ended September 30, 2022, $189 is allocated to cost of goods sold, $307 to research and development, $326 to selling and marketing, and $333 to general and administrative expenses. Of the $428 of share-based compensation incurred during the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60" w:right="238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nine months ended September 30, 2021, $145 is allocated to cost of goods sold, $55 to research and development, $89 to selling and marketing, and $139 to general and administrative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2022, there were 540,902 shares of unissued authorized and available for future awards under the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November 14, 2022, the date that the condensed financial statements were available to be issued. Based upon this review, other than noted below, the Company did not identify any subsequent events that would have required adjustment to or disclosure in the condensed financial statements.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7, 2022, the Company's stockholders approved the Business Combination, by and among the company formerly known as CNTQ, Dragonfly Energy Corp., and Bronco Merger Sub, Inc., pursuant to which Bronco Merger Sub, Inc. was merged with and into Dragonfly, with Dragonfly surviving the merger.</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Merger, and upon consummation of the Merger and other transactions contemplated by the Business Combination Agreement, Dragonfly became a wholly owned subsidiary of CNTQ. Upon the closing of the Business Combination the Company changed it's name to Dragonfly Energy Holdings Corp. ("New Dragonfly"), with stockholders of Dragonfly becoming stockholders of New Dragonfly.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transactions at closing of the Merger included:</w:t>
      </w:r>
    </w:p>
    <w:p>
      <w:pPr>
        <w:spacing w:after="0" w:line="225" w:lineRule="exact"/>
        <w:rPr>
          <w:sz w:val="20"/>
          <w:szCs w:val="20"/>
          <w:color w:val="auto"/>
        </w:rPr>
      </w:pPr>
    </w:p>
    <w:p>
      <w:pPr>
        <w:ind w:left="680" w:hanging="321"/>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Dragonfly, with Dragonfly surviving as a wholly owned subsidiary of New Dragonfly;</w:t>
      </w:r>
    </w:p>
    <w:p>
      <w:pPr>
        <w:spacing w:after="0" w:line="225"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capital stock of Dragonfly converted into a number of shares of New Dragonfly Common Stock equal to the product of (x) the conversion ratio applicable to such share, under Dragonfly's certificate of incorporation multiplied by (y) 1.182, which is the quotient obtained by dividing (a) 41,500 by (b) the number of Fully-Diluted Shares as defined in the Business Combination Agreement;</w:t>
      </w:r>
    </w:p>
    <w:p>
      <w:pPr>
        <w:spacing w:after="0" w:line="179"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Dragonfly Option converted into an option to purchase a number of shares of New Dragonfly Common Stock in Accordance with the terms and subject to the conditions of the Business Combination Agreement;</w:t>
      </w:r>
    </w:p>
    <w:p>
      <w:pPr>
        <w:spacing w:after="0" w:line="161"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Dragonfly Warrant, to the extent outstanding and unexercised, converted into a warrant to acquire shares of New Dragonfly Common Stock in accordance with the terms and subject to the conditions of the Business Combination Agreement, and</w:t>
      </w:r>
    </w:p>
    <w:p>
      <w:pPr>
        <w:spacing w:after="0" w:line="17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CNTQ Class A Common Stock that was issued and outstanding immediately prior to the Merger became one share of New Dragonfly Common Stock.</w:t>
      </w:r>
    </w:p>
    <w:p>
      <w:pPr>
        <w:spacing w:after="0" w:line="162"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term loan agreement issued in the PIPE financing (as described in note 1 of the financial statements), the Company entered into (i) 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 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October 7, 2022, the Company entered into a purchase agreement and registration rights agreement with CCM LLC.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a "qualified independent underwriter" with respect to the transactions contemplated by the Purchase agreement.</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 Operating Officer, would be leaving the Company. Mr. Nichols and the Company have entered into a separation and release agreement (the “Separation Agreement”) on November 2, 2022. Pursuant to the Separation Agreement, 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non-competition and non-solicitation covenants for 12 months following his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fees</w:t>
            </w:r>
          </w:p>
        </w:tc>
        <w:tc>
          <w:tcPr>
            <w:tcW w:w="3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$51,843.74</w:t>
            </w:r>
          </w:p>
        </w:tc>
      </w:tr>
      <w:tr>
        <w:trPr>
          <w:trHeight w:val="216"/>
        </w:trPr>
        <w:tc>
          <w:tcPr>
            <w:tcW w:w="6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6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3200" w:type="dxa"/>
            <w:vAlign w:val="bottom"/>
          </w:tcPr>
          <w:p>
            <w:pPr>
              <w:spacing w:after="0"/>
              <w:rPr>
                <w:sz w:val="9"/>
                <w:szCs w:val="9"/>
                <w:color w:val="auto"/>
              </w:rPr>
            </w:pPr>
          </w:p>
        </w:tc>
      </w:tr>
    </w:tbl>
    <w:p>
      <w:pPr>
        <w:spacing w:after="0" w:line="76"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w:t>
      </w:r>
    </w:p>
    <w:p>
      <w:pPr>
        <w:spacing w:after="0" w:line="176"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Amended and Restated Charter provides for indemnification of our directors, officers, employees and other agents to the maximum extent permitted by the Delaware General Corporation Law, and the Bylaws provide for indemnification of our directors, officers, employees and other agents to the maximum extent permitted by the Delaware General Corporation Law.</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entered or will enter into indemnification agreements with our directors, officers, and some employees containing provisions which are in some respects broader than the specific indemnification provisions contained in the Delaware General Corporation Law. The indemnification agreements will require us, among other things, to indemnify our directors against certain liabilities that may arise by reason of their status or service as directors and to advance their expenses incurred as a result of any proceeding against them as to which they could be indemnified.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August 13, 2021, simultaneously with the closing of the CNTQ IPO, CNTQ completed the private sale of an aggregate of 4,361,456 Private Warrants to Warrant Holdings at a purchase price of approximately $0.93 per Private Warrant, generating gross proceeds to CNTQ of $4,052,000. The Private Warrants are identical to the warrants sold in the IPO except that the Private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Transactions, and (iii) may be exercised by the holders on a cashless basis. No underwriting discounts or commissions were paid with respect to such sale. The issuance of the Private Warrants was made pursuant to the exemption from registration contained in Section 4(a)(2) of the Securities Act of 1933, as amended.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firstLine="324"/>
        <w:spacing w:after="0" w:line="312" w:lineRule="auto"/>
        <w:rPr>
          <w:sz w:val="20"/>
          <w:szCs w:val="20"/>
          <w:color w:val="auto"/>
        </w:rPr>
      </w:pPr>
      <w:r>
        <w:rPr>
          <w:rFonts w:ascii="Times New Roman" w:cs="Times New Roman" w:eastAsia="Times New Roman" w:hAnsi="Times New Roman"/>
          <w:sz w:val="17"/>
          <w:szCs w:val="17"/>
          <w:color w:val="auto"/>
        </w:rPr>
        <w:t>At the Closing, the Company issued an additional 15,000 shares to CCM pursuant to the terms of the Subscription Agreement. See “</w:t>
      </w:r>
      <w:r>
        <w:rPr>
          <w:rFonts w:ascii="Times New Roman" w:cs="Times New Roman" w:eastAsia="Times New Roman" w:hAnsi="Times New Roman"/>
          <w:sz w:val="17"/>
          <w:szCs w:val="17"/>
          <w:i w:val="1"/>
          <w:iCs w:val="1"/>
          <w:color w:val="auto"/>
        </w:rPr>
        <w:t>Unaudited Pro Forma Condensed Combined Financial Information — Description of the Business Combination — PIPE Investment</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At Closing, in connection with the entry into the Term Loan Agreement, the Company entered into (i) the Penny Warrants and (ii) the $10 Warrants. See “</w:t>
      </w:r>
      <w:r>
        <w:rPr>
          <w:rFonts w:ascii="Times New Roman" w:cs="Times New Roman" w:eastAsia="Times New Roman" w:hAnsi="Times New Roman"/>
          <w:sz w:val="18"/>
          <w:szCs w:val="18"/>
          <w:i w:val="1"/>
          <w:iCs w:val="1"/>
          <w:color w:val="auto"/>
        </w:rPr>
        <w:t>Certain Relationships and Related Person Transactions — Debt Financing — Warrant Agreements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20" w:type="dxa"/>
            <w:vAlign w:val="bottom"/>
            <w:gridSpan w:val="3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3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5"/>
                <w:szCs w:val="15"/>
                <w:color w:val="auto"/>
              </w:rPr>
            </w:pPr>
          </w:p>
        </w:tc>
        <w:tc>
          <w:tcPr>
            <w:tcW w:w="5900" w:type="dxa"/>
            <w:vAlign w:val="bottom"/>
            <w:tcBorders>
              <w:bottom w:val="single" w:sz="8" w:color="0000EE"/>
            </w:tcBorders>
            <w:gridSpan w:val="37"/>
          </w:tcPr>
          <w:p>
            <w:pPr>
              <w:spacing w:after="0" w:line="182"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Agreement and Plan of Merger, dated as of May 15, 2022, by and among Chardan</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NexTech Acquisition 2 Corp., Bronco Merger Sub, Inc. and Dragonfly Energy</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245">
              <w:r>
                <w:rPr>
                  <w:rFonts w:ascii="Times New Roman" w:cs="Times New Roman" w:eastAsia="Times New Roman" w:hAnsi="Times New Roman"/>
                  <w:sz w:val="18"/>
                  <w:szCs w:val="18"/>
                  <w:color w:val="0000EE"/>
                  <w:w w:val="93"/>
                </w:rPr>
                <w:t>Corp.</w:t>
              </w:r>
            </w:hyperlink>
          </w:p>
        </w:tc>
        <w:tc>
          <w:tcPr>
            <w:tcW w:w="5600" w:type="dxa"/>
            <w:vAlign w:val="bottom"/>
            <w:gridSpan w:val="3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2.1(a)</w:t>
            </w:r>
          </w:p>
        </w:tc>
        <w:tc>
          <w:tcPr>
            <w:tcW w:w="160" w:type="dxa"/>
            <w:vAlign w:val="bottom"/>
          </w:tcPr>
          <w:p>
            <w:pPr>
              <w:spacing w:after="0"/>
              <w:rPr>
                <w:sz w:val="17"/>
                <w:szCs w:val="17"/>
                <w:color w:val="auto"/>
              </w:rPr>
            </w:pPr>
          </w:p>
        </w:tc>
        <w:tc>
          <w:tcPr>
            <w:tcW w:w="58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Amendment to Agreement and Plan of Merger, dated as of July 12, 2022, by and</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among Chardan NexTech Acquisition 2 Corp., Bronco Merger Sub, Inc. and</w:t>
              </w:r>
            </w:hyperlink>
          </w:p>
        </w:tc>
        <w:tc>
          <w:tcPr>
            <w:tcW w:w="5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246">
              <w:r>
                <w:rPr>
                  <w:rFonts w:ascii="Times New Roman" w:cs="Times New Roman" w:eastAsia="Times New Roman" w:hAnsi="Times New Roman"/>
                  <w:sz w:val="18"/>
                  <w:szCs w:val="18"/>
                  <w:color w:val="0000EE"/>
                  <w:w w:val="97"/>
                </w:rPr>
                <w:t>Dragonfly Energy Corp.</w:t>
              </w:r>
            </w:hyperlink>
          </w:p>
        </w:tc>
        <w:tc>
          <w:tcPr>
            <w:tcW w:w="426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Amended and Restated Certificate of Incorporation.</w:t>
              </w:r>
            </w:hyperlink>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37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Amended and Restated Bylaws.</w:t>
              </w:r>
            </w:hyperlink>
          </w:p>
        </w:tc>
        <w:tc>
          <w:tcPr>
            <w:tcW w:w="22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Specimen Common Share Certificate of the Company.</w:t>
              </w:r>
            </w:hyperlink>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39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 xml:space="preserve">Form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Warrant of the Company.</w:t>
              </w:r>
            </w:hyperlink>
          </w:p>
        </w:tc>
        <w:tc>
          <w:tcPr>
            <w:tcW w:w="21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Form of Penny Warrant of the Company.</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7"/>
                <w:szCs w:val="17"/>
                <w:color w:val="auto"/>
              </w:rPr>
            </w:pPr>
          </w:p>
        </w:tc>
        <w:tc>
          <w:tcPr>
            <w:tcW w:w="56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Warrant Agreement, dated as of October 19, 2022, between Dragonfly Energy</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Holdings Corp. and American Stock Transfer &amp; Trust Company, LLC.</w:t>
              </w:r>
            </w:hyperlink>
          </w:p>
        </w:tc>
        <w:tc>
          <w:tcPr>
            <w:tcW w:w="9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253">
              <w:r>
                <w:rPr>
                  <w:rFonts w:ascii="Times New Roman" w:cs="Times New Roman" w:eastAsia="Times New Roman" w:hAnsi="Times New Roman"/>
                  <w:sz w:val="18"/>
                  <w:szCs w:val="18"/>
                  <w:color w:val="0000EE"/>
                  <w:w w:val="98"/>
                </w:rPr>
                <w:t>Specimen Warrant Certificate of the Company.</w:t>
              </w:r>
            </w:hyperlink>
          </w:p>
        </w:tc>
        <w:tc>
          <w:tcPr>
            <w:tcW w:w="26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Opinion of O’Melveny &amp; Myers LLP.</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57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Sponsor Support Agreement, dated as of May 15, 2022, by and among Chardan</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NexTech Investments 2 LLC, Dragonfly Energy Corp. and Chardan NexTech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Investments 2 LLC (included as Annex E to the proxy statement/prospectus).</w:t>
              </w:r>
            </w:hyperlink>
          </w:p>
        </w:tc>
        <w:tc>
          <w:tcPr>
            <w:tcW w:w="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134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57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Commitment Letter, dated as of May 15, 2022, by and among Chardan NexTech</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Acquisition 2 Corp., Dragonfly Energy Corp., CCM Investments 5 LLC and EICF</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Agent LLC (included as Annex J to the proxy statement/prospectus).</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134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Equity Facility Letter Agreement, dated as of May 15, 2022, by and among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Dragonfly Energy Corp., Chardan NexTech Acquisition 2 Corp. and CCM</w:t>
              </w:r>
            </w:hyperlink>
          </w:p>
        </w:tc>
        <w:tc>
          <w:tcPr>
            <w:tcW w:w="40" w:type="dxa"/>
            <w:vAlign w:val="bottom"/>
            <w:tcBorders>
              <w:top w:val="single" w:sz="8" w:color="0000EE"/>
            </w:tcBorders>
            <w:gridSpan w:val="2"/>
          </w:tcPr>
          <w:p>
            <w:pPr>
              <w:spacing w:after="0"/>
              <w:rPr>
                <w:sz w:val="17"/>
                <w:szCs w:val="17"/>
                <w:color w:val="auto"/>
              </w:rPr>
            </w:pPr>
          </w:p>
        </w:tc>
        <w:tc>
          <w:tcPr>
            <w:tcW w:w="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Investments 5 LLC (included as Annex K to the proxy statement/prospectus).</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7"/>
                <w:szCs w:val="17"/>
                <w:color w:val="auto"/>
              </w:rPr>
            </w:pPr>
          </w:p>
        </w:tc>
        <w:tc>
          <w:tcPr>
            <w:tcW w:w="57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Subscription Agreement, dated as of May 15, 2022, between Chardan NexTech</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Acquisition 2 Corp. and Chardan NexTech Investments 2 LLC (included as Annex</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40" w:type="dxa"/>
            <w:vAlign w:val="bottom"/>
            <w:tcBorders>
              <w:top w:val="single" w:sz="8" w:color="0000EE"/>
            </w:tcBorders>
            <w:gridSpan w:val="39"/>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F to the proxy statement/prospectus).</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Dragonfly Energy Holdings Corp.’s 2022 Equity Incentive Plan.</w:t>
              </w:r>
            </w:hyperlink>
          </w:p>
        </w:tc>
        <w:tc>
          <w:tcPr>
            <w:tcW w:w="13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7"/>
                <w:szCs w:val="17"/>
                <w:color w:val="auto"/>
              </w:rPr>
            </w:pPr>
          </w:p>
        </w:tc>
        <w:tc>
          <w:tcPr>
            <w:tcW w:w="4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Dragonfly Energy Holdings Corp.’s Employee Stock Purchase Plan.</w:t>
              </w:r>
            </w:hyperlink>
          </w:p>
        </w:tc>
        <w:tc>
          <w:tcPr>
            <w:tcW w:w="10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Form of Director Indemnification Agreement.</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980" w:type="dxa"/>
            <w:vAlign w:val="bottom"/>
            <w:tcBorders>
              <w:left w:val="single" w:sz="8" w:color="0000EE"/>
            </w:tcBorders>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Multi-tenant Industrial Triple Net Lease, dated as of March 1, 2021, between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98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Dragonfly Energy Corp. and Icon Reno Property Owner Pool 3 Nevada, LLC.</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Lease, dated as of February 8, 2022, between Dragonfly Energy Corp.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r:id="rId263">
              <w:r>
                <w:rPr>
                  <w:rFonts w:ascii="Times New Roman" w:cs="Times New Roman" w:eastAsia="Times New Roman" w:hAnsi="Times New Roman"/>
                  <w:sz w:val="18"/>
                  <w:szCs w:val="18"/>
                  <w:color w:val="0000EE"/>
                  <w:w w:val="94"/>
                </w:rPr>
                <w:t>Prologis, L.P.</w:t>
              </w:r>
            </w:hyperlink>
          </w:p>
        </w:tc>
        <w:tc>
          <w:tcPr>
            <w:tcW w:w="4380" w:type="dxa"/>
            <w:vAlign w:val="bottom"/>
            <w:tcBorders>
              <w:top w:val="single" w:sz="8" w:color="0000EE"/>
            </w:tcBorders>
            <w:gridSpan w:val="17"/>
          </w:tcPr>
          <w:p>
            <w:pPr>
              <w:spacing w:after="0"/>
              <w:rPr>
                <w:sz w:val="17"/>
                <w:szCs w:val="17"/>
                <w:color w:val="auto"/>
              </w:rPr>
            </w:pPr>
          </w:p>
        </w:tc>
        <w:tc>
          <w:tcPr>
            <w:tcW w:w="6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Purchase Agreement, dated as of October 7, 2022, between the Company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264">
              <w:r>
                <w:rPr>
                  <w:rFonts w:ascii="Times New Roman" w:cs="Times New Roman" w:eastAsia="Times New Roman" w:hAnsi="Times New Roman"/>
                  <w:sz w:val="18"/>
                  <w:szCs w:val="18"/>
                  <w:color w:val="0000EE"/>
                  <w:w w:val="94"/>
                </w:rPr>
                <w:t>CCM.</w:t>
              </w:r>
            </w:hyperlink>
          </w:p>
        </w:tc>
        <w:tc>
          <w:tcPr>
            <w:tcW w:w="5120" w:type="dxa"/>
            <w:vAlign w:val="bottom"/>
            <w:tcBorders>
              <w:top w:val="single" w:sz="8" w:color="0000EE"/>
            </w:tcBorders>
            <w:gridSpan w:val="24"/>
          </w:tcPr>
          <w:p>
            <w:pPr>
              <w:spacing w:after="0"/>
              <w:rPr>
                <w:sz w:val="17"/>
                <w:szCs w:val="17"/>
                <w:color w:val="auto"/>
              </w:rPr>
            </w:pPr>
          </w:p>
        </w:tc>
        <w:tc>
          <w:tcPr>
            <w:tcW w:w="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7"/>
                <w:szCs w:val="17"/>
                <w:color w:val="auto"/>
              </w:rPr>
            </w:pPr>
          </w:p>
        </w:tc>
        <w:tc>
          <w:tcPr>
            <w:tcW w:w="52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Registration Rights Agreement, dated as of October 7, 2022, between the</w:t>
              </w:r>
            </w:hyperlink>
          </w:p>
        </w:tc>
        <w:tc>
          <w:tcPr>
            <w:tcW w:w="7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Company and CCM.</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17"/>
                <w:szCs w:val="17"/>
                <w:color w:val="auto"/>
              </w:rPr>
            </w:pPr>
          </w:p>
        </w:tc>
        <w:tc>
          <w:tcPr>
            <w:tcW w:w="586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Term Loan Agreement, dated as of October 7, 2022, by and among the Company,</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Dragonfly Energy Corp., the lenders from time to time party thereto and Alter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66">
              <w:r>
                <w:rPr>
                  <w:rFonts w:ascii="Times New Roman" w:cs="Times New Roman" w:eastAsia="Times New Roman" w:hAnsi="Times New Roman"/>
                  <w:sz w:val="18"/>
                  <w:szCs w:val="18"/>
                  <w:color w:val="0000EE"/>
                  <w:w w:val="98"/>
                </w:rPr>
                <w:t>Domus (US) LLC.</w:t>
              </w:r>
            </w:hyperlink>
          </w:p>
        </w:tc>
        <w:tc>
          <w:tcPr>
            <w:tcW w:w="4260" w:type="dxa"/>
            <w:vAlign w:val="bottom"/>
            <w:tcBorders>
              <w:top w:val="single" w:sz="8" w:color="0000EE"/>
            </w:tcBorders>
            <w:gridSpan w:val="24"/>
          </w:tcPr>
          <w:p>
            <w:pPr>
              <w:spacing w:after="0"/>
              <w:rPr>
                <w:sz w:val="17"/>
                <w:szCs w:val="17"/>
                <w:color w:val="auto"/>
              </w:rPr>
            </w:pPr>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Pledge Agreement, dated as of October 7, 2022, by and among the Company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Alter Domus (US) LLC.</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7"/>
                <w:szCs w:val="17"/>
                <w:color w:val="auto"/>
              </w:rPr>
            </w:pPr>
          </w:p>
        </w:tc>
        <w:tc>
          <w:tcPr>
            <w:tcW w:w="56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68">
              <w:r>
                <w:rPr>
                  <w:rFonts w:ascii="Times New Roman" w:cs="Times New Roman" w:eastAsia="Times New Roman" w:hAnsi="Times New Roman"/>
                  <w:sz w:val="18"/>
                  <w:szCs w:val="18"/>
                  <w:color w:val="0000EE"/>
                  <w:w w:val="99"/>
                </w:rPr>
                <w:t>Employment Agreement, dated as of January 1, 2022, by and between Legacy</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Dragonfly and Denis Phares.</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6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7"/>
                <w:szCs w:val="17"/>
                <w:color w:val="auto"/>
              </w:rPr>
            </w:pPr>
          </w:p>
        </w:tc>
        <w:tc>
          <w:tcPr>
            <w:tcW w:w="5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Amendment to Employment Agreement, dated as of May 15, 2022, by and</w:t>
              </w:r>
            </w:hyperlink>
          </w:p>
        </w:tc>
        <w:tc>
          <w:tcPr>
            <w:tcW w:w="6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gridSpan w:val="40"/>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between Legacy Dragonfly and Denis Phares.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8002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8"/>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14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43"/>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2.1(a)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30"/>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34"/>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10/21/2022</w:t>
            </w:r>
          </w:p>
        </w:tc>
      </w:tr>
      <w:tr>
        <w:trPr>
          <w:trHeight w:val="414"/>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08/05/2021</w:t>
            </w:r>
          </w:p>
        </w:tc>
      </w:tr>
      <w:tr>
        <w:trPr>
          <w:trHeight w:val="216"/>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10/21/2022</w:t>
            </w:r>
          </w:p>
        </w:tc>
      </w:tr>
      <w:tr>
        <w:trPr>
          <w:trHeight w:val="234"/>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48"/>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48"/>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48"/>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30"/>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S-4/A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09/14/2022</w:t>
            </w:r>
          </w:p>
        </w:tc>
      </w:tr>
      <w:tr>
        <w:trPr>
          <w:trHeight w:val="234"/>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432"/>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432"/>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648"/>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10/7/2022</w:t>
            </w:r>
          </w:p>
        </w:tc>
      </w:tr>
    </w:tbl>
    <w:p>
      <w:pPr>
        <w:sectPr>
          <w:pgSz w:w="11900" w:h="16838" w:orient="portrait"/>
          <w:cols w:equalWidth="0" w:num="2">
            <w:col w:w="6940" w:space="140"/>
            <w:col w:w="284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60" w:type="dxa"/>
            <w:vAlign w:val="bottom"/>
            <w:gridSpan w:val="1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60" w:type="dxa"/>
            <w:vAlign w:val="bottom"/>
            <w:gridSpan w:val="17"/>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620" w:type="dxa"/>
            <w:vAlign w:val="bottom"/>
            <w:tcBorders>
              <w:top w:val="single" w:sz="8" w:color="auto"/>
              <w:bottom w:val="single" w:sz="8" w:color="0000EE"/>
            </w:tcBorders>
            <w:gridSpan w:val="21"/>
          </w:tcPr>
          <w:p>
            <w:pPr>
              <w:spacing w:after="0" w:line="182" w:lineRule="exact"/>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Employment Agreement, dated as of January 1, 2022, by and between Legacy</w:t>
              </w:r>
            </w:hyperlink>
          </w:p>
        </w:tc>
        <w:tc>
          <w:tcPr>
            <w:tcW w:w="380" w:type="dxa"/>
            <w:vAlign w:val="bottom"/>
            <w:tcBorders>
              <w:top w:val="single" w:sz="8" w:color="auto"/>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40" w:type="dxa"/>
            <w:vAlign w:val="bottom"/>
          </w:tcPr>
          <w:p>
            <w:pPr>
              <w:spacing w:after="0"/>
              <w:rPr>
                <w:sz w:val="15"/>
                <w:szCs w:val="15"/>
                <w:color w:val="auto"/>
              </w:rPr>
            </w:pPr>
          </w:p>
        </w:tc>
        <w:tc>
          <w:tcPr>
            <w:tcW w:w="780" w:type="dxa"/>
            <w:vAlign w:val="bottom"/>
            <w:tcBorders>
              <w:top w:val="single" w:sz="8" w:color="auto"/>
            </w:tcBorders>
          </w:tcPr>
          <w:p>
            <w:pPr>
              <w:jc w:val="center"/>
              <w:ind w:right="11"/>
              <w:spacing w:after="0" w:line="182" w:lineRule="exact"/>
              <w:rPr>
                <w:sz w:val="20"/>
                <w:szCs w:val="20"/>
                <w:color w:val="auto"/>
              </w:rPr>
            </w:pPr>
            <w:r>
              <w:rPr>
                <w:rFonts w:ascii="Times New Roman" w:cs="Times New Roman" w:eastAsia="Times New Roman" w:hAnsi="Times New Roman"/>
                <w:sz w:val="18"/>
                <w:szCs w:val="18"/>
                <w:color w:val="auto"/>
                <w:w w:val="98"/>
              </w:rPr>
              <w:t>10.16</w:t>
            </w:r>
          </w:p>
        </w:tc>
        <w:tc>
          <w:tcPr>
            <w:tcW w:w="140" w:type="dxa"/>
            <w:vAlign w:val="bottom"/>
          </w:tcPr>
          <w:p>
            <w:pPr>
              <w:spacing w:after="0"/>
              <w:rPr>
                <w:sz w:val="15"/>
                <w:szCs w:val="15"/>
                <w:color w:val="auto"/>
              </w:rPr>
            </w:pPr>
          </w:p>
        </w:tc>
        <w:tc>
          <w:tcPr>
            <w:tcW w:w="9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Dragonfly and Sean Nichols.</w:t>
              </w:r>
            </w:hyperlink>
          </w:p>
        </w:tc>
        <w:tc>
          <w:tcPr>
            <w:tcW w:w="4060" w:type="dxa"/>
            <w:vAlign w:val="bottom"/>
            <w:gridSpan w:val="19"/>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7"/>
                <w:szCs w:val="17"/>
                <w:color w:val="auto"/>
              </w:rPr>
            </w:pPr>
          </w:p>
        </w:tc>
        <w:tc>
          <w:tcPr>
            <w:tcW w:w="54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Amendment to Employment Agreement, dated as of May 15, 2022, by and</w:t>
              </w:r>
            </w:hyperlink>
          </w:p>
        </w:tc>
        <w:tc>
          <w:tcPr>
            <w:tcW w:w="760" w:type="dxa"/>
            <w:vAlign w:val="bottom"/>
            <w:gridSpan w:val="7"/>
          </w:tcPr>
          <w:p>
            <w:pPr>
              <w:spacing w:after="0"/>
              <w:rPr>
                <w:sz w:val="17"/>
                <w:szCs w:val="17"/>
                <w:color w:val="auto"/>
              </w:rPr>
            </w:pPr>
          </w:p>
        </w:tc>
        <w:tc>
          <w:tcPr>
            <w:tcW w:w="10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between Legacy Dragonfly and Sean Nichols.</w:t>
              </w:r>
            </w:hyperlink>
          </w:p>
        </w:tc>
        <w:tc>
          <w:tcPr>
            <w:tcW w:w="284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7"/>
                <w:szCs w:val="17"/>
                <w:color w:val="auto"/>
              </w:rPr>
            </w:pPr>
          </w:p>
        </w:tc>
        <w:tc>
          <w:tcPr>
            <w:tcW w:w="57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Employment Agreement, dated as of August 17, 2021, by and between Legacy</w:t>
              </w:r>
            </w:hyperlink>
          </w:p>
        </w:tc>
        <w:tc>
          <w:tcPr>
            <w:tcW w:w="460" w:type="dxa"/>
            <w:vAlign w:val="bottom"/>
            <w:gridSpan w:val="4"/>
          </w:tcPr>
          <w:p>
            <w:pPr>
              <w:spacing w:after="0"/>
              <w:rPr>
                <w:sz w:val="17"/>
                <w:szCs w:val="17"/>
                <w:color w:val="auto"/>
              </w:rPr>
            </w:pPr>
          </w:p>
        </w:tc>
        <w:tc>
          <w:tcPr>
            <w:tcW w:w="10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60" w:type="dxa"/>
            <w:vAlign w:val="bottom"/>
            <w:gridSpan w:val="28"/>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Dragonfly and John Marchetti.</w:t>
              </w:r>
            </w:hyperlink>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17"/>
                <w:szCs w:val="17"/>
                <w:color w:val="auto"/>
              </w:rPr>
            </w:pPr>
          </w:p>
        </w:tc>
        <w:tc>
          <w:tcPr>
            <w:tcW w:w="6160" w:type="dxa"/>
            <w:vAlign w:val="bottom"/>
            <w:gridSpan w:val="28"/>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Dragonfly Energy Corp.’s 2019 Stock Incentive Plan.</w:t>
              </w:r>
            </w:hyperlink>
          </w:p>
        </w:tc>
        <w:tc>
          <w:tcPr>
            <w:tcW w:w="10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7"/>
                <w:szCs w:val="17"/>
                <w:color w:val="auto"/>
              </w:rPr>
            </w:pPr>
          </w:p>
        </w:tc>
        <w:tc>
          <w:tcPr>
            <w:tcW w:w="6160" w:type="dxa"/>
            <w:vAlign w:val="bottom"/>
            <w:gridSpan w:val="28"/>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Dragonfly Energy Corp.’s 2021 Stock Incentive Plan.</w:t>
              </w:r>
            </w:hyperlink>
          </w:p>
        </w:tc>
        <w:tc>
          <w:tcPr>
            <w:tcW w:w="10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w w:val="98"/>
              </w:rPr>
              <w:t>10.20</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17"/>
                <w:szCs w:val="17"/>
                <w:color w:val="auto"/>
              </w:rPr>
            </w:pPr>
          </w:p>
        </w:tc>
        <w:tc>
          <w:tcPr>
            <w:tcW w:w="5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Amended and Restated Registration Rights Agreement, by and among the</w:t>
              </w:r>
            </w:hyperlink>
          </w:p>
        </w:tc>
        <w:tc>
          <w:tcPr>
            <w:tcW w:w="820" w:type="dxa"/>
            <w:vAlign w:val="bottom"/>
            <w:gridSpan w:val="8"/>
          </w:tcPr>
          <w:p>
            <w:pPr>
              <w:spacing w:after="0"/>
              <w:rPr>
                <w:sz w:val="17"/>
                <w:szCs w:val="17"/>
                <w:color w:val="auto"/>
              </w:rPr>
            </w:pPr>
          </w:p>
        </w:tc>
        <w:tc>
          <w:tcPr>
            <w:tcW w:w="10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Company and each of the stockholders thereto.</w:t>
              </w:r>
            </w:hyperlink>
          </w:p>
        </w:tc>
        <w:tc>
          <w:tcPr>
            <w:tcW w:w="276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78">
              <w:r>
                <w:rPr>
                  <w:rFonts w:ascii="Times New Roman" w:cs="Times New Roman" w:eastAsia="Times New Roman" w:hAnsi="Times New Roman"/>
                  <w:sz w:val="18"/>
                  <w:szCs w:val="18"/>
                  <w:color w:val="0000EE"/>
                  <w:w w:val="99"/>
                </w:rPr>
                <w:t>Director Compensation Policy</w:t>
              </w:r>
            </w:hyperlink>
          </w:p>
        </w:tc>
        <w:tc>
          <w:tcPr>
            <w:tcW w:w="3940" w:type="dxa"/>
            <w:vAlign w:val="bottom"/>
            <w:gridSpan w:val="18"/>
          </w:tcPr>
          <w:p>
            <w:pPr>
              <w:spacing w:after="0"/>
              <w:rPr>
                <w:sz w:val="17"/>
                <w:szCs w:val="17"/>
                <w:color w:val="auto"/>
              </w:rPr>
            </w:pPr>
          </w:p>
        </w:tc>
        <w:tc>
          <w:tcPr>
            <w:tcW w:w="10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11/4/2022</w:t>
            </w: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17"/>
                <w:szCs w:val="17"/>
                <w:color w:val="auto"/>
              </w:rPr>
            </w:pPr>
          </w:p>
        </w:tc>
        <w:tc>
          <w:tcPr>
            <w:tcW w:w="6160" w:type="dxa"/>
            <w:vAlign w:val="bottom"/>
            <w:gridSpan w:val="28"/>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Employment Agreement, dated as of October 11, 2022, by and between Dragonfly</w:t>
              </w:r>
            </w:hyperlink>
          </w:p>
        </w:tc>
        <w:tc>
          <w:tcPr>
            <w:tcW w:w="10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w w:val="98"/>
              </w:rPr>
              <w:t>10.23</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11/4/2022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and Denis Phares.</w:t>
              </w:r>
            </w:hyperlink>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7"/>
                <w:szCs w:val="17"/>
                <w:color w:val="auto"/>
              </w:rPr>
            </w:pPr>
          </w:p>
        </w:tc>
        <w:tc>
          <w:tcPr>
            <w:tcW w:w="6160" w:type="dxa"/>
            <w:vAlign w:val="bottom"/>
            <w:gridSpan w:val="28"/>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Employment Agreement, dated as of October 11, 2022, by and between Dragonfly</w:t>
              </w:r>
            </w:hyperlink>
          </w:p>
        </w:tc>
        <w:tc>
          <w:tcPr>
            <w:tcW w:w="10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w w:val="98"/>
              </w:rPr>
              <w:t>10.24</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11/4/2022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and John Marchetti.</w:t>
              </w:r>
            </w:hyperlink>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7"/>
                <w:szCs w:val="17"/>
                <w:color w:val="auto"/>
              </w:rPr>
            </w:pPr>
          </w:p>
        </w:tc>
        <w:tc>
          <w:tcPr>
            <w:tcW w:w="6160" w:type="dxa"/>
            <w:vAlign w:val="bottom"/>
            <w:gridSpan w:val="28"/>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Dragonfly Energy Holdings Corp. Code of Conduct.</w:t>
              </w:r>
            </w:hyperlink>
          </w:p>
        </w:tc>
        <w:tc>
          <w:tcPr>
            <w:tcW w:w="10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7"/>
                <w:szCs w:val="17"/>
                <w:color w:val="auto"/>
              </w:rPr>
            </w:pPr>
          </w:p>
        </w:tc>
        <w:tc>
          <w:tcPr>
            <w:tcW w:w="37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Dragonfly Energy Holdings Corp. Code of Ethics.</w:t>
              </w:r>
            </w:hyperlink>
          </w:p>
        </w:tc>
        <w:tc>
          <w:tcPr>
            <w:tcW w:w="2380" w:type="dxa"/>
            <w:vAlign w:val="bottom"/>
            <w:gridSpan w:val="11"/>
          </w:tcPr>
          <w:p>
            <w:pPr>
              <w:spacing w:after="0"/>
              <w:rPr>
                <w:sz w:val="17"/>
                <w:szCs w:val="17"/>
                <w:color w:val="auto"/>
              </w:rPr>
            </w:pPr>
          </w:p>
        </w:tc>
        <w:tc>
          <w:tcPr>
            <w:tcW w:w="10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7"/>
                <w:szCs w:val="17"/>
                <w:color w:val="auto"/>
              </w:rPr>
            </w:pPr>
          </w:p>
        </w:tc>
        <w:tc>
          <w:tcPr>
            <w:tcW w:w="6160" w:type="dxa"/>
            <w:vAlign w:val="bottom"/>
            <w:gridSpan w:val="28"/>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Letter from WithumSmith+Brown, PC to the SEC.</w:t>
              </w:r>
            </w:hyperlink>
          </w:p>
        </w:tc>
        <w:tc>
          <w:tcPr>
            <w:tcW w:w="10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List of Subsidiaries.</w:t>
              </w:r>
            </w:hyperlink>
          </w:p>
        </w:tc>
        <w:tc>
          <w:tcPr>
            <w:tcW w:w="2200" w:type="dxa"/>
            <w:vAlign w:val="bottom"/>
            <w:tcBorders>
              <w:top w:val="single" w:sz="8" w:color="0000EE"/>
            </w:tcBorders>
            <w:gridSpan w:val="11"/>
          </w:tcPr>
          <w:p>
            <w:pPr>
              <w:spacing w:after="0"/>
              <w:rPr>
                <w:sz w:val="17"/>
                <w:szCs w:val="17"/>
                <w:color w:val="auto"/>
              </w:rPr>
            </w:pPr>
          </w:p>
        </w:tc>
        <w:tc>
          <w:tcPr>
            <w:tcW w:w="2500" w:type="dxa"/>
            <w:vAlign w:val="bottom"/>
            <w:gridSpan w:val="12"/>
          </w:tcPr>
          <w:p>
            <w:pPr>
              <w:spacing w:after="0"/>
              <w:rPr>
                <w:sz w:val="17"/>
                <w:szCs w:val="17"/>
                <w:color w:val="auto"/>
              </w:rPr>
            </w:pPr>
          </w:p>
        </w:tc>
        <w:tc>
          <w:tcPr>
            <w:tcW w:w="10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7"/>
                <w:szCs w:val="17"/>
                <w:color w:val="auto"/>
              </w:rPr>
            </w:pPr>
          </w:p>
        </w:tc>
        <w:tc>
          <w:tcPr>
            <w:tcW w:w="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28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WithumSmith+Brown, PC.</w:t>
            </w:r>
          </w:p>
        </w:tc>
        <w:tc>
          <w:tcPr>
            <w:tcW w:w="3360" w:type="dxa"/>
            <w:vAlign w:val="bottom"/>
            <w:gridSpan w:val="16"/>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BDO USA, LLP.</w:t>
            </w:r>
          </w:p>
        </w:tc>
        <w:tc>
          <w:tcPr>
            <w:tcW w:w="4100" w:type="dxa"/>
            <w:vAlign w:val="bottom"/>
            <w:gridSpan w:val="20"/>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7"/>
                <w:szCs w:val="17"/>
                <w:color w:val="auto"/>
              </w:rPr>
            </w:pPr>
          </w:p>
        </w:tc>
        <w:tc>
          <w:tcPr>
            <w:tcW w:w="50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Consent of O’Melveny &amp; Myers LLP (included in Exhibit 5.1 hereto).</w:t>
              </w:r>
            </w:hyperlink>
          </w:p>
        </w:tc>
        <w:tc>
          <w:tcPr>
            <w:tcW w:w="10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7"/>
                <w:szCs w:val="17"/>
                <w:color w:val="auto"/>
              </w:rPr>
            </w:pPr>
          </w:p>
        </w:tc>
        <w:tc>
          <w:tcPr>
            <w:tcW w:w="56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Frost &amp; Sullivan, independent industry research firm for Dragonfly</w:t>
            </w:r>
          </w:p>
        </w:tc>
        <w:tc>
          <w:tcPr>
            <w:tcW w:w="48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Energy Holdings Corp.</w:t>
            </w:r>
          </w:p>
        </w:tc>
        <w:tc>
          <w:tcPr>
            <w:tcW w:w="4480" w:type="dxa"/>
            <w:vAlign w:val="bottom"/>
            <w:gridSpan w:val="21"/>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7"/>
                <w:szCs w:val="17"/>
                <w:color w:val="auto"/>
              </w:rPr>
            </w:pPr>
          </w:p>
        </w:tc>
        <w:tc>
          <w:tcPr>
            <w:tcW w:w="61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to the prospectus which forms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part of this registration statement).</w:t>
            </w:r>
          </w:p>
        </w:tc>
        <w:tc>
          <w:tcPr>
            <w:tcW w:w="3360" w:type="dxa"/>
            <w:vAlign w:val="bottom"/>
            <w:tcBorders>
              <w:top w:val="single" w:sz="8" w:color="0000EE"/>
            </w:tcBorders>
            <w:gridSpan w:val="14"/>
          </w:tcPr>
          <w:p>
            <w:pPr>
              <w:spacing w:after="0"/>
              <w:rPr>
                <w:sz w:val="17"/>
                <w:szCs w:val="17"/>
                <w:color w:val="auto"/>
              </w:rPr>
            </w:pPr>
          </w:p>
        </w:tc>
        <w:tc>
          <w:tcPr>
            <w:tcW w:w="30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8"/>
                <w:szCs w:val="18"/>
                <w:color w:val="auto"/>
              </w:rPr>
            </w:pPr>
          </w:p>
        </w:tc>
        <w:tc>
          <w:tcPr>
            <w:tcW w:w="6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6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18"/>
                <w:szCs w:val="18"/>
                <w:color w:val="auto"/>
              </w:rPr>
            </w:pPr>
          </w:p>
        </w:tc>
        <w:tc>
          <w:tcPr>
            <w:tcW w:w="6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18"/>
                <w:szCs w:val="18"/>
                <w:color w:val="auto"/>
              </w:rPr>
            </w:pPr>
          </w:p>
        </w:tc>
        <w:tc>
          <w:tcPr>
            <w:tcW w:w="6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18"/>
                <w:szCs w:val="18"/>
                <w:color w:val="auto"/>
              </w:rPr>
            </w:pPr>
          </w:p>
        </w:tc>
        <w:tc>
          <w:tcPr>
            <w:tcW w:w="6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18"/>
                <w:szCs w:val="18"/>
                <w:color w:val="auto"/>
              </w:rPr>
            </w:pPr>
          </w:p>
        </w:tc>
        <w:tc>
          <w:tcPr>
            <w:tcW w:w="6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6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6"/>
                <w:szCs w:val="16"/>
                <w:color w:val="auto"/>
              </w:rPr>
            </w:pPr>
          </w:p>
        </w:tc>
        <w:tc>
          <w:tcPr>
            <w:tcW w:w="6160" w:type="dxa"/>
            <w:vAlign w:val="bottom"/>
            <w:gridSpan w:val="28"/>
          </w:tcPr>
          <w:p>
            <w:pPr>
              <w:spacing w:after="0" w:line="194"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Filing Fee Exhibit.</w:t>
              </w:r>
            </w:hyperlink>
          </w:p>
        </w:tc>
        <w:tc>
          <w:tcPr>
            <w:tcW w:w="102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107</w:t>
            </w:r>
          </w:p>
        </w:tc>
        <w:tc>
          <w:tcPr>
            <w:tcW w:w="140" w:type="dxa"/>
            <w:vAlign w:val="bottom"/>
          </w:tcPr>
          <w:p>
            <w:pPr>
              <w:spacing w:after="0"/>
              <w:rPr>
                <w:sz w:val="16"/>
                <w:szCs w:val="16"/>
                <w:color w:val="auto"/>
              </w:rPr>
            </w:pPr>
          </w:p>
        </w:tc>
        <w:tc>
          <w:tcPr>
            <w:tcW w:w="9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11/4/2022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280" w:type="dxa"/>
            <w:vAlign w:val="bottom"/>
            <w:tcBorders>
              <w:top w:val="single" w:sz="8" w:color="0000EE"/>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117" w:lineRule="exact"/>
        <w:rPr>
          <w:rFonts w:ascii="Times New Roman" w:cs="Times New Roman" w:eastAsia="Times New Roman" w:hAnsi="Times New Roman"/>
          <w:sz w:val="18"/>
          <w:szCs w:val="18"/>
          <w:color w:val="auto"/>
        </w:rPr>
      </w:pPr>
    </w:p>
    <w:p>
      <w:pPr>
        <w:ind w:right="6840"/>
        <w:spacing w:after="0" w:line="3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exhibit have been omitted. * Filed herewith.</w:t>
      </w:r>
    </w:p>
    <w:p>
      <w:pPr>
        <w:spacing w:after="0" w:line="1" w:lineRule="exact"/>
        <w:rPr>
          <w:sz w:val="20"/>
          <w:szCs w:val="20"/>
          <w:color w:val="auto"/>
        </w:rPr>
      </w:pPr>
    </w:p>
    <w:p>
      <w:pPr>
        <w:ind w:left="340" w:right="340" w:hanging="332"/>
        <w:spacing w:after="0" w:line="275"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filed as a part of this registration statement are listed in the index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immediately preceding such financial statements, which index to the financial statements is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right="240" w:hanging="328"/>
        <w:spacing w:after="0" w:line="501"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during any period in which offers or sales are being made, a post-effective amendment to this registration statement: i. To include any prospectus required by Section 10(a)(3) of the Securities Act of 1933, as amended (the </w:t>
      </w:r>
      <w:r>
        <w:rPr>
          <w:rFonts w:ascii="Calibri" w:cs="Calibri" w:eastAsia="Calibri" w:hAnsi="Calibri"/>
          <w:sz w:val="18"/>
          <w:szCs w:val="18"/>
          <w:color w:val="auto"/>
        </w:rPr>
        <w:t>“</w:t>
      </w:r>
      <w:r>
        <w:rPr>
          <w:rFonts w:ascii="Times New Roman" w:cs="Times New Roman" w:eastAsia="Times New Roman" w:hAnsi="Times New Roman"/>
          <w:sz w:val="18"/>
          <w:szCs w:val="18"/>
          <w:b w:val="1"/>
          <w:bCs w:val="1"/>
          <w:color w:val="auto"/>
        </w:rPr>
        <w:t>Securities Act</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hanging="324"/>
        <w:spacing w:after="0" w:line="257"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Calculation of Registration Fee</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table in the effective registration statement; and</w:t>
      </w:r>
    </w:p>
    <w:p>
      <w:pPr>
        <w:spacing w:after="0" w:line="184"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w:t>
      </w:r>
    </w:p>
    <w:p>
      <w:pPr>
        <w:spacing w:after="0" w:line="27" w:lineRule="exact"/>
        <w:rPr>
          <w:rFonts w:ascii="Times New Roman" w:cs="Times New Roman" w:eastAsia="Times New Roman" w:hAnsi="Times New Roman"/>
          <w:sz w:val="18"/>
          <w:szCs w:val="18"/>
          <w:color w:val="auto"/>
        </w:rPr>
      </w:pPr>
    </w:p>
    <w:p>
      <w:pPr>
        <w:ind w:left="660" w:right="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5"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hanging="324"/>
        <w:spacing w:after="0"/>
        <w:tabs>
          <w:tab w:leader="none" w:pos="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340" w:hanging="332"/>
        <w:spacing w:after="0" w:line="254"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New York, State of New York, on the 9th day of December 2022.</w:t>
      </w:r>
    </w:p>
    <w:p>
      <w:pPr>
        <w:spacing w:after="0" w:line="1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Name:Denis Phares</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Denis Phares and Nicole Harvey, each acting alone or together with another attorney-in-fact, as his or her true and lawful attorney-in-fact, with full power of substitution and resubstitution, for such person and in his or her name, place and stead, in any and all capacities, to sign any and all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31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00" w:type="dxa"/>
            <w:vAlign w:val="bottom"/>
          </w:tcPr>
          <w:p>
            <w:pPr>
              <w:spacing w:after="0"/>
              <w:rPr>
                <w:sz w:val="15"/>
                <w:szCs w:val="15"/>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Dr. Denis Phares</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President and Chief Executive</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34"/>
        </w:trPr>
        <w:tc>
          <w:tcPr>
            <w:tcW w:w="2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Officer</w:t>
            </w:r>
          </w:p>
        </w:tc>
        <w:tc>
          <w:tcPr>
            <w:tcW w:w="31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Marchetti</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Luisa Ingargiola</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Nelson</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Perry Boyle</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Jonathan Bellows</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Rick Parod</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Karina Edmonds</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on Amendment No. 1 to Form S-1, of our report dated March 28, 2022, relating to the financial statements of Chardan NexTech Acquisition 2 Corp. which is contained in that Registration Statement. We also consent to the reference to us under the caption “Experts”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our report dated April 20, 2022, relating to the financial statements of Dragonfly Energy Corp., which is contained in that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consent to the reference to us under the caption </w:t>
      </w:r>
      <w:r>
        <w:rPr>
          <w:rFonts w:ascii="Trebuchet MS" w:cs="Trebuchet MS" w:eastAsia="Trebuchet MS" w:hAnsi="Trebuchet MS"/>
          <w:sz w:val="18"/>
          <w:szCs w:val="18"/>
          <w:color w:val="auto"/>
        </w:rPr>
        <w:t>“</w:t>
      </w:r>
      <w:r>
        <w:rPr>
          <w:rFonts w:ascii="Times New Roman" w:cs="Times New Roman" w:eastAsia="Times New Roman" w:hAnsi="Times New Roman"/>
          <w:sz w:val="18"/>
          <w:szCs w:val="18"/>
          <w:color w:val="auto"/>
        </w:rPr>
        <w:t>Experts</w:t>
      </w:r>
      <w:r>
        <w:rPr>
          <w:rFonts w:ascii="Trebuchet MS" w:cs="Trebuchet MS" w:eastAsia="Trebuchet MS" w:hAnsi="Trebuchet MS"/>
          <w:sz w:val="18"/>
          <w:szCs w:val="18"/>
          <w:color w:val="auto"/>
        </w:rPr>
        <w:t>”</w:t>
      </w:r>
      <w:r>
        <w:rPr>
          <w:rFonts w:ascii="Times New Roman" w:cs="Times New Roman" w:eastAsia="Times New Roman" w:hAnsi="Times New Roman"/>
          <w:sz w:val="18"/>
          <w:szCs w:val="18"/>
          <w:color w:val="auto"/>
        </w:rPr>
        <w:t xml:space="preserve"> in the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INDUSTRY RESEARCH FIRM</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hereby consent to the references to our firm in this Registration Statement on Form S-1 of Dragonfly Energy Holdings Corp. (the “Registration Statement”) and to the use of information from our reports dated August 2021. We also consent to all references to us contained in such Registration Statement.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FROST &amp; SULLIVAN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Srinivasan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Name:Krishna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1457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lowerRoman"/>
      <w:start w:val="2"/>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lowerLetter"/>
      <w:start w:val="2"/>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1)"/>
      <w:numFmt w:val="decimal"/>
      <w:start w:val="1"/>
    </w:lvl>
    <w:lvl w:ilvl="1">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1)"/>
      <w:numFmt w:val="decimal"/>
      <w:start w:val="1"/>
    </w:lvl>
  </w:abstractNum>
  <w:abstractNum w:abstractNumId="30">
    <w:nsid w:val="1DBABF00"/>
    <w:multiLevelType w:val="hybridMultilevel"/>
    <w:lvl w:ilvl="0">
      <w:lvlJc w:val="left"/>
      <w:lvlText w:val="%1."/>
      <w:numFmt w:val="upperLetter"/>
      <w:start w:val="1"/>
    </w:lvl>
  </w:abstractNum>
  <w:abstractNum w:abstractNumId="31">
    <w:nsid w:val="4AD084E9"/>
    <w:multiLevelType w:val="hybridMultilevel"/>
    <w:lvl w:ilvl="0">
      <w:lvlJc w:val="left"/>
      <w:lvlText w:val="%1."/>
      <w:numFmt w:val="upperLetter"/>
      <w:start w:val="4"/>
    </w:lvl>
  </w:abstractNum>
  <w:abstractNum w:abstractNumId="32">
    <w:nsid w:val="1F48EAA1"/>
    <w:multiLevelType w:val="hybridMultilevel"/>
    <w:lvl w:ilvl="0">
      <w:lvlJc w:val="left"/>
      <w:lvlText w:val="%1."/>
      <w:numFmt w:val="upperLetter"/>
      <w:start w:val="27"/>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lvl w:ilvl="1">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lowerRoman"/>
      <w:start w:val="5"/>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
      <w:numFmt w:val="bullet"/>
      <w:start w:val="1"/>
    </w:lvl>
    <w:lvl w:ilvl="1">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1)"/>
      <w:numFmt w:val="lowerRoman"/>
      <w:start w:val="1"/>
    </w:lvl>
  </w:abstractNum>
  <w:abstractNum w:abstractNumId="62">
    <w:nsid w:val="14330624"/>
    <w:multiLevelType w:val="hybridMultilevel"/>
    <w:lvl w:ilvl="0">
      <w:lvlJc w:val="left"/>
      <w:lvlText w:val="(%1)"/>
      <w:numFmt w:val="lowerRoman"/>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1)"/>
      <w:numFmt w:val="lowerRoman"/>
      <w:start w:val="2"/>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decimal"/>
      <w:start w:val="3"/>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5"/>
    </w:lvl>
  </w:abstractNum>
  <w:abstractNum w:abstractNumId="79">
    <w:nsid w:val="2DF6D648"/>
    <w:multiLevelType w:val="hybridMultilevel"/>
    <w:lvl w:ilvl="0">
      <w:lvlJc w:val="left"/>
      <w:lvlText w:val="(%1)"/>
      <w:numFmt w:val="decimal"/>
      <w:start w:val="16"/>
    </w:lvl>
  </w:abstractNum>
  <w:abstractNum w:abstractNumId="80">
    <w:nsid w:val="46B7D447"/>
    <w:multiLevelType w:val="hybridMultilevel"/>
    <w:lvl w:ilvl="0">
      <w:lvlJc w:val="left"/>
      <w:lvlText w:val="\emdash "/>
      <w:numFmt w:val="bullet"/>
      <w:start w:val="1"/>
    </w:lvl>
  </w:abstractNum>
  <w:abstractNum w:abstractNumId="81">
    <w:nsid w:val="4A2AC315"/>
    <w:multiLevelType w:val="hybridMultilevel"/>
    <w:lvl w:ilvl="0">
      <w:lvlJc w:val="left"/>
      <w:lvlText w:val="%1)"/>
      <w:numFmt w:val="decimal"/>
      <w:start w:val="5"/>
    </w:lvl>
  </w:abstractNum>
  <w:abstractNum w:abstractNumId="82">
    <w:nsid w:val="39EE015C"/>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83">
    <w:nsid w:val="57FC4FBB"/>
    <w:multiLevelType w:val="hybridMultilevel"/>
    <w:lvl w:ilvl="0">
      <w:lvlJc w:val="left"/>
      <w:lvlText w:val="(%1)"/>
      <w:numFmt w:val="lowerRoman"/>
      <w:start w:val="6"/>
    </w:lvl>
    <w:lvl w:ilvl="1">
      <w:lvlJc w:val="left"/>
      <w:lvlText w:val="%2"/>
      <w:numFmt w:val="lowerRoman"/>
      <w:start w:val="1"/>
    </w:lvl>
    <w:lvl w:ilvl="2">
      <w:lvlJc w:val="left"/>
      <w:lvlText w:val="(%3)"/>
      <w:numFmt w:val="upperLetter"/>
      <w:start w:val="1"/>
    </w:lvl>
  </w:abstractNum>
  <w:abstractNum w:abstractNumId="84">
    <w:nsid w:val="CC1016F"/>
    <w:multiLevelType w:val="hybridMultilevel"/>
    <w:lvl w:ilvl="0">
      <w:lvlJc w:val="left"/>
      <w:lvlText w:val="(%1)"/>
      <w:numFmt w:val="upperLetter"/>
      <w:start w:val="3"/>
    </w:lvl>
  </w:abstractNum>
  <w:abstractNum w:abstractNumId="85">
    <w:nsid w:val="43F18422"/>
    <w:multiLevelType w:val="hybridMultilevel"/>
    <w:lvl w:ilvl="0">
      <w:lvlJc w:val="left"/>
      <w:lvlText w:val="(%1)"/>
      <w:numFmt w:val="lowerRoman"/>
      <w:start w:val="5"/>
    </w:lvl>
  </w:abstractNum>
  <w:abstractNum w:abstractNumId="86">
    <w:nsid w:val="60EF0119"/>
    <w:multiLevelType w:val="hybridMultilevel"/>
    <w:lvl w:ilvl="0">
      <w:lvlJc w:val="left"/>
      <w:lvlText w:val="(%1)"/>
      <w:numFmt w:val="lowerLetter"/>
      <w:start w:val="1"/>
    </w:lvl>
  </w:abstractNum>
  <w:abstractNum w:abstractNumId="87">
    <w:nsid w:val="26F324BA"/>
    <w:multiLevelType w:val="hybridMultilevel"/>
    <w:lvl w:ilvl="0">
      <w:lvlJc w:val="left"/>
      <w:lvlText w:val="(%1)"/>
      <w:numFmt w:val="lowerLetter"/>
      <w:start w:val="2"/>
    </w:lvl>
  </w:abstractNum>
  <w:abstractNum w:abstractNumId="88">
    <w:nsid w:val="7F01579B"/>
    <w:multiLevelType w:val="hybridMultilevel"/>
    <w:lvl w:ilvl="0">
      <w:lvlJc w:val="left"/>
      <w:lvlText w:val="(%1)"/>
      <w:numFmt w:val="lowerRoman"/>
      <w:start w:val="2"/>
    </w:lvl>
  </w:abstractNum>
  <w:abstractNum w:abstractNumId="89">
    <w:nsid w:val="49DA307D"/>
    <w:multiLevelType w:val="hybridMultilevel"/>
    <w:lvl w:ilvl="0">
      <w:lvlJc w:val="left"/>
      <w:lvlText w:val="(%1)"/>
      <w:numFmt w:val="lowerRoman"/>
      <w:start w:val="1"/>
    </w:lvl>
  </w:abstractNum>
  <w:abstractNum w:abstractNumId="90">
    <w:nsid w:val="7055A5F5"/>
    <w:multiLevelType w:val="hybridMultilevel"/>
    <w:lvl w:ilvl="0">
      <w:lvlJc w:val="left"/>
      <w:lvlText w:val="(%1)"/>
      <w:numFmt w:val="lowerRoman"/>
      <w:start w:val="2"/>
    </w:lvl>
  </w:abstractNum>
  <w:abstractNum w:abstractNumId="91">
    <w:nsid w:val="5FB8370B"/>
    <w:multiLevelType w:val="hybridMultilevel"/>
    <w:lvl w:ilvl="0">
      <w:lvlJc w:val="left"/>
      <w:lvlText w:val="\emdash "/>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1)"/>
      <w:numFmt w:val="lowerLetter"/>
      <w:start w:val="2"/>
    </w:lvl>
  </w:abstractNum>
  <w:abstractNum w:abstractNumId="96">
    <w:nsid w:val="7672BD23"/>
    <w:multiLevelType w:val="hybridMultilevel"/>
    <w:lvl w:ilvl="0">
      <w:lvlJc w:val="left"/>
      <w:lvlText w:val="(%1)"/>
      <w:numFmt w:val="lowerLetter"/>
      <w:start w:val="1"/>
    </w:lvl>
    <w:lvl w:ilvl="1">
      <w:lvlJc w:val="left"/>
      <w:lvlText w:val="(%2)"/>
      <w:numFmt w:val="decimal"/>
      <w:start w:val="1"/>
    </w:lvl>
  </w:abstractNum>
  <w:abstractNum w:abstractNumId="97">
    <w:nsid w:val="6FC75AF8"/>
    <w:multiLevelType w:val="hybridMultilevel"/>
    <w:lvl w:ilvl="0">
      <w:lvlJc w:val="left"/>
      <w:lvlText w:val="%1"/>
      <w:numFmt w:val="decimal"/>
      <w:start w:val="1"/>
    </w:lvl>
    <w:lvl w:ilvl="1">
      <w:lvlJc w:val="left"/>
      <w:lvlText w:val="%2."/>
      <w:numFmt w:val="lowerRoman"/>
      <w:start w:val="2"/>
    </w:lvl>
  </w:abstractNum>
  <w:abstractNum w:abstractNumId="98">
    <w:nsid w:val="6A5F7029"/>
    <w:multiLevelType w:val="hybridMultilevel"/>
    <w:lvl w:ilvl="0">
      <w:lvlJc w:val="left"/>
      <w:lvlText w:val="(%1)"/>
      <w:numFmt w:val="decimal"/>
      <w:start w:val="2"/>
    </w:lvl>
    <w:lvl w:ilvl="1">
      <w:lvlJc w:val="left"/>
      <w:lvlText w:val="%2."/>
      <w:numFmt w:val="lowerRoman"/>
      <w:start w:val="1"/>
    </w:lvl>
  </w:abstractNum>
  <w:abstractNum w:abstractNumId="99">
    <w:nsid w:val="7D5E18F8"/>
    <w:multiLevelType w:val="hybridMultilevel"/>
    <w:lvl w:ilvl="0">
      <w:lvlJc w:val="left"/>
      <w:lvlText w:val="%1"/>
      <w:numFmt w:val="lowerLetter"/>
      <w:start w:val="1"/>
    </w:lvl>
    <w:lvl w:ilvl="1">
      <w:lvlJc w:val="left"/>
      <w:lvlText w:val="%2."/>
      <w:numFmt w:val="lowerRoman"/>
      <w:start w:val="4"/>
    </w:lvl>
  </w:abstractNum>
  <w:abstractNum w:abstractNumId="100">
    <w:nsid w:val="5F3534A4"/>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45" Type="http://schemas.openxmlformats.org/officeDocument/2006/relationships/hyperlink" Target="https://www.sec.gov/Archives/edgar/data/1847986/000110465922081684/cntq-20210630xs4.htm#AnnexA_168524" TargetMode="External"/><Relationship Id="rId246" Type="http://schemas.openxmlformats.org/officeDocument/2006/relationships/hyperlink" Target="https://www.sec.gov/Archives/edgar/data/1847986/000110465922081684/cntq-20210630xex2d1a.htm" TargetMode="External"/><Relationship Id="rId247" Type="http://schemas.openxmlformats.org/officeDocument/2006/relationships/hyperlink" Target="https://www.sec.gov/Archives/edgar/data/1847986/000110465922107212/tm2222125d3_ex3-1.htm" TargetMode="External"/><Relationship Id="rId248" Type="http://schemas.openxmlformats.org/officeDocument/2006/relationships/hyperlink" Target="https://www.sec.gov/Archives/edgar/data/1847986/000110465922107212/tm2222125d3_ex3-2.htm" TargetMode="External"/><Relationship Id="rId249" Type="http://schemas.openxmlformats.org/officeDocument/2006/relationships/hyperlink" Target="https://www.sec.gov/Archives/edgar/data/1847986/000110465922107212/tm2222125d3_ex4-1.htm" TargetMode="External"/><Relationship Id="rId250" Type="http://schemas.openxmlformats.org/officeDocument/2006/relationships/hyperlink" Target="https://www.sec.gov/Archives/edgar/data/1847986/000110465922107212/tm2222125d3_ex4-2.htm" TargetMode="External"/><Relationship Id="rId251" Type="http://schemas.openxmlformats.org/officeDocument/2006/relationships/hyperlink" Target="https://www.sec.gov/Archives/edgar/data/1847986/000110465922107212/tm2222125d3_ex4-3.htm" TargetMode="External"/><Relationship Id="rId252" Type="http://schemas.openxmlformats.org/officeDocument/2006/relationships/hyperlink" Target="https://www.sec.gov/Archives/edgar/data/1847986/000110465922110688/dfli-20220630xex4d4.htm" TargetMode="External"/><Relationship Id="rId253" Type="http://schemas.openxmlformats.org/officeDocument/2006/relationships/hyperlink" Target="https://www.sec.gov/Archives/edgar/data/1847986/000110465921091769/tm2118460d2_ex4-3.htm" TargetMode="External"/><Relationship Id="rId254" Type="http://schemas.openxmlformats.org/officeDocument/2006/relationships/hyperlink" Target="https://www.sec.gov/Archives/edgar/data/1847986/000110465922110688/dfli-20220630xex5d1.htm" TargetMode="External"/><Relationship Id="rId255" Type="http://schemas.openxmlformats.org/officeDocument/2006/relationships/hyperlink" Target="https://www.sec.gov/Archives/edgar/data/1847986/000110465922081684/cntq-20210630xs4.htm#AnnexE_715156" TargetMode="External"/><Relationship Id="rId256" Type="http://schemas.openxmlformats.org/officeDocument/2006/relationships/hyperlink" Target="https://www.sec.gov/Archives/edgar/data/1847986/000110465922081684/cntq-20210630xs4.htm#AnnexJ_927754" TargetMode="External"/><Relationship Id="rId257" Type="http://schemas.openxmlformats.org/officeDocument/2006/relationships/hyperlink" Target="https://www.sec.gov/Archives/edgar/data/1847986/000110465922081684/cntq-20210630xs4.htm#AnnexK_797313" TargetMode="External"/><Relationship Id="rId258" Type="http://schemas.openxmlformats.org/officeDocument/2006/relationships/hyperlink" Target="https://www.sec.gov/Archives/edgar/data/1847986/000110465922081684/cntq-20210630xs4.htm#AnnexF_345954" TargetMode="External"/><Relationship Id="rId259" Type="http://schemas.openxmlformats.org/officeDocument/2006/relationships/hyperlink" Target="https://www.sec.gov/Archives/edgar/data/1847986/000110465922107212/tm2222125d3_ex10-5.htm" TargetMode="External"/><Relationship Id="rId260" Type="http://schemas.openxmlformats.org/officeDocument/2006/relationships/hyperlink" Target="https://www.sec.gov/Archives/edgar/data/1847986/000110465922107212/tm2222125d3_ex10-6.htm" TargetMode="External"/><Relationship Id="rId261" Type="http://schemas.openxmlformats.org/officeDocument/2006/relationships/hyperlink" Target="https://www.sec.gov/Archives/edgar/data/1847986/000110465922099731/tm2218377d21_ex10-10.htm" TargetMode="External"/><Relationship Id="rId262" Type="http://schemas.openxmlformats.org/officeDocument/2006/relationships/hyperlink" Target="https://www.sec.gov/Archives/edgar/data/1847986/000110465922081684/cntq-20210630xex10d11.htm" TargetMode="External"/><Relationship Id="rId263" Type="http://schemas.openxmlformats.org/officeDocument/2006/relationships/hyperlink" Target="https://www.sec.gov/Archives/edgar/data/1847986/000110465922081684/cntq-20210630xex10d12.htm" TargetMode="External"/><Relationship Id="rId264" Type="http://schemas.openxmlformats.org/officeDocument/2006/relationships/hyperlink" Target="https://www.sec.gov/Archives/edgar/data/1847986/000110465922107212/tm2222125d3_ex10-10.htm" TargetMode="External"/><Relationship Id="rId265" Type="http://schemas.openxmlformats.org/officeDocument/2006/relationships/hyperlink" Target="https://www.sec.gov/Archives/edgar/data/1847986/000110465922107212/tm2222125d3_ex10-11.htm" TargetMode="External"/><Relationship Id="rId266" Type="http://schemas.openxmlformats.org/officeDocument/2006/relationships/hyperlink" Target="https://www.sec.gov/Archives/edgar/data/1847986/000110465922107212/tm2222125d3_ex10-12.htm" TargetMode="External"/><Relationship Id="rId267" Type="http://schemas.openxmlformats.org/officeDocument/2006/relationships/hyperlink" Target="https://www.sec.gov/Archives/edgar/data/1847986/000110465922107212/tm2222125d3_ex10-13.htm" TargetMode="External"/><Relationship Id="rId268" Type="http://schemas.openxmlformats.org/officeDocument/2006/relationships/hyperlink" Target="https://www.sec.gov/Archives/edgar/data/1847986/000110465922107212/tm2222125d3_ex10-14.htm" TargetMode="External"/><Relationship Id="rId269" Type="http://schemas.openxmlformats.org/officeDocument/2006/relationships/hyperlink" Target="https://www.sec.gov/Archives/edgar/data/1847986/000110465922107212/tm2222125d3_ex10-15.htm" TargetMode="External"/><Relationship Id="rId272" Type="http://schemas.openxmlformats.org/officeDocument/2006/relationships/hyperlink" Target="https://www.sec.gov/Archives/edgar/data/1847986/000110465922107212/tm2222125d3_ex10-16.htm" TargetMode="External"/><Relationship Id="rId273" Type="http://schemas.openxmlformats.org/officeDocument/2006/relationships/hyperlink" Target="https://www.sec.gov/Archives/edgar/data/1847986/000110465922107212/tm2222125d3_ex10-17.htm" TargetMode="External"/><Relationship Id="rId274" Type="http://schemas.openxmlformats.org/officeDocument/2006/relationships/hyperlink" Target="https://www.sec.gov/Archives/edgar/data/1847986/000110465922107212/tm2222125d3_ex10-18.htm" TargetMode="External"/><Relationship Id="rId275" Type="http://schemas.openxmlformats.org/officeDocument/2006/relationships/hyperlink" Target="https://www.sec.gov/Archives/edgar/data/1847986/000110465922107212/tm2222125d3_ex10-19.htm" TargetMode="External"/><Relationship Id="rId276" Type="http://schemas.openxmlformats.org/officeDocument/2006/relationships/hyperlink" Target="https://www.sec.gov/Archives/edgar/data/1847986/000110465922107212/tm2222125d3_ex10-20.htm" TargetMode="External"/><Relationship Id="rId277" Type="http://schemas.openxmlformats.org/officeDocument/2006/relationships/hyperlink" Target="https://www.sec.gov/Archives/edgar/data/1847986/000110465922107212/tm2222125d3_ex10-21.htm" TargetMode="External"/><Relationship Id="rId278" Type="http://schemas.openxmlformats.org/officeDocument/2006/relationships/hyperlink" Target="https://www.sec.gov/Archives/edgar/data/1847986/000110465922114961/dfli-20220630xex10d22.htm" TargetMode="External"/><Relationship Id="rId279" Type="http://schemas.openxmlformats.org/officeDocument/2006/relationships/hyperlink" Target="https://www.sec.gov/Archives/edgar/data/1847986/000110465922114961/dfli-20220630xex10d23.htm" TargetMode="External"/><Relationship Id="rId280" Type="http://schemas.openxmlformats.org/officeDocument/2006/relationships/hyperlink" Target="https://www.sec.gov/Archives/edgar/data/1847986/000110465922114961/dfli-20220630xex10d24.htm" TargetMode="External"/><Relationship Id="rId281" Type="http://schemas.openxmlformats.org/officeDocument/2006/relationships/hyperlink" Target="https://www.sec.gov/Archives/edgar/data/1847986/000110465922107212/tm2222125d3_ex14-1.htm" TargetMode="External"/><Relationship Id="rId282" Type="http://schemas.openxmlformats.org/officeDocument/2006/relationships/hyperlink" Target="https://www.sec.gov/Archives/edgar/data/1847986/000110465922107212/tm2222125d3_ex14-2.htm" TargetMode="External"/><Relationship Id="rId283" Type="http://schemas.openxmlformats.org/officeDocument/2006/relationships/hyperlink" Target="https://www.sec.gov/Archives/edgar/data/1847986/000110465922107212/tm2222125d3_ex16-1.htm" TargetMode="External"/><Relationship Id="rId284" Type="http://schemas.openxmlformats.org/officeDocument/2006/relationships/hyperlink" Target="https://www.sec.gov/Archives/edgar/data/1847986/000110465922107212/tm2222125d3_ex21-1.htm" TargetMode="External"/><Relationship Id="rId285" Type="http://schemas.openxmlformats.org/officeDocument/2006/relationships/hyperlink" Target="https://www.sec.gov/Archives/edgar/data/1847986/000110465922114961/dfli-20220630x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2022-12-09T16:42:48Z</dcterms:created>
  <dcterms:modified xsi:type="dcterms:W3CDTF">2022-12-09T16:42:48Z</dcterms:modified>
</cp:coreProperties>
</file>