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U.S. Securities and Exchange Commission on July 23, 2021.</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333-254010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CHARDAN NEXTECH ACQUISITION 2 CORP.</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Delaware</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6770</w:t>
            </w:r>
          </w:p>
        </w:tc>
        <w:tc>
          <w:tcPr>
            <w:tcW w:w="10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85-1873463</w:t>
            </w:r>
          </w:p>
        </w:tc>
        <w:tc>
          <w:tcPr>
            <w:tcW w:w="0" w:type="dxa"/>
            <w:vAlign w:val="bottom"/>
          </w:tcPr>
          <w:p>
            <w:pPr>
              <w:spacing w:after="0"/>
              <w:rPr>
                <w:sz w:val="1"/>
                <w:szCs w:val="1"/>
                <w:color w:val="auto"/>
              </w:rPr>
            </w:pPr>
          </w:p>
        </w:tc>
      </w:tr>
      <w:tr>
        <w:trPr>
          <w:trHeight w:val="40"/>
        </w:trPr>
        <w:tc>
          <w:tcPr>
            <w:tcW w:w="372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720" w:type="dxa"/>
            <w:vAlign w:val="bottom"/>
          </w:tcPr>
          <w:p>
            <w:pPr>
              <w:jc w:val="center"/>
              <w:spacing w:after="0" w:line="195" w:lineRule="exact"/>
              <w:rPr>
                <w:sz w:val="20"/>
                <w:szCs w:val="20"/>
                <w:color w:val="auto"/>
              </w:rPr>
            </w:pPr>
            <w:r>
              <w:rPr>
                <w:rFonts w:ascii="Arial" w:cs="Arial" w:eastAsia="Arial" w:hAnsi="Arial"/>
                <w:sz w:val="18"/>
                <w:szCs w:val="18"/>
                <w:color w:val="auto"/>
                <w:w w:val="92"/>
              </w:rPr>
              <w:t>(State or other jurisdiction of incorporation or</w:t>
            </w:r>
          </w:p>
        </w:tc>
        <w:tc>
          <w:tcPr>
            <w:tcW w:w="120" w:type="dxa"/>
            <w:vAlign w:val="bottom"/>
            <w:vMerge w:val="continue"/>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1"/>
              </w:rPr>
              <w:t>(Primary Standard Industrial Classification Code</w:t>
            </w:r>
          </w:p>
        </w:tc>
        <w:tc>
          <w:tcPr>
            <w:tcW w:w="100" w:type="dxa"/>
            <w:vAlign w:val="bottom"/>
            <w:vMerge w:val="continue"/>
          </w:tcPr>
          <w:p>
            <w:pPr>
              <w:spacing w:after="0"/>
              <w:rPr>
                <w:sz w:val="16"/>
                <w:szCs w:val="16"/>
                <w:color w:val="auto"/>
              </w:rPr>
            </w:pPr>
          </w:p>
        </w:tc>
        <w:tc>
          <w:tcPr>
            <w:tcW w:w="3700" w:type="dxa"/>
            <w:vAlign w:val="bottom"/>
          </w:tcPr>
          <w:p>
            <w:pPr>
              <w:jc w:val="center"/>
              <w:spacing w:after="0" w:line="195"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organization)</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Number)</w:t>
            </w:r>
          </w:p>
        </w:tc>
        <w:tc>
          <w:tcPr>
            <w:tcW w:w="37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c>
          <w:tcPr>
            <w:tcW w:w="0" w:type="dxa"/>
            <w:vAlign w:val="bottom"/>
          </w:tcPr>
          <w:p>
            <w:pPr>
              <w:spacing w:after="0"/>
              <w:rPr>
                <w:sz w:val="1"/>
                <w:szCs w:val="1"/>
                <w:color w:val="auto"/>
              </w:rPr>
            </w:pPr>
          </w:p>
        </w:tc>
      </w:tr>
    </w:tbl>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17 State Street, 21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10004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465-9000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Jonas Grossman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jc w:val="center"/>
        <w:spacing w:after="0" w:line="192" w:lineRule="auto"/>
        <w:rPr>
          <w:sz w:val="20"/>
          <w:szCs w:val="20"/>
          <w:color w:val="auto"/>
        </w:rPr>
      </w:pPr>
      <w:r>
        <w:rPr>
          <w:rFonts w:ascii="Arial" w:cs="Arial" w:eastAsia="Arial" w:hAnsi="Arial"/>
          <w:sz w:val="18"/>
          <w:szCs w:val="18"/>
          <w:b w:val="1"/>
          <w:bCs w:val="1"/>
          <w:color w:val="auto"/>
        </w:rPr>
        <w:t>17 State Street, 21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10004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465-9000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tbl>
      <w:tblPr>
        <w:tblLayout w:type="fixed"/>
        <w:tblInd w:w="170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5080" w:type="dxa"/>
            <w:vAlign w:val="bottom"/>
          </w:tcPr>
          <w:p>
            <w:pPr>
              <w:ind w:left="720"/>
              <w:spacing w:after="0"/>
              <w:rPr>
                <w:sz w:val="20"/>
                <w:szCs w:val="20"/>
                <w:color w:val="auto"/>
              </w:rPr>
            </w:pPr>
            <w:r>
              <w:rPr>
                <w:rFonts w:ascii="Arial" w:cs="Arial" w:eastAsia="Arial" w:hAnsi="Arial"/>
                <w:sz w:val="18"/>
                <w:szCs w:val="18"/>
                <w:i w:val="1"/>
                <w:iCs w:val="1"/>
                <w:color w:val="auto"/>
              </w:rPr>
              <w:t>Copies to:</w:t>
            </w:r>
          </w:p>
        </w:tc>
      </w:tr>
      <w:tr>
        <w:trPr>
          <w:trHeight w:val="414"/>
        </w:trPr>
        <w:tc>
          <w:tcPr>
            <w:tcW w:w="2840" w:type="dxa"/>
            <w:vAlign w:val="bottom"/>
          </w:tcPr>
          <w:p>
            <w:pPr>
              <w:jc w:val="center"/>
              <w:ind w:right="610"/>
              <w:spacing w:after="0"/>
              <w:rPr>
                <w:sz w:val="20"/>
                <w:szCs w:val="20"/>
                <w:color w:val="auto"/>
              </w:rPr>
            </w:pPr>
            <w:r>
              <w:rPr>
                <w:rFonts w:ascii="Arial" w:cs="Arial" w:eastAsia="Arial" w:hAnsi="Arial"/>
                <w:sz w:val="18"/>
                <w:szCs w:val="18"/>
                <w:b w:val="1"/>
                <w:bCs w:val="1"/>
                <w:color w:val="auto"/>
                <w:w w:val="92"/>
              </w:rPr>
              <w:t>Ari Edelman, Esq.</w:t>
            </w:r>
          </w:p>
        </w:tc>
        <w:tc>
          <w:tcPr>
            <w:tcW w:w="5080" w:type="dxa"/>
            <w:vAlign w:val="bottom"/>
          </w:tcPr>
          <w:p>
            <w:pPr>
              <w:jc w:val="center"/>
              <w:ind w:left="2730"/>
              <w:spacing w:after="0"/>
              <w:rPr>
                <w:sz w:val="20"/>
                <w:szCs w:val="20"/>
                <w:color w:val="auto"/>
              </w:rPr>
            </w:pPr>
            <w:r>
              <w:rPr>
                <w:rFonts w:ascii="Arial" w:cs="Arial" w:eastAsia="Arial" w:hAnsi="Arial"/>
                <w:sz w:val="18"/>
                <w:szCs w:val="18"/>
                <w:b w:val="1"/>
                <w:bCs w:val="1"/>
                <w:color w:val="auto"/>
                <w:w w:val="92"/>
              </w:rPr>
              <w:t>Alan I. Annex, Esq.</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3"/>
              </w:rPr>
              <w:t>C. Craig Lilly, Esq.</w:t>
            </w:r>
          </w:p>
        </w:tc>
        <w:tc>
          <w:tcPr>
            <w:tcW w:w="5080" w:type="dxa"/>
            <w:vAlign w:val="bottom"/>
          </w:tcPr>
          <w:p>
            <w:pPr>
              <w:jc w:val="center"/>
              <w:ind w:left="2750"/>
              <w:spacing w:after="0"/>
              <w:rPr>
                <w:sz w:val="20"/>
                <w:szCs w:val="20"/>
                <w:color w:val="auto"/>
              </w:rPr>
            </w:pPr>
            <w:r>
              <w:rPr>
                <w:rFonts w:ascii="Arial" w:cs="Arial" w:eastAsia="Arial" w:hAnsi="Arial"/>
                <w:sz w:val="18"/>
                <w:szCs w:val="18"/>
                <w:b w:val="1"/>
                <w:bCs w:val="1"/>
                <w:color w:val="auto"/>
                <w:w w:val="88"/>
              </w:rPr>
              <w:t>Jason T. Simon, Esq.</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2"/>
              </w:rPr>
              <w:t>Reed Smith LLP</w:t>
            </w:r>
          </w:p>
        </w:tc>
        <w:tc>
          <w:tcPr>
            <w:tcW w:w="5080" w:type="dxa"/>
            <w:vAlign w:val="bottom"/>
          </w:tcPr>
          <w:p>
            <w:pPr>
              <w:jc w:val="center"/>
              <w:ind w:left="2730"/>
              <w:spacing w:after="0"/>
              <w:rPr>
                <w:sz w:val="20"/>
                <w:szCs w:val="20"/>
                <w:color w:val="auto"/>
              </w:rPr>
            </w:pPr>
            <w:r>
              <w:rPr>
                <w:rFonts w:ascii="Arial" w:cs="Arial" w:eastAsia="Arial" w:hAnsi="Arial"/>
                <w:sz w:val="18"/>
                <w:szCs w:val="18"/>
                <w:b w:val="1"/>
                <w:bCs w:val="1"/>
                <w:color w:val="auto"/>
                <w:w w:val="94"/>
              </w:rPr>
              <w:t>Greenberg Traurig, LLP</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599 Lexington Avenue</w:t>
            </w:r>
          </w:p>
        </w:tc>
        <w:tc>
          <w:tcPr>
            <w:tcW w:w="5080" w:type="dxa"/>
            <w:vAlign w:val="bottom"/>
          </w:tcPr>
          <w:p>
            <w:pPr>
              <w:jc w:val="center"/>
              <w:ind w:left="2730"/>
              <w:spacing w:after="0"/>
              <w:rPr>
                <w:sz w:val="20"/>
                <w:szCs w:val="20"/>
                <w:color w:val="auto"/>
              </w:rPr>
            </w:pPr>
            <w:r>
              <w:rPr>
                <w:rFonts w:ascii="Arial" w:cs="Arial" w:eastAsia="Arial" w:hAnsi="Arial"/>
                <w:sz w:val="18"/>
                <w:szCs w:val="18"/>
                <w:b w:val="1"/>
                <w:bCs w:val="1"/>
                <w:color w:val="auto"/>
                <w:w w:val="88"/>
              </w:rPr>
              <w:t>1750 Tysons Blvd., Suite 1000</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2"/>
              </w:rPr>
              <w:t>New York, New York 10022</w:t>
            </w:r>
          </w:p>
        </w:tc>
        <w:tc>
          <w:tcPr>
            <w:tcW w:w="5080" w:type="dxa"/>
            <w:vAlign w:val="bottom"/>
          </w:tcPr>
          <w:p>
            <w:pPr>
              <w:jc w:val="center"/>
              <w:ind w:left="2730"/>
              <w:spacing w:after="0"/>
              <w:rPr>
                <w:sz w:val="20"/>
                <w:szCs w:val="20"/>
                <w:color w:val="auto"/>
              </w:rPr>
            </w:pPr>
            <w:r>
              <w:rPr>
                <w:rFonts w:ascii="Arial" w:cs="Arial" w:eastAsia="Arial" w:hAnsi="Arial"/>
                <w:sz w:val="18"/>
                <w:szCs w:val="18"/>
                <w:b w:val="1"/>
                <w:bCs w:val="1"/>
                <w:color w:val="auto"/>
                <w:w w:val="92"/>
              </w:rPr>
              <w:t>McLean, VA 22102</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(212) 521-5400</w:t>
            </w:r>
          </w:p>
        </w:tc>
        <w:tc>
          <w:tcPr>
            <w:tcW w:w="5080" w:type="dxa"/>
            <w:vAlign w:val="bottom"/>
          </w:tcPr>
          <w:p>
            <w:pPr>
              <w:jc w:val="center"/>
              <w:ind w:left="2750"/>
              <w:spacing w:after="0"/>
              <w:rPr>
                <w:sz w:val="20"/>
                <w:szCs w:val="20"/>
                <w:color w:val="auto"/>
              </w:rPr>
            </w:pPr>
            <w:r>
              <w:rPr>
                <w:rFonts w:ascii="Arial" w:cs="Arial" w:eastAsia="Arial" w:hAnsi="Arial"/>
                <w:sz w:val="18"/>
                <w:szCs w:val="18"/>
                <w:b w:val="1"/>
                <w:bCs w:val="1"/>
                <w:color w:val="auto"/>
                <w:w w:val="90"/>
              </w:rPr>
              <w:t>(703) 749-1300</w:t>
            </w:r>
          </w:p>
        </w:tc>
      </w:tr>
      <w:tr>
        <w:trPr>
          <w:trHeight w:val="234"/>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(212) 521-5450— Facsimile</w:t>
            </w:r>
          </w:p>
        </w:tc>
        <w:tc>
          <w:tcPr>
            <w:tcW w:w="5080" w:type="dxa"/>
            <w:vAlign w:val="bottom"/>
          </w:tcPr>
          <w:p>
            <w:pPr>
              <w:jc w:val="center"/>
              <w:ind w:left="2750"/>
              <w:spacing w:after="0"/>
              <w:rPr>
                <w:sz w:val="20"/>
                <w:szCs w:val="20"/>
                <w:color w:val="auto"/>
              </w:rPr>
            </w:pPr>
            <w:r>
              <w:rPr>
                <w:rFonts w:ascii="Arial" w:cs="Arial" w:eastAsia="Arial" w:hAnsi="Arial"/>
                <w:sz w:val="18"/>
                <w:szCs w:val="18"/>
                <w:b w:val="1"/>
                <w:bCs w:val="1"/>
                <w:color w:val="auto"/>
                <w:w w:val="90"/>
              </w:rPr>
              <w:t>(703) 749-1301 — Facsimile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162560</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the effective date of this offering.</w:t>
      </w:r>
    </w:p>
    <w:p>
      <w:pPr>
        <w:spacing w:after="0" w:line="229"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2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8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1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8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60" w:type="dxa"/>
            <w:vAlign w:val="bottom"/>
          </w:tcPr>
          <w:p>
            <w:pPr>
              <w:ind w:left="138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472" w:right="339" w:bottom="8" w:gutter="0" w:footer="0" w:header="0"/>
        </w:sectPr>
      </w:pPr>
    </w:p>
    <w:bookmarkStart w:id="1" w:name="page2"/>
    <w:bookmarkEnd w:id="1"/>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5240" w:type="dxa"/>
            <w:vAlign w:val="bottom"/>
            <w:gridSpan w:val="7"/>
          </w:tcPr>
          <w:p>
            <w:pPr>
              <w:jc w:val="right"/>
              <w:ind w:right="700"/>
              <w:spacing w:after="0"/>
              <w:rPr>
                <w:sz w:val="20"/>
                <w:szCs w:val="20"/>
                <w:color w:val="auto"/>
              </w:rPr>
            </w:pPr>
            <w:r>
              <w:rPr>
                <w:rFonts w:ascii="Arial" w:cs="Arial" w:eastAsia="Arial" w:hAnsi="Arial"/>
                <w:sz w:val="18"/>
                <w:szCs w:val="18"/>
                <w:b w:val="1"/>
                <w:bCs w:val="1"/>
                <w:color w:val="auto"/>
              </w:rPr>
              <w:t>CALCULATION OF REGISTRATION FEE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8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Proposed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Proposed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Maximum</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Maximum</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Offering</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Aggregate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85"/>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Being</w:t>
            </w: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 per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Offering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85"/>
              <w:spacing w:after="0"/>
              <w:rPr>
                <w:sz w:val="20"/>
                <w:szCs w:val="20"/>
                <w:color w:val="auto"/>
              </w:rPr>
            </w:pPr>
            <w:r>
              <w:rPr>
                <w:rFonts w:ascii="Arial" w:cs="Arial" w:eastAsia="Arial" w:hAnsi="Arial"/>
                <w:sz w:val="18"/>
                <w:szCs w:val="18"/>
                <w:b w:val="1"/>
                <w:bCs w:val="1"/>
                <w:color w:val="auto"/>
                <w:w w:val="89"/>
              </w:rPr>
              <w:t>Registration</w:t>
            </w:r>
          </w:p>
        </w:tc>
        <w:tc>
          <w:tcPr>
            <w:tcW w:w="0" w:type="dxa"/>
            <w:vAlign w:val="bottom"/>
          </w:tcPr>
          <w:p>
            <w:pPr>
              <w:spacing w:after="0"/>
              <w:rPr>
                <w:sz w:val="1"/>
                <w:szCs w:val="1"/>
                <w:color w:val="auto"/>
              </w:rPr>
            </w:pPr>
          </w:p>
        </w:tc>
      </w:tr>
      <w:tr>
        <w:trPr>
          <w:trHeight w:val="270"/>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Title of Each Class of Security being registered</w:t>
            </w: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Registered</w:t>
            </w:r>
          </w:p>
        </w:tc>
        <w:tc>
          <w:tcPr>
            <w:tcW w:w="140" w:type="dxa"/>
            <w:vAlign w:val="bottom"/>
          </w:tcPr>
          <w:p>
            <w:pPr>
              <w:spacing w:after="0"/>
              <w:rPr>
                <w:sz w:val="23"/>
                <w:szCs w:val="23"/>
                <w:color w:val="auto"/>
              </w:rPr>
            </w:pPr>
          </w:p>
        </w:tc>
        <w:tc>
          <w:tcPr>
            <w:tcW w:w="1240" w:type="dxa"/>
            <w:vAlign w:val="bottom"/>
            <w:gridSpan w:val="2"/>
          </w:tcPr>
          <w:p>
            <w:pPr>
              <w:jc w:val="center"/>
              <w:ind w:right="300"/>
              <w:spacing w:after="0" w:line="270" w:lineRule="exact"/>
              <w:rPr>
                <w:sz w:val="20"/>
                <w:szCs w:val="20"/>
                <w:color w:val="auto"/>
              </w:rPr>
            </w:pPr>
            <w:r>
              <w:rPr>
                <w:rFonts w:ascii="Arial" w:cs="Arial" w:eastAsia="Arial" w:hAnsi="Arial"/>
                <w:sz w:val="18"/>
                <w:szCs w:val="18"/>
                <w:b w:val="1"/>
                <w:bCs w:val="1"/>
                <w:color w:val="auto"/>
                <w:w w:val="86"/>
              </w:rPr>
              <w:t>Security</w:t>
            </w:r>
            <w:r>
              <w:rPr>
                <w:rFonts w:ascii="Arial" w:cs="Arial" w:eastAsia="Arial" w:hAnsi="Arial"/>
                <w:sz w:val="29"/>
                <w:szCs w:val="29"/>
                <w:b w:val="1"/>
                <w:bCs w:val="1"/>
                <w:color w:val="auto"/>
                <w:w w:val="86"/>
                <w:vertAlign w:val="superscript"/>
              </w:rPr>
              <w:t>(1)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center"/>
              <w:ind w:right="280"/>
              <w:spacing w:after="0" w:line="269" w:lineRule="exact"/>
              <w:rPr>
                <w:sz w:val="20"/>
                <w:szCs w:val="20"/>
                <w:color w:val="auto"/>
              </w:rPr>
            </w:pPr>
            <w:r>
              <w:rPr>
                <w:rFonts w:ascii="Arial" w:cs="Arial" w:eastAsia="Arial" w:hAnsi="Arial"/>
                <w:sz w:val="31"/>
                <w:szCs w:val="31"/>
                <w:b w:val="1"/>
                <w:bCs w:val="1"/>
                <w:color w:val="auto"/>
                <w:w w:val="87"/>
                <w:vertAlign w:val="subscript"/>
              </w:rPr>
              <w:t>Price</w:t>
            </w:r>
            <w:r>
              <w:rPr>
                <w:rFonts w:ascii="Arial" w:cs="Arial" w:eastAsia="Arial" w:hAnsi="Arial"/>
                <w:sz w:val="14"/>
                <w:szCs w:val="14"/>
                <w:b w:val="1"/>
                <w:bCs w:val="1"/>
                <w:color w:val="auto"/>
                <w:w w:val="87"/>
              </w:rPr>
              <w:t>(1)(2)</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center"/>
              <w:ind w:right="245"/>
              <w:spacing w:after="0"/>
              <w:rPr>
                <w:sz w:val="20"/>
                <w:szCs w:val="20"/>
                <w:color w:val="auto"/>
              </w:rPr>
            </w:pPr>
            <w:r>
              <w:rPr>
                <w:rFonts w:ascii="Arial" w:cs="Arial" w:eastAsia="Arial" w:hAnsi="Arial"/>
                <w:sz w:val="18"/>
                <w:szCs w:val="18"/>
                <w:b w:val="1"/>
                <w:bCs w:val="1"/>
                <w:color w:val="auto"/>
                <w:w w:val="83"/>
              </w:rPr>
              <w:t>Fee</w:t>
            </w:r>
          </w:p>
        </w:tc>
        <w:tc>
          <w:tcPr>
            <w:tcW w:w="0" w:type="dxa"/>
            <w:vAlign w:val="bottom"/>
          </w:tcPr>
          <w:p>
            <w:pPr>
              <w:spacing w:after="0"/>
              <w:rPr>
                <w:sz w:val="1"/>
                <w:szCs w:val="1"/>
                <w:color w:val="auto"/>
              </w:rPr>
            </w:pPr>
          </w:p>
        </w:tc>
      </w:tr>
      <w:tr>
        <w:trPr>
          <w:trHeight w:val="195"/>
        </w:trPr>
        <w:tc>
          <w:tcPr>
            <w:tcW w:w="484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1"/>
              </w:rPr>
              <w:t>Units, each consisting of one share of common stock, $0.0001 par</w:t>
            </w:r>
          </w:p>
        </w:tc>
        <w:tc>
          <w:tcPr>
            <w:tcW w:w="2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value and one-half of one redeemable warrant entitling the</w:t>
            </w: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080" w:type="dxa"/>
            <w:vAlign w:val="bottom"/>
            <w:gridSpan w:val="3"/>
            <w:shd w:val="clear" w:color="auto" w:fill="CCEEFF"/>
          </w:tcPr>
          <w:p>
            <w:pPr>
              <w:ind w:left="180"/>
              <w:spacing w:after="0" w:line="267" w:lineRule="exact"/>
              <w:rPr>
                <w:sz w:val="20"/>
                <w:szCs w:val="20"/>
                <w:color w:val="auto"/>
              </w:rPr>
            </w:pPr>
            <w:r>
              <w:rPr>
                <w:rFonts w:ascii="Arial" w:cs="Arial" w:eastAsia="Arial" w:hAnsi="Arial"/>
                <w:sz w:val="18"/>
                <w:szCs w:val="18"/>
                <w:color w:val="auto"/>
              </w:rPr>
              <w:t>holder to purchase one share of common stock</w:t>
            </w:r>
            <w:r>
              <w:rPr>
                <w:rFonts w:ascii="Arial" w:cs="Arial" w:eastAsia="Arial" w:hAnsi="Arial"/>
                <w:sz w:val="29"/>
                <w:szCs w:val="29"/>
                <w:color w:val="auto"/>
                <w:vertAlign w:val="superscript"/>
              </w:rPr>
              <w:t>(2)</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12,546.50</w:t>
            </w:r>
          </w:p>
        </w:tc>
        <w:tc>
          <w:tcPr>
            <w:tcW w:w="0" w:type="dxa"/>
            <w:vAlign w:val="bottom"/>
          </w:tcPr>
          <w:p>
            <w:pPr>
              <w:spacing w:after="0"/>
              <w:rPr>
                <w:sz w:val="1"/>
                <w:szCs w:val="1"/>
                <w:color w:val="auto"/>
              </w:rPr>
            </w:pPr>
          </w:p>
        </w:tc>
      </w:tr>
      <w:tr>
        <w:trPr>
          <w:trHeight w:val="205"/>
        </w:trPr>
        <w:tc>
          <w:tcPr>
            <w:tcW w:w="5080" w:type="dxa"/>
            <w:vAlign w:val="bottom"/>
            <w:gridSpan w:val="3"/>
          </w:tcPr>
          <w:p>
            <w:pPr>
              <w:spacing w:after="0" w:line="206" w:lineRule="exact"/>
              <w:rPr>
                <w:sz w:val="20"/>
                <w:szCs w:val="20"/>
                <w:color w:val="auto"/>
              </w:rPr>
            </w:pPr>
            <w:r>
              <w:rPr>
                <w:rFonts w:ascii="Arial" w:cs="Arial" w:eastAsia="Arial" w:hAnsi="Arial"/>
                <w:sz w:val="18"/>
                <w:szCs w:val="18"/>
                <w:color w:val="auto"/>
                <w:w w:val="99"/>
              </w:rPr>
              <w:t>Shares of common stock, $0.0001 par value, included as part of</w:t>
            </w: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5080" w:type="dxa"/>
            <w:vAlign w:val="bottom"/>
            <w:gridSpan w:val="3"/>
          </w:tcPr>
          <w:p>
            <w:pPr>
              <w:ind w:left="180"/>
              <w:spacing w:after="0" w:line="267" w:lineRule="exact"/>
              <w:rPr>
                <w:sz w:val="20"/>
                <w:szCs w:val="20"/>
                <w:color w:val="auto"/>
              </w:rPr>
            </w:pPr>
            <w:r>
              <w:rPr>
                <w:rFonts w:ascii="Arial" w:cs="Arial" w:eastAsia="Arial" w:hAnsi="Arial"/>
                <w:sz w:val="18"/>
                <w:szCs w:val="18"/>
                <w:color w:val="auto"/>
              </w:rPr>
              <w:t>the units</w:t>
            </w:r>
            <w:r>
              <w:rPr>
                <w:rFonts w:ascii="Arial" w:cs="Arial" w:eastAsia="Arial" w:hAnsi="Arial"/>
                <w:sz w:val="29"/>
                <w:szCs w:val="29"/>
                <w:color w:val="auto"/>
                <w:vertAlign w:val="superscript"/>
              </w:rPr>
              <w:t>(3)</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11,500,000</w:t>
            </w:r>
          </w:p>
        </w:tc>
        <w:tc>
          <w:tcPr>
            <w:tcW w:w="14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7"/>
        </w:trPr>
        <w:tc>
          <w:tcPr>
            <w:tcW w:w="50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Redeemable warrants included as part of the units</w:t>
            </w:r>
            <w:r>
              <w:rPr>
                <w:rFonts w:ascii="Arial" w:cs="Arial" w:eastAsia="Arial" w:hAnsi="Arial"/>
                <w:sz w:val="29"/>
                <w:szCs w:val="29"/>
                <w:color w:val="auto"/>
                <w:vertAlign w:val="superscript"/>
              </w:rPr>
              <w:t>(3)</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5,750,000</w:t>
            </w: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2"/>
        </w:trPr>
        <w:tc>
          <w:tcPr>
            <w:tcW w:w="5080" w:type="dxa"/>
            <w:vAlign w:val="bottom"/>
            <w:gridSpan w:val="3"/>
          </w:tcPr>
          <w:p>
            <w:pPr>
              <w:spacing w:after="0" w:line="201" w:lineRule="exact"/>
              <w:rPr>
                <w:sz w:val="20"/>
                <w:szCs w:val="20"/>
                <w:color w:val="auto"/>
              </w:rPr>
            </w:pPr>
            <w:r>
              <w:rPr>
                <w:rFonts w:ascii="Arial" w:cs="Arial" w:eastAsia="Arial" w:hAnsi="Arial"/>
                <w:sz w:val="18"/>
                <w:szCs w:val="18"/>
                <w:color w:val="auto"/>
              </w:rPr>
              <w:t>Shares of common stock underlying the redeemable warrants</w:t>
            </w:r>
          </w:p>
        </w:tc>
        <w:tc>
          <w:tcPr>
            <w:tcW w:w="160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5,750,000</w:t>
            </w:r>
          </w:p>
        </w:tc>
        <w:tc>
          <w:tcPr>
            <w:tcW w:w="140" w:type="dxa"/>
            <w:vAlign w:val="bottom"/>
          </w:tcPr>
          <w:p>
            <w:pPr>
              <w:spacing w:after="0"/>
              <w:rPr>
                <w:sz w:val="17"/>
                <w:szCs w:val="17"/>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11.50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66,125,000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vMerge w:val="restart"/>
          </w:tcPr>
          <w:p>
            <w:pPr>
              <w:jc w:val="right"/>
              <w:ind w:right="145"/>
              <w:spacing w:after="0"/>
              <w:rPr>
                <w:sz w:val="20"/>
                <w:szCs w:val="20"/>
                <w:color w:val="auto"/>
              </w:rPr>
            </w:pPr>
            <w:r>
              <w:rPr>
                <w:rFonts w:ascii="Arial" w:cs="Arial" w:eastAsia="Arial" w:hAnsi="Arial"/>
                <w:sz w:val="18"/>
                <w:szCs w:val="18"/>
                <w:color w:val="auto"/>
              </w:rPr>
              <w:t>7,214.25</w:t>
            </w:r>
          </w:p>
        </w:tc>
        <w:tc>
          <w:tcPr>
            <w:tcW w:w="0" w:type="dxa"/>
            <w:vAlign w:val="bottom"/>
          </w:tcPr>
          <w:p>
            <w:pPr>
              <w:spacing w:after="0"/>
              <w:rPr>
                <w:sz w:val="1"/>
                <w:szCs w:val="1"/>
                <w:color w:val="auto"/>
              </w:rPr>
            </w:pPr>
          </w:p>
        </w:tc>
      </w:tr>
      <w:tr>
        <w:trPr>
          <w:trHeight w:val="29"/>
        </w:trPr>
        <w:tc>
          <w:tcPr>
            <w:tcW w:w="5080" w:type="dxa"/>
            <w:vAlign w:val="bottom"/>
            <w:gridSpan w:val="3"/>
          </w:tcPr>
          <w:p>
            <w:pPr>
              <w:ind w:left="180"/>
              <w:spacing w:after="0" w:line="30" w:lineRule="exact"/>
              <w:rPr>
                <w:sz w:val="20"/>
                <w:szCs w:val="20"/>
                <w:color w:val="auto"/>
              </w:rPr>
            </w:pPr>
            <w:r>
              <w:rPr>
                <w:rFonts w:ascii="Arial" w:cs="Arial" w:eastAsia="Arial" w:hAnsi="Arial"/>
                <w:sz w:val="3"/>
                <w:szCs w:val="3"/>
                <w:color w:val="auto"/>
              </w:rPr>
              <w:t>included as part of the units</w:t>
            </w:r>
          </w:p>
        </w:tc>
        <w:tc>
          <w:tcPr>
            <w:tcW w:w="16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8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5"/>
        </w:trPr>
        <w:tc>
          <w:tcPr>
            <w:tcW w:w="50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181,125,000.00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19,760.75</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(6)</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tcBorders>
              <w:bottom w:val="single" w:sz="8" w:color="auto"/>
            </w:tcBorders>
          </w:tcPr>
          <w:p>
            <w:pPr>
              <w:spacing w:after="0"/>
              <w:rPr>
                <w:sz w:val="17"/>
                <w:szCs w:val="17"/>
                <w:color w:val="auto"/>
              </w:rPr>
            </w:pPr>
          </w:p>
        </w:tc>
        <w:tc>
          <w:tcPr>
            <w:tcW w:w="2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pursuant to Rule 457(o) under the Securities Act of 1933, as amended.</w:t>
      </w:r>
    </w:p>
    <w:p>
      <w:pPr>
        <w:spacing w:after="0" w:line="34" w:lineRule="exact"/>
        <w:rPr>
          <w:rFonts w:ascii="Arial" w:cs="Arial" w:eastAsia="Arial" w:hAnsi="Arial"/>
          <w:sz w:val="17"/>
          <w:szCs w:val="17"/>
          <w:color w:val="auto"/>
        </w:rPr>
      </w:pPr>
    </w:p>
    <w:p>
      <w:pPr>
        <w:jc w:val="both"/>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(A) the aggregate of 10,000,000 units to be issued to public stockholders in the public offering, and 1,500,000 units which may be issued upon exercise of a 45-day option granted to the Underwriters to cover over-allotments, if any; and (B) shares of common stock and warrants underlying such units.</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there are also being registered an indeterminable number of additional securities as may be issued to prevent dilution resulting from share sub-divisions, share dividends or similar transactions.</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 under the Securities Act.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457(g), based on the exercise price of the warrants.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07"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D2232A"/>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76" w:lineRule="exact"/>
        <w:rPr>
          <w:sz w:val="20"/>
          <w:szCs w:val="20"/>
          <w:color w:val="auto"/>
        </w:rPr>
      </w:pPr>
    </w:p>
    <w:p>
      <w:pPr>
        <w:spacing w:after="0"/>
        <w:tabs>
          <w:tab w:leader="none" w:pos="6900" w:val="left"/>
        </w:tabs>
        <w:rPr>
          <w:sz w:val="20"/>
          <w:szCs w:val="20"/>
          <w:color w:val="auto"/>
        </w:rPr>
      </w:pPr>
      <w:r>
        <w:rPr>
          <w:rFonts w:ascii="Arial" w:cs="Arial" w:eastAsia="Arial" w:hAnsi="Arial"/>
          <w:sz w:val="18"/>
          <w:szCs w:val="18"/>
          <w:b w:val="1"/>
          <w:bCs w:val="1"/>
          <w:color w:val="D2232A"/>
        </w:rPr>
        <w:t>PRELIMINARY PROSPECTUS</w:t>
      </w:r>
      <w:r>
        <w:rPr>
          <w:sz w:val="20"/>
          <w:szCs w:val="20"/>
          <w:color w:val="auto"/>
        </w:rPr>
        <w:tab/>
      </w:r>
      <w:r>
        <w:rPr>
          <w:rFonts w:ascii="Arial" w:cs="Arial" w:eastAsia="Arial" w:hAnsi="Arial"/>
          <w:sz w:val="17"/>
          <w:szCs w:val="17"/>
          <w:b w:val="1"/>
          <w:bCs w:val="1"/>
          <w:color w:val="D2232A"/>
        </w:rPr>
        <w:t xml:space="preserve">SUBJECT TO COMPLETION, DATED </w:t>
      </w:r>
      <w:r>
        <w:rPr>
          <w:rFonts w:ascii="Arial" w:cs="Arial" w:eastAsia="Arial" w:hAnsi="Arial"/>
          <w:sz w:val="17"/>
          <w:szCs w:val="17"/>
          <w:b w:val="1"/>
          <w:bCs w:val="1"/>
          <w:color w:val="C00000"/>
        </w:rPr>
        <w:t>JULY 23,</w:t>
      </w:r>
      <w:r>
        <w:rPr>
          <w:rFonts w:ascii="Arial" w:cs="Arial" w:eastAsia="Arial" w:hAnsi="Arial"/>
          <w:sz w:val="17"/>
          <w:szCs w:val="17"/>
          <w:b w:val="1"/>
          <w:bCs w:val="1"/>
          <w:color w:val="D2232A"/>
        </w:rPr>
        <w:t xml:space="preserve"> 2021</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$100,000,000</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CHARDAN NEXTECH ACQUISITION 2 CORP.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10,000,000 UNITS</w:t>
      </w:r>
    </w:p>
    <w:p>
      <w:pPr>
        <w:spacing w:after="0" w:line="2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Chardan NexTech Acquisition 2 Corp., which we refer to as “we,” “us” or “our company,” is a newly organized blank check company incorporated in Delaware and formed for the purpose of entering into a merger, share exchange, asset acquisition, stock purchase, recapitalization, reorganization or other similar business combination with one or more businesses or entities, which we refer to throughout this prospectus as our “initial business combination.” Although we are not limited to a particular industry or geographic region for purposes of consummating an initial business combination, we intend to focus our search on disruptive technology companies.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is an initial public offering of our securities. We are offering 10,000,000 units at an offering price of $10.00 per unit. Each unit consists of one share of common stock, par value $0.0001, and one-half of one warrant, which we refer to throughout this prospectus as “warrants” or the “public warrants.” Each whole warrant entitles the holder thereof to purchase one share of common stock at a price of $11.50 per share, subject to adjustment, terms and limitations as described in the prospectus. Only whole warrants are exercisable. Each warrant will become exercisable 30 days after the consummation of an initial business combination, and will expire five years after the completion of an initial business combination, or earlier upon redemption.</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granted Chardan Capital Markets, LLC, the representative of the underwriters, a 45-day option to purchase up to an additional 1,500,000 units (over and above the 10,000,000 units referred to above) solely to cover over-allotments, if any. Our sponsor, Chardan NexTech Investments 2 LLC, and certain of our officers and directors are affiliated with the representative of the underwriters. We have engaged B. Riley Securities, Inc. to act as a “qualified independent underwriter” for this offering.</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will provide the holders of our outstanding shares of common stock that were sold as part of the units in this offering with the opportunity to redeem their shares of common stock upon the consummation of our initial business combination at a per-share price, payable in cash, equal to the aggregate amount then on deposit in the trust account described below, including interest (net of taxes payable), divided by the number of then outstanding shares of common stock that were sold as part of the units in this offering, which we refer to as our “public shares.”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will have 15 months from the closing of this offering (or up to 18 months from the closing of this offering if we have executed a definitive agreement and filed a proxy statement for an initial business combination within 15 months from the closing of this offering) to consummate an initial business combination. In addition, if we anticipate that we may not be able to consummate our initial business combination within 15 months and we have not entered into a definitive agreement and filed a proxy statement for an initial business combination by such date (or 18 months if we have executed a definitive agreement and filed a proxy statement for an initial business combination within 15 months from the closing of this offering), our insiders or their affiliates may, but are not obligated to, extend the period of time to consummate a business combination up to two times by an additional three months each time (for a total of up to 21 months to complete a business combination), as described in more detail in this prospectus. Public stockholders will not be offered the opportunity to vote on or redeem their shares in connection with any such extension. If we are unable to consummate our initial business combination within the above time period, we will distribute the aggregate amount then on deposit in the trust account, pro rata to our public stockholders, by way of the redemption of their shares and thereafter cease all operations except for the purposes of winding up of our affairs, as further described herein. In such event, the warrants will expire and be worthless.</w:t>
      </w:r>
    </w:p>
    <w:p>
      <w:pPr>
        <w:spacing w:after="0" w:line="1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Chardan NexTech 2 Warrant Holdings LLC, an affiliate of our sponsor, has committed to purchase 4,200,000 warrants (or up to 4,385,185 warrants depending on the extent to which the underwriters’ over-allotment option is exercised) at a price of $0.81 per warrant ($3,402,000 (or up to $3,552,000 depending on the extent to which the underwriters’ over-allotment option is exercised)) in a private placement that will close simultaneously with the closing of this offering.</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Such shares are referred to herein as “founder shares,” which includes an aggregate of up to 375,000 shares that are subject to forfeiture to the extent that the underwriters’ over-allotment option is not exercised in full or in part.</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There is presently no public market for our units, common stock, or warrants. We have applied to have our units listed on the Nasdaq Capital Market, or the Nasdaq, under the symbol “CNTQU” on or promptly after the date of this prospectus. Once the securities comprising the units begin separate trading as described in this prospectus, the shares of common stock and warrants will be traded on the Nasdaq under the symbols “CNTQ” and “CNTQW,” respectively. We cannot assure you that our securities will continue to be listed on the Nasdaq 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firstLine="324"/>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of 2012 and will therefore be subject to reduced public company reporting requirements.</w:t>
      </w:r>
    </w:p>
    <w:p>
      <w:pPr>
        <w:spacing w:after="0" w:line="166"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Investing in our securities involves a high degree of risk.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28 of this prospectus for a discussion of information that should be considered in connection with an investment in our securities.</w:t>
      </w:r>
    </w:p>
    <w:p>
      <w:pPr>
        <w:spacing w:after="0" w:line="16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Underwriting</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Proceeds,</w:t>
            </w:r>
          </w:p>
        </w:tc>
      </w:tr>
      <w:tr>
        <w:trPr>
          <w:trHeight w:val="216"/>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Price to</w:t>
            </w:r>
          </w:p>
        </w:tc>
        <w:tc>
          <w:tcPr>
            <w:tcW w:w="8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Discount and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Before</w:t>
            </w:r>
          </w:p>
        </w:tc>
      </w:tr>
      <w:tr>
        <w:trPr>
          <w:trHeight w:val="270"/>
        </w:trPr>
        <w:tc>
          <w:tcPr>
            <w:tcW w:w="6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2"/>
              </w:rPr>
              <w:t>Public</w:t>
            </w:r>
          </w:p>
        </w:tc>
        <w:tc>
          <w:tcPr>
            <w:tcW w:w="1380" w:type="dxa"/>
            <w:vAlign w:val="bottom"/>
            <w:gridSpan w:val="3"/>
          </w:tcPr>
          <w:p>
            <w:pPr>
              <w:spacing w:after="0" w:line="270" w:lineRule="exact"/>
              <w:rPr>
                <w:sz w:val="20"/>
                <w:szCs w:val="20"/>
                <w:color w:val="auto"/>
              </w:rPr>
            </w:pPr>
            <w:r>
              <w:rPr>
                <w:rFonts w:ascii="Arial" w:cs="Arial" w:eastAsia="Arial" w:hAnsi="Arial"/>
                <w:sz w:val="18"/>
                <w:szCs w:val="18"/>
                <w:b w:val="1"/>
                <w:bCs w:val="1"/>
                <w:color w:val="auto"/>
                <w:w w:val="95"/>
              </w:rPr>
              <w:t>Commissions</w:t>
            </w:r>
            <w:r>
              <w:rPr>
                <w:rFonts w:ascii="Arial" w:cs="Arial" w:eastAsia="Arial" w:hAnsi="Arial"/>
                <w:sz w:val="29"/>
                <w:szCs w:val="29"/>
                <w:b w:val="1"/>
                <w:bCs w:val="1"/>
                <w:color w:val="auto"/>
                <w:w w:val="95"/>
                <w:vertAlign w:val="superscript"/>
              </w:rPr>
              <w:t>(1)</w:t>
            </w:r>
          </w:p>
        </w:tc>
        <w:tc>
          <w:tcPr>
            <w:tcW w:w="160" w:type="dxa"/>
            <w:vAlign w:val="bottom"/>
          </w:tcPr>
          <w:p>
            <w:pPr>
              <w:spacing w:after="0"/>
              <w:rPr>
                <w:sz w:val="23"/>
                <w:szCs w:val="23"/>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4"/>
              </w:rPr>
              <w:t>Expenses, to us</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 unit</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0.0050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100,000,000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99,500,000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both"/>
        <w:ind w:left="340" w:right="20" w:hanging="332"/>
        <w:spacing w:after="0" w:line="26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$100,000 payable to B. Riley Securities, Inc. for acting as a qualified independent underwriter. Such amount shall remain constant at $500,000, even if the over-allotment option is exercised. Please see the section titled “Underwriting” for further information relating to the underwriting arrangements agreed to between us and the underwriters in this offering.</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Upon consummation of the offering, $10.10 per unit sold to the public in this offering (whether or not the over-allotment option has been exercised in full or part) will be deposited into a United States-based trust account at Morgan Stanley with Continental Stock Transfer &amp; Trust Company acting as trustee. Except as described in this prospectus, these funds will not be released to us until the earlier of the completion of our initial business combination and our redemption of the public shares upon our failure to consummate a business combination within the required period.</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underwriters are offering the units on a firm commitment basis. Chardan, acting as the representative of the underwriters, expects to deliver the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color w:val="auto"/>
                <w:w w:val="99"/>
              </w:rPr>
              <w:t>units to purchasers on or about</w:t>
            </w:r>
          </w:p>
        </w:tc>
        <w:tc>
          <w:tcPr>
            <w:tcW w:w="76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5"/>
          <w:szCs w:val="25"/>
          <w:b w:val="1"/>
          <w:bCs w:val="1"/>
          <w:i w:val="1"/>
          <w:iCs w:val="1"/>
          <w:color w:val="auto"/>
        </w:rPr>
        <w:t>Chardan</w:t>
      </w:r>
    </w:p>
    <w:p>
      <w:pPr>
        <w:spacing w:after="0" w:line="224"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720" w:type="dxa"/>
            <w:vAlign w:val="bottom"/>
            <w:gridSpan w:val="7"/>
          </w:tcPr>
          <w:p>
            <w:pPr>
              <w:jc w:val="center"/>
              <w:ind w:right="2560"/>
              <w:spacing w:after="0"/>
              <w:rPr>
                <w:sz w:val="20"/>
                <w:szCs w:val="20"/>
                <w:color w:val="auto"/>
              </w:rPr>
            </w:pPr>
            <w:r>
              <w:rPr>
                <w:rFonts w:ascii="Arial" w:cs="Arial" w:eastAsia="Arial" w:hAnsi="Arial"/>
                <w:sz w:val="18"/>
                <w:szCs w:val="18"/>
                <w:b w:val="1"/>
                <w:bCs w:val="1"/>
                <w:color w:val="auto"/>
              </w:rPr>
              <w:t>CHARDAN NEXTECH ACQUISITION 2 CORP.</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40" w:type="dxa"/>
            <w:vAlign w:val="bottom"/>
            <w:gridSpan w:val="4"/>
          </w:tcPr>
          <w:p>
            <w:pPr>
              <w:jc w:val="center"/>
              <w:ind w:right="394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29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84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69"/>
        </w:trPr>
        <w:tc>
          <w:tcPr>
            <w:tcW w:w="10760" w:type="dxa"/>
            <w:vAlign w:val="bottom"/>
            <w:gridSpan w:val="19"/>
            <w:shd w:val="clear" w:color="auto" w:fill="CCEEFF"/>
          </w:tcPr>
          <w:p>
            <w:pPr>
              <w:spacing w:after="0" w:line="169"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340" w:type="dxa"/>
            <w:vAlign w:val="bottom"/>
            <w:gridSpan w:val="6"/>
            <w:shd w:val="clear" w:color="auto" w:fill="CCEEFF"/>
          </w:tcPr>
          <w:p>
            <w:pPr>
              <w:jc w:val="center"/>
              <w:ind w:left="50"/>
              <w:spacing w:after="0" w:line="169"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1</w:t>
              </w:r>
            </w:hyperlink>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760" w:type="dxa"/>
            <w:vAlign w:val="bottom"/>
            <w:gridSpan w:val="19"/>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SUMMARY FINANCIAL DATA</w:t>
              </w:r>
            </w:hyperlink>
          </w:p>
        </w:tc>
        <w:tc>
          <w:tcPr>
            <w:tcW w:w="340" w:type="dxa"/>
            <w:vAlign w:val="bottom"/>
            <w:gridSpan w:val="6"/>
          </w:tcPr>
          <w:p>
            <w:pPr>
              <w:jc w:val="center"/>
              <w:ind w:left="70"/>
              <w:spacing w:after="0" w:line="17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26</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CAUTIONARY NOTE REGARDING FORWARD-LOOKING STATEMENTS AND RISK FACTOR SUMMARY</w:t>
              </w:r>
            </w:hyperlink>
          </w:p>
        </w:tc>
        <w:tc>
          <w:tcPr>
            <w:tcW w:w="340" w:type="dxa"/>
            <w:vAlign w:val="bottom"/>
            <w:gridSpan w:val="6"/>
            <w:shd w:val="clear" w:color="auto" w:fill="CCEEFF"/>
          </w:tcPr>
          <w:p>
            <w:pPr>
              <w:jc w:val="center"/>
              <w:ind w:left="70"/>
              <w:spacing w:after="0" w:line="17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27</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9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380" w:type="dxa"/>
            <w:vAlign w:val="bottom"/>
            <w:gridSpan w:val="17"/>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2380" w:type="dxa"/>
            <w:vAlign w:val="bottom"/>
            <w:gridSpan w:val="2"/>
          </w:tcPr>
          <w:p>
            <w:pPr>
              <w:spacing w:after="0"/>
              <w:rPr>
                <w:sz w:val="15"/>
                <w:szCs w:val="15"/>
                <w:color w:val="auto"/>
              </w:rPr>
            </w:pPr>
          </w:p>
        </w:tc>
        <w:tc>
          <w:tcPr>
            <w:tcW w:w="340" w:type="dxa"/>
            <w:vAlign w:val="bottom"/>
            <w:gridSpan w:val="6"/>
          </w:tcPr>
          <w:p>
            <w:pPr>
              <w:jc w:val="center"/>
              <w:ind w:left="70"/>
              <w:spacing w:after="0" w:line="17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28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USE OF PROCEEDS</w:t>
              </w:r>
            </w:hyperlink>
          </w:p>
        </w:tc>
        <w:tc>
          <w:tcPr>
            <w:tcW w:w="340" w:type="dxa"/>
            <w:vAlign w:val="bottom"/>
            <w:gridSpan w:val="6"/>
            <w:shd w:val="clear" w:color="auto" w:fill="CCEEFF"/>
          </w:tcPr>
          <w:p>
            <w:pPr>
              <w:jc w:val="center"/>
              <w:ind w:left="70"/>
              <w:spacing w:after="0" w:line="17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64</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760" w:type="dxa"/>
            <w:vAlign w:val="bottom"/>
            <w:gridSpan w:val="19"/>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DIVIDEND POLICY</w:t>
              </w:r>
            </w:hyperlink>
          </w:p>
        </w:tc>
        <w:tc>
          <w:tcPr>
            <w:tcW w:w="340" w:type="dxa"/>
            <w:vAlign w:val="bottom"/>
            <w:gridSpan w:val="6"/>
          </w:tcPr>
          <w:p>
            <w:pPr>
              <w:jc w:val="center"/>
              <w:ind w:left="70"/>
              <w:spacing w:after="0" w:line="17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67</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DILUTION</w:t>
              </w:r>
            </w:hyperlink>
          </w:p>
        </w:tc>
        <w:tc>
          <w:tcPr>
            <w:tcW w:w="340" w:type="dxa"/>
            <w:vAlign w:val="bottom"/>
            <w:gridSpan w:val="6"/>
            <w:shd w:val="clear" w:color="auto" w:fill="CCEEFF"/>
          </w:tcPr>
          <w:p>
            <w:pPr>
              <w:jc w:val="center"/>
              <w:ind w:left="70"/>
              <w:spacing w:after="0" w:line="17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68</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760" w:type="dxa"/>
            <w:vAlign w:val="bottom"/>
            <w:gridSpan w:val="19"/>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CAPITALIZATION</w:t>
              </w:r>
            </w:hyperlink>
          </w:p>
        </w:tc>
        <w:tc>
          <w:tcPr>
            <w:tcW w:w="340" w:type="dxa"/>
            <w:vAlign w:val="bottom"/>
            <w:gridSpan w:val="6"/>
          </w:tcPr>
          <w:p>
            <w:pPr>
              <w:jc w:val="center"/>
              <w:ind w:left="70"/>
              <w:spacing w:after="0" w:line="17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70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6"/>
            <w:shd w:val="clear" w:color="auto" w:fill="CCEEFF"/>
          </w:tcPr>
          <w:p>
            <w:pPr>
              <w:jc w:val="center"/>
              <w:ind w:left="70"/>
              <w:spacing w:after="0" w:line="17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71</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9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920" w:type="dxa"/>
            <w:vAlign w:val="bottom"/>
            <w:gridSpan w:val="18"/>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PROPOSED BUSINESS</w:t>
              </w:r>
            </w:hyperlink>
          </w:p>
        </w:tc>
        <w:tc>
          <w:tcPr>
            <w:tcW w:w="1840" w:type="dxa"/>
            <w:vAlign w:val="bottom"/>
          </w:tcPr>
          <w:p>
            <w:pPr>
              <w:spacing w:after="0"/>
              <w:rPr>
                <w:sz w:val="15"/>
                <w:szCs w:val="15"/>
                <w:color w:val="auto"/>
              </w:rPr>
            </w:pPr>
          </w:p>
        </w:tc>
        <w:tc>
          <w:tcPr>
            <w:tcW w:w="340" w:type="dxa"/>
            <w:vAlign w:val="bottom"/>
            <w:gridSpan w:val="6"/>
          </w:tcPr>
          <w:p>
            <w:pPr>
              <w:jc w:val="center"/>
              <w:ind w:left="70"/>
              <w:spacing w:after="0" w:line="17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76</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112">
              <w:r>
                <w:rPr>
                  <w:rFonts w:ascii="Arial" w:cs="Arial" w:eastAsia="Arial" w:hAnsi="Arial"/>
                  <w:sz w:val="18"/>
                  <w:szCs w:val="18"/>
                  <w:color w:val="0000EE"/>
                </w:rPr>
                <w:t>MANAGEMENT</w:t>
              </w:r>
            </w:hyperlink>
          </w:p>
        </w:tc>
        <w:tc>
          <w:tcPr>
            <w:tcW w:w="480" w:type="dxa"/>
            <w:vAlign w:val="bottom"/>
            <w:gridSpan w:val="9"/>
            <w:shd w:val="clear" w:color="auto" w:fill="CCEEFF"/>
          </w:tcPr>
          <w:p>
            <w:pPr>
              <w:jc w:val="center"/>
              <w:spacing w:after="0" w:line="176" w:lineRule="exact"/>
              <w:rPr>
                <w:rFonts w:ascii="Arial" w:cs="Arial" w:eastAsia="Arial" w:hAnsi="Arial"/>
                <w:sz w:val="18"/>
                <w:szCs w:val="18"/>
                <w:color w:val="0000EE"/>
                <w:w w:val="93"/>
              </w:rPr>
            </w:pPr>
            <w:hyperlink w:anchor="page112">
              <w:r>
                <w:rPr>
                  <w:rFonts w:ascii="Arial" w:cs="Arial" w:eastAsia="Arial" w:hAnsi="Arial"/>
                  <w:sz w:val="18"/>
                  <w:szCs w:val="18"/>
                  <w:color w:val="0000EE"/>
                  <w:w w:val="93"/>
                </w:rPr>
                <w:t>104</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760" w:type="dxa"/>
            <w:vAlign w:val="bottom"/>
            <w:gridSpan w:val="19"/>
          </w:tcPr>
          <w:p>
            <w:pPr>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PRINCIPAL STOCKHOLDERS</w:t>
              </w:r>
            </w:hyperlink>
          </w:p>
        </w:tc>
        <w:tc>
          <w:tcPr>
            <w:tcW w:w="380" w:type="dxa"/>
            <w:vAlign w:val="bottom"/>
            <w:gridSpan w:val="8"/>
          </w:tcPr>
          <w:p>
            <w:pPr>
              <w:jc w:val="center"/>
              <w:ind w:left="30"/>
              <w:spacing w:after="0" w:line="176" w:lineRule="exact"/>
              <w:rPr>
                <w:rFonts w:ascii="Arial" w:cs="Arial" w:eastAsia="Arial" w:hAnsi="Arial"/>
                <w:sz w:val="18"/>
                <w:szCs w:val="18"/>
                <w:color w:val="0000EE"/>
                <w:w w:val="86"/>
              </w:rPr>
            </w:pPr>
            <w:hyperlink w:anchor="page124">
              <w:r>
                <w:rPr>
                  <w:rFonts w:ascii="Arial" w:cs="Arial" w:eastAsia="Arial" w:hAnsi="Arial"/>
                  <w:sz w:val="18"/>
                  <w:szCs w:val="18"/>
                  <w:color w:val="0000EE"/>
                  <w:w w:val="86"/>
                </w:rPr>
                <w:t>115</w:t>
              </w:r>
            </w:hyperlink>
          </w:p>
        </w:tc>
        <w:tc>
          <w:tcPr>
            <w:tcW w:w="10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5480" w:type="dxa"/>
            <w:vAlign w:val="bottom"/>
            <w:gridSpan w:val="16"/>
            <w:shd w:val="clear" w:color="auto" w:fill="CCEEFF"/>
          </w:tcPr>
          <w:p>
            <w:pPr>
              <w:spacing w:after="0" w:line="176" w:lineRule="exact"/>
              <w:rPr>
                <w:rFonts w:ascii="Arial" w:cs="Arial" w:eastAsia="Arial" w:hAnsi="Arial"/>
                <w:sz w:val="18"/>
                <w:szCs w:val="18"/>
                <w:color w:val="0000EE"/>
                <w:w w:val="95"/>
              </w:rPr>
            </w:pPr>
            <w:hyperlink w:anchor="page127">
              <w:r>
                <w:rPr>
                  <w:rFonts w:ascii="Arial" w:cs="Arial" w:eastAsia="Arial" w:hAnsi="Arial"/>
                  <w:sz w:val="18"/>
                  <w:szCs w:val="18"/>
                  <w:color w:val="0000EE"/>
                  <w:w w:val="95"/>
                </w:rPr>
                <w:t>CERTAIN RELATIONSHIPS AND RELATED PARTY TRANSACTIONS</w:t>
              </w:r>
            </w:hyperlink>
          </w:p>
        </w:tc>
        <w:tc>
          <w:tcPr>
            <w:tcW w:w="5280" w:type="dxa"/>
            <w:vAlign w:val="bottom"/>
            <w:gridSpan w:val="3"/>
            <w:shd w:val="clear" w:color="auto" w:fill="CCEEFF"/>
          </w:tcPr>
          <w:p>
            <w:pPr>
              <w:spacing w:after="0"/>
              <w:rPr>
                <w:sz w:val="15"/>
                <w:szCs w:val="15"/>
                <w:color w:val="auto"/>
              </w:rPr>
            </w:pPr>
          </w:p>
        </w:tc>
        <w:tc>
          <w:tcPr>
            <w:tcW w:w="380" w:type="dxa"/>
            <w:vAlign w:val="bottom"/>
            <w:gridSpan w:val="8"/>
            <w:shd w:val="clear" w:color="auto" w:fill="CCEEFF"/>
          </w:tcPr>
          <w:p>
            <w:pPr>
              <w:jc w:val="center"/>
              <w:ind w:left="30"/>
              <w:spacing w:after="0" w:line="176" w:lineRule="exact"/>
              <w:rPr>
                <w:rFonts w:ascii="Arial" w:cs="Arial" w:eastAsia="Arial" w:hAnsi="Arial"/>
                <w:sz w:val="18"/>
                <w:szCs w:val="18"/>
                <w:color w:val="0000EE"/>
                <w:w w:val="86"/>
              </w:rPr>
            </w:pPr>
            <w:hyperlink w:anchor="page127">
              <w:r>
                <w:rPr>
                  <w:rFonts w:ascii="Arial" w:cs="Arial" w:eastAsia="Arial" w:hAnsi="Arial"/>
                  <w:sz w:val="18"/>
                  <w:szCs w:val="18"/>
                  <w:color w:val="0000EE"/>
                  <w:w w:val="86"/>
                </w:rPr>
                <w:t>118</w:t>
              </w:r>
            </w:hyperlink>
          </w:p>
        </w:tc>
        <w:tc>
          <w:tcPr>
            <w:tcW w:w="10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480" w:type="dxa"/>
            <w:vAlign w:val="bottom"/>
            <w:gridSpan w:val="16"/>
          </w:tcPr>
          <w:p>
            <w:pPr>
              <w:spacing w:after="0" w:line="176" w:lineRule="exact"/>
              <w:rPr>
                <w:rFonts w:ascii="Arial" w:cs="Arial" w:eastAsia="Arial" w:hAnsi="Arial"/>
                <w:sz w:val="18"/>
                <w:szCs w:val="18"/>
                <w:color w:val="0000EE"/>
              </w:rPr>
            </w:pPr>
            <w:hyperlink w:anchor="page131">
              <w:r>
                <w:rPr>
                  <w:rFonts w:ascii="Arial" w:cs="Arial" w:eastAsia="Arial" w:hAnsi="Arial"/>
                  <w:sz w:val="18"/>
                  <w:szCs w:val="18"/>
                  <w:color w:val="0000EE"/>
                </w:rPr>
                <w:t>DESCRIPTION OF SECURITIES</w:t>
              </w:r>
            </w:hyperlink>
          </w:p>
        </w:tc>
        <w:tc>
          <w:tcPr>
            <w:tcW w:w="5280" w:type="dxa"/>
            <w:vAlign w:val="bottom"/>
            <w:gridSpan w:val="3"/>
          </w:tcPr>
          <w:p>
            <w:pPr>
              <w:spacing w:after="0"/>
              <w:rPr>
                <w:sz w:val="15"/>
                <w:szCs w:val="15"/>
                <w:color w:val="auto"/>
              </w:rPr>
            </w:pPr>
          </w:p>
        </w:tc>
        <w:tc>
          <w:tcPr>
            <w:tcW w:w="480" w:type="dxa"/>
            <w:vAlign w:val="bottom"/>
            <w:gridSpan w:val="9"/>
          </w:tcPr>
          <w:p>
            <w:pPr>
              <w:jc w:val="center"/>
              <w:spacing w:after="0" w:line="176" w:lineRule="exact"/>
              <w:rPr>
                <w:rFonts w:ascii="Arial" w:cs="Arial" w:eastAsia="Arial" w:hAnsi="Arial"/>
                <w:sz w:val="18"/>
                <w:szCs w:val="18"/>
                <w:color w:val="0000EE"/>
                <w:w w:val="93"/>
              </w:rPr>
            </w:pPr>
            <w:hyperlink w:anchor="page131">
              <w:r>
                <w:rPr>
                  <w:rFonts w:ascii="Arial" w:cs="Arial" w:eastAsia="Arial" w:hAnsi="Arial"/>
                  <w:sz w:val="18"/>
                  <w:szCs w:val="18"/>
                  <w:color w:val="0000EE"/>
                  <w:w w:val="93"/>
                </w:rPr>
                <w:t>121</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145">
              <w:r>
                <w:rPr>
                  <w:rFonts w:ascii="Arial" w:cs="Arial" w:eastAsia="Arial" w:hAnsi="Arial"/>
                  <w:sz w:val="18"/>
                  <w:szCs w:val="18"/>
                  <w:color w:val="0000EE"/>
                </w:rPr>
                <w:t>U.S. FEDERAL INCOME TAX CONSIDERATIONS</w:t>
              </w:r>
            </w:hyperlink>
          </w:p>
        </w:tc>
        <w:tc>
          <w:tcPr>
            <w:tcW w:w="480" w:type="dxa"/>
            <w:vAlign w:val="bottom"/>
            <w:gridSpan w:val="9"/>
            <w:shd w:val="clear" w:color="auto" w:fill="CCEEFF"/>
          </w:tcPr>
          <w:p>
            <w:pPr>
              <w:jc w:val="center"/>
              <w:spacing w:after="0" w:line="176" w:lineRule="exact"/>
              <w:rPr>
                <w:rFonts w:ascii="Arial" w:cs="Arial" w:eastAsia="Arial" w:hAnsi="Arial"/>
                <w:sz w:val="18"/>
                <w:szCs w:val="18"/>
                <w:color w:val="0000EE"/>
                <w:w w:val="93"/>
              </w:rPr>
            </w:pPr>
            <w:hyperlink w:anchor="page145">
              <w:r>
                <w:rPr>
                  <w:rFonts w:ascii="Arial" w:cs="Arial" w:eastAsia="Arial" w:hAnsi="Arial"/>
                  <w:sz w:val="18"/>
                  <w:szCs w:val="18"/>
                  <w:color w:val="0000EE"/>
                  <w:w w:val="93"/>
                </w:rPr>
                <w:t>134</w:t>
              </w:r>
            </w:hyperlink>
          </w:p>
        </w:tc>
      </w:tr>
      <w:tr>
        <w:trPr>
          <w:trHeight w:val="175"/>
        </w:trPr>
        <w:tc>
          <w:tcPr>
            <w:tcW w:w="392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154">
              <w:r>
                <w:rPr>
                  <w:rFonts w:ascii="Arial" w:cs="Arial" w:eastAsia="Arial" w:hAnsi="Arial"/>
                  <w:sz w:val="18"/>
                  <w:szCs w:val="18"/>
                  <w:color w:val="0000EE"/>
                </w:rPr>
                <w:t>UNDERWRITING (CONFLICTS OF INTEREST)</w:t>
              </w:r>
            </w:hyperlink>
          </w:p>
        </w:tc>
        <w:tc>
          <w:tcPr>
            <w:tcW w:w="6840" w:type="dxa"/>
            <w:vAlign w:val="bottom"/>
            <w:tcBorders>
              <w:top w:val="single" w:sz="8" w:color="CCEEFF"/>
            </w:tcBorders>
            <w:gridSpan w:val="5"/>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80" w:type="dxa"/>
            <w:vAlign w:val="bottom"/>
            <w:tcBorders>
              <w:top w:val="single" w:sz="8" w:color="0000EE"/>
            </w:tcBorders>
            <w:gridSpan w:val="7"/>
          </w:tcPr>
          <w:p>
            <w:pPr>
              <w:jc w:val="center"/>
              <w:spacing w:after="0" w:line="176" w:lineRule="exact"/>
              <w:rPr>
                <w:rFonts w:ascii="Arial" w:cs="Arial" w:eastAsia="Arial" w:hAnsi="Arial"/>
                <w:sz w:val="18"/>
                <w:szCs w:val="18"/>
                <w:color w:val="0000EE"/>
                <w:w w:val="93"/>
              </w:rPr>
            </w:pPr>
            <w:hyperlink w:anchor="page154">
              <w:r>
                <w:rPr>
                  <w:rFonts w:ascii="Arial" w:cs="Arial" w:eastAsia="Arial" w:hAnsi="Arial"/>
                  <w:sz w:val="18"/>
                  <w:szCs w:val="18"/>
                  <w:color w:val="0000EE"/>
                  <w:w w:val="93"/>
                </w:rPr>
                <w:t>143</w:t>
              </w:r>
            </w:hyperlink>
          </w:p>
        </w:tc>
        <w:tc>
          <w:tcPr>
            <w:tcW w:w="100" w:type="dxa"/>
            <w:vAlign w:val="bottom"/>
            <w:tcBorders>
              <w:top w:val="single" w:sz="8" w:color="CCEEFF"/>
            </w:tcBorders>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LEGAL MATTERS</w:t>
              </w:r>
            </w:hyperlink>
          </w:p>
        </w:tc>
        <w:tc>
          <w:tcPr>
            <w:tcW w:w="480" w:type="dxa"/>
            <w:vAlign w:val="bottom"/>
            <w:gridSpan w:val="9"/>
            <w:shd w:val="clear" w:color="auto" w:fill="CCEEFF"/>
          </w:tcPr>
          <w:p>
            <w:pPr>
              <w:jc w:val="center"/>
              <w:spacing w:after="0" w:line="176" w:lineRule="exact"/>
              <w:rPr>
                <w:rFonts w:ascii="Arial" w:cs="Arial" w:eastAsia="Arial" w:hAnsi="Arial"/>
                <w:sz w:val="18"/>
                <w:szCs w:val="18"/>
                <w:color w:val="0000EE"/>
                <w:w w:val="93"/>
              </w:rPr>
            </w:pPr>
            <w:hyperlink w:anchor="page159">
              <w:r>
                <w:rPr>
                  <w:rFonts w:ascii="Arial" w:cs="Arial" w:eastAsia="Arial" w:hAnsi="Arial"/>
                  <w:sz w:val="18"/>
                  <w:szCs w:val="18"/>
                  <w:color w:val="0000EE"/>
                  <w:w w:val="93"/>
                </w:rPr>
                <w:t>148</w:t>
              </w:r>
            </w:hyperlink>
          </w:p>
        </w:tc>
      </w:tr>
      <w:tr>
        <w:trPr>
          <w:trHeight w:val="176"/>
        </w:trPr>
        <w:tc>
          <w:tcPr>
            <w:tcW w:w="146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EXPERTS</w:t>
              </w:r>
            </w:hyperlink>
          </w:p>
        </w:tc>
        <w:tc>
          <w:tcPr>
            <w:tcW w:w="9300" w:type="dxa"/>
            <w:vAlign w:val="bottom"/>
            <w:tcBorders>
              <w:top w:val="single" w:sz="8" w:color="CCEEFF"/>
            </w:tcBorders>
            <w:gridSpan w:val="13"/>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80" w:type="dxa"/>
            <w:vAlign w:val="bottom"/>
            <w:tcBorders>
              <w:top w:val="single" w:sz="8" w:color="0000EE"/>
            </w:tcBorders>
            <w:gridSpan w:val="7"/>
          </w:tcPr>
          <w:p>
            <w:pPr>
              <w:jc w:val="center"/>
              <w:spacing w:after="0" w:line="176" w:lineRule="exact"/>
              <w:rPr>
                <w:rFonts w:ascii="Arial" w:cs="Arial" w:eastAsia="Arial" w:hAnsi="Arial"/>
                <w:sz w:val="18"/>
                <w:szCs w:val="18"/>
                <w:color w:val="0000EE"/>
                <w:w w:val="93"/>
              </w:rPr>
            </w:pPr>
            <w:hyperlink w:anchor="page159">
              <w:r>
                <w:rPr>
                  <w:rFonts w:ascii="Arial" w:cs="Arial" w:eastAsia="Arial" w:hAnsi="Arial"/>
                  <w:sz w:val="18"/>
                  <w:szCs w:val="18"/>
                  <w:color w:val="0000EE"/>
                  <w:w w:val="93"/>
                </w:rPr>
                <w:t>148</w:t>
              </w:r>
            </w:hyperlink>
          </w:p>
        </w:tc>
        <w:tc>
          <w:tcPr>
            <w:tcW w:w="100" w:type="dxa"/>
            <w:vAlign w:val="bottom"/>
            <w:tcBorders>
              <w:top w:val="single" w:sz="8" w:color="CCEEFF"/>
            </w:tcBorders>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WHERE YOU CAN FIND ADDITIONAL INFORMATION</w:t>
              </w:r>
            </w:hyperlink>
          </w:p>
        </w:tc>
        <w:tc>
          <w:tcPr>
            <w:tcW w:w="480" w:type="dxa"/>
            <w:vAlign w:val="bottom"/>
            <w:gridSpan w:val="9"/>
            <w:shd w:val="clear" w:color="auto" w:fill="CCEEFF"/>
          </w:tcPr>
          <w:p>
            <w:pPr>
              <w:jc w:val="center"/>
              <w:spacing w:after="0" w:line="176" w:lineRule="exact"/>
              <w:rPr>
                <w:rFonts w:ascii="Arial" w:cs="Arial" w:eastAsia="Arial" w:hAnsi="Arial"/>
                <w:sz w:val="18"/>
                <w:szCs w:val="18"/>
                <w:color w:val="0000EE"/>
                <w:w w:val="93"/>
              </w:rPr>
            </w:pPr>
            <w:hyperlink w:anchor="page159">
              <w:r>
                <w:rPr>
                  <w:rFonts w:ascii="Arial" w:cs="Arial" w:eastAsia="Arial" w:hAnsi="Arial"/>
                  <w:sz w:val="18"/>
                  <w:szCs w:val="18"/>
                  <w:color w:val="0000EE"/>
                  <w:w w:val="93"/>
                </w:rPr>
                <w:t>148</w:t>
              </w:r>
            </w:hyperlink>
          </w:p>
        </w:tc>
      </w:tr>
      <w:tr>
        <w:trPr>
          <w:trHeight w:val="176"/>
        </w:trPr>
        <w:tc>
          <w:tcPr>
            <w:tcW w:w="442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INDEX TO FINANCIAL STATEMENTS</w:t>
              </w:r>
            </w:hyperlink>
          </w:p>
        </w:tc>
        <w:tc>
          <w:tcPr>
            <w:tcW w:w="6340" w:type="dxa"/>
            <w:vAlign w:val="bottom"/>
            <w:tcBorders>
              <w:top w:val="single" w:sz="8" w:color="CCEEFF"/>
            </w:tcBorders>
            <w:gridSpan w:val="4"/>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gridSpan w:val="6"/>
          </w:tcPr>
          <w:p>
            <w:pPr>
              <w:jc w:val="center"/>
              <w:ind w:right="20"/>
              <w:spacing w:after="0" w:line="176" w:lineRule="exact"/>
              <w:rPr>
                <w:rFonts w:ascii="Arial" w:cs="Arial" w:eastAsia="Arial" w:hAnsi="Arial"/>
                <w:sz w:val="18"/>
                <w:szCs w:val="18"/>
                <w:color w:val="0000EE"/>
                <w:w w:val="88"/>
              </w:rPr>
            </w:pPr>
            <w:hyperlink w:anchor="page160">
              <w:r>
                <w:rPr>
                  <w:rFonts w:ascii="Arial" w:cs="Arial" w:eastAsia="Arial" w:hAnsi="Arial"/>
                  <w:sz w:val="18"/>
                  <w:szCs w:val="18"/>
                  <w:color w:val="0000EE"/>
                  <w:w w:val="88"/>
                </w:rPr>
                <w:t>F-1</w:t>
              </w:r>
            </w:hyperlink>
          </w:p>
        </w:tc>
        <w:tc>
          <w:tcPr>
            <w:tcW w:w="100" w:type="dxa"/>
            <w:vAlign w:val="bottom"/>
            <w:tcBorders>
              <w:top w:val="single" w:sz="8" w:color="CCEEFF"/>
            </w:tcBorders>
          </w:tcPr>
          <w:p>
            <w:pPr>
              <w:spacing w:after="0"/>
              <w:rPr>
                <w:sz w:val="15"/>
                <w:szCs w:val="15"/>
                <w:color w:val="auto"/>
              </w:rPr>
            </w:pPr>
          </w:p>
        </w:tc>
      </w:tr>
      <w:tr>
        <w:trPr>
          <w:trHeight w:val="695"/>
        </w:trPr>
        <w:tc>
          <w:tcPr>
            <w:tcW w:w="7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 Unless otherwise stated in this prospectus:</w:t>
      </w:r>
    </w:p>
    <w:p>
      <w:pPr>
        <w:spacing w:after="0" w:line="187" w:lineRule="exact"/>
        <w:rPr>
          <w:sz w:val="20"/>
          <w:szCs w:val="20"/>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“US$” and “U.S. dollar” each refer to the United States dollar;</w:t>
      </w:r>
    </w:p>
    <w:p>
      <w:pPr>
        <w:spacing w:after="0" w:line="225"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“Chardan” refers to Chardan Capital Markets, LLC, the representative of the underwriters,</w:t>
      </w:r>
    </w:p>
    <w:p>
      <w:pPr>
        <w:spacing w:after="0" w:line="225"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“common stock” refers to our shares of common stock, par value $0.0001 per share;</w:t>
      </w:r>
    </w:p>
    <w:p>
      <w:pPr>
        <w:spacing w:after="0" w:line="225" w:lineRule="exact"/>
        <w:rPr>
          <w:rFonts w:ascii="Arial" w:cs="Arial" w:eastAsia="Arial" w:hAnsi="Arial"/>
          <w:sz w:val="18"/>
          <w:szCs w:val="18"/>
          <w:color w:val="auto"/>
        </w:rPr>
      </w:pPr>
    </w:p>
    <w:p>
      <w:pPr>
        <w:jc w:val="both"/>
        <w:ind w:left="580" w:hanging="235"/>
        <w:spacing w:after="0" w:line="263"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“founder shares” refers to the 2,875,000 shares of common stock held by our sponsor, officers, directors, and affiliates of our management team prior to this offering (including up to an aggregate of 375,000 shares of common stock subject to forfeiture to the extent that the underwriters’ over-allotment option is not exercised in full or in part);</w:t>
      </w:r>
    </w:p>
    <w:p>
      <w:pPr>
        <w:spacing w:after="0" w:line="183" w:lineRule="exact"/>
        <w:rPr>
          <w:rFonts w:ascii="Arial" w:cs="Arial" w:eastAsia="Arial" w:hAnsi="Arial"/>
          <w:sz w:val="18"/>
          <w:szCs w:val="18"/>
          <w:color w:val="auto"/>
        </w:rPr>
      </w:pPr>
    </w:p>
    <w:p>
      <w:pPr>
        <w:ind w:left="580" w:right="20" w:hanging="235"/>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“initial stockholders” refers to all of our stockholders immediately prior to the date of this prospectus, including our sponsor, officers and directors to the extent they hold founder shares;</w:t>
      </w:r>
    </w:p>
    <w:p>
      <w:pPr>
        <w:spacing w:after="0" w:line="170"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“insiders” refers to our officers, directors, initial stockholders, and Chardan NexTech 2 Warrant Holdings LLC, an affiliate of our sponsor;</w:t>
      </w:r>
    </w:p>
    <w:p>
      <w:pPr>
        <w:spacing w:after="0" w:line="236" w:lineRule="exact"/>
        <w:rPr>
          <w:rFonts w:ascii="Arial" w:cs="Arial" w:eastAsia="Arial" w:hAnsi="Arial"/>
          <w:sz w:val="17"/>
          <w:szCs w:val="17"/>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officers and directors;</w:t>
      </w:r>
    </w:p>
    <w:p>
      <w:pPr>
        <w:spacing w:after="0" w:line="225"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“private warrants” refers to the warrants we are selling privately to our sponsor or its designees upon consummation of this offering;</w:t>
      </w:r>
    </w:p>
    <w:p>
      <w:pPr>
        <w:spacing w:after="0" w:line="225" w:lineRule="exact"/>
        <w:rPr>
          <w:rFonts w:ascii="Arial" w:cs="Arial" w:eastAsia="Arial" w:hAnsi="Arial"/>
          <w:sz w:val="18"/>
          <w:szCs w:val="18"/>
          <w:color w:val="auto"/>
        </w:rPr>
      </w:pPr>
    </w:p>
    <w:p>
      <w:pPr>
        <w:ind w:left="580" w:hanging="235"/>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shares,” refers to the shares of common stock that are being sold as part of the units in this public offering, whether they are purchased in this public offering or in the aftermarket;</w:t>
      </w:r>
    </w:p>
    <w:p>
      <w:pPr>
        <w:spacing w:after="0" w:line="170" w:lineRule="exact"/>
        <w:rPr>
          <w:rFonts w:ascii="Arial" w:cs="Arial" w:eastAsia="Arial" w:hAnsi="Arial"/>
          <w:sz w:val="18"/>
          <w:szCs w:val="18"/>
          <w:color w:val="auto"/>
        </w:rPr>
      </w:pPr>
    </w:p>
    <w:p>
      <w:pPr>
        <w:ind w:left="580" w:hanging="235"/>
        <w:spacing w:after="0" w:line="308" w:lineRule="auto"/>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“public stockholders” refers to the holders of our public shares, including any of our initial stockholders to the extent that they purchase such public shares (except that our initial stockholders will not have redemption or tender rights with respect to any public shares they own);</w:t>
      </w:r>
    </w:p>
    <w:p>
      <w:pPr>
        <w:spacing w:after="0" w:line="146" w:lineRule="exact"/>
        <w:rPr>
          <w:rFonts w:ascii="Arial" w:cs="Arial" w:eastAsia="Arial" w:hAnsi="Arial"/>
          <w:sz w:val="17"/>
          <w:szCs w:val="17"/>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“sponsor” refers to Chardan NexTech Investments 2 LLC, an entity affiliated with Chardan;</w:t>
      </w:r>
    </w:p>
    <w:p>
      <w:pPr>
        <w:spacing w:after="0" w:line="225" w:lineRule="exact"/>
        <w:rPr>
          <w:rFonts w:ascii="Arial" w:cs="Arial" w:eastAsia="Arial" w:hAnsi="Arial"/>
          <w:sz w:val="18"/>
          <w:szCs w:val="18"/>
          <w:color w:val="auto"/>
        </w:rPr>
      </w:pPr>
    </w:p>
    <w:p>
      <w:pPr>
        <w:ind w:left="580" w:right="20" w:hanging="235"/>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“warrants” refers to our redeemable warrants, which include the warrants underlying the units sold in this offering, whether they are purchased in this public offering or in the aftermarket; and</w:t>
      </w:r>
    </w:p>
    <w:p>
      <w:pPr>
        <w:spacing w:after="0" w:line="170"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“us” or “our company” refers to Chardan NexTech Acquisition 2 Corp., a Delaware corporation.</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Each unit consists of one share of common stock and one-half of one redeemable warrant. Each whole warrant entitles the holder thereof to purchase one share of our common stock at a price of $11.50 per share, subject to adjustment as described in this prospectus, and only whole warrants are exercisable. No fractional warrants will be issued upon separation of the units and only whole warrants will trade. Accordingly, unless you purchase a multiple of two units, the number of warrants issuable to you upon separation of the units will be rounded down to the nearest whole number of warrants.</w:t>
      </w:r>
    </w:p>
    <w:p>
      <w:pPr>
        <w:spacing w:after="0" w:line="15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Unless otherwise provided herein, the information in this prospectus assumes that the underwriters will not exercise their over-allotment option and gives effect to a 2.875-for-1 stock split we effected on March 4, 2021.</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Certain financial information contained in this prospectus has been rounded and, as a result, certain totals shown in this prospectus may not equal the arithmetic sum of the figures that should otherwise aggregate to those totals.</w:t>
      </w:r>
    </w:p>
    <w:p>
      <w:pPr>
        <w:spacing w:after="0" w:line="1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You should rely only on the information contained in this prospectus. We have not, and the underwriters have not, authorized anyone to provide you with different information. We are not, and the underwriters are not, making an offer of these securities in any jurisdiction where the offer is not permitted.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blank check company formed under the laws of the State of Delaware on June 23, 2020. We were formed for the purpose of effecting a merger, capital stock exchange, asset acquisition, stock purchase, reorganization or similar business combination with one or more businesses, which we refer to throughout this prospectus as our initial business combination. Our intent is to focus on opportunities in disruptive technologies and leverage the tremendous proprietary deal flow that our Board, executive team and sponsor, Chardan have developed over the past 17 years in the special purpose acquisition company and investment banking marketplaces.</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focus on disruptive technologies is aligned to the investment expertise, relationships, proprietary deal flow, and connectivity of our management team, Board of Directors, and Chardan. Through our multiple decades of special purpose acquisition company, sector, direct investment, and investment banking advisory experiences, our sponsor and management team receive proprietary access to a tremendous pipeline of disruptive technology investment opportunities. As Chardan’s special purpose acquisition company advisory and principal special purpose acquisition company practices have expanded, our inbound deal flow in technology, among other sectors, has significantly increased as private companies seek out our proprietary expertise.</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Opportunity</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Having founded the third-ever publicly listed special purpose acquisition company in 2004, Chardan had the foresight to recognize that the traditional initial public offering process was broken. The initial public offering process has not changed in decades and it is a time and resource intensive process that not only lacks deal and price certainty, but also prevents high-growth technology companies from sharing their financial projections. We believe that Chardan has an unmatched track record as a special purpose acquisition company underwriter, sponsor (or co-sponsor) and special purpose acquisition mergers and acquisitions advisor, which we intend to leverage as special purpose acquisition companies have become more mainstream. We believe that the market is now only beginning to recognize the benefits of special purpose acquisition companies as has been demonstrated within the last several months. In the second half of 2020, special purpose acquisition companies accounted for ~56% of all capital raised in the initial public offering market, and have had record issuances in the first month of 2021, raising nearly $24 billion, almost two times U.S. initial public offerings during the same period.</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opportunity for disruptive technology companies to take advantage of the public markets is evident as there are over 2,000 private technology companies that have raised at least $50MM in private funding or over $1 trillion in aggregate. We believe that such private funding has been a result of many entrepreneurs adopting the philosophy to stay private longer, not only from a cost perspective, but also because of the volume of private capital. Over the past year, however, we believe private company executives’ and stakeholders’ mindset has fundamentally shifted as special purpose acquisition companies have provided a more effective and efficient path to access public markets and its greater access to capital providers. We believe private companies are realizing that they are rewarded for providing greater transparency into their growth plans and can potentially capture further upside via the special purpose acquisition company structure. Since 2019, disruptive technology companies that have gone public via a special purpose acquisition company have experienced substantial share price growth, with a number of recent transactions surging over 100% growth since their public market debuts. We aim to capitalize on the number of disruptive technology companies that are still private and capable of achieving attractive risk-adjusted returns through our decades of special purpose acquisition company experience.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Team, Sponsor, and Board of Directors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we search for a prospective target company or business, we intend to leverage the multiple decades of combined investment experience, successful special purpose acquisition company and mergers and acquisitions execution experience, and the expansive network of relationships of the principals and affiliates of our sponsor. Our management team, led by co-founders Kerry Propper and Jonas Grossman, have a combined 80 years of investment and execution experience. Together with our management team, sponsor, and our board of directors, we are confident that the combined experience makes us uniquely situated to identify, source, negotiate and execute an initial business combination with a disruptive technology company.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Our Management Team</w:t>
      </w:r>
    </w:p>
    <w:p>
      <w:pPr>
        <w:spacing w:after="0" w:line="225"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b w:val="1"/>
          <w:bCs w:val="1"/>
          <w:i w:val="1"/>
          <w:iCs w:val="1"/>
          <w:color w:val="auto"/>
        </w:rPr>
        <w:t xml:space="preserve">Kerry Propper </w:t>
      </w:r>
      <w:r>
        <w:rPr>
          <w:rFonts w:ascii="Arial" w:cs="Arial" w:eastAsia="Arial" w:hAnsi="Arial"/>
          <w:sz w:val="16"/>
          <w:szCs w:val="16"/>
          <w:color w:val="auto"/>
        </w:rPr>
        <w:t>is our co-founder and will serve as our Chairman of the board of directors upon the effectiveness of the registration statement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this prospectus is a part. Mr. Propper was co-founder of Chardan and served as its chief executive officer and head of its investment bank from 2003 to 2015. He is a pioneer in the special purpose acquisition marketplace and has been an executive or senior advisor for six special purpose acquisition companies. Since 2015, Mr. Propper has served as the chairman of Chardan’s board of directors and the co-founder and managing partner of ATW Partners, a growth-focused investment firm. Mr. Propper also sits on the board of 340Basics, Credit Sesame, and PierianDx among other boards.</w:t>
      </w:r>
    </w:p>
    <w:p>
      <w:pPr>
        <w:spacing w:after="0" w:line="16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Jonas Grossman </w:t>
      </w:r>
      <w:r>
        <w:rPr>
          <w:rFonts w:ascii="Arial" w:cs="Arial" w:eastAsia="Arial" w:hAnsi="Arial"/>
          <w:sz w:val="17"/>
          <w:szCs w:val="17"/>
          <w:color w:val="auto"/>
        </w:rPr>
        <w:t>is our co-founder and has been our Chief Executive Officer and a member of our board of directors since June 2020 and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Secretary, and Treasurer since July 2020. Mr. Grossman has served as managing partner and head of capital markets for Chardan since December 2003, and has additionally served as president of Chardan since September 2015. With nearly two decades of transactional and special acquisition company expertise, Mr. Grossman has led or managed more than 500 transactions, including providing underwriting and business combination advisory services to more than 85 special purpose acquisition companies in a variety of industries. Mr. Grossman has been a founder and / or a member of the board of seven special purpose acquisition companies, of which on four he also has served as Chief Executive Officer and President. Since April 2020, Mr. Grossman has served as the President and Chief Executive Officer of Chardan Healthcare Acquisition 2 Corp which announced its merger with Renovacor, Inc in March 2021. He also served as President and Chief Executive Officer of Chardan Healthcare Acquisition Corp. from March 2018 until its merger in October 2019 with BiomX Ltd. (NYSE: PHGE). He is currently a director of BiomX. Mr. Grossman was a founder and director of LifeSci Acquisition Corp. from March 2020 until the close of its business combination with Vincera Pharma, Inc. in December 2020. He has served as a director to Ventoux CCM Acquisition Corp. since December 2020 and CleanTech Acquisition Corp since May 2021. Since July 2020, he has served as Chief Executive Officer and director of Chardan NexTech Acquisition Corp. Previously, from 2001 to 2003, Mr. Grossman worked at Ramius Capital Group, LLC, a global multi-strategy hedge fund where he served as Vice President and Head Trader. Mr. Grossman holds a B.A. in Economics from Cornell University and an M.B.A. from New York University’s Stern School of Business. He has served on the board of directors for UNICEF since December 2016.</w:t>
      </w:r>
    </w:p>
    <w:p>
      <w:pPr>
        <w:spacing w:after="0" w:line="18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Alex Weil </w:t>
      </w:r>
      <w:r>
        <w:rPr>
          <w:rFonts w:ascii="Arial" w:cs="Arial" w:eastAsia="Arial" w:hAnsi="Arial"/>
          <w:sz w:val="17"/>
          <w:szCs w:val="17"/>
          <w:color w:val="auto"/>
        </w:rPr>
        <w:t>has served as our Chief Financial Officer since April 2021 and will serve as a member of our board of directors upon the effective date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registration statement of which this prospectus is a part. Mr. Weil has spent over two decades on Wall Street providing strategic advisory services to global companies, senior executives, boards of directors, and investors. Since March 2021, he has served as chief financial officer of Chardan NexTech Acquisition Corp., and he has agreed to also serve on the board of directors. Since December 2020 he has served as a director of Ventoux CCM Acquisition Corp., a special purpose acquisition company. Mr. Weil’s background in strategic advisory work was built during his career at both global companies, such Citibank’s corporate strategy and mergers and acquisition group, UBS Financial Institutions Group’s investment bank, and General Electric’s corporate development group, and at boutique investment banking advisors, such as Lazard Middle Market and William Blair. He has advised on billions of dollars of transactions ranging from corporate divestitures and spin offs, innovative technology company acquisitions to larger, more complex mergers and acquisitions. Mr. Weil has participated or led a variety of transactions, such as: Genworth’s spin-off initial public offering from General Electric; Citi-related transactions including a variety of technology and capital markets businesses (e.g. Lava Trading, Knight Options Market Making, and Automated Trading Desk) along with the creation of Citi Holdings and subsequent sales of Nikko Asset Management and its subprime auto finance business; Schwab’s acquisition of OptionsXpress; and CVC Capital Partner’s majority investment in Alix Partners. Mr. Weil’s extensive FinTech and mergers and acquisitions expertise will help put us in a strong position to originate and structure profitable investments.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Chardan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management team is supported by Chardan’s team of investment banking professionals, which possesses extensive collective experience in corporate finance, mergers and acquisitions, equity and debt capital markets, strategic consulting and operations.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Chardan has an extensive track record in the special purpose acquisition company market as underwriter, sponsor and advisor. Since 2004, Chardan has been lead or co-lead underwriter on 90 special purpose acquisition company initial public offerings. Since 2018, Chardan has been a mergers and acquisition advisor to 16 special purpose acquisition companies, helping them close transactions valued at approximately $6.8 billion. Chardan-advised special purpose acquisition companies have targeted a wide range of industries, including life sciences, healthcare services, technology hardware and software, FinTech, insurance, financial services, education, media and entertainment, industrials, materials, consumer staple, energy, hospitality, leisure, travel and dining sectors. Chardan has advised special purpose acquisition companies targeting both global and regional markets as well as those with more defined areas of focus in emerging and other geographic markets, including in North America. No special purpose acquisition company that has either been advised by Chardan or for which Chardan served as the lead underwriter has liquidated to-date. In addition to its active advisory and underwriting business, Chardan’s principals have founded or co-founded 13 special purpose acquisition companies, six of which have closed successful business combinations, one of which has announced a business combination, three of which are seeking acquisitions, and three of which are publicly filed.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Messrs. Propper, Grossman, and Weil, the other members of our board will include the following independent directors: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Jonathan C. “Jon” Biele </w:t>
      </w:r>
      <w:r>
        <w:rPr>
          <w:rFonts w:ascii="Arial" w:cs="Arial" w:eastAsia="Arial" w:hAnsi="Arial"/>
          <w:sz w:val="17"/>
          <w:szCs w:val="17"/>
          <w:color w:val="auto"/>
        </w:rPr>
        <w:t>will serve as a member of our board of directors upon the effective date of the registration statement of which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prospectus is a part. Mr. Biele has over 28 years of investment banking experience serving in a variety of roles. He recently joined PREEM, a vertical technology platform, as head of business and corporate development. Most recently, Mr. Biele served as head of technology and services investment banking after helping rejuvenate the equity capital markets practice at SunTrust Robinson Humphrey. During his career, Mr. Biele has focused on providing capital markets, strategic and tactical advice to companies, boards of directors, private equity and venture capitalists. In addition to his tenure at SunTrust Robinson Humphrey, he has served as head of equity capital markets for Citadel Securities, Cowen and Co,. and Lazard Freres in addition to his contribution in a variety of capacities with the equity capital markets departments of Lehman Brothers, ABN Amro Rothschild and UBS Securities. In these roles, Mr. Biele originated and executed numerous public and private equity and debt financings and provided strategic advice. His vast experience in corporate finance and advisory spans across multiple sectors and asset classes, both public and private. In addition to his professional activities, Mr. Biele most recently completed a third term as a trustee of Burke Mountain Academy, one of the premier ski academies in the United States, and remains the lead investor and advisor to the chief executive officer of inGamba Tours, a luxury cyclo-tourism business. Mr. Biele holds a B.A. in History from St. Lawrence University.</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Perry Boyle </w:t>
      </w:r>
      <w:r>
        <w:rPr>
          <w:rFonts w:ascii="Arial" w:cs="Arial" w:eastAsia="Arial" w:hAnsi="Arial"/>
          <w:sz w:val="17"/>
          <w:szCs w:val="17"/>
          <w:color w:val="auto"/>
        </w:rPr>
        <w:t>will serve as a member of our board of directors upon the effective date of the registration statement of which this prospectus is a part.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Boyle helped lead the launch of Point72 Asset Management, L.P., or Point72, as a registered investment advisor, raising over $6 billion in external capital. He originally joined S.A.C. Capital Advisors, or S.A.C.,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9s Program, and helped drive the internationalization of the firm, overseeing offices in London, Hong Kong, Tokyo and Singapore. Prior to joining S.A.C., Mr. Boyle was a founding partner of Thomas Weisel Partners, an investment banking company, and a managing director at Alex. Brown &amp; Sons, an investment firm. He began his career as an investment banker with Salomon Brothers Inc. Additionally, Mr. Boyle is a member of the advisory board of the Center for a New American Security (CNAS), and a director of The US Friends of the International Institute for Strategic Studies (IISS). He has agreed to serve on the board of directors of Chardan NexTech Acquisition Corp. upon the effectiveness of its registration statement. He was a 2018 and 2019 delegate from the IISS to the Shangri-La Dialogue in Singapore. He is a council member of the Hoover Institution and a Lionel Curtis member of Chatham House. Mr. Boyle helps lead the annual Ride For Our Vets, the major source of funding for the Connecticut Veterans Legal Center.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Roderick Hardamon </w:t>
      </w:r>
      <w:r>
        <w:rPr>
          <w:rFonts w:ascii="Arial" w:cs="Arial" w:eastAsia="Arial" w:hAnsi="Arial"/>
          <w:sz w:val="17"/>
          <w:szCs w:val="17"/>
          <w:color w:val="auto"/>
        </w:rPr>
        <w:t>will serve as a member of our board of directors upon the effective date of the registration statement of which this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 part. Mr. Hardamon has over two decades of mergers and acquisitions business innovation and senior executive leadership experience. He has served as chief executive officer of URGE Imprint LLC, a boutique management consulting firm headquartered in Detroit, Michigan, and URGE Development Group LLC, a real estate development firm headquartered in Detroit, Michigan, since May 2016. Previously, Mr. Hardamon held various positions at Citigroup, a leading global bank, including managing director and North American head of Citigroup’s alternative investor services business. In this role, he led an organization with over $300 billion in assets under administration and over 2,000 professionals spanning eight locations across the United States, Cayman Islands, Bermuda, Bahamas, and India. Mr. Hardamon led multiple phases of Citigroup’s ownership of the business including: (1) initial acquisition (BISYS Inc.); (2) integration into Citigroup; (3) operational transformation and growth; and (4) divestiture to SS&amp;C Technologies in March 2016. His prior roles at Citigroup included managing director and head of infrastructure &amp; integration and co-head/head of internal mergers and acquisitions for Citi Markets &amp; Banking and Global Transaction Services, respectively. After Citigroup, Mr. Hardamon briefly served as a managing director at SS&amp;C Technologies, a global provider of services and software for the financial services and healthcare industries. He is a graduate of Morehouse College with B.A.s in Accounting and Philosophy.</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Jory Des Jardins </w:t>
      </w:r>
      <w:r>
        <w:rPr>
          <w:rFonts w:ascii="Arial" w:cs="Arial" w:eastAsia="Arial" w:hAnsi="Arial"/>
          <w:sz w:val="17"/>
          <w:szCs w:val="17"/>
          <w:color w:val="auto"/>
        </w:rPr>
        <w:t>will serve as a member of our board of directors upon the effective date of the registration statement of which this prospectus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part. Ms. Jardins has decades of startup and marketing experience. Ms. Jardins is the chief marketing officer of The @ Company, a builder of an internet protocol designed to put control over online data and user experiences back into the hands of people. Additionally, Ms. Jardins is VC-in-Residence at the W Fund, a venture capital and private equity firm passionate about evangelizing emerging and disruptive tech and leveling the playing field for underrepresented founders. She pioneered social marketing as co-founder and president of BlogHer, a media marketplace representing thousands of digital influencers, which reached 100 million monthly unique viewers at the time of its acquisition in 2015. She recently served as the head of global startup marketing at Amazon Web Services, providing startups with the technology to launch, build, and scale. Ms. Jardins previously held the position of global head of community at ConsenSys, a block chain studio building decentralized applications on Ethereum. Before ConsenSys, she was an advisor at Tribal Advisors, a consulting and mergers and acquisitions advisory firm providing services to startups and corporates in the consumer digital, software and systems technology sectors. She has advised dozens of scaling startups, focusing on companies that are evolving digital influence, social content, media models, consumer marketplaces, ecommerce, block chain/token-based economies, and AR/VR/MR. Ms. Jardins graduated from the University of Illinois at Urbana-Champaign.</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Hitesh Thakrar </w:t>
      </w:r>
      <w:r>
        <w:rPr>
          <w:rFonts w:ascii="Arial" w:cs="Arial" w:eastAsia="Arial" w:hAnsi="Arial"/>
          <w:sz w:val="17"/>
          <w:szCs w:val="17"/>
          <w:color w:val="auto"/>
        </w:rPr>
        <w:t>will serve as a member of our board of directors upon the effective date of the registration statement of which this prospectus is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 Mr. Thakrar is an experienced investor in the technology sector, having spent over 20 years investing in public equities in the life sciences, information technology and innovation sectors. Since 2015, he has been active in early stage venture investing. Mr. Thakrar is currently a Venture Partner at Syncona Limited, a Wellcome Trust backed early stage venture fund. He is also a Governance Board Member of KQ Labs at the Francis Crick Institute, an accelerator supporting next generation businesses in data science and life sciences. He is the main Board Trustee of the Alan Turing Institute which is the UK National Institute for Artificial Intelligence and Data Science research. Additionally, Mr. Thakrar is the Chair of the Investment Committee for Newable Ventures, a pre-Series A fund focused on deep technology. He is also an advisor to UKRI’s Science and Technology Funding Council (SFTC) which helps early stage companies spin out from UK universities. He has previously served as a non-executive director for Desktop Genetics and Tropic Biosciences, both of which specialize in the use of CRISPR technology in gene editing. Prior to 2015, Mr. Thakrar worked at various public market institutions in global equity research and fund management including at ADIA (Abu Dhabi’s sovereign wealth fund), JP Morgan, Aviva Group, Dresdner Bank and New Star Asset Management. He has previously held the position of Innovation Fellow at the University of Cambridge, recently joined as a Trustee of the Royal National Orthopaedic Hospital Charity and is a member of the commercial Board of the Institute and Audit committee. Mr. Thakrar has a degree in chemistry from Kings College, London, an MBA from Cranfield University and a CFA from the American Association of Investment Analysts.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Todd Thomson </w:t>
      </w:r>
      <w:r>
        <w:rPr>
          <w:rFonts w:ascii="Arial" w:cs="Arial" w:eastAsia="Arial" w:hAnsi="Arial"/>
          <w:sz w:val="16"/>
          <w:szCs w:val="16"/>
          <w:color w:val="auto"/>
        </w:rPr>
        <w:t>will serve as a member of our board of directors upon the effective date of the registration statement of which this prospectus is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 Mr. Thomson is currently the chief operating officer and chief financial officer of Kairos Ventures, an early-stage investment firm. He is an accomplished operating executive and entrepreneur, having served as Citigroup chief financial officer for five years and as chief executive officer of Citigroup’s nearly $10 billion global wealth management division for more than two years. Mr. Thomson is a leading practitioner on mergers and acquisitions and business strategy, having led the acquisition and strategy efforts for Citigroup and GE Capital, as well as serving as advisor to Fortune 500 firms while at Bain &amp; Co., Booz Allen Hamilton, and Barents Group. He has extensive investing experience as chief executive officer of Citigroup alternative investments, chairman of the Citigroup pension investment committee, chairman of the dynasty investment committee, and a member of the investment committees for the Davidson College and World Resources Institute endowments. Prior to joining Kairos Ventures, Mr. Thomson served as co-founder and chairman of Dynasty Financial Partners, or Dynasty, a leading investment and technology platform for sophisticated independent advisors. Founded by Mr. Thomson and his colleagues in 2010, Dynasty serves nearly 50 registered investment advisor firms nationally, with $50 billion under management. In addition to serving as chairman, Todd served in several operating roles since Dynasty’s founding, including chairing the investment committee, serving as chief investment officer, and designing and leading Dynasty Capital Strategies. Mr. Thomson has also agreed to serve on the board of Chardan NexTech Acquisition Corp., a blank check company, upon the effectiveness of its registration statement.</w:t>
      </w:r>
    </w:p>
    <w:p>
      <w:pPr>
        <w:spacing w:after="0" w:line="17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our management team’s operating, special purpose acquisition company, and mergers and acquisitions transaction experience and relationships with companies will quickly provide us with a substantial number of attractive potential business combination targets. Over the course of their careers, the members of our management team have developed a broad network of contacts and corporate relationships in and around the disruptive technology industry. This network has grown through the activities of our management team sourcing, acquiring and financing businesses, our management team’s relationships with sellers, financing sources and target management teams and the experience of our management team in executing transactions under varying economic and financial market conditions.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Certain of our executive officers and directors also served as executive officers and directors of Chardan Healthcare Acquisition Corp., or Chardan Health SPAC 1, a blank check company that consummated its initial public offering in December 2018 and consummated its initial business combination with BiomX Ltd. (NYSE: PHGE) in October 2019.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686" w:gutter="0" w:footer="0" w:header="0"/>
        </w:sectPr>
      </w:pPr>
    </w:p>
    <w:bookmarkStart w:id="10" w:name="page11"/>
    <w:bookmarkEnd w:id="10"/>
    <w:p>
      <w:pPr>
        <w:jc w:val="both"/>
        <w:ind w:firstLine="324"/>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Healthcare Acquisition 2 Corp., or Chardan Health SPAC 2, a blank check company that consummated its initial public offering in April 2020.</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Ventoux CCM Acquisition Corp., or Ventoux CCM, a blank check company that consummated its initial public offering in December 2020.</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NexTech Acquisition Corp., or Chardan NexTech 1, a blank check company expected to consummate its initial public offering before the consummation of this offering.</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Chardan acts as an underwriter for the initial public offering of special purpose acquisition companies and in addition to cash fees, Chardan receive equity in the form of private placement securities. Some of those special purpose acquisition companies may be competitive with our company as they look for targets in the same industries and geographies.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With respect to the foregoing descriptions, the past performance of Chardan and its affiliates and our management team is not a guarantee either (i) that we will be able to identify a suitable candidate for our initial business combination or (ii) of success with respect to any business combination we may consummate. As described in this prospectus, Messrs. Propper, Grossman, Weil, and Boyle have had management and/or board experience with blank check companies. None of our other officers or directors, our sponsor, nor any of its respective officers, directors, employees, or affiliates, have had management experience with blank check companies or special purpose acquisition corporations in the past. You should not rely on their respective historical records or performance of Chardan, its affiliates, or our management team as indicative of our future performance. Our officers and directors may have conflicts of interest with other entities to which they owe fiduciary or contractual obligations with respect to initial business combination opportunities, including for our officers with respect to Chardan Health SPAC 2, Ventoux CCM and Chardan NexTech 1, collectively which we refer to as the Affiliated SPACs. In order to minimize potential conflicts of interest which may arise from multiple affiliations, our officers who are also officers of any of the Affiliated SPACs will be required to present all suitable target businesses to the Affiliated SPACs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For a list of our officers and directors and entities for which a conflict of interest may or does exist between such officers or directors and the company, as well as the priority and preference that such entity has with respect to performance of obligations and presentation of business opportunities to us, please refer to the table and subsequent explanatory paragraph under “Management — Conflicts of Interest”.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management team’s objective is to generate attractive returns and create long-term value for our stockholders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evaluation process will leverage our co-founders’ and board’s network of industry, private equity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color w:val="auto"/>
        </w:rPr>
        <w:t>Certain members of our management team, board and advisors have experience in:</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key activities of special purpose acquisition companies, including sponsoring, underwriting and mergers and acquisitions advisory;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 strong competitive industry position with demonstrated competitive advantages to maintain barriers to entry;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 historic record of above average growth and strong free cash flow characteristics with high returns on capital;</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positioned for continued organic growth and may grow through bolt-on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a fundamentally sound company with a proven track record;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an operating model that has adapted or has an executable strategy to be able to meet the changing consumer or business behaviors in a COVID-19 or post-COVID 19 environment;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offer an attractive risk-adjusted return for our stockholders;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can benefit from being a publicly traded company, are prepared to be a publicly traded company and can utilize access to broader capital markets.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Strategy</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Rigorous and comprehensive due diligence on prospective business targets is particularly important for disruptive technology companies,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spacing w:after="0" w:line="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not identified any business combination target and we have not, nor has anyone on our behalf, initiated any substantive discussions, directly or indirectly, with any business combination target. Our sponsor, all of the members of our management team and our board, and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8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addition, our officers and directors are not prohibited from becoming either a director or officer of any other special purpose acquisition company with a class of securities registered under the Securities Exchange Act of 1934, as amended, which we refer to as the Exchange 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We will have 15 months from the closing of this offering (or 18 months from the closing of this offering if we have executed a definitive agreement and filed a proxy statement for an initial business combination within 15 months from the closing of this offering) to consummate an initial business combination. In addition, if we anticipate that we may not be able to consummate our initial business combination within 15 months and we have not entered into a definitive agreement and filed a proxy statement for an initial business combination by such date (or 18 months if we have executed a definitive agreement and filed a proxy statement for an initial business combination within 15 months from the closing of this offering), our insiders or their affiliates may, but are not obligated to, extend the period of time to consummate a business combination up to two times by an additional three months each time (for a total of up to 21 months to complete a business combination); </w:t>
      </w:r>
      <w:r>
        <w:rPr>
          <w:rFonts w:ascii="Arial" w:cs="Arial" w:eastAsia="Arial" w:hAnsi="Arial"/>
          <w:sz w:val="16"/>
          <w:szCs w:val="16"/>
          <w:i w:val="1"/>
          <w:iCs w:val="1"/>
          <w:color w:val="auto"/>
        </w:rPr>
        <w:t>provided that</w:t>
      </w:r>
      <w:r>
        <w:rPr>
          <w:rFonts w:ascii="Arial" w:cs="Arial" w:eastAsia="Arial" w:hAnsi="Arial"/>
          <w:sz w:val="16"/>
          <w:szCs w:val="16"/>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in the absence of a definitive agreement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Public shareholders will not be offered the opportunity to vote on or redeem their shares in connection with any such extension.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 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In the event of our dissolution and liquidation, the private units will expire and will be worthless.</w:t>
      </w:r>
    </w:p>
    <w:p>
      <w:pPr>
        <w:spacing w:after="0" w:line="1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may obtain an opinion from an independent investment banking or accounting firm as to the fair market value of the target business. We have also agreed not to enter into a definitive agreement regarding an initial business combination without the prior consent of our sponsor. In addition, pursuant to Nasdaq rules, any initial business combination must be approved by a majority of our independent directors.</w:t>
      </w:r>
    </w:p>
    <w:p>
      <w:pPr>
        <w:spacing w:after="0" w:line="17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may, at our option, pursue a business combination opportunity jointly with Chardan or one or more entities affiliated with Chardan, which we refer to as an “Affiliated Joint Acquisition.” We do not expect that we would pursue any such opportunity with an Affiliated SPAC. Any such parties would co-invest only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We refer to this potential future issuance, or a similar issuance to other specified purchasers, as a “specified future issuance” throughout this prospectus. Any such Affiliated Joint Acquisition or specified future issuance would be in addition to, and would not include, the forward purchase securities issued pursuant to the forward purchase contract. The amount and other terms and conditions of any such specified future issuance would be determined at the time thereof. We are not obligated to make any specified future issuance and may determine not to do so. This is not an offer for any specified future issuance.</w:t>
      </w:r>
    </w:p>
    <w:p>
      <w:pPr>
        <w:spacing w:after="0" w:line="1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have not selected any specific business combination target and we have not, nor has anyone on our behalf, initiated any substantive discussions, directly or indirectly, with any business combination target. From the period commencing with our formation through the date of this prospectus, there have been no communications or discussions between any of our officers, directors or our sponsor and any of their potential contacts or relationships regarding a potential initial business combination. Additionally, we have not engaged or retained any agent or other representative to identify or locate any suitable acquisition candidate, to conduct any research or take any measures, directly or indirectly, to locate or contact a target business. Additionally, we have not contacted any of the prospective target businesses that any of the Affiliated SPACs had considered and rejected while such entity was a blank check company searching for target businesses to acquire. We do not currently intend to contact any of such targets; however, we may do so in the future if we become aware that the valuations, operations, profits or prospects of such target business, or the benefits of any potential transaction with such target business, would be attractive.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impact a target business.</w:t>
      </w:r>
    </w:p>
    <w:p>
      <w:pPr>
        <w:sectPr>
          <w:pgSz w:w="11900" w:h="16906" w:orient="portrait"/>
          <w:cols w:equalWidth="0" w:num="1">
            <w:col w:w="11240"/>
          </w:cols>
          <w:pgMar w:left="320" w:top="908" w:right="339" w:bottom="0" w:gutter="0" w:footer="0" w:header="0"/>
        </w:sectPr>
      </w:pPr>
    </w:p>
    <w:bookmarkStart w:id="13" w:name="page14"/>
    <w:bookmarkEnd w:id="13"/>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4" w:name="page15"/>
    <w:bookmarkEnd w:id="14"/>
    <w:p>
      <w:pPr>
        <w:jc w:val="both"/>
        <w:ind w:firstLine="324"/>
        <w:spacing w:after="0" w:line="289" w:lineRule="auto"/>
        <w:rPr>
          <w:sz w:val="20"/>
          <w:szCs w:val="20"/>
          <w:color w:val="auto"/>
        </w:rPr>
      </w:pPr>
      <w:r>
        <w:rPr>
          <w:rFonts w:ascii="Arial" w:cs="Arial" w:eastAsia="Arial" w:hAnsi="Arial"/>
          <w:sz w:val="16"/>
          <w:szCs w:val="16"/>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including an Affiliated Joint Acquisition as described above. However, we will only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post-business combination company, depending on valuations ascribed to the target and us in the business combination transaction.</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Chardan will be the beneficial owner of founder shares or private warrants following this offering by virtue of its ownership of our sponsor and members of our management team may indirectly own such securities. Our sponsor intends to allocate up to 20,000 founder shares to each of our independent directors. Because of such ownership and interests, Chardan and our officers and directors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w:t>
      </w:r>
    </w:p>
    <w:p>
      <w:pPr>
        <w:spacing w:after="0" w:line="17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We have not, however, selected any specific business combination target and we have not, nor has anyone on our behalf, initiated any substantive discussions, directly or indirectly, with any business combination target regarding an initial business combination with our company.</w:t>
      </w:r>
    </w:p>
    <w:p>
      <w:pPr>
        <w:spacing w:after="0" w:line="1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sponsor, officers, directors, Chardan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an Affiliated SPAC,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19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Services in Connection with the Business Combination</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engaged Chardan as an advisor in connection with our business combination, pursuant to the Business Combination Marketing Agreement.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 Certain individuals who will perform advisory services on behalf of Chardan in connection with the business combination also serve as our officers and directors.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prior year’s second quarter, and (2) the date on which we have issued more than $1.0 billion in non-convertible debt securities during the prior three-year period. References herein to “emerging growth company” shall have the meaning associated with it in the JOBS Act.</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we are a “smaller reporting company” as defined in Item 10(f)(1) of Regulation S-K promulgated by the Securities and Exchange Commission, or the SEC.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that year’s second fiscal quarter, or (2) our annual revenues exceeded $100 million during such completed fiscal year and the market value of our common stock held by non-affiliates exceeds $700 million as of the end of that year’s second fiscal quarter.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Private Placements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Such number of shares includes an aggregate of up to 375,000 shares that are subject to forfeiture to the extent that the underwriters’ over-allotment option is not exercised in full or in part, so that our initial stockholders will collectively own 20% of our issued and outstanding shares after this offering. None of our initial stockholders has indicated any intention to purchase public units in this offering.</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founder shares are identical to the public shares. However, our initial stockholders have agreed (1) to vote their founder shares in favor of any proposed business combination, (2)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15 months (or up to 21 months, as applicable) of the closing of this offering, unless we provide public stockholders an opportunity to redeem their public shares in conjunction with any such amendment, (3) not to redeem any shares, including any founder shares, into the right to receive cash from the trust account in connection with a stockholder vote to approve our proposed initial business combination, (4) not to sell any shares to us in any tender offer in connection with our proposed initial business combination, and (5) that the founder shares shall not participate in any liquidating distribution upon winding up if a business combination is not consummated.</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the date of this prospectus, the founder shares will be placed into an escrow account maintained by Continental Stock Transfer &amp; Trust Company acting as escrow agent. 50% of these founder shares will not be transferred, assigned, sold or released from escrow until the earlier of (i) six months after the date of the consummation of our initial business combination or (ii) the date on which the closing price of our shares of common stock equals or exceeds $12.50 per share (as adjusted for stock splits, stock dividends, reorganizations and recapitalizations) for any 10 trading days within any 30-trading day period commencing after our initial business combination. And the remaining 50% of the founder shares will not be transferred, assigned, sold or released from escrow until six months after the date of the consummation of our initial business combination or earlier, in either case, if, subsequent to our initial business combination, we consummate a subsequent liquidation, merger, stock exchange or other similar transaction that results in all of our stockholders having the right to exchange their shares of common stock for cash, securities or other property.</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Chardan NexTech 2 Warrant Holdings LLC, an affiliate of our sponsor, has committed to purchase 4,200,000 (or up to 4,385,185 depending on the extent to which the underwriters’ over-allotment option is exercised) warrants at a price of $0.81 per warrant ($3,402,000 (or up to $3,552,000 depending on the extent to which the underwriters’ over-allotment option is exercised)) in a private placement that will close simultaneously with the closing of this offering.</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proceeds from the sale of the private warrants will be added to the proceeds of this offering and placed in a trust account in the United States maintained by Continental Stock Transfer &amp; Trust Company, as trustee. If we do not complete our initial business combination within 15 months (or up to 21 months, as applicable), the proceeds from the sale of the private warrants will be included in the liquidating distribution to the holders of our public shares.</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private warrants are identical to the warrants sold as part of the public units in this offering except that, so long as they are held by the initial purchasers or their respective permitted transferees, the private warrants (i) will not be redeemable by us, (ii) may not, subject to certain limited exceptions, be transferred, assigned or sold by the initial purchaser until 30 days after the completion of our initial business combination, and (iii) may be exercised by the holders on a cashless basis. The private warrants purchased by Chardan NexTech 2 Warrant Holdings LLC will not be exercisable more than five years from the effective date of the registration statement, of which this prospectus forms a part, in accordance with Financial Industry Regulatory Authority, or FINRA, Rule 5110(g), as long as Chardan or any of its related persons beneficially own these private warrants.</w:t>
      </w:r>
    </w:p>
    <w:p>
      <w:pPr>
        <w:spacing w:after="0" w:line="1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public units or public shares are purchased by any of our directors, officers or initial stockholders, they will be entitled to funds from the trust account to the same extent as any other public stockholder upon our liquidation, but such directors, officers, or initial stockholders will not have redemption rights related thereto.</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executive offices are located at 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 New York, NY 10004, and our telephone number is (646) 465-9000.</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making your decision on whether to invest in our securities, you should take into account not only the backgrounds of the members of our management team, but also the special risks we face as a blank check company and the fact that we are not conducting this offering in compliance with Rule 419 promulgated under the Securities Act. You will not be entitled to protections normally afforded to investors in Rule 419 blank check offerings. You should carefully consider these and the other risks set forth in the section below entitled “</w:t>
      </w:r>
      <w:r>
        <w:rPr>
          <w:rFonts w:ascii="Arial" w:cs="Arial" w:eastAsia="Arial" w:hAnsi="Arial"/>
          <w:sz w:val="16"/>
          <w:szCs w:val="16"/>
          <w:i w:val="1"/>
          <w:iCs w:val="1"/>
          <w:color w:val="auto"/>
        </w:rPr>
        <w:t>Risk Factors</w:t>
      </w:r>
      <w:r>
        <w:rPr>
          <w:rFonts w:ascii="Arial" w:cs="Arial" w:eastAsia="Arial" w:hAnsi="Arial"/>
          <w:sz w:val="16"/>
          <w:szCs w:val="16"/>
          <w:color w:val="auto"/>
        </w:rPr>
        <w:t>” beginning on page 28 of this prospectus.</w:t>
      </w:r>
    </w:p>
    <w:p>
      <w:pPr>
        <w:spacing w:after="0" w:line="153" w:lineRule="exact"/>
        <w:rPr>
          <w:sz w:val="20"/>
          <w:szCs w:val="20"/>
          <w:color w:val="auto"/>
        </w:rPr>
      </w:pPr>
    </w:p>
    <w:p>
      <w:pPr>
        <w:ind w:left="20"/>
        <w:spacing w:after="0"/>
        <w:tabs>
          <w:tab w:leader="none" w:pos="3480" w:val="left"/>
        </w:tabs>
        <w:rPr>
          <w:sz w:val="20"/>
          <w:szCs w:val="20"/>
          <w:color w:val="auto"/>
        </w:rPr>
      </w:pPr>
      <w:r>
        <w:rPr>
          <w:rFonts w:ascii="Arial" w:cs="Arial" w:eastAsia="Arial" w:hAnsi="Arial"/>
          <w:sz w:val="18"/>
          <w:szCs w:val="18"/>
          <w:b w:val="1"/>
          <w:bCs w:val="1"/>
          <w:color w:val="auto"/>
        </w:rPr>
        <w:t>Securities offered</w:t>
      </w:r>
      <w:r>
        <w:rPr>
          <w:sz w:val="20"/>
          <w:szCs w:val="20"/>
          <w:color w:val="auto"/>
        </w:rPr>
        <w:tab/>
      </w:r>
      <w:r>
        <w:rPr>
          <w:rFonts w:ascii="Arial" w:cs="Arial" w:eastAsia="Arial" w:hAnsi="Arial"/>
          <w:sz w:val="16"/>
          <w:szCs w:val="16"/>
          <w:color w:val="auto"/>
        </w:rPr>
        <w:t>10,000,000 units, at $10.00 per unit, each unit consisting of one share of common stock and one-half of</w:t>
      </w:r>
    </w:p>
    <w:p>
      <w:pPr>
        <w:spacing w:after="0" w:line="27" w:lineRule="exact"/>
        <w:rPr>
          <w:sz w:val="20"/>
          <w:szCs w:val="20"/>
          <w:color w:val="auto"/>
        </w:rPr>
      </w:pPr>
    </w:p>
    <w:p>
      <w:pPr>
        <w:ind w:left="3500" w:right="20"/>
        <w:spacing w:after="0" w:line="260" w:lineRule="auto"/>
        <w:rPr>
          <w:sz w:val="20"/>
          <w:szCs w:val="20"/>
          <w:color w:val="auto"/>
        </w:rPr>
      </w:pPr>
      <w:r>
        <w:rPr>
          <w:rFonts w:ascii="Arial" w:cs="Arial" w:eastAsia="Arial" w:hAnsi="Arial"/>
          <w:sz w:val="18"/>
          <w:szCs w:val="18"/>
          <w:color w:val="auto"/>
        </w:rPr>
        <w:t>one warrant. Each whole warrant entitles the holder thereof to purchase one share of common stock at a price of $11.50, subject to adjustment as described in this prospectus.</w:t>
      </w:r>
    </w:p>
    <w:p>
      <w:pPr>
        <w:sectPr>
          <w:pgSz w:w="11900" w:h="16838" w:orient="portrait"/>
          <w:cols w:equalWidth="0" w:num="1">
            <w:col w:w="11240"/>
          </w:cols>
          <w:pgMar w:left="320" w:top="1120" w:right="339" w:bottom="1440" w:gutter="0" w:footer="0" w:header="0"/>
        </w:sectPr>
      </w:pPr>
    </w:p>
    <w:p>
      <w:pPr>
        <w:spacing w:after="0" w:line="222" w:lineRule="exact"/>
        <w:rPr>
          <w:sz w:val="20"/>
          <w:szCs w:val="20"/>
          <w:color w:val="auto"/>
        </w:rPr>
      </w:pPr>
    </w:p>
    <w:p>
      <w:pPr>
        <w:ind w:left="20"/>
        <w:spacing w:after="0" w:line="282" w:lineRule="auto"/>
        <w:rPr>
          <w:sz w:val="20"/>
          <w:szCs w:val="20"/>
          <w:color w:val="auto"/>
        </w:rPr>
      </w:pPr>
      <w:r>
        <w:rPr>
          <w:rFonts w:ascii="Arial" w:cs="Arial" w:eastAsia="Arial" w:hAnsi="Arial"/>
          <w:sz w:val="18"/>
          <w:szCs w:val="18"/>
          <w:b w:val="1"/>
          <w:bCs w:val="1"/>
          <w:color w:val="auto"/>
        </w:rPr>
        <w:t>Listing of our securities and proposed symbols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anticipate the units, and the shares of common stock and the warrants, once they begin separate trading, will be listed on the Nasdaq under the symbols “CNTQU,” “CNTQ,” and “CNTQW,” respectively.</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Each of the shares of common stock and warrants may trade separately on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of this prospectus unless Chardan determines that an earlier date is acceptable (based upon, among other things, its assessment of the relative strengths of the securities markets and small capitalization companies in general, and the trading pattern of, and demand for, our securities in particular). In no event will Chardan allow separate trading of the shares of common stock and warrants until we file an audited balance sheet reflecting our receipt of the gross proceeds of this offering.</w:t>
      </w: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Once the shares of common stock and warrants commence separate trading, holders will have the option to continue to hold units or separate their units into the component pieces. Holders will need to have their brokers contact our transfer agent in order to separate the units into separately trading shares of common stock and warrants.</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will file a Current Report on Form 8-K with the SEC, including an audited balance sheet, promptly upon the consummation of this offering, which is anticipated to take place two business days from the date the units commence trading. The audited balance sheet will reflect our receipt of the proceeds from the exercise of the over-allotment option if the over-allotment option is exercised on the date of this prospectus. If the over-allotment option is exercised after the date of this prospectus, we will file an amendment to the Current Report on Form 8-K or a new Current Report on Form 8-K to provide updated financial information to reflect the exercise of the over-allotment option. We will also include in the Current Report on Form 8-K, or amendment thereto, or in a subsequent Current Report on Form 8-K, information indicating if Chardan has allowed separate trading of the shares of common stock and warrants prior to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of this prospectus.</w:t>
      </w:r>
    </w:p>
    <w:p>
      <w:pPr>
        <w:spacing w:after="0" w:line="200" w:lineRule="exact"/>
        <w:rPr>
          <w:sz w:val="20"/>
          <w:szCs w:val="20"/>
          <w:color w:val="auto"/>
        </w:rPr>
      </w:pPr>
    </w:p>
    <w:p>
      <w:pPr>
        <w:sectPr>
          <w:pgSz w:w="11900" w:h="16838" w:orient="portrait"/>
          <w:cols w:equalWidth="0" w:num="2">
            <w:col w:w="2920" w:space="580"/>
            <w:col w:w="7740"/>
          </w:cols>
          <w:pgMar w:left="320" w:top="1120" w:right="339" w:bottom="1440" w:gutter="0" w:footer="0" w:header="0"/>
          <w:type w:val="continuous"/>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18" w:name="page19"/>
    <w:bookmarkEnd w:id="18"/>
    <w:p>
      <w:pPr>
        <w:ind w:left="20"/>
        <w:spacing w:after="0"/>
        <w:rPr>
          <w:sz w:val="20"/>
          <w:szCs w:val="20"/>
          <w:color w:val="auto"/>
        </w:rPr>
      </w:pPr>
      <w:r>
        <w:rPr>
          <w:rFonts w:ascii="Arial" w:cs="Arial" w:eastAsia="Arial" w:hAnsi="Arial"/>
          <w:sz w:val="18"/>
          <w:szCs w:val="18"/>
          <w:b w:val="1"/>
          <w:bCs w:val="1"/>
          <w:color w:val="auto"/>
        </w:rPr>
        <w:t>Shares of common stock:</w:t>
      </w:r>
    </w:p>
    <w:p>
      <w:pPr>
        <w:spacing w:after="0" w:line="306" w:lineRule="exact"/>
        <w:rPr>
          <w:sz w:val="20"/>
          <w:szCs w:val="20"/>
          <w:color w:val="auto"/>
        </w:rPr>
      </w:pPr>
    </w:p>
    <w:p>
      <w:pPr>
        <w:ind w:left="260" w:hanging="215"/>
        <w:spacing w:after="0" w:line="282" w:lineRule="auto"/>
        <w:rPr>
          <w:sz w:val="20"/>
          <w:szCs w:val="20"/>
          <w:color w:val="auto"/>
        </w:rPr>
      </w:pPr>
      <w:r>
        <w:rPr>
          <w:rFonts w:ascii="Arial" w:cs="Arial" w:eastAsia="Arial" w:hAnsi="Arial"/>
          <w:sz w:val="18"/>
          <w:szCs w:val="18"/>
          <w:b w:val="1"/>
          <w:bCs w:val="1"/>
          <w:color w:val="auto"/>
        </w:rPr>
        <w:t>Number issued and outstanding before this offering</w:t>
      </w:r>
    </w:p>
    <w:p>
      <w:pPr>
        <w:spacing w:after="0" w:line="243" w:lineRule="exact"/>
        <w:rPr>
          <w:sz w:val="20"/>
          <w:szCs w:val="20"/>
          <w:color w:val="auto"/>
        </w:rPr>
      </w:pPr>
    </w:p>
    <w:p>
      <w:pPr>
        <w:ind w:left="260" w:right="20" w:hanging="215"/>
        <w:spacing w:after="0" w:line="282" w:lineRule="auto"/>
        <w:rPr>
          <w:sz w:val="20"/>
          <w:szCs w:val="20"/>
          <w:color w:val="auto"/>
        </w:rPr>
      </w:pPr>
      <w:r>
        <w:rPr>
          <w:rFonts w:ascii="Arial" w:cs="Arial" w:eastAsia="Arial" w:hAnsi="Arial"/>
          <w:sz w:val="18"/>
          <w:szCs w:val="18"/>
          <w:b w:val="1"/>
          <w:bCs w:val="1"/>
          <w:color w:val="auto"/>
        </w:rPr>
        <w:t>Number to be issued and outstanding after this offering</w:t>
      </w:r>
    </w:p>
    <w:p>
      <w:pPr>
        <w:spacing w:after="0" w:line="2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Redeemable Warrants:</w:t>
      </w:r>
    </w:p>
    <w:p>
      <w:pPr>
        <w:spacing w:after="0" w:line="306" w:lineRule="exact"/>
        <w:rPr>
          <w:sz w:val="20"/>
          <w:szCs w:val="20"/>
          <w:color w:val="auto"/>
        </w:rPr>
      </w:pPr>
    </w:p>
    <w:p>
      <w:pPr>
        <w:ind w:left="260" w:hanging="215"/>
        <w:spacing w:after="0" w:line="282" w:lineRule="auto"/>
        <w:rPr>
          <w:sz w:val="20"/>
          <w:szCs w:val="20"/>
          <w:color w:val="auto"/>
        </w:rPr>
      </w:pPr>
      <w:r>
        <w:rPr>
          <w:rFonts w:ascii="Arial" w:cs="Arial" w:eastAsia="Arial" w:hAnsi="Arial"/>
          <w:sz w:val="18"/>
          <w:szCs w:val="18"/>
          <w:b w:val="1"/>
          <w:bCs w:val="1"/>
          <w:color w:val="auto"/>
        </w:rPr>
        <w:t>Number issued and outstanding before this offering</w:t>
      </w:r>
    </w:p>
    <w:p>
      <w:pPr>
        <w:spacing w:after="0" w:line="243" w:lineRule="exact"/>
        <w:rPr>
          <w:sz w:val="20"/>
          <w:szCs w:val="20"/>
          <w:color w:val="auto"/>
        </w:rPr>
      </w:pPr>
    </w:p>
    <w:p>
      <w:pPr>
        <w:ind w:left="260" w:right="20" w:hanging="215"/>
        <w:spacing w:after="0" w:line="266" w:lineRule="auto"/>
        <w:rPr>
          <w:sz w:val="20"/>
          <w:szCs w:val="20"/>
          <w:color w:val="auto"/>
        </w:rPr>
      </w:pPr>
      <w:r>
        <w:rPr>
          <w:rFonts w:ascii="Arial" w:cs="Arial" w:eastAsia="Arial" w:hAnsi="Arial"/>
          <w:sz w:val="18"/>
          <w:szCs w:val="18"/>
          <w:b w:val="1"/>
          <w:bCs w:val="1"/>
          <w:color w:val="auto"/>
        </w:rPr>
        <w:t>Number to be issued and outstanding after this offering and sale of private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2,875,000 shares</w:t>
      </w:r>
      <w:r>
        <w:rPr>
          <w:rFonts w:ascii="Arial" w:cs="Arial" w:eastAsia="Arial" w:hAnsi="Arial"/>
          <w:sz w:val="29"/>
          <w:szCs w:val="29"/>
          <w:color w:val="auto"/>
          <w:vertAlign w:val="superscript"/>
        </w:rPr>
        <w:t>(1)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12,500,000 shares</w:t>
      </w:r>
      <w:r>
        <w:rPr>
          <w:rFonts w:ascii="Arial" w:cs="Arial" w:eastAsia="Arial" w:hAnsi="Arial"/>
          <w:sz w:val="29"/>
          <w:szCs w:val="29"/>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0 warrants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5,000,000 public warrants and 4,200,000 private warrants</w:t>
      </w:r>
      <w:r>
        <w:rPr>
          <w:rFonts w:ascii="Arial" w:cs="Arial" w:eastAsia="Arial" w:hAnsi="Arial"/>
          <w:sz w:val="26"/>
          <w:szCs w:val="26"/>
          <w:color w:val="auto"/>
          <w:vertAlign w:val="superscript"/>
        </w:rPr>
        <w:t>(3)</w:t>
      </w:r>
    </w:p>
    <w:p>
      <w:pPr>
        <w:spacing w:after="0" w:line="581" w:lineRule="exact"/>
        <w:rPr>
          <w:sz w:val="20"/>
          <w:szCs w:val="20"/>
          <w:color w:val="auto"/>
        </w:rPr>
      </w:pPr>
    </w:p>
    <w:p>
      <w:pPr>
        <w:sectPr>
          <w:pgSz w:w="11900" w:h="16838" w:orient="portrait"/>
          <w:cols w:equalWidth="0" w:num="2">
            <w:col w:w="3340" w:space="160"/>
            <w:col w:w="7740"/>
          </w:cols>
          <w:pgMar w:left="320" w:top="904" w:right="339" w:bottom="1440" w:gutter="0" w:footer="0" w:header="0"/>
        </w:sectPr>
      </w:pPr>
    </w:p>
    <w:p>
      <w:pPr>
        <w:spacing w:after="0" w:line="57" w:lineRule="exact"/>
        <w:rPr>
          <w:sz w:val="20"/>
          <w:szCs w:val="20"/>
          <w:color w:val="auto"/>
        </w:rPr>
      </w:pPr>
    </w:p>
    <w:p>
      <w:pPr>
        <w:ind w:left="260"/>
        <w:spacing w:after="0"/>
        <w:tabs>
          <w:tab w:leader="none" w:pos="3480" w:val="left"/>
        </w:tabs>
        <w:rPr>
          <w:sz w:val="20"/>
          <w:szCs w:val="20"/>
          <w:color w:val="auto"/>
        </w:rPr>
      </w:pPr>
      <w:r>
        <w:rPr>
          <w:rFonts w:ascii="Arial" w:cs="Arial" w:eastAsia="Arial" w:hAnsi="Arial"/>
          <w:sz w:val="17"/>
          <w:szCs w:val="17"/>
          <w:b w:val="1"/>
          <w:bCs w:val="1"/>
          <w:color w:val="auto"/>
        </w:rPr>
        <w:t>Exercisability</w:t>
      </w:r>
      <w:r>
        <w:rPr>
          <w:sz w:val="20"/>
          <w:szCs w:val="20"/>
          <w:color w:val="auto"/>
        </w:rPr>
        <w:tab/>
      </w:r>
      <w:r>
        <w:rPr>
          <w:rFonts w:ascii="Arial" w:cs="Arial" w:eastAsia="Arial" w:hAnsi="Arial"/>
          <w:sz w:val="17"/>
          <w:szCs w:val="17"/>
          <w:color w:val="auto"/>
        </w:rPr>
        <w:t>Each unit contains one-half of one redeemable public warrant. Each whole redeemable public warrant</w:t>
      </w:r>
    </w:p>
    <w:p>
      <w:pPr>
        <w:spacing w:after="0" w:line="39"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entitles the holder thereof to purchase one share of common stock, and each private warrant entitles the</w:t>
      </w:r>
    </w:p>
    <w:p>
      <w:pPr>
        <w:spacing w:after="0" w:line="32"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holder thereof to purchase one share of common stock. Only whole warrants are exercisable. No fractional</w:t>
      </w:r>
    </w:p>
    <w:p>
      <w:pPr>
        <w:spacing w:after="0" w:line="32" w:lineRule="exact"/>
        <w:rPr>
          <w:sz w:val="20"/>
          <w:szCs w:val="20"/>
          <w:color w:val="auto"/>
        </w:rPr>
      </w:pPr>
    </w:p>
    <w:p>
      <w:pPr>
        <w:ind w:left="3500"/>
        <w:spacing w:after="0"/>
        <w:rPr>
          <w:sz w:val="20"/>
          <w:szCs w:val="20"/>
          <w:color w:val="auto"/>
        </w:rPr>
      </w:pPr>
      <w:r>
        <w:rPr>
          <w:rFonts w:ascii="Arial" w:cs="Arial" w:eastAsia="Arial" w:hAnsi="Arial"/>
          <w:sz w:val="17"/>
          <w:szCs w:val="17"/>
          <w:color w:val="auto"/>
        </w:rPr>
        <w:t>warrants will be issued upon separation of the units and only whole warrants will trade. Accordingly,</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unless you purchase a multiple of two units, the number of warrants issuable to you upon separation of the</w:t>
      </w:r>
    </w:p>
    <w:p>
      <w:pPr>
        <w:spacing w:after="0" w:line="32"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units will be rounded down to the nearest whole number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7830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58" w:lineRule="exact"/>
        <w:rPr>
          <w:sz w:val="20"/>
          <w:szCs w:val="20"/>
          <w:color w:val="auto"/>
        </w:rPr>
      </w:pPr>
    </w:p>
    <w:p>
      <w:pPr>
        <w:ind w:left="340" w:hanging="332"/>
        <w:spacing w:after="0" w:line="258"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number includes an aggregate of up to 375,000 founder shares held by our initial stockholders that are subject to forfeiture if the over-allotment option is not fully exercised by the underwriters.</w:t>
      </w:r>
    </w:p>
    <w:p>
      <w:pPr>
        <w:spacing w:after="0" w:line="1" w:lineRule="exact"/>
        <w:rPr>
          <w:rFonts w:ascii="Arial" w:cs="Arial" w:eastAsia="Arial" w:hAnsi="Arial"/>
          <w:sz w:val="18"/>
          <w:szCs w:val="18"/>
          <w:color w:val="auto"/>
        </w:rPr>
      </w:pPr>
    </w:p>
    <w:p>
      <w:pPr>
        <w:ind w:left="340" w:hanging="332"/>
        <w:spacing w:after="0" w:line="265"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Assumes the over-allotment option has not been exercised and an aggregate of 375,000 founder shares held by our initial stockholders have been forfeited. If the over-allotment option is exercised in full, there will be a total of 14,375,000 shares of common stock issued and outstanding.</w:t>
      </w:r>
    </w:p>
    <w:p>
      <w:pPr>
        <w:ind w:left="340" w:hanging="332"/>
        <w:spacing w:after="0" w:line="26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If the over-allotment option is exercised in full, there will be a total of 5,750,000 public warrants and 4,385,185 private warrants issued and outstanding.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9" w:name="page20"/>
    <w:bookmarkEnd w:id="19"/>
    <w:p>
      <w:pPr>
        <w:spacing w:after="0"/>
        <w:tabs>
          <w:tab w:leader="none" w:pos="3460" w:val="left"/>
        </w:tabs>
        <w:rPr>
          <w:sz w:val="20"/>
          <w:szCs w:val="20"/>
          <w:color w:val="auto"/>
        </w:rPr>
      </w:pPr>
      <w:r>
        <w:rPr>
          <w:rFonts w:ascii="Arial" w:cs="Arial" w:eastAsia="Arial" w:hAnsi="Arial"/>
          <w:sz w:val="18"/>
          <w:szCs w:val="18"/>
          <w:b w:val="1"/>
          <w:bCs w:val="1"/>
          <w:color w:val="auto"/>
        </w:rPr>
        <w:t>Exercise price</w:t>
      </w:r>
      <w:r>
        <w:rPr>
          <w:sz w:val="20"/>
          <w:szCs w:val="20"/>
          <w:color w:val="auto"/>
        </w:rPr>
        <w:tab/>
      </w:r>
      <w:r>
        <w:rPr>
          <w:rFonts w:ascii="Arial" w:cs="Arial" w:eastAsia="Arial" w:hAnsi="Arial"/>
          <w:sz w:val="15"/>
          <w:szCs w:val="15"/>
          <w:color w:val="auto"/>
        </w:rPr>
        <w:t>$11.50 per share</w:t>
      </w:r>
    </w:p>
    <w:p>
      <w:pPr>
        <w:spacing w:after="0" w:line="229" w:lineRule="exact"/>
        <w:rPr>
          <w:sz w:val="20"/>
          <w:szCs w:val="20"/>
          <w:color w:val="auto"/>
        </w:rPr>
      </w:pPr>
    </w:p>
    <w:p>
      <w:pPr>
        <w:jc w:val="both"/>
        <w:ind w:left="3480"/>
        <w:spacing w:after="0" w:line="285" w:lineRule="auto"/>
        <w:rPr>
          <w:sz w:val="20"/>
          <w:szCs w:val="20"/>
          <w:color w:val="auto"/>
        </w:rPr>
      </w:pPr>
      <w:r>
        <w:rPr>
          <w:rFonts w:ascii="Arial" w:cs="Arial" w:eastAsia="Arial" w:hAnsi="Arial"/>
          <w:sz w:val="16"/>
          <w:szCs w:val="16"/>
          <w:color w:val="auto"/>
        </w:rPr>
        <w:t>In addition, if (x) we issue additional shares or equity-linked securities for capital raising purposes in connection with the closing of our initial business combination (not including any securities to be issued in connection with the forward purchase agreement to be entered into with our sponsor) at an issue price or effective issue price of less than $9.20 per share (as adjusted for stock splits, stock dividends, rights issuances, subdivisions, reorganizations, recapitalizations and the like) (with such issue price or effective issue price to be determined in good faith by our board of directors, and in the case of any such issuance to our sponsor, initial stockholders or their affiliates, without taking into account any founder shares held by them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shares during the 20 trading day period starting on the trading day prior to the day on which we consummate our initial business combination (such price, the “Market Value”) is below $9.20 per share, the exercise price of each warrant will be adjusted (to the nearest cent) such that the effective exercise price per full share will be equal to 115% of the higher of (i) the Market Value and (ii) the Newly Issued Price, and the $16.00 per share redemption trigger price described below under “Redemption” will be adjusted (to the nearest cent) to be equal to 160% of the higher of (i) the Market Value and (ii) the Newly Issued Price.</w:t>
      </w:r>
    </w:p>
    <w:p>
      <w:pPr>
        <w:spacing w:after="0" w:line="174" w:lineRule="exact"/>
        <w:rPr>
          <w:sz w:val="20"/>
          <w:szCs w:val="20"/>
          <w:color w:val="auto"/>
        </w:rPr>
      </w:pPr>
    </w:p>
    <w:p>
      <w:pPr>
        <w:jc w:val="both"/>
        <w:ind w:left="3480"/>
        <w:spacing w:after="0" w:line="285" w:lineRule="auto"/>
        <w:rPr>
          <w:sz w:val="20"/>
          <w:szCs w:val="20"/>
          <w:color w:val="auto"/>
        </w:rPr>
      </w:pPr>
      <w:r>
        <w:rPr>
          <w:rFonts w:ascii="Arial" w:cs="Arial" w:eastAsia="Arial" w:hAnsi="Arial"/>
          <w:sz w:val="16"/>
          <w:szCs w:val="16"/>
          <w:color w:val="auto"/>
        </w:rPr>
        <w:t>No public warrants will be exercisable for cash unless we have an effective and current registration statement covering the shares of common stock issuable upon exercise of the public warrants and a current prospectus relating to such shares of common stock. It is our current intention to have an effective and current registration statement covering the shares of common stock issuable upon exercise of the public warrants and a current prospectus relating to such shares of common stock in effect promptly following consummation of an initial business combination. Notwithstanding the foregoing, if a registration statement covering the shares of common stock issuable upon exercise of the public warrants is not effective within 120 days following the consummation of our initial business combination, public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In such event, each holder would pay the exercise price by surrendering the whole public warrants for that number of shares of common stock equal to the quotient obtained by dividing (x) the product of the number of shares of common stock underlying the public warrants, multiplied by the difference between the exercise price of the public warrants and the “fair market value” (defined below) by (y) the fair market value. The “fair market value” shall mean the average last reported sale price of the shares of common stock for the 10 trading days ending on the day prior to the date of exercise. For example, if a holder held 300 warrants to purchase 300 shares and the fair market value on the date prior to exercise was $15.00, that holder would receive 70 shares without the payment of any additional cash consideration.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0"/>
        </w:trPr>
        <w:tc>
          <w:tcPr>
            <w:tcW w:w="2340" w:type="dxa"/>
            <w:vAlign w:val="bottom"/>
          </w:tcPr>
          <w:p>
            <w:pPr>
              <w:ind w:left="20"/>
              <w:spacing w:after="0"/>
              <w:rPr>
                <w:sz w:val="20"/>
                <w:szCs w:val="20"/>
                <w:color w:val="auto"/>
              </w:rPr>
            </w:pPr>
            <w:r>
              <w:rPr>
                <w:rFonts w:ascii="Arial" w:cs="Arial" w:eastAsia="Arial" w:hAnsi="Arial"/>
                <w:sz w:val="18"/>
                <w:szCs w:val="18"/>
                <w:b w:val="1"/>
                <w:bCs w:val="1"/>
                <w:color w:val="auto"/>
              </w:rPr>
              <w:t>Exercise period</w:t>
            </w:r>
          </w:p>
        </w:tc>
        <w:tc>
          <w:tcPr>
            <w:tcW w:w="8900" w:type="dxa"/>
            <w:vAlign w:val="bottom"/>
          </w:tcPr>
          <w:p>
            <w:pPr>
              <w:ind w:left="1160"/>
              <w:spacing w:after="0"/>
              <w:rPr>
                <w:sz w:val="20"/>
                <w:szCs w:val="20"/>
                <w:color w:val="auto"/>
              </w:rPr>
            </w:pPr>
            <w:r>
              <w:rPr>
                <w:rFonts w:ascii="Arial" w:cs="Arial" w:eastAsia="Arial" w:hAnsi="Arial"/>
                <w:sz w:val="18"/>
                <w:szCs w:val="18"/>
                <w:color w:val="auto"/>
                <w:w w:val="92"/>
              </w:rPr>
              <w:t>The warrants will become exercisable 30 days after the consummation of an initial business combination.</w:t>
            </w:r>
          </w:p>
        </w:tc>
      </w:tr>
      <w:tr>
        <w:trPr>
          <w:trHeight w:val="216"/>
        </w:trPr>
        <w:tc>
          <w:tcPr>
            <w:tcW w:w="2340" w:type="dxa"/>
            <w:vAlign w:val="bottom"/>
          </w:tcPr>
          <w:p>
            <w:pPr>
              <w:spacing w:after="0"/>
              <w:rPr>
                <w:sz w:val="18"/>
                <w:szCs w:val="18"/>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w w:val="92"/>
              </w:rPr>
              <w:t>The warrants will expire at 5:00 p.m., New York City time, on the fifth anniversary of our completion of an</w:t>
            </w:r>
          </w:p>
        </w:tc>
      </w:tr>
      <w:tr>
        <w:trPr>
          <w:trHeight w:val="216"/>
        </w:trPr>
        <w:tc>
          <w:tcPr>
            <w:tcW w:w="2340" w:type="dxa"/>
            <w:vAlign w:val="bottom"/>
          </w:tcPr>
          <w:p>
            <w:pPr>
              <w:spacing w:after="0"/>
              <w:rPr>
                <w:sz w:val="18"/>
                <w:szCs w:val="18"/>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w w:val="96"/>
              </w:rPr>
              <w:t>initial business combination, or earlier upon redemption. The private warrants purchased by Chardan</w:t>
            </w:r>
          </w:p>
        </w:tc>
      </w:tr>
      <w:tr>
        <w:trPr>
          <w:trHeight w:val="216"/>
        </w:trPr>
        <w:tc>
          <w:tcPr>
            <w:tcW w:w="2340" w:type="dxa"/>
            <w:vAlign w:val="bottom"/>
          </w:tcPr>
          <w:p>
            <w:pPr>
              <w:spacing w:after="0"/>
              <w:rPr>
                <w:sz w:val="18"/>
                <w:szCs w:val="18"/>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w w:val="93"/>
              </w:rPr>
              <w:t>NexTech 2 Warrant Holdings LLC will not be exercisable more than five years from the effective date of</w:t>
            </w:r>
          </w:p>
        </w:tc>
      </w:tr>
      <w:tr>
        <w:trPr>
          <w:trHeight w:val="216"/>
        </w:trPr>
        <w:tc>
          <w:tcPr>
            <w:tcW w:w="2340" w:type="dxa"/>
            <w:vAlign w:val="bottom"/>
          </w:tcPr>
          <w:p>
            <w:pPr>
              <w:spacing w:after="0"/>
              <w:rPr>
                <w:sz w:val="18"/>
                <w:szCs w:val="18"/>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w w:val="92"/>
              </w:rPr>
              <w:t>the registration statement, of which this prospectus forms a part, in accordance with FINRA Rule 5110(g),</w:t>
            </w:r>
          </w:p>
        </w:tc>
      </w:tr>
      <w:tr>
        <w:trPr>
          <w:trHeight w:val="230"/>
        </w:trPr>
        <w:tc>
          <w:tcPr>
            <w:tcW w:w="2340" w:type="dxa"/>
            <w:vAlign w:val="bottom"/>
          </w:tcPr>
          <w:p>
            <w:pPr>
              <w:spacing w:after="0"/>
              <w:rPr>
                <w:sz w:val="20"/>
                <w:szCs w:val="20"/>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rPr>
              <w:t>as long as Chardan or any of its related persons beneficially own these private warrants.</w:t>
            </w:r>
          </w:p>
        </w:tc>
      </w:tr>
      <w:tr>
        <w:trPr>
          <w:trHeight w:val="688"/>
        </w:trPr>
        <w:tc>
          <w:tcPr>
            <w:tcW w:w="234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ind w:left="320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Redemption</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We may redeem the outstanding warrants (excluding the private warrants), in whole and not in part, at a price of $0.01 per warrant:</w:t>
      </w:r>
    </w:p>
    <w:p>
      <w:pPr>
        <w:spacing w:after="0" w:line="170" w:lineRule="exact"/>
        <w:rPr>
          <w:sz w:val="20"/>
          <w:szCs w:val="20"/>
          <w:color w:val="auto"/>
        </w:rPr>
      </w:pPr>
    </w:p>
    <w:p>
      <w:pPr>
        <w:sectPr>
          <w:pgSz w:w="11900" w:h="16838" w:orient="portrait"/>
          <w:cols w:equalWidth="0" w:num="2">
            <w:col w:w="2760" w:space="720"/>
            <w:col w:w="7740"/>
          </w:cols>
          <w:pgMar w:left="340" w:top="904" w:right="339" w:bottom="1440" w:gutter="0" w:footer="0" w:header="0"/>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at any time while the warrants are exercisable;</w:t>
      </w:r>
    </w:p>
    <w:p>
      <w:pPr>
        <w:spacing w:after="0" w:line="211" w:lineRule="exact"/>
        <w:rPr>
          <w:sz w:val="20"/>
          <w:szCs w:val="20"/>
          <w:color w:val="auto"/>
        </w:rPr>
      </w:pPr>
    </w:p>
    <w:p>
      <w:pPr>
        <w:sectPr>
          <w:pgSz w:w="11900" w:h="16838" w:orient="portrait"/>
          <w:cols w:equalWidth="0" w:num="2">
            <w:col w:w="3860" w:space="280"/>
            <w:col w:w="7080"/>
          </w:cols>
          <w:pgMar w:left="340" w:top="904" w:right="339" w:bottom="1440" w:gutter="0" w:footer="0" w:header="0"/>
          <w:type w:val="continuous"/>
        </w:sectPr>
      </w:pPr>
    </w:p>
    <w:p>
      <w:pPr>
        <w:spacing w:after="0" w:line="37"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upon a minimum of 30 days’ prior written notice of redemption;</w:t>
      </w:r>
    </w:p>
    <w:p>
      <w:pPr>
        <w:spacing w:after="0" w:line="211" w:lineRule="exact"/>
        <w:rPr>
          <w:sz w:val="20"/>
          <w:szCs w:val="20"/>
          <w:color w:val="auto"/>
        </w:rPr>
      </w:pPr>
    </w:p>
    <w:p>
      <w:pPr>
        <w:sectPr>
          <w:pgSz w:w="11900" w:h="16838" w:orient="portrait"/>
          <w:cols w:equalWidth="0" w:num="2">
            <w:col w:w="3860" w:space="280"/>
            <w:col w:w="7080"/>
          </w:cols>
          <w:pgMar w:left="340" w:top="904" w:right="339" w:bottom="1440" w:gutter="0" w:footer="0" w:header="0"/>
          <w:type w:val="continuous"/>
        </w:sectPr>
      </w:pPr>
    </w:p>
    <w:p>
      <w:pPr>
        <w:spacing w:after="0" w:line="37"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firstLine="9"/>
        <w:spacing w:after="0" w:line="263" w:lineRule="auto"/>
        <w:rPr>
          <w:sz w:val="20"/>
          <w:szCs w:val="20"/>
          <w:color w:val="auto"/>
        </w:rPr>
      </w:pPr>
      <w:r>
        <w:rPr>
          <w:rFonts w:ascii="Arial" w:cs="Arial" w:eastAsia="Arial" w:hAnsi="Arial"/>
          <w:sz w:val="18"/>
          <w:szCs w:val="18"/>
          <w:color w:val="auto"/>
        </w:rPr>
        <w:t>if, and only if, the last sales price of our common stock equals or exceeds $16.00 per share for any 10 trading days within a 30-trading day period ending three business days before we send the notice of redemption; and</w:t>
      </w:r>
    </w:p>
    <w:p>
      <w:pPr>
        <w:spacing w:after="0" w:line="184"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if, and only if, there is a current registration statement in effect with respect to the offer and sale</w:t>
      </w:r>
    </w:p>
    <w:p>
      <w:pPr>
        <w:spacing w:after="0" w:line="46" w:lineRule="exact"/>
        <w:rPr>
          <w:sz w:val="20"/>
          <w:szCs w:val="20"/>
          <w:color w:val="auto"/>
        </w:rPr>
      </w:pPr>
    </w:p>
    <w:p>
      <w:pPr>
        <w:sectPr>
          <w:pgSz w:w="11900" w:h="16838" w:orient="portrait"/>
          <w:cols w:equalWidth="0" w:num="2">
            <w:col w:w="3860" w:space="320"/>
            <w:col w:w="7040"/>
          </w:cols>
          <w:pgMar w:left="340" w:top="904" w:right="339" w:bottom="1440" w:gutter="0" w:footer="0" w:header="0"/>
          <w:type w:val="continuous"/>
        </w:sectPr>
      </w:pPr>
    </w:p>
    <w:p>
      <w:pPr>
        <w:jc w:val="both"/>
        <w:ind w:left="4120" w:right="20"/>
        <w:spacing w:after="0" w:line="255" w:lineRule="auto"/>
        <w:rPr>
          <w:sz w:val="20"/>
          <w:szCs w:val="20"/>
          <w:color w:val="auto"/>
        </w:rPr>
      </w:pPr>
      <w:r>
        <w:rPr>
          <w:rFonts w:ascii="Arial" w:cs="Arial" w:eastAsia="Arial" w:hAnsi="Arial"/>
          <w:sz w:val="18"/>
          <w:szCs w:val="18"/>
          <w:color w:val="auto"/>
        </w:rPr>
        <w:t>of the shares of common stock underlying such warrants at the time of redemption and for the entire 30-day trading period referred to above and continuing each day thereafter until the date of redemption.</w:t>
      </w:r>
    </w:p>
    <w:p>
      <w:pPr>
        <w:spacing w:after="0" w:line="190" w:lineRule="exact"/>
        <w:rPr>
          <w:sz w:val="20"/>
          <w:szCs w:val="20"/>
          <w:color w:val="auto"/>
        </w:rPr>
      </w:pPr>
    </w:p>
    <w:p>
      <w:pPr>
        <w:jc w:val="both"/>
        <w:ind w:left="3480"/>
        <w:spacing w:after="0" w:line="259" w:lineRule="auto"/>
        <w:rPr>
          <w:sz w:val="20"/>
          <w:szCs w:val="20"/>
          <w:color w:val="auto"/>
        </w:rPr>
      </w:pPr>
      <w:r>
        <w:rPr>
          <w:rFonts w:ascii="Arial" w:cs="Arial" w:eastAsia="Arial" w:hAnsi="Arial"/>
          <w:sz w:val="18"/>
          <w:szCs w:val="18"/>
          <w:color w:val="auto"/>
        </w:rPr>
        <w:t>If the foregoing conditions are satisfied and we issue a notice of redemption, each warrant holder can exercise his, her or its warrant prior to the scheduled redemption date. However, the price of our common stock may fall below the $16.00 trigger price, as well as the $11.50 warrant exercise price after the redemption notice is issued.</w:t>
      </w:r>
    </w:p>
    <w:p>
      <w:pPr>
        <w:spacing w:after="0" w:line="187" w:lineRule="exact"/>
        <w:rPr>
          <w:sz w:val="20"/>
          <w:szCs w:val="20"/>
          <w:color w:val="auto"/>
        </w:rPr>
      </w:pPr>
    </w:p>
    <w:p>
      <w:pPr>
        <w:jc w:val="both"/>
        <w:ind w:left="3480"/>
        <w:spacing w:after="0" w:line="257" w:lineRule="auto"/>
        <w:rPr>
          <w:sz w:val="20"/>
          <w:szCs w:val="20"/>
          <w:color w:val="auto"/>
        </w:rPr>
      </w:pPr>
      <w:r>
        <w:rPr>
          <w:rFonts w:ascii="Arial" w:cs="Arial" w:eastAsia="Arial" w:hAnsi="Arial"/>
          <w:sz w:val="18"/>
          <w:szCs w:val="18"/>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188" w:lineRule="exact"/>
        <w:rPr>
          <w:sz w:val="20"/>
          <w:szCs w:val="20"/>
          <w:color w:val="auto"/>
        </w:rPr>
      </w:pPr>
    </w:p>
    <w:p>
      <w:pPr>
        <w:jc w:val="both"/>
        <w:ind w:left="3480"/>
        <w:spacing w:after="0" w:line="287" w:lineRule="auto"/>
        <w:rPr>
          <w:sz w:val="20"/>
          <w:szCs w:val="20"/>
          <w:color w:val="auto"/>
        </w:rPr>
      </w:pPr>
      <w:r>
        <w:rPr>
          <w:rFonts w:ascii="Arial" w:cs="Arial" w:eastAsia="Arial" w:hAnsi="Arial"/>
          <w:sz w:val="16"/>
          <w:szCs w:val="16"/>
          <w:color w:val="auto"/>
        </w:rPr>
        <w:t>If we call the warrants for redemption as described above, our management will have the option to require all holders that wish to exercise warrants to do so on a “cashless basis.” In such event, each holder would pay the exercise price by surrendering the whole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last reported sale price of the shares of common stock for the 10 trading days ending on the third trading day prior to the date on which the notice of redemption is sent to the holders of warrants. Whether we will exercise our option to require all holders to exercise their warrants on a “cashless basis” will depend on a variety of factors including the price of our shares of common stock at the time the warrants are called for redemption, our cash needs at such time and concerns regarding dilutive share issuances.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20"/>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w w:val="99"/>
              </w:rPr>
              <w:t>Offering proceeds to be held in trust</w:t>
            </w:r>
          </w:p>
        </w:tc>
        <w:tc>
          <w:tcPr>
            <w:tcW w:w="8100" w:type="dxa"/>
            <w:vAlign w:val="bottom"/>
          </w:tcPr>
          <w:p>
            <w:pPr>
              <w:ind w:left="360"/>
              <w:spacing w:after="0"/>
              <w:rPr>
                <w:sz w:val="20"/>
                <w:szCs w:val="20"/>
                <w:color w:val="auto"/>
              </w:rPr>
            </w:pPr>
            <w:r>
              <w:rPr>
                <w:rFonts w:ascii="Arial" w:cs="Arial" w:eastAsia="Arial" w:hAnsi="Arial"/>
                <w:sz w:val="18"/>
                <w:szCs w:val="18"/>
                <w:color w:val="auto"/>
                <w:w w:val="92"/>
              </w:rPr>
              <w:t>$101,000,000 of the net proceeds of this offering and the private placement (or $116,150,000 if the over-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4"/>
              </w:rPr>
              <w:t>allotment option is exercised in full), will be placed in a trust account at Morgan Stanley, maintained by</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1"/>
              </w:rPr>
              <w:t>Continental Stock Transfer &amp; Trust Company, acting as trustee pursuant to an agreement to be signed on</w:t>
            </w:r>
          </w:p>
        </w:tc>
      </w:tr>
      <w:tr>
        <w:trPr>
          <w:trHeight w:val="230"/>
        </w:trPr>
        <w:tc>
          <w:tcPr>
            <w:tcW w:w="314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the date of this prospectus.</w:t>
            </w:r>
          </w:p>
        </w:tc>
      </w:tr>
      <w:tr>
        <w:trPr>
          <w:trHeight w:val="418"/>
        </w:trPr>
        <w:tc>
          <w:tcPr>
            <w:tcW w:w="3140" w:type="dxa"/>
            <w:vAlign w:val="bottom"/>
          </w:tcPr>
          <w:p>
            <w:pPr>
              <w:spacing w:after="0"/>
              <w:rPr>
                <w:sz w:val="24"/>
                <w:szCs w:val="24"/>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2"/>
              </w:rPr>
              <w:t>Except as set forth below, the proceeds in the trust account will not be released until the earlier of: (1)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7"/>
              </w:rPr>
              <w:t>completion of an initial business combination within the required time period or (2) the redemption of</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3"/>
              </w:rPr>
              <w:t>100% of the outstanding public shares if we have not completed a business combination in the required</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4"/>
              </w:rPr>
              <w:t>time period. Therefore, unless and until our initial business combination is consummated, the proceeds</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8"/>
              </w:rPr>
              <w:t>held in the trust account will not be available for our use for any expenses related to this offering or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9"/>
              </w:rPr>
              <w:t>expenses that we may incur related to the investigation and selection of a target business and the</w:t>
            </w:r>
          </w:p>
        </w:tc>
      </w:tr>
      <w:tr>
        <w:trPr>
          <w:trHeight w:val="230"/>
        </w:trPr>
        <w:tc>
          <w:tcPr>
            <w:tcW w:w="314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negotiation of an agreement to acquire a target business.</w:t>
            </w:r>
          </w:p>
        </w:tc>
      </w:tr>
      <w:tr>
        <w:trPr>
          <w:trHeight w:val="418"/>
        </w:trPr>
        <w:tc>
          <w:tcPr>
            <w:tcW w:w="3140" w:type="dxa"/>
            <w:vAlign w:val="bottom"/>
          </w:tcPr>
          <w:p>
            <w:pPr>
              <w:spacing w:after="0"/>
              <w:rPr>
                <w:sz w:val="24"/>
                <w:szCs w:val="24"/>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3"/>
              </w:rPr>
              <w:t>Notwithstanding the foregoing, there can be released to us, from time to time, any interest earned on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3"/>
              </w:rPr>
              <w:t>funds in the trust account that we may need to pay our tax obligations. Unless and until we complete our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8"/>
              </w:rPr>
              <w:t>initial business combination, no proceeds held in the trust account will be available for our use.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4"/>
              </w:rPr>
              <w:t>proceeds held in the trust account will be invested only in U.S. government securities with a maturity of</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185 days or less or in money market funds meeting certain conditions under Rule 2a-7 under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9"/>
              </w:rPr>
              <w:t>Investment Company Act which invest only in direct U.S. government treasury obligations. We will</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5"/>
              </w:rPr>
              <w:t>disclose in each quarterly and annual report filed with the SEC prior to our initial business combination</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0"/>
              </w:rPr>
              <w:t>whether the proceeds deposited in the trust account are invested in U.S. government treasury obligations or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6"/>
              </w:rPr>
              <w:t>money market funds or a combination thereof. Based upon current interest rates, we expect the trust</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4"/>
              </w:rPr>
              <w:t>account to generate approximately $100,000 of interest annually assuming an interest rate of 0.1% per</w:t>
            </w:r>
          </w:p>
        </w:tc>
      </w:tr>
      <w:tr>
        <w:trPr>
          <w:trHeight w:val="230"/>
        </w:trPr>
        <w:tc>
          <w:tcPr>
            <w:tcW w:w="314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year; however, we can provide no assurances regarding this amount.</w:t>
            </w:r>
          </w:p>
        </w:tc>
      </w:tr>
      <w:tr>
        <w:trPr>
          <w:trHeight w:val="418"/>
        </w:trPr>
        <w:tc>
          <w:tcPr>
            <w:tcW w:w="3140" w:type="dxa"/>
            <w:vAlign w:val="bottom"/>
          </w:tcPr>
          <w:p>
            <w:pPr>
              <w:spacing w:after="0"/>
              <w:rPr>
                <w:sz w:val="24"/>
                <w:szCs w:val="24"/>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2"/>
              </w:rPr>
              <w:t>Unless and until we complete our initial business combination, expenses incurred by us may be paid prior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7"/>
              </w:rPr>
              <w:t>to a business combination only from the net proceeds of this offering not held in the trust account of</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8"/>
              </w:rPr>
              <w:t xml:space="preserve">approximately $1,327,000; </w:t>
            </w:r>
            <w:r>
              <w:rPr>
                <w:rFonts w:ascii="Arial" w:cs="Arial" w:eastAsia="Arial" w:hAnsi="Arial"/>
                <w:sz w:val="18"/>
                <w:szCs w:val="18"/>
                <w:i w:val="1"/>
                <w:iCs w:val="1"/>
                <w:color w:val="auto"/>
                <w:w w:val="98"/>
              </w:rPr>
              <w:t>provided, however</w:t>
            </w:r>
            <w:r>
              <w:rPr>
                <w:rFonts w:ascii="Arial" w:cs="Arial" w:eastAsia="Arial" w:hAnsi="Arial"/>
                <w:sz w:val="18"/>
                <w:szCs w:val="18"/>
                <w:color w:val="auto"/>
                <w:w w:val="98"/>
              </w:rPr>
              <w:t>, that to meet our working capital needs following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consummation of this offering, if the funds not held in the trust account are insufficient, our initial</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1"/>
              </w:rPr>
              <w:t>stockholders, officers and directors or their affiliates may, but are not obligated to, loan us funds, from time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1"/>
              </w:rPr>
              <w:t>to time or at any time, in whatever amount they deem reasonable in their sole discretion. Each loan would</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3"/>
              </w:rPr>
              <w:t>be evidenced by a promissory note. The notes would be paid upon consummation of our initial business</w:t>
            </w:r>
          </w:p>
        </w:tc>
      </w:tr>
      <w:tr>
        <w:trPr>
          <w:trHeight w:val="230"/>
        </w:trPr>
        <w:tc>
          <w:tcPr>
            <w:tcW w:w="314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combination, without interest.</w:t>
            </w:r>
          </w:p>
        </w:tc>
      </w:tr>
      <w:tr>
        <w:trPr>
          <w:trHeight w:val="688"/>
        </w:trPr>
        <w:tc>
          <w:tcPr>
            <w:tcW w:w="314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240"/>
          </w:cols>
          <w:pgMar w:left="320" w:top="904" w:right="339" w:bottom="1440" w:gutter="0" w:footer="0" w:header="0"/>
        </w:sectPr>
      </w:pPr>
    </w:p>
    <w:bookmarkStart w:id="23" w:name="page24"/>
    <w:bookmarkEnd w:id="23"/>
    <w:p>
      <w:pPr>
        <w:spacing w:after="0" w:line="347" w:lineRule="auto"/>
        <w:rPr>
          <w:sz w:val="20"/>
          <w:szCs w:val="20"/>
          <w:color w:val="auto"/>
        </w:rPr>
      </w:pPr>
      <w:r>
        <w:rPr>
          <w:rFonts w:ascii="Arial" w:cs="Arial" w:eastAsia="Arial" w:hAnsi="Arial"/>
          <w:sz w:val="16"/>
          <w:szCs w:val="16"/>
          <w:b w:val="1"/>
          <w:bCs w:val="1"/>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6"/>
          <w:szCs w:val="16"/>
          <w:color w:val="auto"/>
        </w:rPr>
        <w:t>On the completion of our initial business combination, the funds held in the trust account will be used to pay amounts due to any public stockholders who exercise their redemption rights. We will use the remaining funds to pay all or a portion of the consideration payable to the target or owners of the target of our initial business combination and to pay other expenses associated with our initial business combination, including the fee payable to Chardan pursuant to the Business Combination Marketing Agreement described under “</w:t>
      </w:r>
      <w:r>
        <w:rPr>
          <w:rFonts w:ascii="Arial" w:cs="Arial" w:eastAsia="Arial" w:hAnsi="Arial"/>
          <w:sz w:val="16"/>
          <w:szCs w:val="16"/>
          <w:i w:val="1"/>
          <w:iCs w:val="1"/>
          <w:color w:val="auto"/>
        </w:rPr>
        <w:t>Underwriting (Conflicts of Interest) — Business Combination Marketing</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which fee we refer to throughout this prospectus as the Marketing Fee. If our initial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is paid for using equity or debt securities, or not all of the funds released from the trust account are used for payment of the consideration in connection with our initial business combination or used for redemptions of our common stock, we may apply the balance of the cash released to us from the trust account, as well as the proceeds from the sale of the private warrants described elsewhere in this prospectus,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ectPr>
          <w:pgSz w:w="11900" w:h="16838" w:orient="portrait"/>
          <w:cols w:equalWidth="0" w:num="2">
            <w:col w:w="3300" w:space="180"/>
            <w:col w:w="7740"/>
          </w:cols>
          <w:pgMar w:left="340" w:top="904" w:right="3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Limited payments to insiders</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Prior to the consummation of a business combination, there will be no fees, reimbursements or other cash payments paid to our initial stockholders, officers, directors or their affiliates prior to, or for any services they render in order to effectuate, the consummation of a business combination (regardless of the type of transaction that it is) other than:</w:t>
      </w:r>
    </w:p>
    <w:p>
      <w:pPr>
        <w:spacing w:after="0" w:line="187" w:lineRule="exact"/>
        <w:rPr>
          <w:sz w:val="20"/>
          <w:szCs w:val="20"/>
          <w:color w:val="auto"/>
        </w:rPr>
      </w:pPr>
    </w:p>
    <w:p>
      <w:pPr>
        <w:sectPr>
          <w:pgSz w:w="11900" w:h="16838" w:orient="portrait"/>
          <w:cols w:equalWidth="0" w:num="2">
            <w:col w:w="2760" w:space="720"/>
            <w:col w:w="7740"/>
          </w:cols>
          <w:pgMar w:left="340" w:top="904" w:right="339" w:bottom="1440" w:gutter="0" w:footer="0" w:header="0"/>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0" w:hanging="24"/>
        <w:spacing w:after="0" w:line="277" w:lineRule="auto"/>
        <w:rPr>
          <w:sz w:val="20"/>
          <w:szCs w:val="20"/>
          <w:color w:val="auto"/>
        </w:rPr>
      </w:pPr>
      <w:r>
        <w:rPr>
          <w:rFonts w:ascii="Arial" w:cs="Arial" w:eastAsia="Arial" w:hAnsi="Arial"/>
          <w:sz w:val="18"/>
          <w:szCs w:val="18"/>
          <w:color w:val="auto"/>
        </w:rPr>
        <w:t>repayment of loans of up to $250,000 advanced to us by our sponsor to cover offering-related and organizational expenses;</w:t>
      </w:r>
    </w:p>
    <w:p>
      <w:pPr>
        <w:spacing w:after="0" w:line="170"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hanging="1"/>
        <w:spacing w:after="0" w:line="277" w:lineRule="auto"/>
        <w:rPr>
          <w:sz w:val="20"/>
          <w:szCs w:val="20"/>
          <w:color w:val="auto"/>
        </w:rPr>
      </w:pPr>
      <w:r>
        <w:rPr>
          <w:rFonts w:ascii="Arial" w:cs="Arial" w:eastAsia="Arial" w:hAnsi="Arial"/>
          <w:sz w:val="18"/>
          <w:szCs w:val="18"/>
          <w:color w:val="auto"/>
        </w:rPr>
        <w:t>payment of $10,000 per month to an affiliate of our sponsor for office space and related services, subject to deferral as described herein;</w:t>
      </w:r>
    </w:p>
    <w:p>
      <w:pPr>
        <w:spacing w:after="0" w:line="170"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firstLine="16"/>
        <w:spacing w:after="0" w:line="263" w:lineRule="auto"/>
        <w:rPr>
          <w:sz w:val="20"/>
          <w:szCs w:val="20"/>
          <w:color w:val="auto"/>
        </w:rPr>
      </w:pPr>
      <w:r>
        <w:rPr>
          <w:rFonts w:ascii="Arial" w:cs="Arial" w:eastAsia="Arial" w:hAnsi="Arial"/>
          <w:sz w:val="18"/>
          <w:szCs w:val="18"/>
          <w:color w:val="auto"/>
        </w:rPr>
        <w:t>repayment of loans that may be made by our insiders, officers, directors or any of its or their respective affiliates to finance transaction costs in connection with an initial business combination, the terms of which have not been determined;</w:t>
      </w:r>
    </w:p>
    <w:p>
      <w:pPr>
        <w:spacing w:after="0" w:line="184"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hanging="13"/>
        <w:spacing w:after="0" w:line="286" w:lineRule="auto"/>
        <w:rPr>
          <w:sz w:val="20"/>
          <w:szCs w:val="20"/>
          <w:color w:val="auto"/>
        </w:rPr>
      </w:pPr>
      <w:r>
        <w:rPr>
          <w:rFonts w:ascii="Arial" w:cs="Arial" w:eastAsia="Arial" w:hAnsi="Arial"/>
          <w:sz w:val="17"/>
          <w:szCs w:val="17"/>
          <w:color w:val="auto"/>
        </w:rPr>
        <w:t>reimbursement of out-of-pocket expenses incurred by our insiders, officers, directors or any of its or their respective affiliates in connection with certain activities on our behalf, such as identifying and investigating possible business targets and business combinations;</w:t>
      </w:r>
    </w:p>
    <w:p>
      <w:pPr>
        <w:spacing w:after="0" w:line="165"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our sponsor will transfer up to 20,000 founder shares to each of our independent directors; and</w:t>
      </w:r>
    </w:p>
    <w:p>
      <w:pPr>
        <w:spacing w:after="0" w:line="211" w:lineRule="exact"/>
        <w:rPr>
          <w:sz w:val="20"/>
          <w:szCs w:val="20"/>
          <w:color w:val="auto"/>
        </w:rPr>
      </w:pPr>
    </w:p>
    <w:p>
      <w:pPr>
        <w:sectPr>
          <w:pgSz w:w="11900" w:h="16838" w:orient="portrait"/>
          <w:cols w:equalWidth="0" w:num="2">
            <w:col w:w="3860" w:space="220"/>
            <w:col w:w="7140"/>
          </w:cols>
          <w:pgMar w:left="340" w:top="904" w:right="339" w:bottom="1440" w:gutter="0" w:footer="0" w:header="0"/>
          <w:type w:val="continuous"/>
        </w:sectPr>
      </w:pPr>
    </w:p>
    <w:p>
      <w:pPr>
        <w:spacing w:after="0" w:line="37"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firstLine="113"/>
        <w:spacing w:after="0" w:line="257" w:lineRule="auto"/>
        <w:rPr>
          <w:sz w:val="20"/>
          <w:szCs w:val="20"/>
          <w:color w:val="auto"/>
        </w:rPr>
      </w:pPr>
      <w:r>
        <w:rPr>
          <w:rFonts w:ascii="Arial" w:cs="Arial" w:eastAsia="Arial" w:hAnsi="Arial"/>
          <w:sz w:val="18"/>
          <w:szCs w:val="18"/>
          <w:color w:val="auto"/>
        </w:rPr>
        <w:t>payment to Chardan of the underwriting discount and the Marketing Fee, fees for any financial advisory, placement agency or other similar investment banking services Chardan may provide to our company in the future, including in connection with the closing of our initial business combination, and reimbursement of Chardan for any out-of-pocket expenses incurred by it in connection with the performance of such services.</w:t>
      </w:r>
    </w:p>
    <w:p>
      <w:pPr>
        <w:spacing w:after="0" w:line="200"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spacing w:after="0" w:line="28" w:lineRule="exact"/>
        <w:rPr>
          <w:sz w:val="20"/>
          <w:szCs w:val="20"/>
          <w:color w:val="auto"/>
        </w:rPr>
      </w:pPr>
    </w:p>
    <w:p>
      <w:pPr>
        <w:jc w:val="both"/>
        <w:ind w:left="3480"/>
        <w:spacing w:after="0" w:line="271" w:lineRule="auto"/>
        <w:rPr>
          <w:sz w:val="20"/>
          <w:szCs w:val="20"/>
          <w:color w:val="auto"/>
        </w:rPr>
      </w:pPr>
      <w:r>
        <w:rPr>
          <w:rFonts w:ascii="Arial" w:cs="Arial" w:eastAsia="Arial" w:hAnsi="Arial"/>
          <w:sz w:val="17"/>
          <w:szCs w:val="17"/>
          <w:color w:val="auto"/>
        </w:rPr>
        <w:t xml:space="preserve">There is no limit on the amount of out-of-pocket expenses reimbursable by us; </w:t>
      </w:r>
      <w:r>
        <w:rPr>
          <w:rFonts w:ascii="Arial" w:cs="Arial" w:eastAsia="Arial" w:hAnsi="Arial"/>
          <w:sz w:val="17"/>
          <w:szCs w:val="17"/>
          <w:i w:val="1"/>
          <w:iCs w:val="1"/>
          <w:color w:val="auto"/>
        </w:rPr>
        <w:t>provided, however</w:t>
      </w:r>
      <w:r>
        <w:rPr>
          <w:rFonts w:ascii="Arial" w:cs="Arial" w:eastAsia="Arial" w:hAnsi="Arial"/>
          <w:sz w:val="17"/>
          <w:szCs w:val="17"/>
          <w:color w:val="auto"/>
        </w:rPr>
        <w:t>, that to the extent such expenses exceed the available proceeds not deposited in the trust account and the interest income earned on the amounts held in the trust account available to us, such expenses would not be reimbursed by us unless we consummate an initial business combination. Our audit committee will review and approve all reimbursements and payments made to any initial stockholder or member of our management team, or any of their respective affiliates, and any reimbursements and payments made to members of our audit committee will be reviewed and approved by our board of directors, with any interested director abstaining from such review and approval.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25" w:name="page26"/>
    <w:bookmarkEnd w:id="25"/>
    <w:p>
      <w:pPr>
        <w:spacing w:after="0" w:line="266" w:lineRule="auto"/>
        <w:rPr>
          <w:sz w:val="20"/>
          <w:szCs w:val="20"/>
          <w:color w:val="auto"/>
        </w:rPr>
      </w:pPr>
      <w:r>
        <w:rPr>
          <w:rFonts w:ascii="Arial" w:cs="Arial" w:eastAsia="Arial" w:hAnsi="Arial"/>
          <w:sz w:val="18"/>
          <w:szCs w:val="18"/>
          <w:b w:val="1"/>
          <w:bCs w:val="1"/>
          <w:color w:val="auto"/>
        </w:rPr>
        <w:t>Stockholder approval of, or tender offer in connection with, initial business combination</w:t>
      </w:r>
    </w:p>
    <w:p>
      <w:pPr>
        <w:spacing w:after="0" w:line="20" w:lineRule="exact"/>
        <w:rPr>
          <w:sz w:val="20"/>
          <w:szCs w:val="20"/>
          <w:color w:val="auto"/>
        </w:rPr>
      </w:pPr>
      <w:r>
        <w:rPr>
          <w:sz w:val="20"/>
          <w:szCs w:val="20"/>
          <w:color w:val="auto"/>
        </w:rPr>
        <w:br w:type="column"/>
      </w:r>
    </w:p>
    <w:p>
      <w:pPr>
        <w:jc w:val="both"/>
        <w:spacing w:after="0" w:line="287" w:lineRule="auto"/>
        <w:rPr>
          <w:sz w:val="20"/>
          <w:szCs w:val="20"/>
          <w:color w:val="auto"/>
        </w:rPr>
      </w:pPr>
      <w:r>
        <w:rPr>
          <w:rFonts w:ascii="Arial" w:cs="Arial" w:eastAsia="Arial" w:hAnsi="Arial"/>
          <w:sz w:val="16"/>
          <w:szCs w:val="16"/>
          <w:color w:val="auto"/>
        </w:rPr>
        <w:t>In connection with any proposed initial business combination, we will either (1) seek stockholder approval of such initial business combination at a meeting called for such purpose at which public stockholders may seek to redeem their public shares, regardless of whether they vote for or against the proposed business combination, into their pro rata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redeem any public shares held by them into their pro rata share of the aggregate amount then on deposit in the trust account. If we determine to engage in a tender offer, such tender offer will be structured so that each public stockholder may tender any or all of his, her or its public shares rather than some pro rata portion of his, her or its shares.</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decision as to whether we will seek stockholder approval of a proposed business combination or will allow stockholders to sell their shares to us in a tender offer will be made by us based on a variety of factors such as the timing of the transaction or whether the terms of the transaction would otherwise require us to seek stockholder approval. If we provide stockholders with the opportunity to sell their shares to us by means of a tender offer, we will file tender offer documents with the SEC, which will contain substantially the same financial and other information about the initial business combination as is required under the SEC’s proxy rules. If we seek stockholder approval of our initial business combination, we will consummate the business combination only if a majority of the outstanding shares of common stock voted are voted in favor of such business combination.</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determined not to consummate any business combination unless we have net tangible assets of at least $5,000,001 either immediately prior to or upon such consummation to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and may force us to seek third-party financing which may not be available on terms acceptable to us or at all. As a result, we may not be able to consummate such initial business combination and we may not be able to locate another suitable target within the applicable time period, if at all.</w:t>
      </w:r>
    </w:p>
    <w:p>
      <w:pPr>
        <w:spacing w:after="0" w:line="200" w:lineRule="exact"/>
        <w:rPr>
          <w:sz w:val="20"/>
          <w:szCs w:val="20"/>
          <w:color w:val="auto"/>
        </w:rPr>
      </w:pPr>
    </w:p>
    <w:p>
      <w:pPr>
        <w:sectPr>
          <w:pgSz w:w="11900" w:h="16838" w:orient="portrait"/>
          <w:cols w:equalWidth="0" w:num="2">
            <w:col w:w="3260" w:space="220"/>
            <w:col w:w="7740"/>
          </w:cols>
          <w:pgMar w:left="340" w:top="904"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26" w:name="page27"/>
    <w:bookmarkEnd w:id="26"/>
    <w:p>
      <w:pPr>
        <w:jc w:val="both"/>
        <w:ind w:left="2380"/>
        <w:spacing w:after="0" w:line="284" w:lineRule="auto"/>
        <w:rPr>
          <w:sz w:val="20"/>
          <w:szCs w:val="20"/>
          <w:color w:val="auto"/>
        </w:rPr>
      </w:pPr>
      <w:r>
        <w:rPr>
          <w:rFonts w:ascii="Arial" w:cs="Arial" w:eastAsia="Arial" w:hAnsi="Arial"/>
          <w:sz w:val="16"/>
          <w:szCs w:val="16"/>
          <w:color w:val="auto"/>
        </w:rPr>
        <w:t>Our initial stockholders have agreed (A) to vote their founder shares and any public shares in favor of any proposed business combination, (B)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15 months (or up to 21 months, as applicable) unless we provide public stockholder an opportunity to redeem their public shares in conjunction with any such amendment, (C) not to redeem any shares (including the founder shares) into the right to receive cash from the trust account in connection with a stockholder vote to approve our proposed initial business combination or sell any shares to us in a tender offer in connection with our proposed initial business combination, and (D) that the founder shares shall not participate in any liquidating distribution upon winding up if a business combination is not consummated. None of our initial stockholders or their affiliates has indicated any intention to purchase public units in this offering or any units or shares of common stock in the open market or in private transactions. However, if a significant number of stockholders vote, or indicate an intention to vote, against a proposed business combination, our initial stockholders, officers, directors or their affiliates could make such purchases in the open market or in private transactions in order to influence the vote. Our initial stockholders, officers, directors and their affiliates could purchase sufficient shares so that the initial business combination may be approved without the majority vote of public shares held by non-affiliates. Notwithstanding the foregoing, our officers, directors, initial stockholders and their affiliates will not make purchases of shares of common stock if the purchases would violate Section 9(a)(2) or Rule 10b-5 of the Securities and Exchange Act of 1940, which we refer to as the Exchange Act, which are rules designed to stop potential manipulation of a company’s stock or purchasing shares when the buyer is in possession of material non-public information about the Company.</w:t>
      </w:r>
    </w:p>
    <w:p>
      <w:pPr>
        <w:spacing w:after="0" w:line="200" w:lineRule="exact"/>
        <w:rPr>
          <w:sz w:val="20"/>
          <w:szCs w:val="20"/>
          <w:color w:val="auto"/>
        </w:rPr>
      </w:pPr>
    </w:p>
    <w:p>
      <w:pPr>
        <w:spacing w:after="0" w:line="2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0"/>
        </w:trPr>
        <w:tc>
          <w:tcPr>
            <w:tcW w:w="2480" w:type="dxa"/>
            <w:vAlign w:val="bottom"/>
          </w:tcPr>
          <w:p>
            <w:pPr>
              <w:ind w:left="20"/>
              <w:spacing w:after="0"/>
              <w:rPr>
                <w:sz w:val="20"/>
                <w:szCs w:val="20"/>
                <w:color w:val="auto"/>
              </w:rPr>
            </w:pPr>
            <w:r>
              <w:rPr>
                <w:rFonts w:ascii="Arial" w:cs="Arial" w:eastAsia="Arial" w:hAnsi="Arial"/>
                <w:sz w:val="18"/>
                <w:szCs w:val="18"/>
                <w:b w:val="1"/>
                <w:bCs w:val="1"/>
                <w:color w:val="auto"/>
              </w:rPr>
              <w:t>Redemption rights</w:t>
            </w:r>
          </w:p>
        </w:tc>
        <w:tc>
          <w:tcPr>
            <w:tcW w:w="8760" w:type="dxa"/>
            <w:vAlign w:val="bottom"/>
          </w:tcPr>
          <w:p>
            <w:pPr>
              <w:ind w:left="1020"/>
              <w:spacing w:after="0"/>
              <w:rPr>
                <w:sz w:val="20"/>
                <w:szCs w:val="20"/>
                <w:color w:val="auto"/>
              </w:rPr>
            </w:pPr>
            <w:r>
              <w:rPr>
                <w:rFonts w:ascii="Arial" w:cs="Arial" w:eastAsia="Arial" w:hAnsi="Arial"/>
                <w:sz w:val="18"/>
                <w:szCs w:val="18"/>
                <w:color w:val="auto"/>
                <w:w w:val="95"/>
              </w:rPr>
              <w:t>In connection with any stockholder meeting called to approve a proposed initial business combination,</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2"/>
              </w:rPr>
              <w:t>each public stockholder will have the right, regardless of whether he, she or it is voting for or against such</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89"/>
              </w:rPr>
              <w:t xml:space="preserve">proposed business combination, to demand that we redeem his, her or its public shares into a </w:t>
            </w:r>
            <w:r>
              <w:rPr>
                <w:rFonts w:ascii="Arial" w:cs="Arial" w:eastAsia="Arial" w:hAnsi="Arial"/>
                <w:sz w:val="18"/>
                <w:szCs w:val="18"/>
                <w:i w:val="1"/>
                <w:iCs w:val="1"/>
                <w:color w:val="auto"/>
                <w:w w:val="89"/>
              </w:rPr>
              <w:t>pro rata</w:t>
            </w:r>
            <w:r>
              <w:rPr>
                <w:rFonts w:ascii="Arial" w:cs="Arial" w:eastAsia="Arial" w:hAnsi="Arial"/>
                <w:sz w:val="18"/>
                <w:szCs w:val="18"/>
                <w:color w:val="auto"/>
                <w:w w:val="89"/>
              </w:rPr>
              <w:t xml:space="preserve"> share</w:t>
            </w:r>
          </w:p>
        </w:tc>
      </w:tr>
      <w:tr>
        <w:trPr>
          <w:trHeight w:val="230"/>
        </w:trPr>
        <w:tc>
          <w:tcPr>
            <w:tcW w:w="2480" w:type="dxa"/>
            <w:vAlign w:val="bottom"/>
          </w:tcPr>
          <w:p>
            <w:pPr>
              <w:spacing w:after="0"/>
              <w:rPr>
                <w:sz w:val="20"/>
                <w:szCs w:val="20"/>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rPr>
              <w:t>of the trust account upon consummation of the business combination.</w:t>
            </w:r>
          </w:p>
        </w:tc>
      </w:tr>
      <w:tr>
        <w:trPr>
          <w:trHeight w:val="418"/>
        </w:trPr>
        <w:tc>
          <w:tcPr>
            <w:tcW w:w="2480" w:type="dxa"/>
            <w:vAlign w:val="bottom"/>
          </w:tcPr>
          <w:p>
            <w:pPr>
              <w:spacing w:after="0"/>
              <w:rPr>
                <w:sz w:val="24"/>
                <w:szCs w:val="24"/>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6"/>
              </w:rPr>
              <w:t>We may require public stockholders wishing to exercise redemption rights, whether they are a record</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2"/>
              </w:rPr>
              <w:t>holder or hold their shares in “street name,” to either tender the certificates they are seeking to redeem to</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3"/>
              </w:rPr>
              <w:t>our transfer agent or to deliver the shares they are seeking to redeem to the transfer agent electronically</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4"/>
              </w:rPr>
              <w:t>using Depository Trust Company’s Deposit/Withdrawal At Custodian System, or DWAC System, at the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4"/>
              </w:rPr>
              <w:t>holder’s option, at any time at or prior to the vote on the business combination. There is a nominal cost</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1"/>
              </w:rPr>
              <w:t>associated with this tendering process and the act of certificating the shares or delivering them through the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2"/>
              </w:rPr>
              <w:t>DWAC System. The transfer agent will typically charge the tendering broker $45 and it would be up to the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89"/>
              </w:rPr>
              <w:t>broker whether to pass this cost on to the redeeming holder. However, this fee would be incurred regardless</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1"/>
              </w:rPr>
              <w:t>of whether we require holders to deliver their shares prior to the vote on the business combination in order</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0"/>
              </w:rPr>
              <w:t>to exercise redemption rights, because a holder would need to deliver shares to exercise redemption rights</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6"/>
              </w:rPr>
              <w:t>regardless of the timing of when such delivery must be effectuated. However, in the event we require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8"/>
              </w:rPr>
              <w:t>stockholders to deliver their shares prior to the vote on the proposed business combination and the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1"/>
              </w:rPr>
              <w:t>proposed business combination is not consummated, this may result in an increased cost to stockholders.</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4"/>
              </w:rPr>
              <w:t>The redemption rights will include the requirement that a beneficial holder must identify itself in order to</w:t>
            </w:r>
          </w:p>
        </w:tc>
      </w:tr>
      <w:tr>
        <w:trPr>
          <w:trHeight w:val="230"/>
        </w:trPr>
        <w:tc>
          <w:tcPr>
            <w:tcW w:w="2480" w:type="dxa"/>
            <w:vAlign w:val="bottom"/>
          </w:tcPr>
          <w:p>
            <w:pPr>
              <w:spacing w:after="0"/>
              <w:rPr>
                <w:sz w:val="20"/>
                <w:szCs w:val="20"/>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rPr>
              <w:t>validly redeem its shares.</w:t>
            </w:r>
          </w:p>
        </w:tc>
      </w:tr>
      <w:tr>
        <w:trPr>
          <w:trHeight w:val="418"/>
        </w:trPr>
        <w:tc>
          <w:tcPr>
            <w:tcW w:w="2480" w:type="dxa"/>
            <w:vAlign w:val="bottom"/>
          </w:tcPr>
          <w:p>
            <w:pPr>
              <w:spacing w:after="0"/>
              <w:rPr>
                <w:sz w:val="24"/>
                <w:szCs w:val="24"/>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6"/>
              </w:rPr>
              <w:t>Under Delaware law, we may be required to give a minimum of only 10 days’ notice for each general</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2"/>
              </w:rPr>
              <w:t>meeting. As a result, if we require public stockholders who wish to redeem their shares of common stock</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5"/>
              </w:rPr>
              <w:t xml:space="preserve">into the right to receive a </w:t>
            </w:r>
            <w:r>
              <w:rPr>
                <w:rFonts w:ascii="Arial" w:cs="Arial" w:eastAsia="Arial" w:hAnsi="Arial"/>
                <w:sz w:val="18"/>
                <w:szCs w:val="18"/>
                <w:i w:val="1"/>
                <w:iCs w:val="1"/>
                <w:color w:val="auto"/>
                <w:w w:val="95"/>
              </w:rPr>
              <w:t>pro rata</w:t>
            </w:r>
            <w:r>
              <w:rPr>
                <w:rFonts w:ascii="Arial" w:cs="Arial" w:eastAsia="Arial" w:hAnsi="Arial"/>
                <w:sz w:val="18"/>
                <w:szCs w:val="18"/>
                <w:color w:val="auto"/>
                <w:w w:val="95"/>
              </w:rPr>
              <w:t xml:space="preserve"> portion of the funds in the trust account to comply with the foregoing</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3"/>
              </w:rPr>
              <w:t>delivery requirements, holders may not have sufficient time to receive the notice and deliver their shares</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5"/>
              </w:rPr>
              <w:t>for redemption. Accordingly, investors may not be able to exercise their redemption rights and may be</w:t>
            </w:r>
          </w:p>
        </w:tc>
      </w:tr>
      <w:tr>
        <w:trPr>
          <w:trHeight w:val="230"/>
        </w:trPr>
        <w:tc>
          <w:tcPr>
            <w:tcW w:w="2480" w:type="dxa"/>
            <w:vAlign w:val="bottom"/>
          </w:tcPr>
          <w:p>
            <w:pPr>
              <w:spacing w:after="0"/>
              <w:rPr>
                <w:sz w:val="20"/>
                <w:szCs w:val="20"/>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rPr>
              <w:t>forced to retain our securities when they otherwise would not want to.</w:t>
            </w:r>
          </w:p>
        </w:tc>
      </w:tr>
      <w:tr>
        <w:trPr>
          <w:trHeight w:val="418"/>
        </w:trPr>
        <w:tc>
          <w:tcPr>
            <w:tcW w:w="2480" w:type="dxa"/>
            <w:vAlign w:val="bottom"/>
          </w:tcPr>
          <w:p>
            <w:pPr>
              <w:spacing w:after="0"/>
              <w:rPr>
                <w:sz w:val="24"/>
                <w:szCs w:val="24"/>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8"/>
              </w:rPr>
              <w:t>If we require public stockholders who wish to redeem their shares of common stock to comply with</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0"/>
              </w:rPr>
              <w:t>specific delivery requirements for redemption described above and such proposed business combination is</w:t>
            </w:r>
          </w:p>
        </w:tc>
      </w:tr>
      <w:tr>
        <w:trPr>
          <w:trHeight w:val="230"/>
        </w:trPr>
        <w:tc>
          <w:tcPr>
            <w:tcW w:w="2480" w:type="dxa"/>
            <w:vAlign w:val="bottom"/>
          </w:tcPr>
          <w:p>
            <w:pPr>
              <w:spacing w:after="0"/>
              <w:rPr>
                <w:sz w:val="20"/>
                <w:szCs w:val="20"/>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rPr>
              <w:t>not consummated, we will promptly return such certificates to the tendering public stockholders.</w:t>
            </w:r>
          </w:p>
        </w:tc>
      </w:tr>
      <w:tr>
        <w:trPr>
          <w:trHeight w:val="688"/>
        </w:trPr>
        <w:tc>
          <w:tcPr>
            <w:tcW w:w="248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tcPr>
          <w:p>
            <w:pPr>
              <w:ind w:left="306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240"/>
          </w:cols>
          <w:pgMar w:left="320" w:top="904" w:right="339" w:bottom="1440" w:gutter="0" w:footer="0" w:header="0"/>
        </w:sectPr>
      </w:pPr>
    </w:p>
    <w:bookmarkStart w:id="28" w:name="page29"/>
    <w:bookmarkEnd w:id="28"/>
    <w:p>
      <w:pPr>
        <w:ind w:right="1300"/>
        <w:spacing w:after="0" w:line="282" w:lineRule="auto"/>
        <w:rPr>
          <w:sz w:val="20"/>
          <w:szCs w:val="20"/>
          <w:color w:val="auto"/>
        </w:rPr>
      </w:pPr>
      <w:r>
        <w:rPr>
          <w:rFonts w:ascii="Arial" w:cs="Arial" w:eastAsia="Arial" w:hAnsi="Arial"/>
          <w:sz w:val="18"/>
          <w:szCs w:val="18"/>
          <w:b w:val="1"/>
          <w:bCs w:val="1"/>
          <w:color w:val="auto"/>
        </w:rPr>
        <w:t>Liquidation if no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Ability to extend time to complete business combination</w:t>
      </w:r>
    </w:p>
    <w:p>
      <w:pPr>
        <w:spacing w:after="0" w:line="20" w:lineRule="exact"/>
        <w:rPr>
          <w:sz w:val="20"/>
          <w:szCs w:val="20"/>
          <w:color w:val="auto"/>
        </w:rPr>
      </w:pPr>
      <w:r>
        <w:rPr>
          <w:sz w:val="20"/>
          <w:szCs w:val="20"/>
          <w:color w:val="auto"/>
        </w:rPr>
        <w:br w:type="column"/>
      </w:r>
    </w:p>
    <w:p>
      <w:pPr>
        <w:jc w:val="both"/>
        <w:spacing w:after="0" w:line="287" w:lineRule="auto"/>
        <w:rPr>
          <w:sz w:val="20"/>
          <w:szCs w:val="20"/>
          <w:color w:val="auto"/>
        </w:rPr>
      </w:pPr>
      <w:r>
        <w:rPr>
          <w:rFonts w:ascii="Arial" w:cs="Arial" w:eastAsia="Arial" w:hAnsi="Arial"/>
          <w:sz w:val="16"/>
          <w:szCs w:val="16"/>
          <w:color w:val="auto"/>
        </w:rPr>
        <w:t>If we are unable to complete our initial business combination within 15 months (or up to 21 months, as applicable) from the closing of this offering, we will (i) cease all operations except for the purpose of winding up, (ii) as promptly as reasonably possible but not more than five business days thereafter, redeem 100% of the outstanding public shares (including any public units in this offering or any public units or shares that our initial stockholders or their affiliates purchased in this offering or later acquired in the open market or in private transactions),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our remaining holders of common stock and our board of directors, proceed to commence a voluntary liquidation and thereby a formal dissolution of the Company, subject (in the case of (ii) and (iii) above) to our obligations to provide for claims of creditors and the requirements of applicable law.</w:t>
      </w:r>
    </w:p>
    <w:p>
      <w:pPr>
        <w:spacing w:after="0" w:line="172"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In connection with our redemption of 100% of our outstanding public shares for a portion of the funds held in the trust account, each holder will receive a full pro rata portion of the amount then in the trust account, plus any pro rata interest earned on the funds held in the trust account and not necessary to pay our taxes payable on such funds. Holders of warrants will receive no proceeds in connection with the liquidation with respect to such warrants, which will expire worthless.</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not have funds sufficient to pay or provide for all creditors’ claims. Although we will seek to have all third parties (including any vendors or other entities we engage after this offering) and any prospective target businesses enter into valid and enforceable agreements with us waiving any right, title, interest or claim of any kind in or to any monies held in the trust account, there is no guarantee that they will execute such agreements. There is also no guarantee that the third parties would not challenge the enforceability of these waivers and bring claims against the trust account for monies owed them.</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holders of the founder shares and private warrants will not participate in any redemption distribution with respect to their founder shares and private warrants, but may have any public shares held by them redeemed upon liquidation.</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we are unable to conclude our initial business combination and we expend all of the net proceeds of this offering not deposited in the trust account, without taking into account any interest earned on the trust account, we expect that the initial per-share redemption price will be approximately $10.10. The proceeds deposited in the trust account could, however, become subject to claims of our creditors that are in preference to the claims of our stockholders. Furthermore, our underwriters may seek recourse against the proceeds in the trust account relating to any future claims they may have against us. In addition, if we are forced to file a bankruptcy case or an involuntary bankruptcy case is filed against us that is not dismissed, the proceeds held in the trust account could be subject to applicable bankruptcy law, and may be included in our bankruptcy estate and subject to the claims of third parties with priority over the claims of our stockholders. Therefore, the actual per-share redemption price may be less than approximately $10.10. We will pay the costs of any subsequent liquidation from our remaining assets outside of the trust account. If such funds are insufficient, our sponsor has agreed to pay the funds necessary to complete such liquidation and has agreed not to seek repayment for such expenses. We currently do not anticipate that such funds will be insufficient.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have filed a preliminary proxy statement with the SEC seeking stockholder approval of an initial business combination within 15 months of this offering, the period of time we have to consummate an initial business combination shall be automatically extended by an additional three months for an aggregate of 18 months.</w:t>
      </w:r>
    </w:p>
    <w:p>
      <w:pPr>
        <w:spacing w:after="0" w:line="18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If we anticipate that we may not be able to consummate our initial business combination within 15 months (or 18 months if we have executed a definitive agreement and filed a proxy statement for an initial business combination within 15 months from the closing of this offering), we may, by resolution of our board if requested by our sponsor, extend the period of time to consummate a business combination up to two times, each by an additional three months (for a total of up to 21 months to complete a business combination), subject to the sponsor depositing additional funds into the trust account as set out below. Pursuant to the terms of our amended and restated certificate of incorporation and the trust agreement to be entered into between us and Continental Stock Transfer &amp; Trust Company on the date of this prospectus, in order for the time available for us to consummate our initial business combination to be extended, our sponsor or its affiliates or designees, upon five days advance notice prior to the applicable deadline, must deposit into the trust account $1,000,000, or $1,150,000 if the underwriters’ over-allotment option is exercised in full ($0.10 per share in either case), on or prior to the date of the applicable deadline, for each of the available three month extensions providing a total possible business combination period of 21 months at a total payment value of $2,000,000, or $2,300,000 if the underwriters’ over-allotment option is exercised in full. Any such payments would be made in the form of non-interest bearing loans, evidenced by an unsecured promissory note equal to the amount of any such deposit, which will not be repaid in the event that we are unable to close a business combination unless there are funds available outside the trust account to do so. Our sponsor and its affiliates or designees are not obligated to fund the trust account to extend the time for us to complete our initial business combination. Our public stockholders will not be entitled to vote or redeem their shares in connection with any such extension. As a result, we may conduct such an extension even though a majority of our public stockholders do not support such an extension and will not be able to redeem their shares in connection therewith.</w:t>
      </w:r>
    </w:p>
    <w:p>
      <w:pPr>
        <w:sectPr>
          <w:pgSz w:w="11900" w:h="16838" w:orient="portrait"/>
          <w:cols w:equalWidth="0" w:num="2">
            <w:col w:w="3280" w:space="200"/>
            <w:col w:w="7740"/>
          </w:cols>
          <w:pgMar w:left="340" w:top="904" w:right="339" w:bottom="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0"/>
        </w:trPr>
        <w:tc>
          <w:tcPr>
            <w:tcW w:w="2500" w:type="dxa"/>
            <w:vAlign w:val="bottom"/>
          </w:tcPr>
          <w:p>
            <w:pPr>
              <w:ind w:left="60"/>
              <w:spacing w:after="0"/>
              <w:rPr>
                <w:sz w:val="20"/>
                <w:szCs w:val="20"/>
                <w:color w:val="auto"/>
              </w:rPr>
            </w:pPr>
            <w:r>
              <w:rPr>
                <w:rFonts w:ascii="Arial" w:cs="Arial" w:eastAsia="Arial" w:hAnsi="Arial"/>
                <w:sz w:val="18"/>
                <w:szCs w:val="18"/>
                <w:b w:val="1"/>
                <w:bCs w:val="1"/>
                <w:color w:val="auto"/>
              </w:rPr>
              <w:t>Conflict of Interest</w:t>
            </w:r>
          </w:p>
        </w:tc>
        <w:tc>
          <w:tcPr>
            <w:tcW w:w="8740" w:type="dxa"/>
            <w:vAlign w:val="bottom"/>
          </w:tcPr>
          <w:p>
            <w:pPr>
              <w:ind w:left="1040"/>
              <w:spacing w:after="0"/>
              <w:rPr>
                <w:sz w:val="20"/>
                <w:szCs w:val="20"/>
                <w:color w:val="auto"/>
              </w:rPr>
            </w:pPr>
            <w:r>
              <w:rPr>
                <w:rFonts w:ascii="Arial" w:cs="Arial" w:eastAsia="Arial" w:hAnsi="Arial"/>
                <w:sz w:val="18"/>
                <w:szCs w:val="18"/>
                <w:color w:val="auto"/>
                <w:w w:val="92"/>
              </w:rPr>
              <w:t>Both we and our sponsor are affiliates of Chardan, the representative of the underwriters in this offering,</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0"/>
              </w:rPr>
              <w:t>and certain of our officers and directors are affiliated with Chardan. As a result, Chardan is deemed to have</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8"/>
              </w:rPr>
              <w:t>a “conflict of interest” within the meaning of FINRA Rule 5121(f)(5), or Rule 5121. Accordingly, this</w:t>
            </w:r>
          </w:p>
        </w:tc>
      </w:tr>
      <w:tr>
        <w:trPr>
          <w:trHeight w:val="230"/>
        </w:trPr>
        <w:tc>
          <w:tcPr>
            <w:tcW w:w="2500" w:type="dxa"/>
            <w:vAlign w:val="bottom"/>
          </w:tcPr>
          <w:p>
            <w:pPr>
              <w:spacing w:after="0"/>
              <w:rPr>
                <w:sz w:val="20"/>
                <w:szCs w:val="20"/>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rPr>
              <w:t>offering is being made in compliance with the applicable requirements of Rule 5121.</w:t>
            </w:r>
          </w:p>
        </w:tc>
      </w:tr>
      <w:tr>
        <w:trPr>
          <w:trHeight w:val="418"/>
        </w:trPr>
        <w:tc>
          <w:tcPr>
            <w:tcW w:w="2500" w:type="dxa"/>
            <w:vAlign w:val="bottom"/>
          </w:tcPr>
          <w:p>
            <w:pPr>
              <w:spacing w:after="0"/>
              <w:rPr>
                <w:sz w:val="24"/>
                <w:szCs w:val="24"/>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3"/>
              </w:rPr>
              <w:t>Rule 5121 requires that a “qualified independent underwriter,” as defined in Rule 5121, participate in the</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1"/>
              </w:rPr>
              <w:t>preparation of the registration statement and prospectus and exercise the usual standards of due diligence</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1"/>
              </w:rPr>
              <w:t>with respect thereto. B. Riley Securities, Inc. has agreed to act as a “qualified independent underwriter” for</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3"/>
              </w:rPr>
              <w:t>this offering. B. Riley Securities, Inc. will receive $100,000 from the total underwriting discount, acting as</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2"/>
              </w:rPr>
              <w:t>a qualified independent underwriter. We have agreed to indemnify B. Riley Securities, Inc. against certain</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4"/>
              </w:rPr>
              <w:t>liabilities incurred in connection with acting as a “qualified independent underwriter,” including liabilities</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6"/>
              </w:rPr>
              <w:t>under the Securities Act. In addition, no underwriter with a conflict of interest will confirm sales to any</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5"/>
              </w:rPr>
              <w:t>account over which it exercises discretionary authority without the specific prior written approval of the</w:t>
            </w:r>
          </w:p>
        </w:tc>
      </w:tr>
      <w:tr>
        <w:trPr>
          <w:trHeight w:val="230"/>
        </w:trPr>
        <w:tc>
          <w:tcPr>
            <w:tcW w:w="2500" w:type="dxa"/>
            <w:vAlign w:val="bottom"/>
          </w:tcPr>
          <w:p>
            <w:pPr>
              <w:spacing w:after="0"/>
              <w:rPr>
                <w:sz w:val="20"/>
                <w:szCs w:val="20"/>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rPr>
              <w:t>account holder.</w:t>
            </w:r>
          </w:p>
        </w:tc>
      </w:tr>
      <w:tr>
        <w:trPr>
          <w:trHeight w:val="418"/>
        </w:trPr>
        <w:tc>
          <w:tcPr>
            <w:tcW w:w="2500" w:type="dxa"/>
            <w:vAlign w:val="bottom"/>
          </w:tcPr>
          <w:p>
            <w:pPr>
              <w:spacing w:after="0"/>
              <w:rPr>
                <w:sz w:val="24"/>
                <w:szCs w:val="24"/>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8"/>
              </w:rPr>
              <w:t>All of our officers are employed by Chardan or its affiliates. Chardan is continuously made aware of</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5"/>
              </w:rPr>
              <w:t>potential business opportunities, one or more of which we may desire to pursue for an initial business</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3"/>
              </w:rPr>
              <w:t>combination. While Chardan will not have any duty to offer acquisition opportunities to us, Chardan may</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1"/>
              </w:rPr>
              <w:t>become aware of a potential transaction that is an attractive opportunity for us, which Chardan may decide</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1"/>
              </w:rPr>
              <w:t>to share with us. In addition, our officers and directors may have a duty to offer acquisition opportunities to</w:t>
            </w:r>
          </w:p>
        </w:tc>
      </w:tr>
      <w:tr>
        <w:trPr>
          <w:trHeight w:val="230"/>
        </w:trPr>
        <w:tc>
          <w:tcPr>
            <w:tcW w:w="2500" w:type="dxa"/>
            <w:vAlign w:val="bottom"/>
          </w:tcPr>
          <w:p>
            <w:pPr>
              <w:spacing w:after="0"/>
              <w:rPr>
                <w:sz w:val="20"/>
                <w:szCs w:val="20"/>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rPr>
              <w:t>other entities to which they owe duties or clients of affiliates of our sponsor.</w:t>
            </w:r>
          </w:p>
        </w:tc>
      </w:tr>
      <w:tr>
        <w:trPr>
          <w:trHeight w:val="418"/>
        </w:trPr>
        <w:tc>
          <w:tcPr>
            <w:tcW w:w="2500" w:type="dxa"/>
            <w:vAlign w:val="bottom"/>
          </w:tcPr>
          <w:p>
            <w:pPr>
              <w:spacing w:after="0"/>
              <w:rPr>
                <w:sz w:val="24"/>
                <w:szCs w:val="24"/>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7"/>
              </w:rPr>
              <w:t>As a result, affiliates of our sponsor and their respective clients may compete with us for acquisition</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3"/>
              </w:rPr>
              <w:t>opportunities in the same industries and sectors as we may target for our initial business combination. If</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rPr>
              <w:t>any of them decide to pursue any such opportunity, we may be precluded from procuring such</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1"/>
              </w:rPr>
              <w:t>opportunities. In addition, investment ideas generated within Chardan, including by any of our officers and</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3"/>
              </w:rPr>
              <w:t>other persons who may make decisions for the company, may be suitable both for us and for affiliates of</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0"/>
              </w:rPr>
              <w:t>our sponsor or any of their respective clients, and will be directed initially to such persons rather than to us.</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1"/>
              </w:rPr>
              <w:t>None of Chardan nor members of our management team who are also employed by Chardan or any of its</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5"/>
              </w:rPr>
              <w:t>affiliates have any obligation to present us with any opportunity for a potential business combination of</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2"/>
              </w:rPr>
              <w:t>which they become aware unless it is offered to them solely in their capacity as a director or officer of the</w:t>
            </w:r>
          </w:p>
        </w:tc>
      </w:tr>
      <w:tr>
        <w:trPr>
          <w:trHeight w:val="230"/>
        </w:trPr>
        <w:tc>
          <w:tcPr>
            <w:tcW w:w="2500" w:type="dxa"/>
            <w:vAlign w:val="bottom"/>
          </w:tcPr>
          <w:p>
            <w:pPr>
              <w:spacing w:after="0"/>
              <w:rPr>
                <w:sz w:val="20"/>
                <w:szCs w:val="20"/>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rPr>
              <w:t>Company and after they have satisfied their contractual and fiduciary obligations to other parties.</w:t>
            </w:r>
          </w:p>
        </w:tc>
      </w:tr>
      <w:tr>
        <w:trPr>
          <w:trHeight w:val="418"/>
        </w:trPr>
        <w:tc>
          <w:tcPr>
            <w:tcW w:w="2500" w:type="dxa"/>
            <w:vAlign w:val="bottom"/>
          </w:tcPr>
          <w:p>
            <w:pPr>
              <w:spacing w:after="0"/>
              <w:rPr>
                <w:sz w:val="24"/>
                <w:szCs w:val="24"/>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1"/>
              </w:rPr>
              <w:t>Our sponsor, officers, directors, Chardan and their respective affiliates may participate in the formation of,</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8"/>
              </w:rPr>
              <w:t>or become an officer or director of, any other blank check company prior to completion of our initial</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2"/>
              </w:rPr>
              <w:t>business combination. In particular, certain of our executive officers and directors also serve as executive</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2"/>
              </w:rPr>
              <w:t>officers or directors of an Affiliated SPAC, which is focused on searching for businesses that may provide</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5"/>
              </w:rPr>
              <w:t>significant opportunities for attractive investor returns in industries similar to the industries in which our</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rPr>
              <w:t>search is focused. As a result, our sponsor, officers or directors could have conflicts of interest in</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6"/>
              </w:rPr>
              <w:t>determining whether to present business combination opportunities to us or to any other blank check</w:t>
            </w:r>
          </w:p>
        </w:tc>
      </w:tr>
      <w:tr>
        <w:trPr>
          <w:trHeight w:val="230"/>
        </w:trPr>
        <w:tc>
          <w:tcPr>
            <w:tcW w:w="2500" w:type="dxa"/>
            <w:vAlign w:val="bottom"/>
          </w:tcPr>
          <w:p>
            <w:pPr>
              <w:spacing w:after="0"/>
              <w:rPr>
                <w:sz w:val="20"/>
                <w:szCs w:val="20"/>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rPr>
              <w:t>company with which they may become involved.</w:t>
            </w:r>
          </w:p>
        </w:tc>
      </w:tr>
      <w:tr>
        <w:trPr>
          <w:trHeight w:val="688"/>
        </w:trPr>
        <w:tc>
          <w:tcPr>
            <w:tcW w:w="250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ind w:left="304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240"/>
          </w:cols>
          <w:pgMar w:left="320" w:top="904" w:right="339" w:bottom="1440" w:gutter="0" w:footer="0" w:header="0"/>
        </w:sectPr>
      </w:pPr>
    </w:p>
    <w:bookmarkStart w:id="31" w:name="page32"/>
    <w:bookmarkEnd w:id="31"/>
    <w:p>
      <w:pPr>
        <w:jc w:val="both"/>
        <w:ind w:left="3500"/>
        <w:spacing w:after="0" w:line="288" w:lineRule="auto"/>
        <w:rPr>
          <w:sz w:val="20"/>
          <w:szCs w:val="20"/>
          <w:color w:val="auto"/>
        </w:rPr>
      </w:pPr>
      <w:r>
        <w:rPr>
          <w:rFonts w:ascii="Arial" w:cs="Arial" w:eastAsia="Arial" w:hAnsi="Arial"/>
          <w:sz w:val="16"/>
          <w:szCs w:val="16"/>
          <w:color w:val="auto"/>
        </w:rPr>
        <w:t>As described herein,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an Affiliated SPAC.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 (including as described above). These conflicts may not be resolved in our favor and a potential target business may be presented to another entity prior to its presentation to us.</w:t>
      </w:r>
    </w:p>
    <w:p>
      <w:pPr>
        <w:spacing w:after="0" w:line="168" w:lineRule="exact"/>
        <w:rPr>
          <w:sz w:val="20"/>
          <w:szCs w:val="20"/>
          <w:color w:val="auto"/>
        </w:rPr>
      </w:pPr>
    </w:p>
    <w:p>
      <w:pPr>
        <w:jc w:val="both"/>
        <w:ind w:left="3500"/>
        <w:spacing w:after="0" w:line="289" w:lineRule="auto"/>
        <w:rPr>
          <w:sz w:val="20"/>
          <w:szCs w:val="20"/>
          <w:color w:val="auto"/>
        </w:rPr>
      </w:pPr>
      <w:r>
        <w:rPr>
          <w:rFonts w:ascii="Arial" w:cs="Arial" w:eastAsia="Arial" w:hAnsi="Arial"/>
          <w:sz w:val="16"/>
          <w:szCs w:val="16"/>
          <w:color w:val="auto"/>
        </w:rPr>
        <w:t>In addition, we may, at our option, pursue an Affiliated Joint Acquisition. We do not expect that we would pursue any such opportunity with an Affiliated SPAC. This would only occur, though,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could involve a co-investment with us in the target business at the time of our initial business combination, or we could raise additional proceeds to complete the initial business combination.</w:t>
      </w:r>
    </w:p>
    <w:p>
      <w:pPr>
        <w:spacing w:after="0" w:line="166" w:lineRule="exact"/>
        <w:rPr>
          <w:sz w:val="20"/>
          <w:szCs w:val="20"/>
          <w:color w:val="auto"/>
        </w:rPr>
      </w:pPr>
    </w:p>
    <w:p>
      <w:pPr>
        <w:jc w:val="both"/>
        <w:ind w:left="3500"/>
        <w:spacing w:after="0" w:line="259" w:lineRule="auto"/>
        <w:rPr>
          <w:sz w:val="20"/>
          <w:szCs w:val="20"/>
          <w:color w:val="auto"/>
        </w:rPr>
      </w:pPr>
      <w:r>
        <w:rPr>
          <w:rFonts w:ascii="Arial" w:cs="Arial" w:eastAsia="Arial" w:hAnsi="Arial"/>
          <w:sz w:val="18"/>
          <w:szCs w:val="18"/>
          <w:color w:val="auto"/>
        </w:rPr>
        <w:t>The potential conflicts described above may limit our ability to enter into a business combination or other transactions. These circumstances could give rise to numerous situations where interests may conflict. There can be no assurance that these or other conflicts of interest with the potential for adverse effects on the Company and investors will not arise.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a newly formed company that has conducted no operations and has generated no revenues. Until we complete our initial business combination, we will have no operations and will generate no operating revenues. In making your decision on whether to invest in our securities, you should take into account not only the background of our management team, but also the special risks we face as a blank check company, as well as the fact that this offering is not being conducted in compliance with Rule 419 promulgated under the Securities Act, and, therefore, you will not be entitled to protections normally afforded to investors in Rule 419 blank check offerings. For additional information concerning how Rule 419 blank check offerings differ from our offering, please see “</w:t>
      </w:r>
      <w:r>
        <w:rPr>
          <w:rFonts w:ascii="Arial" w:cs="Arial" w:eastAsia="Arial" w:hAnsi="Arial"/>
          <w:sz w:val="17"/>
          <w:szCs w:val="17"/>
          <w:i w:val="1"/>
          <w:iCs w:val="1"/>
          <w:color w:val="auto"/>
        </w:rPr>
        <w:t>Proposed Business — Comparison to offerings of blank check companies subject to Rule 419</w:t>
      </w:r>
      <w:r>
        <w:rPr>
          <w:rFonts w:ascii="Arial" w:cs="Arial" w:eastAsia="Arial" w:hAnsi="Arial"/>
          <w:sz w:val="17"/>
          <w:szCs w:val="17"/>
          <w:color w:val="auto"/>
        </w:rPr>
        <w:t>.” You should carefully consider these and the other risks set forth in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beginning on page 28 of this prospectus.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are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6"/>
          </w:tcPr>
          <w:p>
            <w:pPr>
              <w:ind w:left="500"/>
              <w:spacing w:after="0"/>
              <w:rPr>
                <w:sz w:val="20"/>
                <w:szCs w:val="20"/>
                <w:color w:val="auto"/>
              </w:rPr>
            </w:pPr>
            <w:r>
              <w:rPr>
                <w:rFonts w:ascii="Arial" w:cs="Arial" w:eastAsia="Arial" w:hAnsi="Arial"/>
                <w:sz w:val="18"/>
                <w:szCs w:val="18"/>
                <w:b w:val="1"/>
                <w:bCs w:val="1"/>
                <w:color w:val="auto"/>
              </w:rPr>
              <w:t>March 31, 2021</w:t>
            </w:r>
          </w:p>
        </w:tc>
      </w:tr>
      <w:tr>
        <w:trPr>
          <w:trHeight w:val="250"/>
        </w:trPr>
        <w:tc>
          <w:tcPr>
            <w:tcW w:w="85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Actual</w:t>
            </w:r>
          </w:p>
        </w:tc>
        <w:tc>
          <w:tcPr>
            <w:tcW w:w="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2"/>
          </w:tcPr>
          <w:p>
            <w:pPr>
              <w:jc w:val="right"/>
              <w:spacing w:after="0" w:line="250" w:lineRule="exact"/>
              <w:rPr>
                <w:sz w:val="20"/>
                <w:szCs w:val="20"/>
                <w:color w:val="auto"/>
              </w:rPr>
            </w:pPr>
            <w:r>
              <w:rPr>
                <w:rFonts w:ascii="Arial" w:cs="Arial" w:eastAsia="Arial" w:hAnsi="Arial"/>
                <w:sz w:val="17"/>
                <w:szCs w:val="17"/>
                <w:b w:val="1"/>
                <w:bCs w:val="1"/>
                <w:color w:val="auto"/>
                <w:w w:val="95"/>
              </w:rPr>
              <w:t>As Adjusted</w:t>
            </w:r>
            <w:r>
              <w:rPr>
                <w:rFonts w:ascii="Arial" w:cs="Arial" w:eastAsia="Arial" w:hAnsi="Arial"/>
                <w:sz w:val="28"/>
                <w:szCs w:val="28"/>
                <w:b w:val="1"/>
                <w:bCs w:val="1"/>
                <w:color w:val="auto"/>
                <w:w w:val="95"/>
                <w:vertAlign w:val="superscript"/>
              </w:rPr>
              <w:t>(1)</w:t>
            </w:r>
          </w:p>
        </w:tc>
        <w:tc>
          <w:tcPr>
            <w:tcW w:w="100" w:type="dxa"/>
            <w:vAlign w:val="bottom"/>
          </w:tcPr>
          <w:p>
            <w:pPr>
              <w:spacing w:after="0"/>
              <w:rPr>
                <w:sz w:val="21"/>
                <w:szCs w:val="21"/>
                <w:color w:val="auto"/>
              </w:rPr>
            </w:pPr>
          </w:p>
        </w:tc>
      </w:tr>
      <w:tr>
        <w:trPr>
          <w:trHeight w:val="209"/>
        </w:trPr>
        <w:tc>
          <w:tcPr>
            <w:tcW w:w="8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Working capital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(53,118)</w:t>
            </w:r>
          </w:p>
        </w:tc>
        <w:tc>
          <w:tcPr>
            <w:tcW w:w="30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99,411,000</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150,000</w:t>
            </w:r>
          </w:p>
        </w:tc>
        <w:tc>
          <w:tcPr>
            <w:tcW w:w="30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102,351,000</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126,000</w:t>
            </w:r>
          </w:p>
        </w:tc>
        <w:tc>
          <w:tcPr>
            <w:tcW w:w="30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2,940,000</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Value of shares of common stock subject to possible redemption/tender</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94,410,990</w:t>
            </w:r>
          </w:p>
        </w:tc>
      </w:tr>
      <w:tr>
        <w:trPr>
          <w:trHeight w:val="230"/>
        </w:trPr>
        <w:tc>
          <w:tcPr>
            <w:tcW w:w="856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24,000</w:t>
            </w:r>
          </w:p>
        </w:tc>
        <w:tc>
          <w:tcPr>
            <w:tcW w:w="30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5,000,010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“as adjusted” working capital and total assets amounts include the $3,402,000 we will receive from the sale of the private warrants, and the “as adjusted” total liabilities of $2,940,000 relates to the warrant liability.</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“as adjusted” information gives effect to the sale of the units we are offering, including the application of the related gross proceeds and the payment of the estimated remaining costs from such sale and the repayment of the accrued and other liabilities required to be repaid such that we have at least $5,000,001 of net tangible assets upon consummation of this offering and upon consummation of our initial business combination.</w:t>
      </w:r>
    </w:p>
    <w:p>
      <w:pPr>
        <w:spacing w:after="0" w:line="16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“as adjusted” working capital and total assets amounts include the $101,000,000 (without exercise of over-allotment option) to be held in the trust account, which, except for limited situations described in this prospectus, will be available to us only upon the consummation of our initial business combination within the time period described in this prospectus.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consummate our initial business combination only if we have net tangible assets of at least $5,000,001 either immediately prior to or upon such consummation and a majority of the outstanding shares of common stock voted are voted in favor of the business combination (if a vote is required or being obtained).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CAUTIONARY NOTE REGARDING FORWARD-LOOKING STATEMENTS AND RISK FACTOR SUMMARY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Some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These risks and uncertainties include, but are not limited to the following risks, uncertainties and other factors:</w:t>
      </w:r>
    </w:p>
    <w:p>
      <w:pPr>
        <w:spacing w:after="0" w:line="177"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even if an appropriate target business is selected;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pool of prospective target businesses in the disruptive technology sectors;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acquiring an operating company in the disruptive technology sectors;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delisting of our securities from the Nasdaq or an inability to have our securities listed on Nasdaq following a business combination;</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trust account being subject to the claims of third parties;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beginning on page 28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3" w:lineRule="exact"/>
        <w:rPr>
          <w:sz w:val="20"/>
          <w:szCs w:val="20"/>
          <w:color w:val="auto"/>
        </w:rPr>
      </w:pPr>
    </w:p>
    <w:p>
      <w:pPr>
        <w:ind w:left="980" w:hanging="648"/>
        <w:spacing w:after="0" w:line="282" w:lineRule="auto"/>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our Search for, Consummation of, or Inability to Consummate, a Business Combination and Post-Business Combination Risks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public stockholders may not be afforded an opportunity to vote on our proposed initial business combination, which means we may complete our initial business combination even though a majority of our public stockholders do not support such a combination.</w:t>
      </w:r>
    </w:p>
    <w:p>
      <w:pPr>
        <w:spacing w:after="0" w:line="14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may choose not to hold a stockholder vote to approve our initial business combination unless the initial business combination would require stockholder approval under applicable law or stock exchange listing requirements or if we decide to hold a stockholder vote for business or other legal reasons. Except as required by law, the decision as to whether we will seek stockholder approval of a proposed initial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Even if we seek stockholder approval, the holders of our founder shares will participate in the vote on such approval. Accordingly, we may complete our initial business combination even if holders of a majority of our public shares do not approve of the initial business combination we complete. Please see the section of this prospectus entitled “Proposed Business — Stockholders May Not Have the Ability to Approve Our Initial Business Combination” for additional information.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our sponsor, officers and directors have agreed to vote in favor of such initial business combination, regardless of how our public stockholders vote.</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Pursuant to the letter agreement, our sponsor, officers and directors have agreed to vote their founder shares and any public shares purchased during or after this offering (including in open market and privately negotiated transactions), in favor of our initial business combination. As a result, in addition to our initial stockholders’ founder shares, we would need only 3,750,001, or 37.5%, of the 10,000,000 public shares sold in this offering to be voted in favor of an initial business combination (assuming all outstanding shares are voted) in order to have our initial business combination approved (assuming the over-allotment option is not exercised). Our initial stockholders and their permitted transferees will own shares representing 20% of our outstanding shares of common stock immediately following the completion of this offering. Accordingly, if we seek stockholder approval of our initial business combination, the agreement by our initial stockholders to vote in favor of our initial business combination will increase the likelihood that we will receive the requisite stockholder approval for such initial business combination. In addition, we have agreed not to enter into a definitive agreement regarding an initial business combination without the prior consent of our sponsor.</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Your only opportunity to affect the investment decision regarding a potential business combination will be limited to the exercise of your right to redeem your shares from us for cash, unless we seek stockholder approval of the initial business combination.</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our initial business combination. Since our board of directors may complete an initial business combination without seeking stockholder approval, public stockholders may not have the right or opportunity to vote on the initial business combination, unless we seek such stockholder vote.</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redeem their shares for cash may make our financial condition unattractive to potential business combination targets, which may make it difficult for us to enter into an initial business combination with a target.</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may seek to enter into an initial business combination agreement with a prospective target that requires as a closing condition that we have a minimum net worth or a certain amount of cash. While we will have access to the proceeds from the $3,402,000 (or up to $3,552,000 depending on the extent to which the underwriters’ over-allotment option is exercised) private placement from our sponsor, if too many public stockholders exercise their redemption rights, we would not be able to meet such closing condition and, as a result, would not be able to proceed with the initial business combination. If too many public stockholders exercise their redemption rights, we would not be able to meet such closing condition and, as a result, would not be able to proceed with the initial business combination. Furthermore, 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an initial business combination with us. The ability of a large number of our stockholders to exercise redemption rights may not allow us to consummate the most desirable business combination or optimize our capital structure.</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stockholders may exercise their redemption rights, and, therefore, we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is submitted for redemption than we initially expected, we may need to restructure the transaction to reserve a greater portion of the cash in the trust account or arrange for third party financing. 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stock in the open market; however, at such time our stock may trade at a discount to the pro rata amount per share in the trust account. In either situation, you may suffer a material loss on your investment or lose the benefit of funds expected in connection with our redemption until we liquidate or you are able to sell your stock in the open market.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8"/>
          <w:szCs w:val="18"/>
          <w:b w:val="1"/>
          <w:bCs w:val="1"/>
          <w:i w:val="1"/>
          <w:iCs w:val="1"/>
          <w:color w:val="auto"/>
        </w:rPr>
        <w:t>The requirement that we complete our initial business combination within the prescribed time frame may give potential target businesses leverage over us in negotiating an initial business combination and may decrease our ability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Any potential target business with which we enter into negotiations concerning an initial business combination will be aware that we must complete our initial business combination within 15 months (or up to 21 months, as applicable) from the closing of this offering. Consequently, such target business may obtain leverage over us in negotiating an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stockholders may only receive $10.10 per share, or less than such amount in certain circumstances, and our warrants will expire worthless.</w:t>
      </w:r>
    </w:p>
    <w:p>
      <w:pPr>
        <w:spacing w:after="0" w:line="149"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Our sponsor, officers and directors have agreed that we must complete our initial business combination within 15 months from the closing of this offering (or up to 18 months from the closing of this offering if we have executed a definitive agreement and filed a proxy statement for an initial business combination within 15 months from the closing of this offering) to consummate an initial business combination. In addition, if we anticipate that we may not be able to consummate our initial business combination within 15 months and we have not entered into a definitive agreement and filed a proxy statement for an initial business combination by such date (or 18 months if we have executed a definitive agreement and filed a proxy statement for an initial business combination within 15 months from the closing of this offering), our insiders or their affiliates may, but are not obligated to, extend the period of time to consummate a business combination up to two times by an additional three months each time (for a total of up to 21 months to complete a business combination), as described in more detail in this prospectus.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 For example, the outbreak of COVID-19 continues to grow both in the United States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continued outbreak of COVID-19 may negatively impact businesses we may seek to acquire. If we have not completed our initial business combination within such 15-month (or up to 21-month) period, we will: (i) cease all operations except for the purpose of winding up, (ii)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in which case, our public stockholders may only receive $10.10 per share, or less than such amount in certain circumstances, and our warrants will expire worthless. See “— If third parties bring claims against us, the proceeds held in the trust account could be reduced and the per-share redemption amount received by stockholders may be less than $10.10 per share” and other risk factors herein.</w:t>
      </w:r>
    </w:p>
    <w:p>
      <w:pPr>
        <w:spacing w:after="0" w:line="3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March 2020, the World Health Organization declared novel coronavirus disease 2019 (COVID-19) a global pandemic. The COVID-19 pandemic has negatively impacted the global economy, disrupted global supply chains, lowered equity market valuations, created significant volatility and disruption in financial markets, and increased unemployment levels, all of which may become heightened concerns upon a second wave of infection or future developments. In addition, the pandemic has resulted in temporary closures of many businesses and the institution of social distancing and sheltering in place requirements in many states and communities. The COVID-19 pandemic has and a significant outbreak of other infectious diseases could result in a widespread health crisis that could adversely affect the economies and financial markets worldwide, and the business of any potential partner business with which we consummate a business combination could be materially and adversely affected.</w:t>
      </w:r>
    </w:p>
    <w:p>
      <w:pPr>
        <w:spacing w:after="0" w:line="1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Furthermore, we may be unable to complete a business combination if concerns relating to COVID-19 continue to restrict travel, limit the ability to have meetings with potential investors or the partner business’s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partner business with which we ultimately consummate a business combination, may be materially adversely affected.</w:t>
      </w:r>
    </w:p>
    <w:p>
      <w:pPr>
        <w:spacing w:after="0" w:line="1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our ability to consummate a transaction may be dependent on the ability to raise equity and debt financing which may be impacted by COVID-19 and other events, including as a result of increased market volatility, decreased market liquidity and third-party financing being unavailable on terms acceptable to us or at all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118" w:gutter="0" w:footer="0" w:header="0"/>
        </w:sectPr>
      </w:pPr>
    </w:p>
    <w:bookmarkStart w:id="37" w:name="page38"/>
    <w:bookmarkEnd w:id="37"/>
    <w:p>
      <w:pPr>
        <w:jc w:val="both"/>
        <w:spacing w:after="0" w:line="263"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our sponsor, directors, officers, advisors or any of their respective affiliates may elect to purchase shares or warrants from public stockholders, which may influence a vote on a proposed initial business combination and reduce the public “float” of our common stock or warrants.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directors, officers, advisors or any of their respective affiliates may purchase shares or public warrants or a combination thereof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shares or public warrants in such transactions.</w:t>
      </w:r>
    </w:p>
    <w:p>
      <w:pPr>
        <w:spacing w:after="0" w:line="1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Such a purchase may include a contractual acknowledgement that such stockholder, although still the record holder of our shares is no longer the beneficial owner thereof and therefore agrees not to exercise its redemption rights. In the event that our sponsor, directors, officers, advisors or any of their respective affiliates purchase shares in privately negotiated transactions from public stockholders who have already elected to exercise their redemption rights, such selling stockholders would be required to revoke their prior elections to redeem their shares. The price per share paid in any such transaction may be different than the amount per share a public stockholder would receive if it elected to redeem its shares in connection with our initial business combination. The purpose of such purchases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if such purchases are made, the public “float” of our common stock or public warrants and the number of beneficial holders of our securities may be reduced, possibly making it difficult to obtain or maintain the quotation, listing or trading of our securities on a national securities exchange.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or any other procedures, its shares may not be redeemed. See the section of this prospectus entitled “Proposed Business — Redemption Rights for Public Stockholders upon Completion of our Initial Business Combination — Redemption/Tender Rights.”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public stockholders will be entitled to receive funds from the trust account only upon the earliest to occur of: (i) our completion of an initial business combination, and then only in connection with those shares of common stock that such stockholder properly elected to redeem, subject to the limitations described herein,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15 months (or up to 21 months, as applicable) from the closing of this offering or (B) with respect to any other provision relating to stockholders’ rights or pre-initial business combination activity and (iii) the redemption of our public shares if we are unable to complete an initial business combination within 15 months (or up to 21 months, as applicable) from the closing of this offering, subject to applicable law and as further described herein.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not be entitled to protections normally afforded to investors of many other blank check companies.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Since the net proceeds of this offering and the sale of the private warrants are intended to be used to complete an initial business combination with a target business that has not been identified, we may be deemed to be a “blank check” company under the United States securities laws. However, because we will have net tangible assets in excess of $5,000,000 either immediately prior to or upon the successful completion of this offering and the sale of the private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the section of this prospectus entitled “Proposed Business — Comparison to Offerings of Blank Check Companies Subject to Rule 419.”</w:t>
      </w:r>
    </w:p>
    <w:p>
      <w:pPr>
        <w:spacing w:after="0" w:line="168"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stockholders may receive only approximately $10.10 per share on our redemption of our public shares, or less than such amount in certain circumstances, and our warrants will expire worthless.</w:t>
      </w:r>
    </w:p>
    <w:p>
      <w:pPr>
        <w:spacing w:after="0" w:line="1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expect to encounter intense competition from other entities having a business objective similar to ours, including private investors (which may be individuals or investment partnerships), other blank check companies and other entities competing for the types of businesses we intend to acquire, including affiliates of our sponsor.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because we are obligated to pay cash for the shares of common stock which our public stockholders redeem in connection with our initial business combination, target companies will be aware that this may reduce the resources available to us for our initial business combination. This may place us at a competitive disadvantage in successfully negotiating an initial business combination. If we are unable to complete our initial business combination, our public stockholders may receive only approximately $10.10 per share, or less in certain circumstances, on the liquidation of our trust account and our warrants will expire worthless. In certain circumstances, our public stockholders may receive less than $10.10 per share upon our liquidation. See “— If third parties bring claims against us, the proceeds held in the trust account could be reduced and the per-share redemption amount received by stockholders may be less than $10.10 per share” and other risk factors below.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8"/>
          <w:szCs w:val="18"/>
          <w:b w:val="1"/>
          <w:bCs w:val="1"/>
          <w:i w:val="1"/>
          <w:iCs w:val="1"/>
          <w:color w:val="auto"/>
        </w:rPr>
        <w:t>If the net proceeds of this offering, the sale of the private warrants not being held in the trust account and the loan committed by our sponsor for working capital are insufficient to allow us to operate for at least the next 15 months (or up to 21 months, as applicable), we may be unable to complete our initial business combination, in which case our public stockholders may only receive $10.10 per share, or less than such amount in certain circumstances, and our warrants will expire worthless.</w:t>
      </w:r>
    </w:p>
    <w:p>
      <w:pPr>
        <w:spacing w:after="0" w:line="18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 funds available to us outside of the trust account, together with the loan committed by our sponsor for working capital, may not be sufficient to allow us to operate for at least the next 15 months (or up to 21 months, as applicable), assuming that our initial business combination is not completed during that time. Management’s plans to address this need for capital through this offering and potential loans from certain of our affiliates are discussed in the section of this prospectus titled “Management’s Discussion and Analysis of Financial Condition and Results of Operations.” However, our affiliates are not obligated to make loans to us in the future, and we may not be able to raise additional financing from unaffiliated parties necessary to fund our expenses. We believe that, upon closing of this offering, the funds available to us outside of the trust account, together with funds available from loans from our sponsor will be sufficient to allow us to operate for at least the next 15 months (or up to 21 months, as applicable);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on terms more favorable to such target businesses) with respect to a particular proposed initial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receive only approximately $10.10 per share, or less in certain circumstances, on the liquidation of our trust account and our warrants will expire worthless. In certain circumstances, our public stockholders may receive less than $10.10 per share upon our liquidation. See “— If third parties bring claims against us, the proceeds held in the trust account could be reduced and the per-share redemption amount received by stockholders may be less than $10.10 per share” and other risk factors below.</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If the net proceeds from this offering and the sale of the private warrants, not being held in the trust account, and the loan committed by our sponsor for working capital are insufficient, it could limit the amount available to fund our search for a target business or businesses and complete our initial business combination and we will depend on additional loans from our sponsor or management team to fund our search for an initial business combination, to pay our taxes and to complete our initial business combination. If we are unable to obtain these loans, we may be unable to complete our initial business combination.</w:t>
      </w:r>
    </w:p>
    <w:p>
      <w:pPr>
        <w:spacing w:after="0" w:line="188"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Of the net proceeds of this offering and the sale of the private warrants, only approximately $1,327,000 will be available to us initially outside the trust account to fund our working capital requirements. In the event that our offering expenses exceed our estimate of $575,000, we may fund such excess with funds not to be held in the trust account. In such case, the amount of funds we intend to be held outside the trust account would decrease by a corresponding amount. The amount held in the trust account will not be impacted as a result of such increase or decrease. Conversely, in the event that the offering expenses are less than our estimate of $575,000,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In order to finance transaction costs in connection with an intended initial business combination, our sponsor has committed up to $250,000 to be provided to us to fund our expenses relating to investigating and selecting a target business and other working capital requirements after this offering and prior to our initial business combination. None of our sponsor, members of our management team nor any of their affiliates is under any obligation to advance additional funds to us in such circumstances. Any such advances would be repaid only from funds held outside the trust account or from funds released to us upon completion of our initial business combination.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obtain these loans, we may be unable to complete our initial business combination. If we are unable to complete our initial business combination because we do not have sufficient funds available to us, we will be forced to cease operations and liquidate the trust account. Consequently, our public stockholders may only receive approximately $10.10 per share on our redemption of our public shares, and our warrants will expire worthless. In certain circumstances, our public stockholders may receive less than $10.10 per share on the redemption of their shares. See “— If third parties bring claims against us, the proceeds held in the trust account could be reduced and the per-share redemption amount received by stockholders may be less than $10.10 per share” and other risk factors below.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spacing w:after="0" w:line="263" w:lineRule="auto"/>
        <w:rPr>
          <w:sz w:val="20"/>
          <w:szCs w:val="20"/>
          <w:color w:val="auto"/>
        </w:rPr>
      </w:pPr>
      <w:r>
        <w:rPr>
          <w:rFonts w:ascii="Arial" w:cs="Arial" w:eastAsia="Arial" w:hAnsi="Arial"/>
          <w:sz w:val="18"/>
          <w:szCs w:val="18"/>
          <w:b w:val="1"/>
          <w:bCs w:val="1"/>
          <w:i w:val="1"/>
          <w:iCs w:val="1"/>
          <w:color w:val="auto"/>
        </w:rPr>
        <w:t>Subsequent to the completion of our initial business combination, we may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Accordingly, any security holders who choose to remain security holders following the initial business combination could suffer a reduction in the value of their securities. Such security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initial business combination constituted an actionable material misstatement or omission.</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per-share redemption amount received by stockholders may be less than $10.10 per share.</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Making such a request of potential target businesses may make our acquisition proposal less attractive to them and, to the extent prospective target businesses refuse to execute such a waiver, it may limit the field of potential target businesses that we might pursue. WithumSmith+Brown, PC, our independent registered public accounting firm, and the underwriters of the offering, will not execute agreements with us waiving such claims to the monies held in the trust account.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firstLine="324"/>
        <w:spacing w:after="0" w:line="285" w:lineRule="auto"/>
        <w:rPr>
          <w:sz w:val="20"/>
          <w:szCs w:val="20"/>
          <w:color w:val="auto"/>
        </w:rPr>
      </w:pPr>
      <w:r>
        <w:rPr>
          <w:rFonts w:ascii="Arial" w:cs="Arial" w:eastAsia="Arial" w:hAnsi="Arial"/>
          <w:sz w:val="16"/>
          <w:szCs w:val="16"/>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stockholders could be less than the $10.10 per share initially held in the trust account, due to claims of such creditors. Pursuant to the letter agreement, the form of which is filed as Exhibit 10.1 to the registration statement of which this prospectus forms a part, our sponsor has agreed that it will be liable to us if and to the extent any claims by a third party (other than our independent registered public accounting firm)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$10.10 per public share and (ii) the actual amount per public share held in the trust account as of the date of the liquidation of the trust account, if less than $10.10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3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event that the proceeds in the trust account are reduced below the lesser of (i) $10.10 per share and (ii) the actual amount per share held in the trust account as of the date of the liquidation of the trust account if less than $10.10 per share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stockholders may be reduced below $10.10 per share.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funds to satisfy indemnification claims of our directors and officers.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w:t>
      </w:r>
    </w:p>
    <w:p>
      <w:pPr>
        <w:spacing w:after="0" w:line="2" w:lineRule="exact"/>
        <w:rPr>
          <w:sz w:val="20"/>
          <w:szCs w:val="20"/>
          <w:color w:val="auto"/>
        </w:rPr>
      </w:pPr>
    </w:p>
    <w:p>
      <w:pPr>
        <w:jc w:val="both"/>
        <w:ind w:firstLine="8"/>
        <w:spacing w:after="0" w:line="253" w:lineRule="auto"/>
        <w:tabs>
          <w:tab w:leader="none" w:pos="2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we and our board may be exposed to claims of punitive damages.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spacing w:after="0" w:line="311" w:lineRule="auto"/>
        <w:rPr>
          <w:sz w:val="20"/>
          <w:szCs w:val="20"/>
          <w:color w:val="auto"/>
        </w:rPr>
      </w:pPr>
      <w:r>
        <w:rPr>
          <w:rFonts w:ascii="Arial" w:cs="Arial" w:eastAsia="Arial" w:hAnsi="Arial"/>
          <w:sz w:val="16"/>
          <w:szCs w:val="16"/>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4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 upon redemption of their shares.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15 months (or up to 21 months, as applicable) from the closing of this offering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15th month (or up to the 21st month, as applicable) from the closing of this offering in the event we do not complete our initial business combination and, therefore, we do not intend to comply with the foregoing procedures.</w:t>
      </w:r>
    </w:p>
    <w:p>
      <w:pPr>
        <w:spacing w:after="0" w:line="18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15 months (or up to 21 months, as applicable)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hold an annual meeting of stockholders until after the consummation of our initial business combination, which could delay the opportunity for our stockholders to elect directors.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spacing w:after="0" w:line="381" w:lineRule="auto"/>
        <w:rPr>
          <w:sz w:val="20"/>
          <w:szCs w:val="20"/>
          <w:color w:val="auto"/>
        </w:rPr>
      </w:pPr>
      <w:r>
        <w:rPr>
          <w:rFonts w:ascii="Arial" w:cs="Arial" w:eastAsia="Arial" w:hAnsi="Arial"/>
          <w:sz w:val="15"/>
          <w:szCs w:val="15"/>
          <w:b w:val="1"/>
          <w:bCs w:val="1"/>
          <w:i w:val="1"/>
          <w:i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10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We will seek to complete an initial business combination with an operating company in any industry or sector, though we intend to focus on the financial services, healthcare, real estate services, technology and software industries, except that we will not, under our amended and restated certificate of incorporation, be permitted to effectuate our initial business combination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security holders who choose to remain security holders following our initial business combination could suffer a reduction in the value of their securities. Such security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seek business combination opportunities in industries or sectors which may or may not be outside of our management’s area of expertise.</w:t>
      </w:r>
    </w:p>
    <w:p>
      <w:pPr>
        <w:spacing w:after="0" w:line="24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will consider a business combination in sectors which may be outside of our management’s areas of expertise if such business combination candidate is presented to us and we determine that such candidate offers an attractive acquisition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an initial business combination candidate. In the event we elect to pursue an acquisition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relevant to such acquisition. Accordingly, any security holders who choose to remain security holders following our initial business combination could suffer a reduction in the value of their securities. Such security holders are unlikely to have a remedy for such reduction in value.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spacing w:after="0" w:line="311" w:lineRule="auto"/>
        <w:rPr>
          <w:sz w:val="20"/>
          <w:szCs w:val="20"/>
          <w:color w:val="auto"/>
        </w:rPr>
      </w:pPr>
      <w:r>
        <w:rPr>
          <w:rFonts w:ascii="Arial" w:cs="Arial" w:eastAsia="Arial" w:hAnsi="Arial"/>
          <w:sz w:val="16"/>
          <w:szCs w:val="16"/>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4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applicable law or stock exchange rules,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our public stockholders may receive only approximately $10.10 per share, or less in certain circumstances, on the liquidation of our trust account and our warrants will expire worthless. In certain circumstances, our public stockholders may receive less than $10.10 per share on the redemption of their shares. See “-— If third parties bring claims against us, the proceeds held in the trust account could be reduced and the per-share redemption amount received by stockholders may be less than $10.10 per share” and other risk factors below.</w:t>
      </w:r>
    </w:p>
    <w:p>
      <w:pPr>
        <w:spacing w:after="0" w:line="168"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may seek business combination opportunities with an early stage company, a financially unstable business or an entity lacking an established record of revenue, cash flow or earnings, which could subject us to volatile revenues, cash flows or earnings or difficulty in retaining key personnel.</w:t>
      </w:r>
    </w:p>
    <w:p>
      <w:pPr>
        <w:spacing w:after="0" w:line="10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not required to obtain an opinion from an independent investment banking firm or from an independent accounting firm, and consequently, you may have no assurance from an independent source that the price we are paying for the business is fair to our stockholders from a financial point of view.</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Unless we complete our initial business combination with an affiliated entity or our board cannot independently determine the fair market value of the target business or businesses, we are not required to obtain an opinion from an independent investment banking firm or another independent firm that commonly renders valuation opinions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federal proxy rules require that a proxy statement with respect to a vote on an initial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prescribed time frame.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4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2022. Only in the event we are deemed to be a large accelerated filer or an accelerated filer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initial business combination.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an initial business combination with which a substantial majority of our stockholders do not agree.</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amended and restated certificate of incorporation will not provide a specified maximum redemption threshold, except that we may only redeem our public shares so long as our net tangible assets are at least $5,000,001 either immediately prior to or upon consummation of our initial business combination and after payment of underwriters’ fees and commissions (such that we are not subject to the SEC’s “penny stock” rules) or any greater net tangible asset or cash requirement which may be contained in the agreement relating to our initial business combination.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respective affiliates. In the event the aggregate cash consideration we would be required to pay for all shares of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all shares of common stock submitted for redemption will be returned to the holders thereof, and we instead may search for an alternate business combination.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In order to effectuate an initial business combination, blank check companies have, in the recent past, amended various provisions of their charters and other governing instruments, including their warrant agreements. We cannot assure you that we will not seek to amend our amended and restated certificate of incorporation or governing instruments in a manner that will make it easier for us to complete our initial business combination that our stockholders may not support.</w:t>
      </w:r>
    </w:p>
    <w:p>
      <w:pPr>
        <w:spacing w:after="0" w:line="187"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In order to effectuate an initial business combination, blank check companies have, in the recent past, amended various provisions of their charters and modified governing instruments, including their warrant agreements. For example, blank check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certificate of incorporation will require the approval of holders of a majority of our common stock, and amending our warrant agreement will require a vote of holders of at least a majority of the public warrants. In addition, our amended and restated certificate of incorporation requires us to provide our public stockholders with the opportunity to redeem their public shares for cash if we propose an amendment to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15 months (or up to 21 months, as applicable) from the closing of this offering or</w:t>
      </w:r>
    </w:p>
    <w:p>
      <w:pPr>
        <w:spacing w:after="0" w:line="6" w:lineRule="exact"/>
        <w:rPr>
          <w:sz w:val="20"/>
          <w:szCs w:val="20"/>
          <w:color w:val="auto"/>
        </w:rPr>
      </w:pPr>
    </w:p>
    <w:p>
      <w:pPr>
        <w:jc w:val="both"/>
        <w:ind w:firstLine="8"/>
        <w:spacing w:after="0" w:line="273" w:lineRule="auto"/>
        <w:tabs>
          <w:tab w:leader="none" w:pos="304"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with respect to any other provision relating to stockholders’ rights or pre-initial business combination activity. To the extent any such amendments would be deemed to fundamentally change the nature of any securities offered through this registration statement,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spacing w:after="0" w:line="293" w:lineRule="auto"/>
        <w:rPr>
          <w:sz w:val="20"/>
          <w:szCs w:val="20"/>
          <w:color w:val="auto"/>
        </w:rPr>
      </w:pPr>
      <w:r>
        <w:rPr>
          <w:rFonts w:ascii="Arial" w:cs="Arial" w:eastAsia="Arial" w:hAnsi="Arial"/>
          <w:sz w:val="16"/>
          <w:szCs w:val="16"/>
          <w:b w:val="1"/>
          <w:bCs w:val="1"/>
          <w:i w:val="1"/>
          <w:iCs w:val="1"/>
          <w:color w:val="auto"/>
        </w:rPr>
        <w:t>The provisions of our amended and restated certificate of incorporation that relate to our pre-business combination activity (and corresponding provisions of the agreement governing the release of funds from our trust account), including an amendment to permit us to withdraw funds from the trust account such that the per share amount investors will receive upon any redemption or liquidation is substantially reduced or eliminated, may be amended with the approval of holders of majority of our common stock, which is a lower amendment threshold than that of some other blank check companies. It may be easier for us, therefore, to amend our amended and restated certificate of incorporation and the trust agreement to facilitate the completion of an initial business combination that some of our stockholders may not support.</w:t>
      </w:r>
    </w:p>
    <w:p>
      <w:pPr>
        <w:spacing w:after="0" w:line="16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amended and restated certificate of incorporation will provide that any of its provisions may be amended if approved by holders of majority of our common stock entitled to vote thereon, and corresponding provisions of the trust agreement governing the release of funds from our trust account may be amended if approved by holders of majority of our common stock entitled to vote thereon, subject to applicable provisions of the DGCL or applicable stock exchange rules. We may not issue additional securities that can vote with common stockholders on matters related to our pre-initial business combination activity, on any amendment to certain provisions of our amended and restated certificate of incorporation or on our initial business combination. Our initial stockholders, who will collectively beneficially own up to 20% of our common stock upon the closing of this offering (assuming they do not purchase any units in this offering), will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govern our pre-initial business combination behavior more easily than some other blank check companies, and this may increase our ability to complete an initial business combination with which you do not agree. Our stockholders may pursue remedies against us for any breach of our amended and restated certificate of incorporation.</w:t>
      </w:r>
    </w:p>
    <w:p>
      <w:pPr>
        <w:spacing w:after="0" w:line="18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15 months (or up to 21 months, as applicable) from the closing of this offering or (ii)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divided by the number of then outstanding public shares. These agreements are contained in a letter agreement that we have entered into with our sponsor, officers and directors. Our stockholders are not parties to, or third-party beneficiaries of, these agreements and, as a result, will not have the ability to pursue remedies against our sponsor, officers or directors for any breach of these agreements. As a result, in the event of a breach, our stockholders would need to pursue a stockholder derivative action, subject to applicable law.</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have not selected any specific business combination target, but intend to target businesses larger than we could acquire with the net proceeds of this offering and the sale of the private warrants. As a result,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the amount of additional financing we may be required to obtain could increase as a result of future growth capital needs for any particular transaction, the depletion of the available net proceeds in search of a target business, the obligation to repurchase for cash a significant number of shares from stockholders who elect redemption in connection with our initial business combination and/or the terms of negotiated transactions to purchase shares in connection with our initial business combination.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 If we are unable to complete our initial business combination, our public stockholders may only receive approximately $10.10 per share, or less in certain circumstances, on the liquidation of our trust account, and our warrants will expire worthless. Furthermore, as described in the risk factor entitled “If third parties bring claims against us, the proceeds held in the trust account could be reduced and the per-share redemption amount received by stockholders may be less than $10.10 per share,” under certain circumstances our public stockholders may receive less than $10.10 per share upon the liquidation of the trust account.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b w:val="1"/>
          <w:bCs w:val="1"/>
          <w:i w:val="1"/>
          <w:iCs w:val="1"/>
          <w:color w:val="auto"/>
        </w:rPr>
        <w:t>Our initial stockholders will hold a substantial interest in us. As a result, they may exert a substantial influence on actions requiring a stockholder vote, potentially in a manner that you do not support.</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Upon the closing of this offering, our initial stockholders will own shares representing 20% of our issued and outstanding shares of common stock (including the shares of common stock underlying the private warrants and assuming they do not purchase any units in this offering). Neither our initial stockholders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common stock. In addition, as a result of their substantial ownership in our company, our initial stockholders may exert a substantial influence on other actions requiring a stockholder vote, potentially in a manner that you do not support, including amendments to our amended and restated certificate of incorporation and approval of major corporate transactions. If our initial stockholders purchase any units in this offering or any additional shares of common stock in the aftermarket or in privately negotiated transactions, this would increase their influence over these actions. In addition, our board of directors, whose members were elected by our initial stockholders, is and will be divided into two classes, each of which will generally serve for a term of two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initial business combination. If there is an annual meeting, as a consequence of our “staggered” board of directors, only a portion of the board of directors will be considered for election. Accordingly, our initial stockholders will exert significant influence over actions requiring a stockholder vote. Please see “Proposed Business — Stockholders May Not Have the Ability to Approve an Initial Business Combination.”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stockholders may receive only approximately $10.10 per share, or less than such amount in certain circumstances, on the liquidation of our trust account and our warrants will expire worthless.</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$10.10 per share, or less in certain circumstances, on the liquidation of our trust account and our warrants will expire worthless. In certain circumstances, our public stockholders may receive less than $10.10 per share on the redemption of their shares. See “— If third parties bring claims against us, the proceeds held in the trust account could be reduced and the per-share redemption amount received by stockholders may be less than $10.10 per share” and other risk factors below.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spacing w:after="0" w:line="286" w:lineRule="auto"/>
        <w:rPr>
          <w:sz w:val="20"/>
          <w:szCs w:val="20"/>
          <w:color w:val="auto"/>
        </w:rPr>
      </w:pPr>
      <w:r>
        <w:rPr>
          <w:rFonts w:ascii="Arial" w:cs="Arial" w:eastAsia="Arial" w:hAnsi="Arial"/>
          <w:sz w:val="17"/>
          <w:szCs w:val="17"/>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6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key personnel may be able to remain with the company after the completion of our initial business combination only if they are able to negotiate employment or consulting agreements in connection with the initial business combination. Such negotiations would take place simultaneously with the negotiation of the initial business combination and could provide for such individuals to receive compensation in the form of cash payments and/or our securities for services they would render to us after the completion of the initial business combination. The personal and financial interests of such individuals may influence their motivation in identifying and selecting a target business. However, we believe the ability of such individuals to remain with us after the completion of our initial business combination will not be the 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our initial business combination.</w:t>
      </w:r>
    </w:p>
    <w:p>
      <w:pPr>
        <w:spacing w:after="0" w:line="16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 which could, in turn, negatively impact the value of our stockholders’ investment in us.</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any security holders who choose to remain security holders following the initial business combination could suffer a reduction in the value of their securities. Such securities are unlikely to have a remedy for such reduction in value.</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Unlike other blank check companies, we may extend the time to complete a business combination by up to six months without a stockholder vote or your ability to redeem your shares</w:t>
      </w:r>
      <w:r>
        <w:rPr>
          <w:rFonts w:ascii="Arial" w:cs="Arial" w:eastAsia="Arial" w:hAnsi="Arial"/>
          <w:sz w:val="18"/>
          <w:szCs w:val="18"/>
          <w:color w:val="auto"/>
        </w:rPr>
        <w:t>.</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We will have until 15 months from the closing of this offering to consummate an initial business combination. However, unlike other similarly structured blank check companies, if we anticipate that we may not be able to consummate our initial business combination within 15 months and we have not entered into a definitive agreement and filed a proxy statement for an initial business combination by such date (or 18 months if we have executed a definitive agreement and filed a proxy statement for an initial business combination within 15 months from the closing of this offering), our insiders or their affiliates may, but are not obligated to, extend the period of time to consummate a business combination up to two times by an additional three months each time (for a total of up to 21 months to complete a business combination); </w:t>
      </w:r>
      <w:r>
        <w:rPr>
          <w:rFonts w:ascii="Arial" w:cs="Arial" w:eastAsia="Arial" w:hAnsi="Arial"/>
          <w:sz w:val="17"/>
          <w:szCs w:val="17"/>
          <w:i w:val="1"/>
          <w:iCs w:val="1"/>
          <w:color w:val="auto"/>
        </w:rPr>
        <w:t>provided that</w:t>
      </w:r>
      <w:r>
        <w:rPr>
          <w:rFonts w:ascii="Arial" w:cs="Arial" w:eastAsia="Arial" w:hAnsi="Arial"/>
          <w:sz w:val="17"/>
          <w:szCs w:val="17"/>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in the absence of a definitive agreement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Public stockholders will not be offered the opportunity to vote on or redeem their shares in connection with any such extension.</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the number of special purpose acquisition companies increases, there may be more competition to find an attractive target for an initial business combination. This could increase the costs associated with completing our initial business combination and may result in our inability to find a suitable target for our initial business combination.</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recent years, the number of special purpose acquisition companies that have been formed has increased substantially. Many companies have entered into business combinations with special purpose acquisition companies, and there are still many special purpose acquisition companies seeking targets for their initial business combination, as well as many additional special purpose acquisition companies currently in registration. As a result, at times, fewer attractive targets may be available, and it may require more time, effort and resources to identify a suitable target for an initial business combination.</w:t>
      </w:r>
    </w:p>
    <w:p>
      <w:pPr>
        <w:spacing w:after="0" w:line="15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 suitable target for and/or complete our initial business combination.</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the market for directors and officers liability insurance could make it more difficult and more expensive for us to negotiate and complete an initial business combination.</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recent months, the market for directors and officers liability insurance for special purpose acquisition companies has changed. Fewer insurance companies are offering quotes for directors and officers liability coverage, the premiums charged for such policies have generally increased and the terms of such policies have generally become less favorable. There can be no assurance that these trends will not continue.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ind w:firstLine="324"/>
        <w:spacing w:after="0" w:line="257" w:lineRule="auto"/>
        <w:rPr>
          <w:sz w:val="20"/>
          <w:szCs w:val="20"/>
          <w:color w:val="auto"/>
        </w:rPr>
      </w:pPr>
      <w:r>
        <w:rPr>
          <w:rFonts w:ascii="Arial" w:cs="Arial" w:eastAsia="Arial" w:hAnsi="Arial"/>
          <w:sz w:val="18"/>
          <w:szCs w:val="18"/>
          <w:color w:val="auto"/>
        </w:rPr>
        <w:t>The increased cost and decreased availability of directors and officers liability insurance could make it more difficult and more expensive for us to negotiate an initial business combination. In order to obtain directors and officers liability insurance or modify its coverage as a result of becoming a public company, the post-business combination entity might need to incur greater expense, accept less favorable terms or both. However, any failure to obtain adequate directors and officers liability insurance could have an adverse impact on the post-business combination’s ability to attract and retain qualified officers and directors.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even after we were to complete an initial business combination, our directors and officers could still be subject to potential liability from claims arising from conduct alleged to have occurred prior to the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effect our initial business combination with a company with operations or opportunities outside of the United States, we would be subject to a variety of additional risks that may negatively impact our operations.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our management team pursues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costs and difficulties inherent in managing cross-border business operations and complying with different commercial and legal requirements of overseas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payment cycles and challenges in collecting accounts receivable;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issues, including but not limited to tax law changes and variations in tax laws as compared to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natural disasters and wars;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 appropriations of assets.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jc w:val="both"/>
        <w:ind w:firstLine="324"/>
        <w:spacing w:after="0" w:line="263"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results of operations and financial condition.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management following our initial business combination is unfamiliar with U.S. securities laws, they may have to expend time and resources becoming familiar with such laws, which could lead to various regulatory issues.</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Following our initial business combination, any or all of our management could resign from their positions as officers of the Company, and the management of the target business at the time of the business combination could remain in place. Management of the target business may not be familiar with U.S. securities laws. If new management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issue notes or other debt securities, or otherwise incur substantial debt, to complete an initial business combination, which may adversely affect our leverage and financial condition and thus negatively impact the value of our stockholders’ investment in us.</w:t>
      </w:r>
    </w:p>
    <w:p>
      <w:pPr>
        <w:spacing w:after="0" w:line="1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18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248"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disadvantages compared to our competitors who have less debt.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spacing w:after="0" w:line="263"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this offering and the sale of the private warrants, which will cause us to be solely dependent on a single business which may have a limited number of services and limited operating activities. This lack of diversification may negatively impact our operating results and profitability.</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Of the net proceeds from this offering and the sale of the private warrants, $101,000,000 (or $116,150,000 if the underwriters’ over-allotment option is exercised in full) will be available to complete our initial business combination and pay related fees and expenses.</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In addition, we intend to focus our search for an initial business combination in a single industry. Accordingly, the prospects for our success may be:</w:t>
      </w:r>
    </w:p>
    <w:p>
      <w:pPr>
        <w:spacing w:after="0" w:line="16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We do not, however, intend to purchase multiple businesses in unrelated industries in conjunction with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an initial business combination with a company that is not as profitable as we suspected, if at all.</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pursuing our initial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an initial business combination with a company that is not as profitable as we suspected, if at all.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issue our shares to investors in connection with our initial business combination at a price that is less than the prevailing market price of our shares at that time.</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connection with our initial business combination, we may issue shares to investors in private placement transactions (so-called PIPE transactions) at a price of $10.10 per share or which approximates the per-share amounts in our trust account at such time, which is generally approximately $10.10. The purpose of such issuances will be to enable us to provide sufficient liquidity to the post-business combination entity. The price of the shares we issue may therefore be less, and potentially significantly less, than the market price for our shares at such time.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ind w:left="980" w:hanging="648"/>
        <w:spacing w:after="0"/>
        <w:tabs>
          <w:tab w:leader="none" w:pos="9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Chardan, our Sponsor and Management Team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employ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 In addition, the officers and directors of an initial business combination candidate may resign upon completion of our initial business combination. The departure of an initial business combination target’s key personnel could negatively impact the operations and profitability of our post-combination business. The role of an initial business combination candidate’s key personnel upon the completion of our initial business combination cannot be ascertained at this time. Although we contemplate that certain members of an initial business combination candidate’s management team will remain associated with the initial business combination candidate following our initial business combination, it is possible that members of the management of an initial business combination candidate will not wish to remain in place. The loss of key personnel could negatively impact the operations and profitability of our post-combination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our officers and directors and their departure could adversely affect our ability to operate.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operations are dependent upon a relatively small group of individuals and, in particular, our officers and directors. We believe that our success depends on the continued service of our officers and directors, at least until we have completed our initial business combination. We do not have an employment agreement with, or key-man insurance on the life of, any of our directors or officers. The unexpected loss of the services of one or more of our directors or officers could have a detrimental effect on us.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Since our sponsor, officers and directors will lose their entire investment in us if our initial business combination is not completed, a conflict of interest may arise in determining whether a particular business combination target is appropriate for our initial business combination.</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July 23, 2020, our sponsor purchased 1,000,000 shares of common stock for an aggregate purchase price of $25,000. On March 4, 2021, we effected a 2.875-for-1 stock split, resulting in 2,875,000 shares of common stock being held by our sponsor. Such founder shares include an aggregate of up to 375,000 shares that are subject to forfeiture to the extent that the underwriters’ over-allotment option is not exercised in full or in part. The number of founder shares issued was determined based on the expectation that such founder shares would represent 20% of the outstanding shares after this offering. The founder shares will be worthless if we do not complete an initial business combination. In addition Chardan NexTech 2 Warrant Holdings LLC, an affiliate of our sponsor, has committed to purchase 4,200,000 (or up to 4,385,185 depending on the extent to which the underwriters’ over-allotment option is exercised) warrants at a price of $0.81 per warrant ($3,402,000 (or up to $3,552,000 depending on the extent to which the underwriters’ over-allotment option is exercised)) that will also be worthless if we do not consummate our initial business combination. Holders of founder shares and private warrants have agreed (A) to vote any shares owned by them in favor of any proposed initial business combination and (B) not to redeem any founder shares in connection with a stockholder vote to approve a proposed initial business combination. In addition, any loans from our sponsor will not be repaid if our business combination is not consummated. In addition, we may obtain loans from our sponsor, affiliates of our sponsor or an officer or director.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spacing w:after="0" w:line="263" w:lineRule="auto"/>
        <w:rPr>
          <w:sz w:val="20"/>
          <w:szCs w:val="20"/>
          <w:color w:val="auto"/>
        </w:rPr>
      </w:pPr>
      <w:r>
        <w:rPr>
          <w:rFonts w:ascii="Arial" w:cs="Arial" w:eastAsia="Arial" w:hAnsi="Arial"/>
          <w:sz w:val="18"/>
          <w:szCs w:val="18"/>
          <w:b w:val="1"/>
          <w:bCs w:val="1"/>
          <w:i w:val="1"/>
          <w:iCs w:val="1"/>
          <w:color w:val="auto"/>
        </w:rPr>
        <w:t>Since our officers and directors will not be eligible to be reimbursed for their out-of-pocket expenses, and our sponsor will not be eligible to be repaid for loans our sponsor has provided to us, if our business combination is not completed, a conflict of interest may arise in determining whether a particular business combination target is appropriate for our initial business combination.</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officers and directors, or any of their respective affiliates, will be reimbursed for any out-of-pocket expenses incurred in connection with activities on our behalf such as identifying potential target businesses and performing due diligence on suitable business combinations. Reimbursement for such expenses will be paid by us out of loans by our sponsor and interest earned on the trust account. There is no cap or ceiling on the reimbursement of out-of-pocket expenses incurred in connection with activities on our behalf. In addition, at the closing of our initial business combination, our sponsor will be repaid an aggregate of up to $250,000 in loans, which our sponsor has committed to cover working capital costs and to finance transaction costs in connection with an intended initial business combination following this offering, in addition to any additional loans our sponsor chooses to make. These financial interests of our sponsor, officers and directors may influence their motivation in identifying and selecting a target business combination and completing an initial business combination.</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an initial business combination and their other businesses. We do not intend to have any full-time employees prior to the completion of our initial business combination. Each of our officers is engaged in other business endeavors for which he may be entitled to substantial compensation and our officers are not obligated to contribute any specific number of hours per week to our affairs. In particular, our officers and non-independent directors are employed by Chardan and/or certain of its affiliates and our other directors are employees of other companies. Our directors and officers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“Management — Directors and Officers.”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All of our officers and directors are now, and all of them may in the future become, affiliated with entities engaged in business activities similar to those intended to be conducted by us and, accordingly, may have conflicts of interest in allocating their time and determining to which entity a particular business opportunity or other transaction should be presented.</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Following the completion of this offering and until we consummate our initial business combination, we intend to engage in the business of identifying and combining with one or more businesses. Our officers and directors are, and may in the future become, affiliated with entities (such as operating companies or investment vehicles) that are engaged in a similar business, including an Affiliated SPAC. In order to minimize potential conflicts of interest which may arise from multiple affiliations, our officers who are also officers of any Affiliated SPAC will be required to present all suitable target businesses to an Affiliated SPAC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do not have employment contracts with our officers and directors that will limit their ability to work at other businesses. In addition, our officers and directors may become an officer or director of any other special purpose acquisition company with a class of securities registered under the Exchange Act even if we have not yet entered into a definitive agreement regarding our initial business combination. As a result, our officers or directors could have conflicts of interest in determining whether to present business combination opportunities to us or to any other blank check company with which they may become involved.</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an Affiliated SPAC. Our officers and directors also may become aware of business opportunities which may be appropriate for presentation to us and the other entities to which they owe certain fiduciary, contractual or other duties.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ind w:firstLine="324"/>
        <w:spacing w:after="0" w:line="284" w:lineRule="auto"/>
        <w:rPr>
          <w:sz w:val="20"/>
          <w:szCs w:val="20"/>
          <w:color w:val="auto"/>
        </w:rPr>
      </w:pPr>
      <w:r>
        <w:rPr>
          <w:rFonts w:ascii="Arial" w:cs="Arial" w:eastAsia="Arial" w:hAnsi="Arial"/>
          <w:sz w:val="16"/>
          <w:szCs w:val="16"/>
          <w:color w:val="auto"/>
        </w:rPr>
        <w:t>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w:t>
      </w:r>
    </w:p>
    <w:p>
      <w:pPr>
        <w:spacing w:after="0" w:line="4" w:lineRule="exact"/>
        <w:rPr>
          <w:sz w:val="20"/>
          <w:szCs w:val="20"/>
          <w:color w:val="auto"/>
        </w:rPr>
      </w:pPr>
    </w:p>
    <w:p>
      <w:pPr>
        <w:ind w:firstLine="8"/>
        <w:spacing w:after="0" w:line="260" w:lineRule="auto"/>
        <w:tabs>
          <w:tab w:leader="none" w:pos="2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a complete discussion of our officers’ and directors’ business affiliations and the potential conflicts of interest that you should be aware of, please see the sections of this prospectus entitled “Management — Directors and Officers,” “Management — Conflicts of Interest” and “Certain Relationships and Related Party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officers, directors, security holders and their respective affiliates may have competitive pecuniary interests that conflict with our interests.</w:t>
      </w:r>
    </w:p>
    <w:p>
      <w:pPr>
        <w:spacing w:after="0" w:line="2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an initial business combination with a target business that is affiliated with our sponsor, our directors or officers, although we do not intend to do so, or we may acquire a target business through an Affiliated Joint Acquisition with one or more affiliates of Chardan.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particular, Chardan, its respective affiliates, our directors and our officers have invested, and may in the future invest, in a broad array of sectors, including those in which our company may invest, and are also focused on acquisitions and investments in industries in which we may search for a target business. As a result, there may be substantial overlap between companies that would be a suitable business combination for us and companies that would make an attractive target for such other affiliates.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engage in an initial business combination with one or more target businesses that have relationships with entities that may be affiliated with our sponsor, officers, directors or existing holders which may raise potential conflicts of interest.</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light of the involvement of our sponsor, officers and directors with other businesses, we may decide to acquire one or more businesses affiliated or competitive with our sponsor, officers or directors or their respective affiliates. Our officers and directors also serve as officers and board members for other entities, including, without limitation, those described under the section of this prospectus entitled “Management — 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preliminary discussions concerning an initial business combination with any such entity or entities. Although we will not be specifically focusing on, or targeting, any transaction with any affiliated entities, we would pursue such a transaction if we determined that such affiliated entity met our criteria for an initial business combination as set forth in the section of this prospectus entitled “Proposed Business — Effecting a Business Combination — Selection of a Target Business and Structuring of a Business Combination” and such transaction was approved by a majority of our independent and disinterested directors. Despite our agreement to obtain an opinion from an independent investment banking firm or another independent firm that commonly renders valuation opinions regarding the fairness to our stockholders from a financial point of view of an initial business combination with one or more domestic or international businesses affiliated with our officers, directors or existing holders, potential conflicts of interest still may exist and, as a result, the terms of the initial business combination may not be as advantageous to our public stockholders as they would be absent any conflicts of interest. In order to satisfy applicable regulatory or other legal requirements applicable to an Affiliated Joint Acquisition, our initial business combination may be effected on less favorable terms than otherwise would apply if the initial business combination were not an Affiliated Joint Acquisition.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spacing w:after="0" w:line="277" w:lineRule="auto"/>
        <w:rPr>
          <w:sz w:val="20"/>
          <w:szCs w:val="20"/>
          <w:color w:val="auto"/>
        </w:rPr>
      </w:pPr>
      <w:r>
        <w:rPr>
          <w:rFonts w:ascii="Arial" w:cs="Arial" w:eastAsia="Arial" w:hAnsi="Arial"/>
          <w:sz w:val="18"/>
          <w:szCs w:val="18"/>
          <w:b w:val="1"/>
          <w:bCs w:val="1"/>
          <w:i w:val="1"/>
          <w:iCs w:val="1"/>
          <w:color w:val="auto"/>
        </w:rPr>
        <w:t>We may acquire a target business through an Affiliated Joint Acquisition with one or more affiliates of Chardan. This may result in conflicts of interest as well as dilutive issuances of our securities.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may, at our option, pursue an Affiliated Joint Acquisition. We do not expect that we would pursue any such opportunity with an Affiliated SPAC. Any such parties would co-invest only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Accordingly, such persons or entities may have a conflict between their interests and ours.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compete with other affiliates of Chardan for acquisition opportunities for our company, which could negatively impact our ability to locate a suitable business combination.</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business strategy may overlap with some of the strategies of Chardan and certain of its other affiliates. In order to minimize potential conflicts of interest which may arise from multiple affiliations, our officers will be required to present all suitable target businesses to an Affiliated SPAC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In addition, Chardan and its affiliates specialize in financial services and real estate services and finance for institutional customers operating in the global financial and commercial real estate markets. Acquisition opportunities that may be of interest to us may come to those other affiliates instead of us or may be pursued by those affiliates. Our affiliates are not restricted from competing with our business and none of our affiliates are required to refer any such opportunities to us. Our sponsor and its affiliates face conflicts of interest relating to performing services on our behalf and allocating investment opportunities to us, and such conflicts may not be resolved in our favor, meaning we could find less suitable acquisition opportunities which could limit our ability to find a business combination that we find attractive.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may not be able to maintain control of a target business after our initial business combination.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may structure an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initial business combination may collectively own a minority interest in the post business combination company, depending on valuations ascribed to the target and us in the initial business combination. For example, we could pursue a transaction in which we issue a substantial number of new shares of common stock in exchange for all of the outstanding capital stock of a target. In this case, we would acquire a 100% interest in the target. However, as a result of the issuance of a substantial number of new shares of common stock, our stockholders immediately prior to such transaction could own less than a majority of our outstanding shares of common stock subsequent to such transaction.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 We cannot provide assurance that, upon loss of control of a target business, new management will possess the skills, qualifications or abilities necessary to profitably operate such business.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ind w:left="980" w:hanging="648"/>
        <w:spacing w:after="0"/>
        <w:tabs>
          <w:tab w:leader="none" w:pos="9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our Securities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securities in which we invest the proceeds held in the trust account could bear a negative rate of interest, which could reduce the interest income available for payment of taxes or reduce the value of the assets held in trust such that the per-share redemption amount received by stockholders may be less than $10.10 per share.</w:t>
      </w:r>
    </w:p>
    <w:p>
      <w:pPr>
        <w:spacing w:after="0" w:line="18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net proceeds of this offering and certain proceeds from the sale of the private placement warrants, in the amount of $101,000,000 (or $116,150,000 if the over-allotment option is exercised in full), will be held in an interest-bearing trust account. The proceeds held in the trust account may only be invested only in U.S. government treasury bills with a maturity of 185 days or less or in money market funds meeting certain conditions under Rule 2a-7 under the Investment Company Act which invest only in direct U.S. government treasury obligations. While short-term U.S.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of very low or negative yields, the amount of interest income (which we may use to pay our taxes, if any) would be reduced. In the event that we are unable to complete our initial business combination, our public stockholders are entitled to receive their pro-rata share of the proceeds then held in the trust account, plus any interest income (less up to $100,000 of interest to pay dissolution expenses). If the balance of the trust account is reduced below $101,000,000 (or $116,150,000 if the over-allotment option is exercised in full) as a result of negative interest rates, the amount of funds in the trust account available for distribution to our public stockholders may be reduced below $10.10 per share.</w:t>
      </w:r>
    </w:p>
    <w:p>
      <w:pPr>
        <w:spacing w:after="0" w:line="17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2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225" w:lineRule="exact"/>
        <w:rPr>
          <w:rFonts w:ascii="Arial" w:cs="Arial" w:eastAsia="Arial" w:hAnsi="Arial"/>
          <w:sz w:val="18"/>
          <w:szCs w:val="18"/>
          <w:color w:val="auto"/>
        </w:rPr>
      </w:pPr>
    </w:p>
    <w:p>
      <w:pPr>
        <w:ind w:left="660" w:right="1000" w:hanging="4"/>
        <w:spacing w:after="0" w:line="500" w:lineRule="auto"/>
        <w:tabs>
          <w:tab w:leader="none" w:pos="98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issuance of securities, each of which may make it difficult for us to complete our initial business combination. In addition, we may have imposed upon us burdensome requirements, including:</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reporting, record keeping, voting, proxy and disclosure requirements and other rules and regulations that we are not currently subject to.</w:t>
      </w:r>
    </w:p>
    <w:p>
      <w:pPr>
        <w:spacing w:after="0" w:line="2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an initial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firstLine="324"/>
        <w:spacing w:after="0" w:line="291" w:lineRule="auto"/>
        <w:rPr>
          <w:sz w:val="20"/>
          <w:szCs w:val="20"/>
          <w:color w:val="auto"/>
        </w:rPr>
      </w:pPr>
      <w:r>
        <w:rPr>
          <w:rFonts w:ascii="Arial" w:cs="Arial" w:eastAsia="Arial" w:hAnsi="Arial"/>
          <w:sz w:val="16"/>
          <w:szCs w:val="16"/>
          <w:color w:val="auto"/>
        </w:rPr>
        <w:t>The trust account is intended as a holding place for funds pending the earliest to occur of: (i) the completion of our initial business combination; (ii) the redemption of any public shares properly submitted in connection with a stockholder vote to amend our amended and restated certificate of incorporation</w:t>
      </w:r>
    </w:p>
    <w:p>
      <w:pPr>
        <w:jc w:val="both"/>
        <w:ind w:firstLine="8"/>
        <w:spacing w:after="0" w:line="286" w:lineRule="auto"/>
        <w:tabs>
          <w:tab w:leader="none" w:pos="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modify the substance or timing of our obligation to allow redemption in connection with our initial business combination or to redeem 100% of our public shares if we do not complete our initial business combination within 15 months (or up to 21 months, as applicable) from the closing of this offering or (B) with respect to any other provision relating to stockholders’ rights or pre-initial business combination activity; or (iii) absent an initial business combination within 15 months (or up to 21 months, as applicable) from the closing of this offering,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an initial business combination or may result in our liquidation. If we are unable to complete our initial business combination, our public stockholders may receive only approximately $10.10 per share, or less in certain circumstances, on the liquidation of our trust account and our warrants will expire worthless.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and we do not conduct redemptions pursuant to the tender offer rules, and if you or a “group” of stockholders are deemed to hold in excess of 15% of our common stock, you will lose the ability to redeem all such shares in excess of 15% of our common stock.</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without our prior consent, which we refer to as the “Excess Shares.” However, we would not be restricting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stock in open market transactions, potentially at a loss.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applied to have our units listed on Nasdaq. We expect that our units will be listed on Nasdaq on or promptly after the date of this prospectus. Following the date the shares of our common stock and warrants are eligible to trade separately, we anticipate that the shares of our common stock and warrants will be separately listed on Nasdaq. Although after giving effect to this offering we expect to meet, on a pro forma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our stockholders’ equity would generally be required to be at least $5.0 million and we would be required to have a minimum of 300 round lot holders (with at least 50% of such round lot holders holding securities with a market value of at least $2,500) of our securities. We cannot assure you that we will be able to meet those initial listing requirements at that time.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8" w:name="page59"/>
    <w:bookmarkEnd w:id="58"/>
    <w:p>
      <w:pPr>
        <w:jc w:val="both"/>
        <w:ind w:firstLine="324"/>
        <w:spacing w:after="0" w:line="263" w:lineRule="auto"/>
        <w:rPr>
          <w:sz w:val="20"/>
          <w:szCs w:val="20"/>
          <w:color w:val="auto"/>
        </w:rPr>
      </w:pPr>
      <w:r>
        <w:rPr>
          <w:rFonts w:ascii="Arial" w:cs="Arial" w:eastAsia="Arial" w:hAnsi="Arial"/>
          <w:sz w:val="18"/>
          <w:szCs w:val="18"/>
          <w:color w:val="auto"/>
        </w:rPr>
        <w:t>If Nasdaq delists any of our securities from trading on its exchange and we are not able to list such securities on another national securities exchange, we expect such securities could be quoted on an over-the-counter market. If this were to occur, we could face significant material adverse consequences, including:</w:t>
      </w:r>
    </w:p>
    <w:p>
      <w:pPr>
        <w:spacing w:after="0" w:line="184"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common stock and warrants will be listed on Nasdaq, our units, common stock and warrants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sponsor paid an aggregate of $25,000, or approximately $0.01 per founder share, and, accordingly, you will experience immediate and substantial dilution from the purchase of the founder shares.</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difference between the public offering price per share (allocating all of the unit purchase price to the common stock and none to the warrant included in the unit) and the pro forma net tangible book value per share of our common stock after this offering constitutes the dilution to you and the other investors in this offering. Our initial stockholders acquired the founder shares at a nominal price, significantly contributing to this dilution. Upon the closing of this offering, and assuming no value is ascribed to the warrants included in the units, you and the other public stockholders will incur an immediate and substantial dilution of approximately 84.1% (or $8.41 per share, assuming no exercise of the underwriters’ over-allotment option), the difference between the pro forma net tangible book value per share of $1.59 and the initial offering price of $10.00 per unit. In addition, because of the anti-dilution rights of the founder shares, any equity or equity-linked securities issued or deemed issued in connection with our initial business combination would be disproportionately dilutive to our common stock.</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issue additional common stock or preferred stock to complete our initial business combination or under an employee incentive plan after completion of our initial business combination. Any such issuances would dilute the interest of our stockholders and likely present other risks.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amended and restated certificate of incorporation will authorize the issuance of up to 50,000,000 shares of common stock, par value $0.0001 per share, and 1,000,000 shares of preferred stock, par value $0.0001 per share. Immediately after this offering, there will be 27,261,539 (assuming, in each case, that the underwriters have not exercised their over-allotment option) authorized but unissued shares of common stock, which amount takes into account the shares of common stock reserved for issuance upon exercise of outstanding warrants. Immediately after the consummation of this offering, there will be no shares of preferred stock issued and outstanding.</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issue a substantial number of additional shares of common or preferred stock to complete our initial business combination (including pursuant to a specified future issuance) or under an employee incentive plan after completion of our initial business combination (although our amended and restated certificate of incorporation will provide that we may not issue securities that can vote with common stockholders on matters related to our pre-initial business combination activity, on any amendment to certain provisions of our amended and restated certificate of incorporation or on our initial business combination). However, our amended and restated certificate of incorporation will provide, among other things, that prior to our initial business combination, we may not issue additional shares of capital stock that would entitle the holders thereof to (i) receive funds from the trust account or (ii) vote on any initial business combination.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firstLine="324"/>
        <w:spacing w:after="0" w:line="290" w:lineRule="auto"/>
        <w:rPr>
          <w:sz w:val="20"/>
          <w:szCs w:val="20"/>
          <w:color w:val="auto"/>
        </w:rPr>
      </w:pPr>
      <w:r>
        <w:rPr>
          <w:rFonts w:ascii="Arial" w:cs="Arial" w:eastAsia="Arial" w:hAnsi="Arial"/>
          <w:sz w:val="16"/>
          <w:szCs w:val="16"/>
          <w:color w:val="auto"/>
        </w:rPr>
        <w:t>These provisions of our amended and restated certificate of incorporation, like all provisions of our amended and restated certificate of incorporation, may be amended with the approval of our stockholders. However, our officers, directors and director nominees have agreed, pursuant to a written agreement with us, that they will not propose any amendment to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15 months (or up to 21 months, as applicable) from the closing of this offering or (B)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including interest (which interest shall be net of taxes payable), divided by the number of then outstanding public shares.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issuance of additional shares of common or preferred stock:</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may subordinate the rights of holders of common stock if preferred stock is issued with rights senior to those afforded our common stock;</w:t>
      </w:r>
    </w:p>
    <w:p>
      <w:pPr>
        <w:spacing w:after="0" w:line="248"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common stock and/or warrants.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registering the offer and sale of the shares of common stock underlying the public warrants under the Securities Act, however we cannot assure you that such registration will be in place when an investor desires to exercise warrants, thus precluding such investor from being able to exercise its warrants except on a cashless basis and potentially causing such warrants to expire worthless.</w:t>
      </w:r>
    </w:p>
    <w:p>
      <w:pPr>
        <w:spacing w:after="0" w:line="16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Under the terms of the warrant agreement, we have agreed that as soon as practicable, but in no event later than 15 business days after the closing of our initial business combination, we will use our commercially reasonable best efforts to file with the SEC a registration statement for the registration under the Securities Act of the offer and sale of the shares of common stock issuable upon exercise of the warrants and thereafter will use our commercially reasonable best efforts to cause the same to become effective within 60 business days following our initial business combination and to maintain a current prospectus relating to the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 Notwithstanding the above, if our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commercially reasonable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there is no exemption available.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shares of common stock included in the units.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commercially reasonable best efforts to register or qualify such shares of common stock under the blue sky laws of the state of residence in those states in which the warrants were offered by us in this offering. However, there may be instances in which holders of our public warrants may be unable to exercise such public warrants but holders of our private warrants may be able to exercise such private warrants.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spacing w:after="0" w:line="277" w:lineRule="auto"/>
        <w:rPr>
          <w:sz w:val="20"/>
          <w:szCs w:val="20"/>
          <w:color w:val="auto"/>
        </w:rPr>
      </w:pPr>
      <w:r>
        <w:rPr>
          <w:rFonts w:ascii="Arial" w:cs="Arial" w:eastAsia="Arial" w:hAnsi="Arial"/>
          <w:sz w:val="18"/>
          <w:szCs w:val="18"/>
          <w:b w:val="1"/>
          <w:bCs w:val="1"/>
          <w:i w:val="1"/>
          <w:iCs w:val="1"/>
          <w:color w:val="auto"/>
        </w:rPr>
        <w:t>If you exercise your public warrants on a “cashless basis,” you will receive fewer shares of common stock from such exercise than if you were to exercise such warrants for cash.</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There are circumstances in which the exercise of the public warrants may be required or permitted to be made on a cashless basis. First, if a registration statement covering the shares of common stock issuable upon exercise of the warrants is not effective by the 60th business day after the closing of our initial business combination, warrant holders may, until such time as there is an effective registration statement, exercise warrants on a cashless basis in accordance with Section 3(a)(9) of the Securities Act or another exemption. Second, if our common stock is at any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commercially reasonable best efforts to register or qualify the shares under applicable blue sky laws to the extent an exemption is not available. Third, if we call the public warrants for redemption, our management will have the option to require all holders that wish to exercise warrants to do so on a cashless basis. In the event of an exercise on a cashless basis, a holder would pay the warrant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(as defined in the next sentence) by (y) the fair market value. The “fair market value” is the volume weighted average last reported sale price of the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common stock from such exercise than if you were to exercise such warrants for cash.</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Since our sponsor paid only approximately $0.01 per share for the founder shares, certain of our officers and directors could potentially make a substantial profit even if we acquire a target business that subsequently declines in value.</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July 2020, we issued 1,000,000 founder shares to our sponsor in exchange for a capital contribution of $25,000. In March 2021, we effected a 2.875-for-1 stock split, resulting in 2,875,000 shares of common stock being held by our sponsor, resulting in a purchase price of approximately $0.01 per share. Certain of our officers and directors have a significant economic interest in our sponsor. As a result, the low acquisition cost of the founder shares creates an economic incentive whereby our officers and directors could potentially make a substantial profit even if we complete a business combination with a target business that subsequently declines in value and is unprofitable for public investors.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nominal purchase price paid by our sponsor for the founder shares may result in significant dilution to the implied value of your public shares upon the consummation of our initial business combination.</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offering our units at an offering price of $10.00 per unit, implying an initial value of $10.00 per public share. However, prior to this offering, our sponsor paid a nominal aggregate purchase price of $25,000 for the founder shares, or approximately $0.003 per share. As a result, the value of your public shares may be significantly diluted upon the consummation of our initial business combination, when the founder shares are converted into public shares. For example, the following table shows the dilutive effect of the founder shares on the implied value of the public shares upon the consummation of our initial business combination, assuming that our equity value at that time is $96,500,000, which is the amount we would have for our initial business combination in the trust account after payment of $3,500,000 pursuant to the business combination marketing agreement, assuming the underwriters’ over-allotment option is not exercised, no interest is earned on the funds held in the trust account, and no public shares are redeemed in connection with our initial business combination, and without taking into account any other potential impacts on our valuation at such time, such as the trading price of our public shares, the business combination transaction costs, any equity issued or cash paid to the target’s sellers or other third parties, or the target’s business itself, including its assets, liabilities, management and prospects, as well as the value of our public and private warrants. At such valuation, each of our shares of common stock would have an implied value of $7.72 per share upon consummation of our initial business combination, which would be a 22.8% decrease as compared to the initial implied value per public share of $10.00 (the price per unit in this offering, assuming no value to the public warrants).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Public shares</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r>
      <w:tr>
        <w:trPr>
          <w:trHeight w:val="270"/>
        </w:trPr>
        <w:tc>
          <w:tcPr>
            <w:tcW w:w="8940" w:type="dxa"/>
            <w:vAlign w:val="bottom"/>
          </w:tcPr>
          <w:p>
            <w:pPr>
              <w:spacing w:after="0" w:line="270" w:lineRule="exact"/>
              <w:rPr>
                <w:sz w:val="20"/>
                <w:szCs w:val="20"/>
                <w:color w:val="auto"/>
              </w:rPr>
            </w:pPr>
            <w:r>
              <w:rPr>
                <w:rFonts w:ascii="Arial" w:cs="Arial" w:eastAsia="Arial" w:hAnsi="Arial"/>
                <w:sz w:val="18"/>
                <w:szCs w:val="18"/>
                <w:color w:val="auto"/>
              </w:rPr>
              <w:t>Founder shares</w:t>
            </w:r>
            <w:r>
              <w:rPr>
                <w:rFonts w:ascii="Arial" w:cs="Arial" w:eastAsia="Arial" w:hAnsi="Arial"/>
                <w:sz w:val="29"/>
                <w:szCs w:val="29"/>
                <w:color w:val="auto"/>
                <w:vertAlign w:val="superscript"/>
              </w:rPr>
              <w:t>(1)</w:t>
            </w: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2,500,000</w:t>
            </w:r>
          </w:p>
        </w:tc>
      </w:tr>
      <w:tr>
        <w:trPr>
          <w:trHeight w:val="196"/>
        </w:trPr>
        <w:tc>
          <w:tcPr>
            <w:tcW w:w="89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Total shares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12,500,000</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Total funds in trust available for initial business combination (less business combination marketing agreement)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96,500,000</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Initial implied value per public share</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Implied value per share upon consummation of initial business combination</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w:t>
            </w:r>
          </w:p>
        </w:tc>
      </w:tr>
    </w:tbl>
    <w:p>
      <w:pPr>
        <w:spacing w:after="0" w:line="202"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Assumes the full forfeiture of 375,000 founder shares that are subject to forfeiture by our sponsor depending on the extent to which the underwriters’ over-allotment option is exercised.</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value of the founder shares following completion of our initial business combination is likely to be substantially higher than the nominal price paid for them, even if the trading price of our common stock at such time is substantially less than $10.00 per share.</w:t>
      </w:r>
    </w:p>
    <w:p>
      <w:pPr>
        <w:spacing w:after="0" w:line="14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Upon the closing of this offering, assuming no exercise of the underwriters’ over-allotment option, our sponsor and its affiliates will have invested in us an aggregate of $3,427,000, comprised of the $25,000 purchase price for the founder shares and the $3,402,000 purchase price for the private placement warrants. Assuming a trading price of $10.00 per share upon consummation of our initial business combination, the 2,500,000 founder shares (assuming the underwriters’ option to purchase additional units is not exercised) would have an aggregate implied value of $25,000,000. Even if the trading price of our common stock was as low as $1.38 per share, and the private placement warrants were worthless, the value of the founder shares would be equal to the sponsor’s initial investment in us. As a result, our sponsor is likely to be able to recoup its investment in us and make a substantial profit on that investment, even if our public shares have lost significant value. Accordingly, our management team, which owns interests in our sponsor, may have an economic incentive that differs from that of the public stockholders to pursue and consummate an initial business combination rather than to liquidate and to return all of the cash in the trust to the public stockholders, even if that business combination were with a riskier or less-established target business. For the foregoing reasons, you should consider our management team’s financial incentive to complete an initial business combination when evaluating whether to redeem your shares prior to or in connection with the initial business combination.</w:t>
      </w:r>
    </w:p>
    <w:p>
      <w:pPr>
        <w:sectPr>
          <w:pgSz w:w="11900" w:h="16838" w:orient="portrait"/>
          <w:cols w:equalWidth="0" w:num="1">
            <w:col w:w="11240"/>
          </w:cols>
          <w:pgMar w:left="320" w:top="908" w:right="339" w:bottom="157" w:gutter="0" w:footer="0" w:header="0"/>
        </w:sectPr>
      </w:pPr>
    </w:p>
    <w:bookmarkStart w:id="61" w:name="page62"/>
    <w:bookmarkEnd w:id="61"/>
    <w:p>
      <w:pPr>
        <w:jc w:val="both"/>
        <w:spacing w:after="0" w:line="263" w:lineRule="auto"/>
        <w:rPr>
          <w:sz w:val="20"/>
          <w:szCs w:val="20"/>
          <w:color w:val="auto"/>
        </w:rPr>
      </w:pPr>
      <w:r>
        <w:rPr>
          <w:rFonts w:ascii="Arial" w:cs="Arial" w:eastAsia="Arial" w:hAnsi="Arial"/>
          <w:sz w:val="18"/>
          <w:szCs w:val="18"/>
          <w:b w:val="1"/>
          <w:bCs w:val="1"/>
          <w:i w:val="1"/>
          <w:iCs w:val="1"/>
          <w:color w:val="auto"/>
        </w:rPr>
        <w:t>Our private placement warrants are expected to be accounted for as a warrant liability and will be recorded at fair value upon issuance with any changes in fair value each period reported in earnings, which may have an adverse effect on the market price of our securities or may make it more difficult for us to consummate an initial business combination.</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Following the consummation of this offering and the concurrent private placement of warrants, we will have 4,200,000 private placement warrants outstanding, assuming the underwriters’ option to purchase additional units is not exercised. We currently expect to account for these private placement warrants as a warrant liability, which means that we will record them at fair value upon issuance with any changes in fair value each period reported in earnings. The impact of changes in fair value on earnings may have an adverse effect on the market price of our securities. In addition, potential targets may seek a business combination partner that does not have warrants that are accounted for as a warrant liability, which may make it more difficult for us to consummate an initial business combination with a target business.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may amend the terms of the warrants in a manner that may be adverse to holders of public warrants with the approval by the holders of a majority of the then outstanding public warrants. As a result, the exercise price of your warrants could be increased, the warrants could be redeemed for cash or stock (at a ratio different than initially provided), the exercise period could be shortened and the number of shares of our common stock purchasable upon exercise of a warrant could be decreased, all without your approval.</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 majority of the then outstanding public warrants to make any change that adversely affects the interests of the registered holders of public warrants. Accordingly, we may amend the terms of the public warrants in a manner adverse to a holder if holders of a majority of the then outstanding public warrants approve of such amendment. Although our ability to amend the terms of the public warrants with the consent of a majority of the then 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common stock purchasable upon exercise of a warrant.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jc w:val="both"/>
        <w:ind w:firstLine="324"/>
        <w:spacing w:after="0" w:line="254" w:lineRule="auto"/>
        <w:rPr>
          <w:sz w:val="20"/>
          <w:szCs w:val="20"/>
          <w:color w:val="auto"/>
        </w:rPr>
      </w:pPr>
      <w:r>
        <w:rPr>
          <w:rFonts w:ascii="Arial" w:cs="Arial" w:eastAsia="Arial" w:hAnsi="Arial"/>
          <w:sz w:val="18"/>
          <w:szCs w:val="18"/>
          <w:color w:val="auto"/>
        </w:rPr>
        <w:t>Our initial stockholders may purchase public warrants with the intention of reducing the number of public warrants outstanding or to vote such warrants on any matters submitted to warrant holders for approval, including amending the terms of the public warrants in a manner adverse to the interests of the registered holders of public warrants. While our initial stockholders have no current commitments, plans or intentions to engage in such transactions and have not formulated any terms or conditions for such transactions, there is no limit on the number of our public warrants that our initial stockholders may purchase and it is not currently known how many public warrants, if any, our initial stockholders may hold at the time of our initial business combination or at any other time during which the terms of the public warrants may be proposed to be amended. Please see “Proposed Business — Permitted purchases of our securities.”</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warrant agreement will designate the courts of the State of New York located in the in the Borough of Manhattan or the United States District Court for the Southern District of New York as the exclusive forums for certain types of actions and proceedings that may be initiated by holders of our warrants, which could limit the ability of warrant holders to obtain a favorable judicial forum for disputes with our company.</w:t>
      </w:r>
    </w:p>
    <w:p>
      <w:pPr>
        <w:spacing w:after="0" w:line="1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located in the Borough of Manhattan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8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in the name of any holder of our warrants, such holder shall be deemed to have consented to: (x) the personal jurisdiction of the state and federal courts located in the State of New York in connection with any action brought in any such court to enforce the forum provisions, or an enforcement action, and (y) having service of process made upon such warrant holder in any such enforcement action by service upon such warrantholder’s counsel in such action as agent for such warrantholder.</w:t>
      </w:r>
    </w:p>
    <w:p>
      <w:pPr>
        <w:spacing w:after="0" w:line="1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choice-of-forum provision in our warrant agreement may (1) result in increased costs for investors to bring a claim or (2) limit a warrantholder’s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 We note that there is uncertainty as to whether a court would enforce this provision and that investors cannot waive compliance with the federal securities laws and the rules and regulations thereunder.</w:t>
      </w:r>
    </w:p>
    <w:p>
      <w:pPr>
        <w:spacing w:after="0" w:line="1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Section 22 of the Securities Act creates concurrent jurisdiction for state and federal courts over all suits brought to enforce any duty or liability created by the Securities Act or the rules and regulations thereunder. Section 27 of the Exchange Act creates exclusive federal jurisdiction over all suits brought to enforce any duty or liability created by the Exchange Act or the rules and regulations thereunder.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ind w:left="340"/>
        <w:spacing w:after="0"/>
        <w:rPr>
          <w:sz w:val="20"/>
          <w:szCs w:val="20"/>
          <w:color w:val="auto"/>
        </w:rPr>
      </w:pPr>
      <w:r>
        <w:rPr>
          <w:rFonts w:ascii="Arial" w:cs="Arial" w:eastAsia="Arial" w:hAnsi="Arial"/>
          <w:sz w:val="15"/>
          <w:szCs w:val="15"/>
          <w:b w:val="1"/>
          <w:bCs w:val="1"/>
          <w:i w:val="1"/>
          <w:iCs w:val="1"/>
          <w:color w:val="auto"/>
        </w:rPr>
        <w:t>We may redeem your unexpired warrants prior to their exercise at a time that is disadvantageous to you, thereby making your warrants worthless.</w:t>
      </w:r>
    </w:p>
    <w:p>
      <w:pPr>
        <w:spacing w:after="0" w:line="26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the ability to redeem outstanding warrants at any time after they become exercisable and prior to their expiration, at a price of $0.01 per warrant, provided that the last reported sales price of our common stock equals or exceeds $16.00 per share (as adjusted for stock splits, stock dividends, reorganizations, recapitalizations and the like) for any 10 trading days within a 30 trading-day period commencing once the warrants become exercisable and ending on the third trading day prior to the date on which we give proper notice of such redemption and provided certain other conditions are met.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commercially reasonable best efforts to register or qualify such shares of common stock under the blue sky laws of the state of residence in those states in which the warrants were offered by us in this offering.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 None of the private warrants will be redeemable by us so long as they are held by our sponsor or its permitted transferees.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warrants and founder shares may have an adverse effect on the market price of our common stock and make it more difficult to effectuate our initial business combination.</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will be issuing warrants to purchase 5,000,000 shares of our common stock (or up to 5,750,000 shares of common stock if the underwriters’ over-allotment option is exercised in full) as part of the units offered by this prospectus and, simultaneously with the closing of this offering, we will be issuing, in a private placement, an aggregate of 4,200,000 (or up to 4,385,185 depending on the extent to which the underwriters’ over-allotment option is exercised) warrants at a price of $0.81 per warrant ($3,402,000 (or up to $3,552,000 depending on the extent to which the underwriters’ over-allotment option is exercised)), with each warrant exercisable for one share of common stock at an exercise price of $11.50. Our initial stockholders currently own an aggregate of 2,875,000 founder shares. Such founder shares include an aggregate of up to 375,000 shares that are subject to forfeiture to the extent that the underwriters’ over-allotment option is not exercised in full or in part.</w:t>
      </w:r>
    </w:p>
    <w:p>
      <w:pPr>
        <w:spacing w:after="0" w:line="17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To the extent we issue shares of common stock to effectuate an initial business combination, the potential for the issuance of a substantial number of additional shares of common stock upon exercise of these warrants and redemption rights could make us a less attractive business combination vehicle to a target business. Any such issuance will increase the number of issued and outstanding shares of our common stock and reduce the value of the shares of common stock issued to complete the initial business combination. Therefore, our warrants and founder shares may make it more difficult to effectuate an initial business combination or increase the cost of acquiring the target business.</w:t>
      </w:r>
    </w:p>
    <w:p>
      <w:pPr>
        <w:spacing w:after="0" w:line="1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private warrants and warrants underlying the units issuable pursuant to the forward purchase contract are identical to the warrants sold as part of the units in this offering except that, so long as they are held by our sponsor or its permitted transferees, (i) they will not be redeemable by us, (ii) they (including the common stock issuable upon exercise of these warrants) may not, subject to certain limited exceptions, be transferred, assigned or sold by our sponsor until 30 days after the completion of our initial business combination, (iii) they may be exercised by the holders on a cashless basis, (iv) will be entitled to registration rights and (v) for so long as they are held by our sponsor, will not be exercisable more than five years from the effective date of the registration statement of which this prospectus forms a part in accordance with FINRA Rule 5110(g).</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each unit contains one-half of one redeemable warrant and only a whole warrant may be exercised, the units may be worth less than units of other blank check companies.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Each unit contains one-half of one redeemable warrant. No fractional warrants will be issued upon separation of the units and only whole warrants will trade. Accordingly, unless you purchase a multiple of two units, the number of warrants issuable to you upon separation of the units will be rounded down to the nearest whole number of warrants. This is different from other offerings similar to ours whose units include one share of common stock and one warrant to purchase one whole share. We have established the components of the units in this way in order to reduce the dilutive effect of the warrants upon completion of an initial business combination since the warrants will be exercisable in the aggregate for one-half of the number of shares compared to units that each contain a warrant to purchase one whole share, thus making us, we believe, a more attractive merger partner for target businesses. Nevertheless, this unit structure may cause our units to be worth less than if they included a warrant to purchase one whole share.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A provision of our warrant agreement may make it more difficult for us to consummate an initial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jc w:val="both"/>
        <w:ind w:left="660" w:hanging="328"/>
        <w:spacing w:after="0" w:line="296"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issue additional shares or equity-linked securities for capital raising purposes in connection with the closing of our initial business combination (not including any securities to be issued in connection with the forward purchase agreement to be entered into with our sponsor) at a Newly Issued Price of less than $9.20 per share (as adjusted for stock splits, stock dividends, reorganizations, recapitalizations and the like), 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161"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Market Value is below $9.20 per share (as adjusted for stock splits, stock dividends, reorganizations, recapitalizations and the like),</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then the exercise price of each warrant will be adjusted such that the effective exercise price per full share will be equal to 115% of the higher of the Market Value and the Newly Issued Price, and the $16.00 per share redemption trigger price will be adjusted (to the nearest cent) to be equal to 160% of the higher of the Market Value and the Newly Issued Price. This may make it more difficult for us to consummate an initial business combination with a target business.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grant of registration rights to our initial stockholders and their permitted transferees may make it more difficult to complete our initial business combination, and the future exercise of such rights may adversely affect the market price of our common stock.</w:t>
      </w:r>
    </w:p>
    <w:p>
      <w:pPr>
        <w:spacing w:after="0" w:line="14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Pursuant to an agreement to be entered into concurrently with the issuance and sale of the securities in this offering, our initial stockholders and their permitted transferees can demand that we register the private warrants and the founder shares held, or to be held, by them, and may demand that we register such warrants or the common stock issuable upon exercise of such warrants. We will bear the cost of registering these securities. The registration and availability of such a significant number of securities for trading in the public market may have an adverse effect on the market price of our common stock. In addition, the existence of the registration rights may make our initial business combination more costly or difficult to conclude. This is because the stockholders of the target business may increase the equity stake they seek in the combined entity or ask for more cash consideration to offset the negative impact on the market price of our common stock that is expected when the securities owned by our initial stockholders or their respective permitted transferees are registered.</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common stock and warrants underlying the units, include:</w:t>
      </w:r>
    </w:p>
    <w:p>
      <w:pPr>
        <w:spacing w:after="0" w:line="18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prospects for acquiring an operating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right="20" w:firstLine="324"/>
        <w:spacing w:after="0" w:line="277" w:lineRule="auto"/>
        <w:rPr>
          <w:sz w:val="20"/>
          <w:szCs w:val="20"/>
          <w:color w:val="auto"/>
        </w:rPr>
      </w:pPr>
      <w:r>
        <w:rPr>
          <w:rFonts w:ascii="Arial" w:cs="Arial" w:eastAsia="Arial" w:hAnsi="Arial"/>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Delaware law may inhibit a takeover of us, which could limit the price investors might be willing to pay in the future for our common stock and could entrench management.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amended and restated certificate of incorporation will contain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Section 203 of the DGCL affects the ability of an “interested stockholder” to engage in certain business combinations, for a period of three years following the time that the stockholder becomes an “interested stockholder.” We will elect in our certificate of incorporation not to be subject to Section 203 of the DGCL. Nevertheless, our certificate of incorporation will contain provisions that have the same effect as Section 203 of the DGCL, except that it will provide that affiliates of our sponsor and their transferees will not be deemed to be “interested stockholders,” regardless of the percentage of our voting stock owned by them, and will therefore not be subject to such restrictions. These charter provisions may limit the ability of third parties to acquire control of our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investment in this offering may result in uncertain or adverse U.S. federal income tax consequences.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An investment in this offering may result in uncertain U.S. federal income tax consequences. For instance, because there are no authorities that directly address instruments similar to the units we are issuing in this offering, the allocation an investor makes with respect to the purchase price of a unit between the share of common stock and the one-half of one warrant to purchase common stock included in each unit could be challenged by the IRS or the courts. Furthermore, the U.S. federal income tax consequences of a cashless exercise of warrants included in the units we are issuing in this offering is unclear under current law. It is also unclear whether the redemption rights with respect to our shares of common stock suspend the running of a U.S. holder’s holding period for purposes of determining whether any gain or loss realized by such holder on the sale or exchange of common stock is long-term capital gain or loss and for determining whether any dividend we pay would be considered “qualified dividends” for federal income tax purposes. See the section titled “U.S. Federal Income Tax Considerations” for a summary of certain material U.S. federal income tax consequences of an investment in our securities. Prospective investors are urged to consult their tax advisors with respect to these and other tax consequences when purchasing, holding or disposing of our securities.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Delaware law may have the effect of discouraging lawsuits against our directors and officers.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amended and restated and restated certificate of incorporation will require, subject to certain exceptions, unless we consent in writing to the selection of an alternative forum, the sole and exclusive forum for (a) any derivative action or proceeding brought on our behalf, (b) any action asserting a claim of breach of a fiduciary duty owed by any current or former director, officer, employee, agent to us or our stockholders, (c) any action asserting a claim arising pursuant to any provision of the DGCL, the amended and restated certificate of incorporation or bylaws, or (d) any action asserting a claim governed by the internal affairs doctrine shall be the Court of Chancery of the State of Delaware (or, if the Court of Chancery of the State of Delaware lacks jurisdiction over such action or proceeding, then another court of the State of Delaware or, if no court of the State of Delaware has jurisdiction, then the United States District Court for the District of Delaware).</w:t>
      </w:r>
    </w:p>
    <w:p>
      <w:pPr>
        <w:spacing w:after="0" w:line="17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Although we believe this forum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 Further, if any action, the subject matter of which is within the scope the forum provisions of our amended and restated certificate of incorporation, is filed in a court other than a court of the State of Delaware, such action we refer to as a foreign action, in the name of any stockholder, such stockholder shall be deemed to have consented to (i) the personal jurisdiction of the state and federal courts located within the State of Delaware in connection with any action brought in such court to enforce the forum provisions, such action we refer to as an enforcement action, and (ii) having service of process made upon such stockholder in any such enforcement action by service upon such stockholder’s counsel in the foreign action as agent for such stockholder. In addition, our amended and restated certificate of incorporation, will state that unless we consent in writing to the selection of an alternative forum, the federal district courts of the United States of America shall be the exclusive forum for the resolution of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However, our amended and restated certificate of incorporation does not purport to require suits brought to enforce a duty or liability created by the Exchange Act to be brought in the Court of Chancery of the State of Delaware or another court of the State of Delaware. Section 27 of the Exchange Act creates exclusive federal jurisdiction over all claims brought to enforce any duty or liability created by the Exchange Act or the rules and regulations thereunder.</w:t>
      </w:r>
    </w:p>
    <w:p>
      <w:pPr>
        <w:spacing w:after="0" w:line="183"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 company with no operating history and no revenues, and you have no basis on which to evaluate our ability to achieve our business objective.</w:t>
      </w:r>
    </w:p>
    <w:p>
      <w:pPr>
        <w:spacing w:after="0" w:line="26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 company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an initial business combination and may be unable to complete our initial business combination. If we fail to complete our initial business combination, we will never generate any operating revenues.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Past performance by Chardan, its affiliates and members of our management team may not be indicative of future performance of an investment in the Company.</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Information regarding performance by, or businesses associated with, Chardan, its affiliates and members of our management team is presented for informational purposes only. Any past experience and performance, including related to acquisitions, of Chardan, its affiliates and members of our management team is not a guarantee either (i) that we will be able to locate a suitable candidate for our initial business combination or (ii) of success with respect to any business combination we may consummate. You should not rely on the historical record or performance of Chardan, its affiliates and members of our management team as indicative of the future performance of us or an investment in the Company or the returns the Company will, or is likely to, generate going forward. An investment in us is not an investment in Chardan or any of its affiliates.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i w:val="1"/>
          <w:iCs w:val="1"/>
          <w:color w:val="auto"/>
        </w:rPr>
        <w:t>Cyber incidents or attacks directed at us could result in information theft, data corruption, operational disruption and/or financial loss.</w:t>
      </w:r>
    </w:p>
    <w:p>
      <w:pPr>
        <w:spacing w:after="0" w:line="23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7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related to the software and technology industries to which we may be subject.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Business combinations with companies with operations in the software and technology industries entail special considerations and risks. If we are successful in completing a business combination with a target business with operations in the software and technology industries, we will be subject to, and possibly adversely affected by, the following risks, including but not limited to:</w:t>
      </w:r>
    </w:p>
    <w:p>
      <w:pPr>
        <w:spacing w:after="0" w:line="184"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we do not develop successful new products or improve existing ones, our business will suffer;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invest in new lines of business that could fail to attract or retain users or generate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face significant competition and if we are not able to maintain or improve our market share, our business could suffer;</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 or failure of our networks, systems, platform or technology that frustrate or thwart our users’ ability to access our products and services, may cause our users, advertisers, and partners to cut back on or stop using our products and services altogether, which could seriously harm our business;</w:t>
      </w:r>
    </w:p>
    <w:p>
      <w:pPr>
        <w:spacing w:after="0" w:line="18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mobile malware, viruses, hacking and phishing attacks, spamming, and improper or illegal use of our products could seriously harm our business and reputation;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we are unable to successfully grow our user base and further monetize our products, our business will suffer;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we are unable to protect our intellectual property, the value of our brand and other intangible assets may be diminished, and our business may be seriously harmed;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proceedings in the future, which could cause us to incur substantial costs or require us to change our business practices in a way that could seriously harm our business;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components used in our products may fail as a result of a manufacturing, design, or other defect over which we have no control, and render our devices inoperable.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firstLine="324"/>
        <w:spacing w:after="0" w:line="259" w:lineRule="auto"/>
        <w:rPr>
          <w:sz w:val="20"/>
          <w:szCs w:val="20"/>
          <w:color w:val="auto"/>
        </w:rPr>
      </w:pPr>
      <w:r>
        <w:rPr>
          <w:rFonts w:ascii="Arial" w:cs="Arial" w:eastAsia="Arial" w:hAnsi="Arial"/>
          <w:sz w:val="18"/>
          <w:szCs w:val="18"/>
          <w:color w:val="auto"/>
        </w:rPr>
        <w:t>Any of the foregoing could have an adverse impact on our operations following a business combination. However, our efforts in identifying prospective target businesses will not be limited to the software and technology industries. Accordingly, if we acquire a target business in another industry, these risks will likely not affect us and we will be subject to other risks attendant with the specific industry in which we operate or target business which we acquire, none of which can be presently ascertained.</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and smaller reporting companies, this could make our securities less attractive to investors and may make it more difficult to compare our performance with other public companies.</w:t>
      </w:r>
    </w:p>
    <w:p>
      <w:pPr>
        <w:spacing w:after="0" w:line="16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common stock held by non-affiliates exceeds $700 million as of the prior year’s second quarter, in which case we would no longer be an emerging growth company as of the following fiscal year end.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the end of that year’s second fiscal quarter, or (2) our annual revenues exceeded $100 million during such completed fiscal year and the market value of our common stock held by non-affiliates exceeds $700 million as of the that year’s second fiscal quarter. To the extent we take advantage of such reduced disclosure obligations, it may also make comparison of our financial statements with other public companies difficult or impossible.</w:t>
      </w:r>
    </w:p>
    <w:p>
      <w:pPr>
        <w:spacing w:after="0" w:line="160" w:lineRule="exact"/>
        <w:rPr>
          <w:sz w:val="20"/>
          <w:szCs w:val="20"/>
          <w:color w:val="auto"/>
        </w:rPr>
      </w:pPr>
    </w:p>
    <w:p>
      <w:pPr>
        <w:ind w:left="980" w:hanging="648"/>
        <w:spacing w:after="0"/>
        <w:tabs>
          <w:tab w:leader="none" w:pos="9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Risks Associated with Acquiring and Operating a Business outside of the United States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effect our initial business combination with a company located outside of the United States.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we effect our initial business combination with a company located outside of the United States, we would be subject to any special considerations or risks associated with companies operating in the target business’ home jurisdiction, including any of the following:</w:t>
      </w:r>
    </w:p>
    <w:p>
      <w:pPr>
        <w:spacing w:after="0" w:line="170" w:lineRule="exact"/>
        <w:rPr>
          <w:sz w:val="20"/>
          <w:szCs w:val="20"/>
          <w:color w:val="auto"/>
        </w:rPr>
      </w:pPr>
    </w:p>
    <w:p>
      <w:pPr>
        <w:ind w:left="5540" w:right="3660" w:hanging="4884"/>
        <w:spacing w:after="0" w:line="778" w:lineRule="auto"/>
        <w:tabs>
          <w:tab w:leader="none" w:pos="986" w:val="left"/>
        </w:tabs>
        <w:numPr>
          <w:ilvl w:val="0"/>
          <w:numId w:val="27"/>
        </w:numPr>
        <w:rPr>
          <w:rFonts w:ascii="Arial" w:cs="Arial" w:eastAsia="Arial" w:hAnsi="Arial"/>
          <w:sz w:val="18"/>
          <w:szCs w:val="18"/>
          <w:color w:val="auto"/>
        </w:rPr>
      </w:pPr>
      <w:r>
        <w:rPr>
          <w:rFonts w:ascii="Arial" w:cs="Arial" w:eastAsia="Arial" w:hAnsi="Arial"/>
          <w:sz w:val="18"/>
          <w:szCs w:val="18"/>
          <w:color w:val="auto"/>
        </w:rPr>
        <w:t>rules and regulations or currency redemption or corporate withholding taxes on individuals;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We may not be able to adequately address these additional risks. If we were unable to do so, our operations might suffer.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costs and difficulties inherent in managing cross-border business operations.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Managing a business, operations, personnel or assets in another country is challenging and costly. Any management that we may have (whether based abroad or in the United States) may be inexperienced in cross-border business practices and unaware of significant differences in accounting rules, legal regimes and labor practices. Even with a seasoned and experienced management team, the costs and difficulties inherent in managing cross-border business operations, personnel and assets can be significant (and much higher than in a purely domestic business) and may negatively impact our financial and operational performance.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Social unrest, acts of terrorism, regime changes, changes in laws and regulations, political upheaval, or policy changes or enactments may occur in a country in which we may operate after we effect our initial business combination.</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Political events in another country may significantly affect our business, assets or operations. Social unrest, acts of terrorism, regime changes, changes in laws and regulations, political upheaval, and policy changes or enactments could negatively impact our business in a particular country.</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Many countries have difficult and unpredictable legal systems and underdeveloped laws and regulations that are unclear and subject to corruption and inexperience.</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ability to seek and enforce legal protections, including with respect to intellectual property and other property rights, or to defend ourselves with regard to legal actions taken against us in a given country, may be difficult or impossible, which could adversely impact our operations, assets or financial condition.</w:t>
      </w:r>
    </w:p>
    <w:p>
      <w:pPr>
        <w:spacing w:after="0" w:line="18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Rules and regulations in many countries are often ambiguous or open to differing interpretation by responsible individuals and agencies at the municipal, state, regional and federal levels. The attitudes and actions of such individuals and agencies are often difficult to predict and inconsistent.</w:t>
      </w:r>
    </w:p>
    <w:p>
      <w:pPr>
        <w:spacing w:after="0" w:line="1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Delay with respect to the enforcement of particular rules and regulations, including those relating to customs, tax, environmental and labor, could cause serious disruption to operations abroad and negatively impact our results.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spacing w:after="0" w:line="277" w:lineRule="auto"/>
        <w:rPr>
          <w:sz w:val="20"/>
          <w:szCs w:val="20"/>
          <w:color w:val="auto"/>
        </w:rPr>
      </w:pPr>
      <w:r>
        <w:rPr>
          <w:rFonts w:ascii="Arial" w:cs="Arial" w:eastAsia="Arial" w:hAnsi="Arial"/>
          <w:sz w:val="18"/>
          <w:szCs w:val="18"/>
          <w:b w:val="1"/>
          <w:bCs w:val="1"/>
          <w:i w:val="1"/>
          <w:iCs w:val="1"/>
          <w:color w:val="auto"/>
        </w:rPr>
        <w:t>If relations between the United States and foreign governments deteriorate, it could cause potential target businesses or their goods and services to become less attractive.</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relationship between the United States and foreign governments could be subject to sudden fluctuation and periodic tension. For instance, the United States may announce its intention to impose quotas on certain imports. Such import quotas may adversely affect political relations between the two countries and result in retaliatory countermeasures by the foreign government in industries that may affect our ultimate target business. Changes in political conditions in foreign countries and changes in the state of U.S. relations with such countries are difficult to predict and could adversely affect our operations or cause potential target businesses or their goods and services to become less attractive. Because we are not limited to any specific industry, there is no basis for investors in this offering to evaluate the possible extent of any impact on our ultimate operations if relations are strained between the United States and a foreign country in which we acquire a target business or move our principal manufacturing or service operations.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management following our initial business combination is unfamiliar with United States securities laws, they may have to expend time and resources becoming familiar with such laws.</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our laws, they may have to expend time and resources becoming familiar with such laws. This could be expensive and time-consuming and could lead to various regulatory issues, which may adversely affect our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policies may cause a target business’ ability to succeed in the international markets to be diminished.</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event we acquire a non-U.S. target, all revenues and income would likely be received in a foreign currency,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foreign law could govern our material agreements, we may not be able to enforce our rights within such jurisdiction or elsewhere.</w:t>
      </w:r>
    </w:p>
    <w:p>
      <w:pPr>
        <w:spacing w:after="0" w:line="2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Foreign law could govern our material agreements. The target business may not be able to enforce any of its material agreements or that remedies will be available outside of such foreign jurisdiction’s legal system. The system of laws and the enforcement of existing laws and contracts in such jurisdiction may not be as certain in implementation and interpretation as in the United States. The judiciaries in certain foreign countries may be relatively inexperienced in enforcing corporate and commercial law, leading to a higher than usual degree of uncertainty as to the outcome of any litigation, any such jurisdictions may not favor outsiders or could be corrupt. As a result, the inability to enforce or obtain a remedy under any of our future agreements could result in a significant loss of business and business opportunities.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are offering 10,000,000 units at a price of $10.00 per unit. We estimate that the net proceeds of this offering, together with the funds we receive from the sale of the private warrants (all of which will be deposited into the trust account), will be used as set forth in the following table:</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proceeds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From offering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From sale of private warrants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Total gross proceeds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Without</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Over-Allotment</w:t>
            </w:r>
          </w:p>
        </w:tc>
      </w:tr>
      <w:tr>
        <w:trPr>
          <w:trHeight w:val="216"/>
        </w:trPr>
        <w:tc>
          <w:tcPr>
            <w:tcW w:w="20" w:type="dxa"/>
            <w:vAlign w:val="bottom"/>
          </w:tcPr>
          <w:p>
            <w:pPr>
              <w:spacing w:after="0"/>
              <w:rPr>
                <w:sz w:val="18"/>
                <w:szCs w:val="18"/>
                <w:color w:val="auto"/>
              </w:rPr>
            </w:pPr>
          </w:p>
        </w:tc>
        <w:tc>
          <w:tcPr>
            <w:tcW w:w="15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Over-Allotment</w:t>
            </w:r>
          </w:p>
        </w:tc>
        <w:tc>
          <w:tcPr>
            <w:tcW w:w="2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Option</w:t>
            </w:r>
          </w:p>
        </w:tc>
      </w:tr>
      <w:tr>
        <w:trPr>
          <w:trHeight w:val="234"/>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Option</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Exercised</w:t>
            </w:r>
          </w:p>
        </w:tc>
      </w:tr>
      <w:tr>
        <w:trPr>
          <w:trHeight w:val="425"/>
        </w:trPr>
        <w:tc>
          <w:tcPr>
            <w:tcW w:w="220" w:type="dxa"/>
            <w:vAlign w:val="bottom"/>
            <w:gridSpan w:val="2"/>
          </w:tcPr>
          <w:p>
            <w:pPr>
              <w:jc w:val="right"/>
              <w:ind w:right="38"/>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100,000,000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115,000,000</w:t>
            </w: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3,402,000</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3,552,000</w:t>
            </w:r>
          </w:p>
        </w:tc>
      </w:tr>
      <w:tr>
        <w:trPr>
          <w:trHeight w:val="223"/>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103,402,000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118,552,000</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-607695</wp:posOffset>
            </wp:positionV>
            <wp:extent cx="71323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-325120</wp:posOffset>
            </wp:positionV>
            <wp:extent cx="713232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420" w:space="720"/>
            <w:col w:w="310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940" w:type="dxa"/>
            <w:vAlign w:val="bottom"/>
          </w:tcPr>
          <w:p>
            <w:pPr>
              <w:spacing w:after="0" w:line="256" w:lineRule="exact"/>
              <w:rPr>
                <w:sz w:val="20"/>
                <w:szCs w:val="20"/>
                <w:color w:val="auto"/>
              </w:rPr>
            </w:pPr>
            <w:r>
              <w:rPr>
                <w:rFonts w:ascii="Arial" w:cs="Arial" w:eastAsia="Arial" w:hAnsi="Arial"/>
                <w:sz w:val="18"/>
                <w:szCs w:val="18"/>
                <w:i w:val="1"/>
                <w:iCs w:val="1"/>
                <w:color w:val="auto"/>
              </w:rPr>
              <w:t>Offering expenses</w:t>
            </w:r>
            <w:r>
              <w:rPr>
                <w:rFonts w:ascii="Arial" w:cs="Arial" w:eastAsia="Arial" w:hAnsi="Arial"/>
                <w:sz w:val="29"/>
                <w:szCs w:val="29"/>
                <w:i w:val="1"/>
                <w:iCs w:val="1"/>
                <w:color w:val="auto"/>
                <w:vertAlign w:val="superscript"/>
              </w:rPr>
              <w:t>(1)</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Underwriting and qualified independent underwriter fees</w:t>
            </w:r>
          </w:p>
        </w:tc>
        <w:tc>
          <w:tcPr>
            <w:tcW w:w="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940" w:type="dxa"/>
            <w:vAlign w:val="bottom"/>
          </w:tcPr>
          <w:p>
            <w:pPr>
              <w:spacing w:after="0"/>
              <w:rPr>
                <w:sz w:val="20"/>
                <w:szCs w:val="20"/>
                <w:color w:val="auto"/>
              </w:rPr>
            </w:pPr>
            <w:r>
              <w:rPr>
                <w:rFonts w:ascii="Arial" w:cs="Arial" w:eastAsia="Arial" w:hAnsi="Arial"/>
                <w:sz w:val="18"/>
                <w:szCs w:val="18"/>
                <w:color w:val="auto"/>
              </w:rPr>
              <w:t>Initial Trustees’ fee</w:t>
            </w: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Company legal fees and expenses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Transfer agent fees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35,000</w:t>
            </w:r>
          </w:p>
        </w:tc>
        <w:tc>
          <w:tcPr>
            <w:tcW w:w="2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and filing fees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2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FINRA filing fee</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27,669</w:t>
            </w:r>
          </w:p>
        </w:tc>
        <w:tc>
          <w:tcPr>
            <w:tcW w:w="2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27,669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19,761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19,761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Miscellaneous expenses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96,570</w:t>
            </w: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96,570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offering expenses (excluding underwriter commissions)</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i w:val="1"/>
                <w:iCs w:val="1"/>
                <w:color w:val="auto"/>
              </w:rPr>
              <w:t>Net proceeds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Held in trust</w:t>
            </w:r>
            <w:r>
              <w:rPr>
                <w:rFonts w:ascii="Arial" w:cs="Arial" w:eastAsia="Arial" w:hAnsi="Arial"/>
                <w:sz w:val="29"/>
                <w:szCs w:val="29"/>
                <w:color w:val="auto"/>
                <w:vertAlign w:val="superscript"/>
              </w:rPr>
              <w:t>(2)</w:t>
            </w:r>
          </w:p>
        </w:tc>
        <w:tc>
          <w:tcPr>
            <w:tcW w:w="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101,000,000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116,150,000</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Not held in trust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1,327,000</w:t>
            </w: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1,327,000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proceeds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102,327,000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117,477,000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line="250" w:lineRule="exact"/>
              <w:rPr>
                <w:sz w:val="20"/>
                <w:szCs w:val="20"/>
                <w:color w:val="auto"/>
              </w:rPr>
            </w:pPr>
            <w:r>
              <w:rPr>
                <w:rFonts w:ascii="Arial" w:cs="Arial" w:eastAsia="Arial" w:hAnsi="Arial"/>
                <w:sz w:val="17"/>
                <w:szCs w:val="17"/>
                <w:color w:val="auto"/>
              </w:rPr>
              <w:t>Use of net proceeds not held in the trust account</w:t>
            </w:r>
            <w:r>
              <w:rPr>
                <w:rFonts w:ascii="Arial" w:cs="Arial" w:eastAsia="Arial" w:hAnsi="Arial"/>
                <w:sz w:val="28"/>
                <w:szCs w:val="28"/>
                <w:color w:val="auto"/>
                <w:vertAlign w:val="superscript"/>
              </w:rPr>
              <w:t>(3) (4)</w:t>
            </w: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Legal, accounting and other third party expenses attendant to the search for target businesses and to the due</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diligence investigation, structuring and negotiation of a business combination</w:t>
            </w:r>
          </w:p>
        </w:tc>
        <w:tc>
          <w:tcPr>
            <w:tcW w:w="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26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Due diligence of prospective target businesses by officers, directors and initial stockholders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26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 relating to SEC reporting obligations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Nasdaq continued listing fees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26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Payment of administrative fee to an affiliate of our sponsor</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w:t>
            </w: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Director and officer liability insurance premiums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375,000</w:t>
            </w:r>
          </w:p>
        </w:tc>
        <w:tc>
          <w:tcPr>
            <w:tcW w:w="26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2"/>
        </w:trPr>
        <w:tc>
          <w:tcPr>
            <w:tcW w:w="7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Working capital to cover miscellaneous expenses, general corporate purposes, liquidation obligations and</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reserves</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177,000</w:t>
            </w:r>
          </w:p>
        </w:tc>
        <w:tc>
          <w:tcPr>
            <w:tcW w:w="26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3"/>
        </w:trPr>
        <w:tc>
          <w:tcPr>
            <w:tcW w:w="794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1,327,000</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9" w:lineRule="exact"/>
        <w:rPr>
          <w:sz w:val="20"/>
          <w:szCs w:val="20"/>
          <w:color w:val="auto"/>
        </w:rPr>
      </w:pPr>
    </w:p>
    <w:p>
      <w:pPr>
        <w:jc w:val="both"/>
        <w:ind w:left="660" w:hanging="328"/>
        <w:spacing w:after="0" w:line="25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portion of the offering expenses, including the SEC registration fee, the FINRA filing fee, the non-refundable portion of the Nasdaq listing fee and a portion of the legal and audit fees, have been paid from the funds we borrowed from our sponsor. These funds will be repaid out of the proceeds of this offering available to us.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funds held in the trust account will be used to acquire a target business, to pay holders who wish to redeem or sell their shares for a portion of the funds held in the trust account, to pay the Marketing Fee of $3,500,000 (or $4,025,000 if the underwriters’ over-allotment option is exercised in full), or for general corporate purposes, including payment of principal or interest on indebtedness incurred in connection with our initial business combination, to fund the purchases of other companies or for working capital.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estimated amount of proceeds not held in trust will remain constant at $1,327,000 even if the over-allotment is exercised.</w:t>
      </w:r>
    </w:p>
    <w:p>
      <w:pPr>
        <w:spacing w:after="0" w:line="9"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These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our intended use of proceeds, other than fluctuations among the current categories of allocated expenses, which fluctuations, to the extent they exceed current estimates for any specific category of expenses, would be deducted from our excess working capital.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72" w:name="page73"/>
    <w:bookmarkEnd w:id="72"/>
    <w:p>
      <w:pPr>
        <w:jc w:val="both"/>
        <w:ind w:firstLine="324"/>
        <w:spacing w:after="0" w:line="268" w:lineRule="auto"/>
        <w:rPr>
          <w:sz w:val="20"/>
          <w:szCs w:val="20"/>
          <w:color w:val="auto"/>
        </w:rPr>
      </w:pPr>
      <w:r>
        <w:rPr>
          <w:rFonts w:ascii="Arial" w:cs="Arial" w:eastAsia="Arial" w:hAnsi="Arial"/>
          <w:sz w:val="17"/>
          <w:szCs w:val="17"/>
          <w:color w:val="auto"/>
        </w:rPr>
        <w:t>The payment to an affiliate of our sponsor of a monthly fee of $10,000 is for general and administrative services including office space, utilities and secretarial support.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This arrangement is being agreed to by an affiliate of our sponsor for our benefit. We believe that the fee charged by the affiliate of our sponsor is at least as favorable as we could have obtained from an unaffiliated person. This arrangement will terminate upon completion of our initial business combination or the distribution of the trust account to our public stockholders. Other than the $10,000 per month fee, no compensation of any kind (including finder’s fees, consulting fees or other similar compensation) will be paid to our insiders, members of our management team or any of our or their respective affiliates,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Since the role of present management after our initial business combination is uncertain, we have no ability to determine what remuneration, if any, will be paid to those persons after our initial business combination.</w:t>
      </w:r>
    </w:p>
    <w:p>
      <w:pPr>
        <w:spacing w:after="0" w:line="18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A total of $10.10 per share (whether or not the underwriters’ over-allotment option is exercised in full) of the net proceeds from this offering and the sale of the private warrants described in this prospectus will be placed in a trust account in the United States at Morgan Stanley, maintained by Continental Stock Transfer &amp; Trust Company acting as trustee and will be invested only in U.S. government treasury bills, notes and bonds with a maturity of 185 days or less or in money market funds meeting certain conditions under Rule 2a-7 under the Investment Company Act and which invest solely in U.S. Treasuries. We estimate that the interest earned on the trust account will be approximately $100,000 per year, assuming an interest rate of 0.1% per year; </w:t>
      </w:r>
      <w:r>
        <w:rPr>
          <w:rFonts w:ascii="Arial" w:cs="Arial" w:eastAsia="Arial" w:hAnsi="Arial"/>
          <w:sz w:val="16"/>
          <w:szCs w:val="16"/>
          <w:i w:val="1"/>
          <w:iCs w:val="1"/>
          <w:color w:val="auto"/>
        </w:rPr>
        <w:t>however</w:t>
      </w:r>
      <w:r>
        <w:rPr>
          <w:rFonts w:ascii="Arial" w:cs="Arial" w:eastAsia="Arial" w:hAnsi="Arial"/>
          <w:sz w:val="16"/>
          <w:szCs w:val="16"/>
          <w:color w:val="auto"/>
        </w:rPr>
        <w:t>, we can provide no assurance regarding this amount. Except for all interest income that may be released to us to pay our tax obligations, as</w:t>
      </w:r>
      <w:r>
        <w:rPr>
          <w:rFonts w:ascii="Arial" w:cs="Arial" w:eastAsia="Arial" w:hAnsi="Arial"/>
          <w:sz w:val="16"/>
          <w:szCs w:val="16"/>
          <w:i w:val="1"/>
          <w:iCs w:val="1"/>
          <w:color w:val="auto"/>
        </w:rPr>
        <w:t xml:space="preserve"> </w:t>
      </w:r>
      <w:r>
        <w:rPr>
          <w:rFonts w:ascii="Arial" w:cs="Arial" w:eastAsia="Arial" w:hAnsi="Arial"/>
          <w:sz w:val="16"/>
          <w:szCs w:val="16"/>
          <w:color w:val="auto"/>
        </w:rPr>
        <w:t>discussed below, none of the funds held in the trust account will be released from the trust account until the earlier of: (i) the consummation of our initial business combination within 15 months (or up to 21 months, as applicable) from the closing of this offering and (ii) a redemption to public stockholders prior to any voluntary winding-up in the event we do not consummate our initial business combination within the applicable period.</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shares or debt securities, or not all of the funds released from the trust account are used for payment of the purchase price in connection with our business combination, we may apply the cash released from the trust account that is not applied to the purchase price for general corporate purposes, including for maintenance or expansion of operations of acquired businesses, the payment of principal or interest due on indebtedness incurred in consummating the initial business combination, to fund the purchase of other companies or for working capital.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ind w:firstLine="324"/>
        <w:spacing w:after="0" w:line="290" w:lineRule="auto"/>
        <w:rPr>
          <w:sz w:val="20"/>
          <w:szCs w:val="20"/>
          <w:color w:val="auto"/>
        </w:rPr>
      </w:pPr>
      <w:r>
        <w:rPr>
          <w:rFonts w:ascii="Arial" w:cs="Arial" w:eastAsia="Arial" w:hAnsi="Arial"/>
          <w:sz w:val="16"/>
          <w:szCs w:val="16"/>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our initial business combination. However, if our estimate of the costs of undertaking in-depth due diligence and negotiating our initial business combination is less than the actual amount necessary to do so, or the amount of interest available to use from the trust account is minimal as a result of the current interest rate environment, we may be required to raise additional capital, the amount, availability and cost of which is currently unascertainable. In this event, we could seek such additional capital through loans or additional investments from members of our management team, but such members of our management team are not under any obligation to advance funds to, or invest in, us.</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the date of this prospectus, our sponsor has not loaned us any amounts to be used for a portion of the expenses of this offering. Any loans will be non-interest bearing and payable on the date on which we consummate the offering.</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in order to finance transaction costs in connection with an intended initial business combination, our initial stockholders, officers and directors or any of their respective affiliates may, but are not obligated to, loan us funds as may be required from time to time or at any time, in whatever amount they deem reasonable in their sole discretion. Each loan would be evidenced by a promissory note. The notes would be 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6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 public stockholder will be entitled to receive funds from the trust account only upon the earlier to occur of: (i) our consummation of our initial business combination, and then only in connection with those shares of common stock that such stockholder properly elected to redeem, subject to the limitations described herein, (ii) the redemption of our public shares if we are unable to consummate our initial business combination within 15 months (or up to 21 months, as applicable) following the closing of this offering, subject to applicable law, or (iii) if we seek to amend our certificate of incorporation to affect the substance or timing of our obligation to redeem all public shares if we cannot complete an initial business combination within 15 months (or up to 21 months, as applicable) of the closing of this offering and such amendment is duly approved. In no other circumstances will a public stockholder have any right or interest of any kind to or in the trust account.</w:t>
      </w:r>
    </w:p>
    <w:p>
      <w:pPr>
        <w:spacing w:after="0" w:line="17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initial stockholders have agreed to waive their redemption rights with respect to any shares they own in connection with the consummation of our initial business combination, including their founder shares and public shares that they purchase during or after the offering, if any. In addition, our initial stockholders have agreed to waive their rights to liquidating distributions with respect to their founder shares if we fail to consummate our initial business combination within 15 months (or up to 21 months, as applicable) from the closing of this offering. However, if our initial stockholders acquire public shares in or after this offering, they will be entitled to receive liquidating distributions with respect to such public shares if we fail to consummate our initial business combination within the required time period.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subject to the Delaware law. In addition, our board of directors is not currently contemplating and does not anticipate declaring any share dividends in the foreseeable future, except if we increase the size of the offering pursuant to Rule 462(b) under the Securities Act, in which case we will effect a share dividend immediately prior to the consummation of the offering in such amount as to maintain our initial stockholders’ ownership at 20% of the issued and outstanding shares of common stock upon the consummation of this offering (assuming no purchase in this offering and not taking into account ownership of the private warrants). Further, if we incur any indebtedness in connection with our initial business combination, our ability to declare dividends may be limited by restrictive covenants we may agree to in connection therewith.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difference between the public offering price per share, assuming no value is attributed to the warrants included in the units we are offering by this prospectus, and the pro forma net tangible book value per share after this offering constitutes the dilution to investors in this offering. Such calculation does not reflect any dilution associated with sale and exercise of warrants, including the private warrants. Net tangible book value per share is determined by dividing our net tangible book value, which is our total tangible assets less total liabilities (including the value of shares of common stock which may be redeemed for cash), by the number of outstanding shares of common stock.</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At March 31, 2021, our net tangible book deficit was $(53,118) or approximately $(0.02) per share. After giving effect to the sale of 10,000,000 shares of common stock included in the units we are offering by this prospectus and the proceeds received from the sale of the private warrants, the deduction of underwriting discounts and estimated expenses of this offering, our pro forma net tangible book value at March 31, 2021 would have been $5,000,010 or $1.59 per share (or $1.41 per share if the underwriters’ over-allotment if the underwriters’ over-allotment option is exercised in full), representing an immediate increase in net tangible book value of $1.61 per share (or $1.43 per share if the underwriters’ over-allotment if the underwriters’ over-allotment option is exercised in full) to the initial stockholders and an immediate dilution of $8.41 per share or 84.1% (or $8.59 per share or 85.9% if the underwriters’ over-allotment if the underwriters’ over-allotment option is exercised in full) to new investors not exercising their redemption/tender rights. For purposes of presentation, our pro forma net tangible book value after this offering is $94,410,990 (or $109,431,360 if the underwriters’ over-allotment if the underwriters’ over-allotment option is exercised in full) less than it otherwise would have been because, if we effect a business combination, the ability of public stockholders to exercise redemption rights or sell their shares to us in any tender offer may result in the redemption or tender of up to 9,347,623 shares (or 10,834,788 if the underwriters’ over-allotment if the underwriters’ over-allotment option is exercised in full) sold in this offering.</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illustrates the dilution to the new investors on a per-share basis, assuming no value is attributed to the redeemable warrants, including the private warrants: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Without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With</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Over-Allotment</w:t>
            </w:r>
          </w:p>
        </w:tc>
        <w:tc>
          <w:tcPr>
            <w:tcW w:w="58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Over-Allotment</w:t>
            </w: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4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660" w:type="dxa"/>
            <w:vAlign w:val="bottom"/>
          </w:tcPr>
          <w:p>
            <w:pPr>
              <w:spacing w:after="0"/>
              <w:rPr>
                <w:sz w:val="18"/>
                <w:szCs w:val="18"/>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Increase attributable to new investors, private sales and capital</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w:t>
            </w:r>
          </w:p>
        </w:tc>
        <w:tc>
          <w:tcPr>
            <w:tcW w:w="4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w:t>
            </w:r>
          </w:p>
        </w:tc>
        <w:tc>
          <w:tcPr>
            <w:tcW w:w="6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w:t>
            </w:r>
          </w:p>
        </w:tc>
        <w:tc>
          <w:tcPr>
            <w:tcW w:w="6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Pro forma net tangible book value after this offering</w:t>
            </w: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1.59</w:t>
            </w: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new investors</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Percentage of dilution to new investors</w:t>
            </w: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84.1%</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with respect to our initial stockholders and the new investors: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306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Shares Purchased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Total Consideration</w:t>
            </w:r>
          </w:p>
        </w:tc>
        <w:tc>
          <w:tcPr>
            <w:tcW w:w="120" w:type="dxa"/>
            <w:vAlign w:val="bottom"/>
          </w:tcPr>
          <w:p>
            <w:pPr>
              <w:spacing w:after="0"/>
              <w:rPr>
                <w:sz w:val="20"/>
                <w:szCs w:val="20"/>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b w:val="1"/>
                <w:bCs w:val="1"/>
                <w:color w:val="auto"/>
              </w:rPr>
              <w:t>Average Price</w:t>
            </w:r>
          </w:p>
        </w:tc>
      </w:tr>
      <w:tr>
        <w:trPr>
          <w:trHeight w:val="223"/>
        </w:trPr>
        <w:tc>
          <w:tcPr>
            <w:tcW w:w="358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32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Percentage</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32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Percentage</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Per Share</w:t>
            </w:r>
          </w:p>
        </w:tc>
        <w:tc>
          <w:tcPr>
            <w:tcW w:w="100" w:type="dxa"/>
            <w:vAlign w:val="bottom"/>
            <w:tcBorders>
              <w:bottom w:val="single" w:sz="8" w:color="CCEEFF"/>
            </w:tcBorders>
          </w:tcPr>
          <w:p>
            <w:pPr>
              <w:spacing w:after="0"/>
              <w:rPr>
                <w:sz w:val="19"/>
                <w:szCs w:val="19"/>
                <w:color w:val="auto"/>
              </w:rPr>
            </w:pPr>
          </w:p>
        </w:tc>
      </w:tr>
      <w:tr>
        <w:trPr>
          <w:trHeight w:val="236"/>
        </w:trPr>
        <w:tc>
          <w:tcPr>
            <w:tcW w:w="358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Initial stockholders</w:t>
            </w:r>
            <w:r>
              <w:rPr>
                <w:rFonts w:ascii="Arial" w:cs="Arial" w:eastAsia="Arial" w:hAnsi="Arial"/>
                <w:sz w:val="27"/>
                <w:szCs w:val="27"/>
                <w:color w:val="auto"/>
                <w:vertAlign w:val="superscript"/>
              </w:rPr>
              <w:t>(1)(2)</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2,500,000</w:t>
            </w: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w:t>
            </w:r>
          </w:p>
        </w:tc>
        <w:tc>
          <w:tcPr>
            <w:tcW w:w="1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New investors</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10,000,000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100,000,000</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99.98%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23"/>
        </w:trPr>
        <w:tc>
          <w:tcPr>
            <w:tcW w:w="35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100,025,000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340" w:right="2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375,000 shares of common stock held by our initial stockholders have been forfeited as a result thereof.</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May and June 2021, our sponsor transferred 20,000 founder shares to each of Messrs. Biele, Boyle, Hardamon, Thakrar and Thomson and Ms. Jardins.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The pro forma net tangible book value after the offering is calculated as follows: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Without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With</w:t>
            </w:r>
          </w:p>
        </w:tc>
        <w:tc>
          <w:tcPr>
            <w:tcW w:w="0" w:type="dxa"/>
            <w:vAlign w:val="bottom"/>
          </w:tcPr>
          <w:p>
            <w:pPr>
              <w:spacing w:after="0"/>
              <w:rPr>
                <w:sz w:val="1"/>
                <w:szCs w:val="1"/>
                <w:color w:val="auto"/>
              </w:rPr>
            </w:pPr>
          </w:p>
        </w:tc>
      </w:tr>
      <w:tr>
        <w:trPr>
          <w:trHeight w:val="270"/>
        </w:trPr>
        <w:tc>
          <w:tcPr>
            <w:tcW w:w="800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1600" w:type="dxa"/>
            <w:vAlign w:val="bottom"/>
            <w:gridSpan w:val="3"/>
          </w:tcPr>
          <w:p>
            <w:pPr>
              <w:jc w:val="right"/>
              <w:ind w:right="180"/>
              <w:spacing w:after="0" w:line="270" w:lineRule="exact"/>
              <w:rPr>
                <w:sz w:val="20"/>
                <w:szCs w:val="20"/>
                <w:color w:val="auto"/>
              </w:rPr>
            </w:pPr>
            <w:r>
              <w:rPr>
                <w:rFonts w:ascii="Arial" w:cs="Arial" w:eastAsia="Arial" w:hAnsi="Arial"/>
                <w:sz w:val="18"/>
                <w:szCs w:val="18"/>
                <w:b w:val="1"/>
                <w:bCs w:val="1"/>
                <w:color w:val="auto"/>
                <w:w w:val="91"/>
              </w:rPr>
              <w:t>Over-Allotment</w:t>
            </w:r>
            <w:r>
              <w:rPr>
                <w:rFonts w:ascii="Arial" w:cs="Arial" w:eastAsia="Arial" w:hAnsi="Arial"/>
                <w:sz w:val="29"/>
                <w:szCs w:val="29"/>
                <w:b w:val="1"/>
                <w:bCs w:val="1"/>
                <w:color w:val="auto"/>
                <w:w w:val="91"/>
                <w:vertAlign w:val="superscript"/>
              </w:rPr>
              <w:t>(1)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2"/>
              </w:rPr>
              <w:t>Over-Allotment</w:t>
            </w:r>
          </w:p>
        </w:tc>
        <w:tc>
          <w:tcPr>
            <w:tcW w:w="0" w:type="dxa"/>
            <w:vAlign w:val="bottom"/>
          </w:tcPr>
          <w:p>
            <w:pPr>
              <w:spacing w:after="0"/>
              <w:rPr>
                <w:sz w:val="1"/>
                <w:szCs w:val="1"/>
                <w:color w:val="auto"/>
              </w:rPr>
            </w:pPr>
          </w:p>
        </w:tc>
      </w:tr>
      <w:tr>
        <w:trPr>
          <w:trHeight w:val="210"/>
        </w:trPr>
        <w:tc>
          <w:tcPr>
            <w:tcW w:w="7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tangible book deficit before this offering</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(53,118)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(53,118)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gridSpan w:val="2"/>
          </w:tcPr>
          <w:p>
            <w:pPr>
              <w:spacing w:after="0"/>
              <w:rPr>
                <w:sz w:val="20"/>
                <w:szCs w:val="20"/>
                <w:color w:val="auto"/>
              </w:rPr>
            </w:pPr>
            <w:r>
              <w:rPr>
                <w:rFonts w:ascii="Arial" w:cs="Arial" w:eastAsia="Arial" w:hAnsi="Arial"/>
                <w:sz w:val="18"/>
                <w:szCs w:val="18"/>
                <w:color w:val="auto"/>
              </w:rPr>
              <w:t>Net proceeds from this offering and private placement of private warrants</w:t>
            </w:r>
          </w:p>
        </w:tc>
        <w:tc>
          <w:tcPr>
            <w:tcW w:w="2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102,327,000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117,477,000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Plus: Offering costs accrued for or paid in advance; excluding from tangible book value before this offering</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77,118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77,118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000" w:type="dxa"/>
            <w:vAlign w:val="bottom"/>
            <w:gridSpan w:val="2"/>
          </w:tcPr>
          <w:p>
            <w:pPr>
              <w:spacing w:after="0" w:line="270" w:lineRule="exact"/>
              <w:rPr>
                <w:sz w:val="20"/>
                <w:szCs w:val="20"/>
                <w:color w:val="auto"/>
              </w:rPr>
            </w:pPr>
            <w:r>
              <w:rPr>
                <w:rFonts w:ascii="Arial" w:cs="Arial" w:eastAsia="Arial" w:hAnsi="Arial"/>
                <w:sz w:val="18"/>
                <w:szCs w:val="18"/>
                <w:color w:val="auto"/>
              </w:rPr>
              <w:t>Less: Warrant liabilities</w:t>
            </w:r>
            <w:r>
              <w:rPr>
                <w:rFonts w:ascii="Arial" w:cs="Arial" w:eastAsia="Arial" w:hAnsi="Arial"/>
                <w:sz w:val="29"/>
                <w:szCs w:val="29"/>
                <w:color w:val="auto"/>
                <w:vertAlign w:val="superscript"/>
              </w:rPr>
              <w:t>(2)</w:t>
            </w:r>
          </w:p>
        </w:tc>
        <w:tc>
          <w:tcPr>
            <w:tcW w:w="24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(2,940,000)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(3,069,630)</w:t>
            </w:r>
          </w:p>
        </w:tc>
        <w:tc>
          <w:tcPr>
            <w:tcW w:w="0" w:type="dxa"/>
            <w:vAlign w:val="bottom"/>
          </w:tcPr>
          <w:p>
            <w:pPr>
              <w:spacing w:after="0"/>
              <w:rPr>
                <w:sz w:val="1"/>
                <w:szCs w:val="1"/>
                <w:color w:val="auto"/>
              </w:rPr>
            </w:pPr>
          </w:p>
        </w:tc>
      </w:tr>
      <w:tr>
        <w:trPr>
          <w:trHeight w:val="20"/>
        </w:trPr>
        <w:tc>
          <w:tcPr>
            <w:tcW w:w="8000" w:type="dxa"/>
            <w:vAlign w:val="bottom"/>
            <w:gridSpan w:val="2"/>
            <w:vMerge w:val="restart"/>
            <w:shd w:val="clear" w:color="auto" w:fill="CCEEFF"/>
          </w:tcPr>
          <w:p>
            <w:pPr>
              <w:spacing w:after="0" w:line="270" w:lineRule="exact"/>
              <w:rPr>
                <w:sz w:val="20"/>
                <w:szCs w:val="20"/>
                <w:color w:val="auto"/>
              </w:rPr>
            </w:pPr>
            <w:r>
              <w:rPr>
                <w:rFonts w:ascii="Arial" w:cs="Arial" w:eastAsia="Arial" w:hAnsi="Arial"/>
                <w:sz w:val="18"/>
                <w:szCs w:val="18"/>
                <w:color w:val="auto"/>
                <w:w w:val="98"/>
              </w:rPr>
              <w:t>Less: Proceeds held in trust subject to redemption to maintain net tangible assets of $5,000,001</w:t>
            </w:r>
            <w:r>
              <w:rPr>
                <w:rFonts w:ascii="Arial" w:cs="Arial" w:eastAsia="Arial" w:hAnsi="Arial"/>
                <w:sz w:val="29"/>
                <w:szCs w:val="29"/>
                <w:color w:val="auto"/>
                <w:w w:val="98"/>
                <w:vertAlign w:val="superscript"/>
              </w:rPr>
              <w:t>(3)(4)</w:t>
            </w: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(94,410,990)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(109,431,360)</w:t>
            </w:r>
          </w:p>
        </w:tc>
        <w:tc>
          <w:tcPr>
            <w:tcW w:w="0" w:type="dxa"/>
            <w:vAlign w:val="bottom"/>
          </w:tcPr>
          <w:p>
            <w:pPr>
              <w:spacing w:after="0"/>
              <w:rPr>
                <w:sz w:val="1"/>
                <w:szCs w:val="1"/>
                <w:color w:val="auto"/>
              </w:rPr>
            </w:pPr>
          </w:p>
        </w:tc>
      </w:tr>
      <w:tr>
        <w:trPr>
          <w:trHeight w:val="263"/>
        </w:trPr>
        <w:tc>
          <w:tcPr>
            <w:tcW w:w="7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5,000,010</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5,000,010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of common stock issued and outstanding prior to this offering</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Shares of common stock to be sold in this offering</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10,000,000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11,500,000</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Shares subject to redemption/tender</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(9,347,623)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(10,834,788)</w:t>
            </w:r>
          </w:p>
        </w:tc>
        <w:tc>
          <w:tcPr>
            <w:tcW w:w="0" w:type="dxa"/>
            <w:vAlign w:val="bottom"/>
          </w:tcPr>
          <w:p>
            <w:pPr>
              <w:spacing w:after="0"/>
              <w:rPr>
                <w:sz w:val="1"/>
                <w:szCs w:val="1"/>
                <w:color w:val="auto"/>
              </w:rPr>
            </w:pPr>
          </w:p>
        </w:tc>
      </w:tr>
      <w:tr>
        <w:trPr>
          <w:trHeight w:val="223"/>
        </w:trPr>
        <w:tc>
          <w:tcPr>
            <w:tcW w:w="7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3,152,377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3,540,212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340" w:right="2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375,000 shares of common stock held by our initial stockholders have been forfeited by us as a result thereof.</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private placement warrants are expected to be accounted for as warrant liabilities and will be recorded at fair value upon issuance with changes in fair value each reporting period included in earnings as determined by the Company based upon a valuation report obtained from its independent third-party valuation firm.</w:t>
      </w:r>
    </w:p>
    <w:p>
      <w:pPr>
        <w:spacing w:after="0" w:line="183" w:lineRule="exact"/>
        <w:rPr>
          <w:rFonts w:ascii="Arial" w:cs="Arial" w:eastAsia="Arial" w:hAnsi="Arial"/>
          <w:sz w:val="18"/>
          <w:szCs w:val="18"/>
          <w:color w:val="auto"/>
        </w:rPr>
      </w:pPr>
    </w:p>
    <w:p>
      <w:pPr>
        <w:jc w:val="both"/>
        <w:ind w:left="340" w:hanging="332"/>
        <w:spacing w:after="0" w:line="296"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initial stockholders, directors, officers, advisors or their affiliates may purchase shares or public warrants in privately negotiated transactions or in the open market either prior to or following the completion of our initial business combination. In the event of any such purchases of our shares prior to the completion of our initial business combination, the number of shares of common stock subject to redemption will be reduced by the amount of any such purchases, increasing the pro forma net tangible book value per share.</w:t>
      </w:r>
    </w:p>
    <w:p>
      <w:pPr>
        <w:spacing w:after="0" w:line="16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actual number of shares subject to redemption may exceed this amount so long as we have at least $5,000,001 immediately prior to or upon consummation of our initial business combination.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our capitalization at March 31, 2021, and as adjusted to give effect to the sale of our units and the private warrants and the application of the estimated net proceeds derived from the sale of such securities.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7"/>
          </w:tcPr>
          <w:p>
            <w:pPr>
              <w:jc w:val="right"/>
              <w:ind w:right="860"/>
              <w:spacing w:after="0"/>
              <w:rPr>
                <w:sz w:val="20"/>
                <w:szCs w:val="20"/>
                <w:color w:val="auto"/>
              </w:rPr>
            </w:pPr>
            <w:r>
              <w:rPr>
                <w:rFonts w:ascii="Arial" w:cs="Arial" w:eastAsia="Arial" w:hAnsi="Arial"/>
                <w:sz w:val="18"/>
                <w:szCs w:val="18"/>
                <w:b w:val="1"/>
                <w:bCs w:val="1"/>
                <w:color w:val="auto"/>
              </w:rPr>
              <w:t>March 31, 2021</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Actual</w:t>
            </w:r>
          </w:p>
        </w:tc>
        <w:tc>
          <w:tcPr>
            <w:tcW w:w="220" w:type="dxa"/>
            <w:vAlign w:val="bottom"/>
            <w:tcBorders>
              <w:top w:val="single" w:sz="8" w:color="auto"/>
              <w:bottom w:val="single" w:sz="8" w:color="CCEEFF"/>
            </w:tcBorders>
          </w:tcPr>
          <w:p>
            <w:pPr>
              <w:spacing w:after="0"/>
              <w:rPr>
                <w:sz w:val="21"/>
                <w:szCs w:val="21"/>
                <w:color w:val="auto"/>
              </w:rPr>
            </w:pPr>
          </w:p>
        </w:tc>
        <w:tc>
          <w:tcPr>
            <w:tcW w:w="20" w:type="dxa"/>
            <w:vAlign w:val="bottom"/>
            <w:tcBorders>
              <w:top w:val="single" w:sz="8" w:color="auto"/>
              <w:bottom w:val="single" w:sz="8" w:color="CCEEFF"/>
            </w:tcBorders>
          </w:tcPr>
          <w:p>
            <w:pPr>
              <w:spacing w:after="0"/>
              <w:rPr>
                <w:sz w:val="21"/>
                <w:szCs w:val="21"/>
                <w:color w:val="auto"/>
              </w:rPr>
            </w:pPr>
          </w:p>
        </w:tc>
        <w:tc>
          <w:tcPr>
            <w:tcW w:w="122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Arial" w:cs="Arial" w:eastAsia="Arial" w:hAnsi="Arial"/>
                <w:sz w:val="17"/>
                <w:szCs w:val="17"/>
                <w:b w:val="1"/>
                <w:bCs w:val="1"/>
                <w:color w:val="auto"/>
                <w:w w:val="93"/>
              </w:rPr>
              <w:t>As Adjusted</w:t>
            </w:r>
            <w:r>
              <w:rPr>
                <w:rFonts w:ascii="Arial" w:cs="Arial" w:eastAsia="Arial" w:hAnsi="Arial"/>
                <w:sz w:val="28"/>
                <w:szCs w:val="28"/>
                <w:b w:val="1"/>
                <w:bCs w:val="1"/>
                <w:color w:val="auto"/>
                <w:w w:val="93"/>
                <w:vertAlign w:val="superscript"/>
              </w:rPr>
              <w:t>(1)</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2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Promissory note – related party</w:t>
            </w:r>
            <w:r>
              <w:rPr>
                <w:rFonts w:ascii="Arial" w:cs="Arial" w:eastAsia="Arial" w:hAnsi="Arial"/>
                <w:sz w:val="28"/>
                <w:szCs w:val="28"/>
                <w:color w:val="auto"/>
                <w:vertAlign w:val="superscript"/>
              </w:rPr>
              <w:t>(2)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125,000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line="270" w:lineRule="exact"/>
              <w:rPr>
                <w:sz w:val="20"/>
                <w:szCs w:val="20"/>
                <w:color w:val="auto"/>
              </w:rPr>
            </w:pPr>
            <w:r>
              <w:rPr>
                <w:rFonts w:ascii="Arial" w:cs="Arial" w:eastAsia="Arial" w:hAnsi="Arial"/>
                <w:sz w:val="18"/>
                <w:szCs w:val="18"/>
                <w:color w:val="auto"/>
              </w:rPr>
              <w:t>Warrant liabilities</w:t>
            </w:r>
            <w:r>
              <w:rPr>
                <w:rFonts w:ascii="Arial" w:cs="Arial" w:eastAsia="Arial" w:hAnsi="Arial"/>
                <w:sz w:val="29"/>
                <w:szCs w:val="29"/>
                <w:color w:val="auto"/>
                <w:vertAlign w:val="superscript"/>
              </w:rPr>
              <w:t>(3)</w:t>
            </w: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2,940,000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83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0"/>
              </w:rPr>
              <w:t>Shares of common stock, $0.0001 par value, none and 9,347,623 shares are subject to possible redemption/tender,</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94,410,990</w:t>
            </w:r>
          </w:p>
        </w:tc>
        <w:tc>
          <w:tcPr>
            <w:tcW w:w="0" w:type="dxa"/>
            <w:vAlign w:val="bottom"/>
          </w:tcPr>
          <w:p>
            <w:pPr>
              <w:spacing w:after="0"/>
              <w:rPr>
                <w:sz w:val="1"/>
                <w:szCs w:val="1"/>
                <w:color w:val="auto"/>
              </w:rPr>
            </w:pPr>
          </w:p>
        </w:tc>
      </w:tr>
      <w:tr>
        <w:trPr>
          <w:trHeight w:val="185"/>
        </w:trPr>
        <w:tc>
          <w:tcPr>
            <w:tcW w:w="8320" w:type="dxa"/>
            <w:vAlign w:val="bottom"/>
          </w:tcPr>
          <w:p>
            <w:pPr>
              <w:spacing w:after="0" w:line="185" w:lineRule="exact"/>
              <w:rPr>
                <w:sz w:val="20"/>
                <w:szCs w:val="20"/>
                <w:color w:val="auto"/>
              </w:rPr>
            </w:pPr>
            <w:r>
              <w:rPr>
                <w:rFonts w:ascii="Arial" w:cs="Arial" w:eastAsia="Arial" w:hAnsi="Arial"/>
                <w:sz w:val="18"/>
                <w:szCs w:val="18"/>
                <w:color w:val="auto"/>
                <w:w w:val="98"/>
              </w:rPr>
              <w:t>Shares of common stock, $0.0001 par value, 50,000,000 shares authorized, 2,875,000 shares issued and</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320" w:type="dxa"/>
            <w:vAlign w:val="bottom"/>
          </w:tcPr>
          <w:p>
            <w:pPr>
              <w:ind w:left="180"/>
              <w:spacing w:after="0" w:line="252" w:lineRule="exact"/>
              <w:rPr>
                <w:sz w:val="20"/>
                <w:szCs w:val="20"/>
                <w:color w:val="auto"/>
              </w:rPr>
            </w:pPr>
            <w:r>
              <w:rPr>
                <w:rFonts w:ascii="Arial" w:cs="Arial" w:eastAsia="Arial" w:hAnsi="Arial"/>
                <w:sz w:val="18"/>
                <w:szCs w:val="18"/>
                <w:color w:val="auto"/>
                <w:w w:val="90"/>
              </w:rPr>
              <w:t>outstanding, actual; 50,000,000 shares authorized</w:t>
            </w:r>
            <w:r>
              <w:rPr>
                <w:rFonts w:ascii="Arial" w:cs="Arial" w:eastAsia="Arial" w:hAnsi="Arial"/>
                <w:sz w:val="29"/>
                <w:szCs w:val="29"/>
                <w:color w:val="auto"/>
                <w:w w:val="90"/>
                <w:vertAlign w:val="superscript"/>
              </w:rPr>
              <w:t>(6)</w:t>
            </w:r>
            <w:r>
              <w:rPr>
                <w:rFonts w:ascii="Arial" w:cs="Arial" w:eastAsia="Arial" w:hAnsi="Arial"/>
                <w:sz w:val="18"/>
                <w:szCs w:val="18"/>
                <w:color w:val="auto"/>
                <w:w w:val="90"/>
              </w:rPr>
              <w:t>, 3,152,377 shares issued and outstanding</w:t>
            </w:r>
            <w:r>
              <w:rPr>
                <w:rFonts w:ascii="Arial" w:cs="Arial" w:eastAsia="Arial" w:hAnsi="Arial"/>
                <w:sz w:val="29"/>
                <w:szCs w:val="29"/>
                <w:color w:val="auto"/>
                <w:w w:val="90"/>
                <w:vertAlign w:val="superscript"/>
              </w:rPr>
              <w:t>(4) (5)</w:t>
            </w:r>
            <w:r>
              <w:rPr>
                <w:rFonts w:ascii="Arial" w:cs="Arial" w:eastAsia="Arial" w:hAnsi="Arial"/>
                <w:sz w:val="18"/>
                <w:szCs w:val="18"/>
                <w:color w:val="auto"/>
                <w:w w:val="90"/>
              </w:rPr>
              <w:t xml:space="preserve"> (excluding</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320" w:type="dxa"/>
            <w:vAlign w:val="bottom"/>
          </w:tcPr>
          <w:p>
            <w:pPr>
              <w:ind w:left="180"/>
              <w:spacing w:after="0"/>
              <w:rPr>
                <w:sz w:val="20"/>
                <w:szCs w:val="20"/>
                <w:color w:val="auto"/>
              </w:rPr>
            </w:pPr>
            <w:r>
              <w:rPr>
                <w:rFonts w:ascii="Arial" w:cs="Arial" w:eastAsia="Arial" w:hAnsi="Arial"/>
                <w:sz w:val="18"/>
                <w:szCs w:val="18"/>
                <w:color w:val="auto"/>
              </w:rPr>
              <w:t>9,347,623 shares subject to possible redemption/tender), as adjusted</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9"/>
        </w:trPr>
        <w:tc>
          <w:tcPr>
            <w:tcW w:w="8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5,014,359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(14,664</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Total capitalization</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102,351,000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the $3,402,000 we will receive from the sale of the private warrants (assuming no exercise of the over-allotment option).</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sponsor has agreed to loan us an aggregate of $250,000 to be used to pay formation and a portion of the expenses of this offering. The loan is non-interest bearing and payable on the date on which we consummate the offering.</w:t>
      </w:r>
    </w:p>
    <w:p>
      <w:pPr>
        <w:jc w:val="both"/>
        <w:ind w:left="66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private placement warrants are expected to be accounted for as warrant liabilities and will be recorded at fair value upon issuance with changes in fair value each reporting period included in earnings as determined by the Company based upon a valuation report obtained from its independent third-party valuation firm.</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375,000 shares of common stock held by our initial stockholders have been forfeited as a result thereof.</w:t>
      </w:r>
    </w:p>
    <w:p>
      <w:pPr>
        <w:jc w:val="both"/>
        <w:ind w:left="66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the completion of our initial business combination, we will provide our stockholders with the opportunity to redeem their public shares for cash equal to their pro rata share of the aggregate amount then on deposit in the trust account as of two business days prior to the consummation of the initial business combination including interest earned on the funds held in the trust account and not previously released to us to pay our taxes, subject to the limitations described herein whereby our net tangible assets will be maintained at a minimum of $5,000,001 and any limitations (including, but not limited to, cash requirements) created by the terms of the proposed initial business combination. The actual number of shares subject to redemption may exceed this amount so long as we have at least $5,000,001 immediately prior to or upon consummation of our initial business combination.</w:t>
      </w:r>
    </w:p>
    <w:p>
      <w:pPr>
        <w:spacing w:after="0" w:line="2"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 intends to file an Amended and Restated Certificate of Incorporation prior to the closing date of the Proposed Public Offering such that the Company will be authorized to issue 50,000,000 shares of common stock with a par value of $0.0001 per share.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were incorporated on June 23, 2020, as a Delaware corporation, and we were formed to serve as a vehicle to effect a merger, share exchange, asset acquisition, share purchase, recapitalization, reorganization or similar business combination with one or more target businesses. We have not selected any specific business combination target and we have not, nor has anyone on our behalf, initiated any substantive discussions, directly or indirectly, with any business combination target regarding an initial business combination with our company. We intend to effectuate our initial business combination using cash from the proceeds of this offering and the private placement of the private warrants, the proceeds of the sale of our securities in connection with our initial business combination, shares issued to the owners of the target, debt issued to bank or other lenders or the owners of the target, or a combination of the foregoing.</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issuance of additional shares in connection with our business combination to the owners of the target or other investors:</w:t>
      </w:r>
    </w:p>
    <w:p>
      <w:pPr>
        <w:spacing w:after="0" w:line="225"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we issue preferred shares with rights senior to those afforded to our shares of common stock;</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shares of our common stock is issued, which may affect, among other things, our ability to use our net operating loss carry forwards, if any, and could result in the resignation or removal of our present officers and directors;</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securities.</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6"/>
          <w:szCs w:val="16"/>
          <w:color w:val="auto"/>
        </w:rPr>
        <w:t>Similarly, if we issue debt securities, or otherwise incur significant debt to bank or other lenders or the owners of a target, it could result in:</w:t>
      </w:r>
    </w:p>
    <w:p>
      <w:pPr>
        <w:spacing w:after="0" w:line="248"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default and foreclosure on our assets if our operating revenues after a business combination are insufficient to pay our debt obligations;</w:t>
      </w:r>
    </w:p>
    <w:p>
      <w:pPr>
        <w:spacing w:after="0" w:line="23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additional financing while such security is outstanding;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9" w:name="page80"/>
    <w:bookmarkEnd w:id="79"/>
    <w:p>
      <w:pPr>
        <w:ind w:left="9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imitations on our ability to borrow additional amounts for expenses, capital expenditures, acquisitions, debt service requirements, and execution of our strategy;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purposes and other disadvantages compared to our competitors who have less debt.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indicated in the accompanying financial statements, at March 31, 2021, we had $72,882 in cash and $77,118 in deferred offering costs. Further, we expect to continue to incur significant costs in the pursuit of our acquisition plans. We cannot assure you that our plans to raise capital or to complete our initial business combination will be successful.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expenses as we conduct due diligence on prospective business combination candidates. We expect our expenses to increase substantially after the closing of this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indicated in the accompanying financial statements, at March 31, 2021, we had $72,882 in cash and a working capital deficit of $(53,118). Further, we have incurred and expect to continue to incur significant costs in pursuit of our financing and acquisition plans. Management’s plans to address this uncertainty through this offering are discussed above.</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liquidity needs have been satisfied to date through receipt of $25,000 from the sale of the founder shares and loans from our sponsor in an aggregate amount of $250,000. We estimate that the net proceeds from (1) the sale of the units in this offering, after deducting offering expenses of approximately $575,000 and underwriting discounts and commissions of $500,000 and (2) the sale of the private warrants for a purchase price of $3,402,000 (or up to $3,552,000 depending on the extent to which the underwriters’ over-allotment option is exercised) will be $102,327,000 (or $117,477,000 if the over-allotment option is exercised in full). Of this amount, $101,000,000 (or $116,150,000 if the over-allotment option is exercised in full) will be held in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remaining $1,327,000 (whether or not the over-allotment option is exercised in full) will not be held in the trust account.</w:t>
      </w:r>
    </w:p>
    <w:p>
      <w:pPr>
        <w:spacing w:after="0" w:line="19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intend to use substantially all of the net proceeds of this offering, including the funds held in the trust account, to acquire a target business or businesses and to pay our expenses relating thereto. To the extent that our share capital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jc w:val="both"/>
        <w:ind w:firstLine="648"/>
        <w:spacing w:after="0" w:line="275" w:lineRule="auto"/>
        <w:rPr>
          <w:sz w:val="20"/>
          <w:szCs w:val="20"/>
          <w:color w:val="auto"/>
        </w:rPr>
      </w:pPr>
      <w:r>
        <w:rPr>
          <w:rFonts w:ascii="Arial" w:cs="Arial" w:eastAsia="Arial" w:hAnsi="Arial"/>
          <w:sz w:val="17"/>
          <w:szCs w:val="17"/>
          <w:color w:val="auto"/>
        </w:rPr>
        <w:t>Over the next 15 months (or up to 21 months, as applicable), assuming a business combination is not consummated prior thereto, we will be using the funds held outside of the trust account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Out of the funds available outside the trust account, we anticipate that we will incur approximately:</w:t>
      </w:r>
    </w:p>
    <w:p>
      <w:pPr>
        <w:spacing w:after="0" w:line="176" w:lineRule="exact"/>
        <w:rPr>
          <w:sz w:val="20"/>
          <w:szCs w:val="20"/>
          <w:color w:val="auto"/>
        </w:rPr>
      </w:pPr>
    </w:p>
    <w:p>
      <w:pPr>
        <w:ind w:left="980" w:right="2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$250,000 of expenses for the search for target businesses and for the legal, accounting and other third-party expenses attendant to the due diligence investigations, structuring and negotiating of a business combination;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$250,000 of expenses for the due diligence and investigation of a target business by our officers, directors and initial stockholders;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$50,000 of expenses in legal and accounting fees relating to our SEC reporting obligations;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$75,000 of expenses in Nasdaq continued listing fees;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$150,000 for the payment of the administrative fee to an affiliate of our sponsor (of $10,000 per month for up to 15 months);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$375,000 for director and officer liability insurance premiums;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$180,000 for general working capital that will be used for miscellaneous expenses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Such number of shares includes an aggregate of up to 375,000 shares that are subject to forfeiture to the extent that the underwriters’ over-allotment option is not exercised in full or in part, so that our initial stockholders will collectively own 20% of our issued and outstanding shares after this offering. None of our initial stockholders has indicated any intention to purchase public units in this offering.</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Commencing on the date that our securities are first listed on the NASDAQ through the earlier of consummation of our initial business combination and our liquidation, we will pay our sponsor a total of $10,000 per month for office space, administrative and shared personnel support services. Upon completion of our initial business combination or our liquidation, we will cease paying these monthly fees.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sponsor intends to allocate up to 20,000 founder shares to each of our independent directors.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sponsor has agreed to loan us an aggregate of $250,000 on a non-interest bearing basis, for payment of offering expenses on our behalf.</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Chardan NexTech 2 Warrant Holdings LLC, an affiliate of our sponsor, has committed to purchase from us an aggregate of 4,200,000 (or up to 4,385,185 depending on the extent to which the underwriters’ over-allotment option is exercised) warrants at a price of $0.81 per warrant ($3,402,000 (or up to $3,552,000 depending on the extent to which the underwriters’ over-allotment option is exercised)), with each warrant exercisable for one share of common stock at an exercise price of $11.50 per share. These purchases will take place on a private placement basis simultaneously with the consummation of this offering.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both"/>
        <w:ind w:firstLine="648"/>
        <w:spacing w:after="0" w:line="271" w:lineRule="auto"/>
        <w:rPr>
          <w:sz w:val="20"/>
          <w:szCs w:val="20"/>
          <w:color w:val="auto"/>
        </w:rPr>
      </w:pPr>
      <w:r>
        <w:rPr>
          <w:rFonts w:ascii="Arial" w:cs="Arial" w:eastAsia="Arial" w:hAnsi="Arial"/>
          <w:sz w:val="17"/>
          <w:szCs w:val="17"/>
          <w:color w:val="auto"/>
        </w:rPr>
        <w:t>Pursuant to a registration rights agreement we will enter into with our initial stockholders on or prior to the closing of this offering, we may be required to register certain for sale under the Securities Act. These holders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 holders have certain “piggy-back” registration rights on registration statements filed after the consummation of our initial business combination. We will bear the costs and expenses of filing any such registration statements. See the section of this prospectus entitled “Certain Relationships and Related Party Transactions.” Notwithstanding the foregoing, our sponsor may not exercise its demand and “piggyback” registration rights after five and seven years, respectively, after the effective date of the registration statement of which this prospectus forms a part and may not exercise its demand rights on more than one occasion.</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engaged Chardan as an advisor in connection with our business combination, pursuant to the Business Combination Marketing Agreement described under “Underwriting (Conflicts of Interest) — Business Combination Marketing Agreement.”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needed to finance transaction costs in connection an intended initial business combination, our initial stockholders, officers and directors or any of their respective affiliates may, but are not obligated to, loan us funds as may be required from time to time or at any time, in whatever amount they deem reasonable in their sole discretion.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be repaid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2022. Only in the event that we are deemed to be a large accelerated filer or an accelerated filer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192"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jc w:val="both"/>
        <w:ind w:firstLine="648"/>
        <w:spacing w:after="0" w:line="279" w:lineRule="auto"/>
        <w:rPr>
          <w:sz w:val="20"/>
          <w:szCs w:val="20"/>
          <w:color w:val="auto"/>
        </w:rPr>
      </w:pPr>
      <w:r>
        <w:rPr>
          <w:rFonts w:ascii="Arial" w:cs="Arial" w:eastAsia="Arial" w:hAnsi="Arial"/>
          <w:sz w:val="17"/>
          <w:szCs w:val="17"/>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net proceeds of this offering, including amounts in the trust account, will be invested in United States government treasury bills, bonds or notes having a maturity of 185 days or less, or in money market funds meeting the applicable conditions under Rule 2a-7 promulgated under the Investment Company Act and that invest solely in U.S. treasuries. Due to the short-term nature of these investments, we believe there will be no associated material exposure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the date of this prospectus, we did not have any off-balance sheet arrangements as defined in Item 303(a)(4)(ii) of Regulation S-K promulgated by the SEC and did not have any commitments or contractual obligations. No unaudited quarterly operating data is included in this prospectus as we have conducted no operations to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report of independent registered public accounting firm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this offering or until we are no longer an “emerging growth company,” whichever is earlier.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blank check company formed under the laws of the State of Delaware on June 23, 2020. We were formed for the purpose of effecting a merger, capital stock exchange, asset acquisition, stock purchase, reorganization or similar business combination with one or more businesses, which we refer to throughout this prospectus as our initial business combination. Our intent is to focus on opportunities in disruptive technologies and leverage the tremendous proprietary deal flow that our Board, executive team and sponsor, Chardan have developed over the past 17 years in the SPAC and investment banking marketplaces.</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focus on disruptive technologies is aligned to the investment expertise, relationships, proprietary deal flow, and connectivity of our management team, Board of Directors, and Chardan. Through our multiple decades of special purpose acquisition company, sector, direct investment, and investment banking advisory experiences, our sponsor and management team receive proprietary access to a tremendous pipeline of disruptive technology investment opportunities. As Chardan’s special purpose acquisition company advisory and principal special purpose acquisition company practices have expanded, our inbound deal flow in technology, among other sectors, has significantly increased as private companies seek out our proprietary expertise.</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Opportunity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Having founded the third-ever publicly listed special purpose acquisition company in 2004, Chardan had the foresight to recognize that the traditional initial public offering process was broken. The initial public offering process has not changed in decades and it is a time and resource intensive process that not only lacks deal and price certainty, but also prevents high-growth technology companies from sharing their financial projections. We believe that Chardan has an unmatched track record as a special purpose acquisition company underwriter, sponsor (or co-sponsor) and special purpose acquisition mergers and acquisitions advisor, which we intend to leverage as special purpose acquisition companies have become more mainstream. We believe that the market is now only beginning to recognize the benefits of SPACs as has been demonstrated within the last several months. In the second half of 2020, SPACs accounted for ~56% of all capital raised in the IPO market, and have had record issuances in the first month of 2021, raising nearly $24 billion, almost two times U.S. initial public offerings during the same period.</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opportunity for disruptive technology companies to take advantage of the public markets is evident as there are over 2,000 private technology companies that have raised at least $50MM in private funding or over $1 trillion in aggregate. We believe that such private funding has been a result of many entrepreneurs adopting the philosophy to stay private longer, not only from a cost perspective, but also because of the volume of private capital. Over the past year, however, we believe private company executives’ and stakeholders’ mindset has fundamentally shifted as special purpose acquisition companies have provided a more effective and efficient path to access public markets and its greater access to capital providers. We believe private companies are realizing that they are rewarded for providing greater transparency into their growth plans and can potentially capture further upside via the SPAC structure. Since 2019, disruptive technology companies that have gone public via a special purpose acquisition company have experienced substantial share price growth with a number of recent transactions surging over 100% growth since their public market debuts. We aim to capitalize on the number of disruptive technology companies that are still private and capable of achieving attractive risk-adjusted returns through our decades of special purpose acquisition company experience.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we search for a prospective target company or business, we intend to leverage the multiple decades of combined investment experience, successful special purpose acquisition company and mergers and acquisitions execution experience, and the expansive network of relationships of the principals and affiliates of our sponsor. Our board and management team, led by co-founders Kerry Propper and Jonas Grossman, have a combined 80 years of investment and execution experience. Together with our management team, sponsor, and our board of directors, we are confident that the combined experience makes us uniquely situated to identify, source, negotiate and execute an initial business combination with a disruptive technology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648"/>
        <w:spacing w:after="0" w:line="296" w:lineRule="auto"/>
        <w:rPr>
          <w:sz w:val="20"/>
          <w:szCs w:val="20"/>
          <w:color w:val="auto"/>
        </w:rPr>
      </w:pPr>
      <w:r>
        <w:rPr>
          <w:rFonts w:ascii="Arial" w:cs="Arial" w:eastAsia="Arial" w:hAnsi="Arial"/>
          <w:sz w:val="16"/>
          <w:szCs w:val="16"/>
          <w:b w:val="1"/>
          <w:bCs w:val="1"/>
          <w:i w:val="1"/>
          <w:iCs w:val="1"/>
          <w:color w:val="auto"/>
        </w:rPr>
        <w:t xml:space="preserve">Kerry Propper </w:t>
      </w:r>
      <w:r>
        <w:rPr>
          <w:rFonts w:ascii="Arial" w:cs="Arial" w:eastAsia="Arial" w:hAnsi="Arial"/>
          <w:sz w:val="16"/>
          <w:szCs w:val="16"/>
          <w:color w:val="auto"/>
        </w:rPr>
        <w:t>is our co-founder and will serve as our Chairman of the board of directors upon the effectiveness of the registration statement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this prospectus is a part. Mr. Propper was co-founder of Chardan and served as its chief executive officer and head of its investment bank from 2003 to 2015. He is a pioneer in the special purpose acquisition marketplace and has been an executive or senior advisor for six special purpose acquisition companies. Since 2015, Mr. Propper has served as the chairman of Chardan’s board of directors and the co-founder and managing partner of ATW Partners, a growth-focused investment firm. Mr. Propper also sits on the board of 340 Basics, Credit Sesame, and PierianDx among other boards.</w:t>
      </w:r>
    </w:p>
    <w:p>
      <w:pPr>
        <w:spacing w:after="0" w:line="16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Jonas Grossman </w:t>
      </w:r>
      <w:r>
        <w:rPr>
          <w:rFonts w:ascii="Arial" w:cs="Arial" w:eastAsia="Arial" w:hAnsi="Arial"/>
          <w:sz w:val="16"/>
          <w:szCs w:val="16"/>
          <w:color w:val="auto"/>
        </w:rPr>
        <w:t>is our co-founder and has been our Chief Executive Officer and a member of our board of directors since June 2020 and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Secretary, and Treasurer since July 2020. Mr. Grossman has nearly two decades of special purpose acquisition company expertise. He has provided underwriting and business combination advisory services to more than 80 special purpose acquisition companies in a variety of industries. Mr. Grossman has been a founder and member of the board of four special purpose acquisition companies, of which on two he also has served as chief executive officer and president. Since April 2020, Mr. Grossman has served as the president and chief executive officer of Chardan Healthcare Acquisition 2 Corp. He served as president and chief executive officer of Chardan Healthcare Acquisition Corp. from March 2018 until its merger in October 2019 with BiomX Ltd. (NYSE: PHGE). Mr. Grossman is currently a director of BiomX. Mr. Grossman was a founder and director of LifeSci Acquisition Corp. from March, 2020 until the close of its business combination with Vincera Pharma, Inc. in December of 2020. Since July 2020 he has served as chief executive officer and director of Chardan NexTech Acquisition Corp. He has served as a director to Ventoux CCM Acquisition Corp. since December, 2020.</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Alex Weil </w:t>
      </w:r>
      <w:r>
        <w:rPr>
          <w:rFonts w:ascii="Arial" w:cs="Arial" w:eastAsia="Arial" w:hAnsi="Arial"/>
          <w:sz w:val="16"/>
          <w:szCs w:val="16"/>
          <w:color w:val="auto"/>
        </w:rPr>
        <w:t>has served as our Chief Financial Officer since April 2021 and will serve as a member of our board of directors upon the effective 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registration statement of which this prospectus is a part. Mr. Weil has spent over two decades on Wall Street providing strategic advisory services to global companies, senior executives, boards of directors, and investors. Since March 2021, he has served as chief financial officer and director of Chardan NexTech Acquisition Corp., and he has agreed to serve on the board of director’s. Since December 2020 he has served as a director of Ventoux CCM Acquisition Corp., a special purpose acquisition company. Mr. Weil’s background in strategic advisory work was built during his career at both global companies, such Citibank’s corporate strategy and mergers and acquisition group, UBS Financial Institutions Group’s investment bank, and General Electric’s corporate development group, and at boutique investment banking advisors, such as Lazard Middle Market and William Blair. He has advised on billions of dollars of transactions ranging from corporate divestitures and spin offs, innovative technology company acquisitions to larger, more complex mergers and acquisitions. Mr. Weil has participated or led a variety of transactions, such as: Genworth’s spin-off initial public offering from General Electric; Citi-related transactions including a variety of technology and capital markets businesses (</w:t>
      </w:r>
      <w:r>
        <w:rPr>
          <w:rFonts w:ascii="Arial" w:cs="Arial" w:eastAsia="Arial" w:hAnsi="Arial"/>
          <w:sz w:val="16"/>
          <w:szCs w:val="16"/>
          <w:i w:val="1"/>
          <w:iCs w:val="1"/>
          <w:color w:val="auto"/>
        </w:rPr>
        <w:t>e.g.</w:t>
      </w:r>
      <w:r>
        <w:rPr>
          <w:rFonts w:ascii="Arial" w:cs="Arial" w:eastAsia="Arial" w:hAnsi="Arial"/>
          <w:sz w:val="16"/>
          <w:szCs w:val="16"/>
          <w:color w:val="auto"/>
        </w:rPr>
        <w:t xml:space="preserve"> Lava Trading, Knight Options Market Making, and Automated Trading Desk) along with the creation of Citi Holdings and subsequent sales of Nikko Asset Management and its subprime auto finance business; Schwab’s acquisition of OptionsXpress; and CVC Capital Partner’s majority investment in Alix Partners. Mr. Weil’s extensive FinTech and mergers and acquisitions expertise will help put us in a strong position to originate and structure profitable investments.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Chardan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management team is supported by Chardan’s team of investment banking professionals, which possesses extensive collective experience in corporate finance, mergers and acquisitions, equity and debt capital markets, strategic consulting and operations.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Chardan has an extensive track record in the special purpose acquisition company market as underwriter, sponsor and advisor. Since 2004, Chardan has been lead or co-lead underwriter on 82 special purpose acquisition company initial public offerings. Since 2018, Chardan has been a mergers and acquisition advisor to 12 special purpose acquisition companies, helping them close transactions valued at approximately $5.7 billion. Chardan-advised special purpose acquisition companies have targeted a wide range of industries, including life sciences, healthcare services, technology hardware and software, FinTech, insurance, financial services, education, media and entertainment, industrials, materials, consumer staple, energy, hospitality, leisure, travel and dining sectors. Chardan has advised special purpose acquisition companies targeting both global and regional markets as well as those with more defined areas of focus in emerging and other geographic markets, including in North America. No special purpose acquisition company that has either been advised by Chardan or for which Chardan served as the lead underwriter has liquidated to-date. In addition to its active advisory and underwriting business, Chardan’s principals have founded or co-founded eight special purpose acquisition companies, five of which have closed successful business combinations, one of which has announced a business combination and two of which are currently seeking acquisitions.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Messrs. Propper, Grossman, and Weil, the other members of our board will include the following independent directors: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Jonathan C. “Jon” Biele </w:t>
      </w:r>
      <w:r>
        <w:rPr>
          <w:rFonts w:ascii="Arial" w:cs="Arial" w:eastAsia="Arial" w:hAnsi="Arial"/>
          <w:sz w:val="17"/>
          <w:szCs w:val="17"/>
          <w:color w:val="auto"/>
        </w:rPr>
        <w:t>will serve as a member of our board of directors upon the effective date of the registration statement of which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prospectus is a part. Mr. Biele has over 28 years of investment banking experience serving in a variety of roles. He recently joined PREEM Inc., a vertical technology platform, as head of business and corporate development. Most recently, Mr. Biele served as head of technology and services investment banking after helping rejuvenate the equity capital markets practice at SunTrust Robinson Humphrey. During his career, Mr. Biele has focused on providing capital markets, strategic and tactical advice to companies, boards of directors, private equity and venture capitalists. In addition to his tenure at SunTrust Robinson Humphrey, he has served as head of equity capital markets for Citadel Securities, Cowen and Co. and Lazard Freres in addition to his contribution in a variety of capacities with the equity capital markets departments of Lehman Brothers, ABN Amro Rothschild and UBS Securities. In these roles, Mr. Biele originated and executed numerous public and private equity and debt financings and provided strategic advice. His vast experience in corporate finance and advisory spans across multiple sectors and asset classes, both public and private. In addition to his professional activities, Mr. Biele most recently completed a third term as a trustee of Burke Mountain Academy, one of the premier ski academies in the United States, and remains the lead investor and advisor to the chief executive officer of inGamba Tours, a luxury cyclo-tourism business. Mr. Biele holds a B.A. in History from St. Lawrence University.</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Perry Boyle </w:t>
      </w:r>
      <w:r>
        <w:rPr>
          <w:rFonts w:ascii="Arial" w:cs="Arial" w:eastAsia="Arial" w:hAnsi="Arial"/>
          <w:sz w:val="17"/>
          <w:szCs w:val="17"/>
          <w:color w:val="auto"/>
        </w:rPr>
        <w:t>will serve as a member of our board of directors upon the effective date of the registration statement of which this prospectus is a part.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Boyle helped lead the launch of Point72 Asset Management, L.P., or Point72, as a registered investment advisor, raising over $6 billion in external capital. He originally joined S.A.C. Capital Advisors, or S.A.C.,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9s Program, and helped drive the internationalization of the firm, overseeing offices in London, Hong Kong, Tokyo and Singapore. Prior to joining S.A.C., Mr. Boyle was a founding partner of Thomas Weisel Partners, an investment banking company, and a managing director at Alex. Brown &amp; Sons, an investment firm. He began his career as an investment banker with Salomon Brothers Inc. Additionally, Mr. Boyle is a member of the advisory board of the Center for a New American Security (CNAS), and a director of The US Friends of the International Institute for Strategic Studies (IISS). He has agreed to serve on the board of directors of Chardan NexTech Acquisition Corp. upon the effectiveness of its registration statement. He was a 2018 and 2019 delegate from the IISS to the Shangri-La Dialogue in Singapore. He is a council member of the Hoover Institution and a Lionel Curtis member of Chatham House. Mr. Boyle helps lead the annual Ride For Our Vets, the major source of funding for the Connecticut Veterans Legal Center.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Roderick Hardamon </w:t>
      </w:r>
      <w:r>
        <w:rPr>
          <w:rFonts w:ascii="Arial" w:cs="Arial" w:eastAsia="Arial" w:hAnsi="Arial"/>
          <w:sz w:val="17"/>
          <w:szCs w:val="17"/>
          <w:color w:val="auto"/>
        </w:rPr>
        <w:t>will serve as a member of our board of directors upon the effective date of the registration statement of which this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 part. Mr. Hardamon has over two decades of mergers and acquisitions business innovation and senior executive leadership experience. He has served as chief executive officer of URGE Imprint LLC, a boutique management consulting firm headquartered in Detroit, Michigan, and URGE Development Group LLC, a real estate development firm headquartered in Detroit, Michigan, since May 2016. Previously, Mr. Hardamon held various positions at Citigroup, a leading global bank, including managing director and North American head of Citigroup’s alternative investor services business. In this role, he led an organization with over $300 billion in assets under administration and over 2,000 professionals spanning eight locations across the United States, Cayman Islands, Bermuda, Bahamas, and India. Mr. Hardamon led multiple phases of Citigroup’s ownership of the business including: (1) initial acquisition (BISYS Inc.); (2) integration into Citigroup; (3) operational transformation and growth; and (4) divestiture to SS&amp;C Technologies in March 2016. His prior roles at Citigroup included managing director and head of infrastructure &amp; integration and co-head/head of internal mergers and acquisitions for Citi Markets &amp; Banking and Global Transaction Services, respectively. After Citigroup, Mr. Hardamon briefly served as a managing director at SS&amp;C Technologies, a global provider of services and software for the financial services and healthcare industries. He is a graduate of Morehouse College with B.A.s in Accounting and Philosophy.</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Jory Des Jardins </w:t>
      </w:r>
      <w:r>
        <w:rPr>
          <w:rFonts w:ascii="Arial" w:cs="Arial" w:eastAsia="Arial" w:hAnsi="Arial"/>
          <w:sz w:val="17"/>
          <w:szCs w:val="17"/>
          <w:color w:val="auto"/>
        </w:rPr>
        <w:t>will serve as a member of our board of directors upon the effective date of the registration statement of which this prospectus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part. Ms. Jardins has decades of startup and marketing experience. Ms. Jardins is the chief marketing officer of The @ Company, a builder of an internet protocol designed to put control over online data and user experiences back into the hands of people. Additionally, Ms. Jardins is VC-in-Residence at the W Fund, a venture capital and private equity firm passionate about evangelizing emerging and disruptive tech and leveling the playing field for underrepresented founders. She pioneered social marketing as co-founder and president of BlogHer, a media marketplace representing thousands of digital influencers, which reached 100 million monthly unique viewers at the time of its acquisition in 2015. She recently served as the head of global startup marketing at Amazon Web Services, providing startups with the technology to launch, build, and scale. Ms. Jardins previously held the position of global head of community at ConsenSys, a block chain studio building decentralized applications on Ethereum. Before ConsenSys, she was an advisor at Tribal Advisors, a consulting and mergers and acquisitions advisory firm providing services to startups and corporates in the consumer digital, software and systems technology sectors. She has advised dozens of scaling startups, focusing on companies that are evolving digital influence, social content, media models, consumer marketplaces, ecommerce, block chain/token-based economies, and AR/VR/MR. Ms. Jardins graduated from the University of Illinois at Urbana-Champaign.</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Hitesh Thakrar </w:t>
      </w:r>
      <w:r>
        <w:rPr>
          <w:rFonts w:ascii="Arial" w:cs="Arial" w:eastAsia="Arial" w:hAnsi="Arial"/>
          <w:sz w:val="17"/>
          <w:szCs w:val="17"/>
          <w:color w:val="auto"/>
        </w:rPr>
        <w:t>will serve as a member of our board of directors upon the effective date of the registration statement of which this prospectus is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 Mr. Thakrar is an experienced investor in the technology sector, having spent over 20 years investing in public equities in the life sciences, information technology and innovation sectors. Since 2015, he has been active in early stage venture investing. Mr. Thakrar is currently a Venture Partner at Syncona Limited, a Wellcome Trust backed early stage venture fund. He is also a Governance Board Member of KQ Labs at the Francis Crick Institute, an accelerator supporting next generation businesses in data science and life sciences. He is the main Board Trustee of the Alan Turing Institute which is the UK National Institute for Artificial Intelligence and Data Science research. Additionally, Mr. Thakrar is the Chair of the Investment Committee for Newable Ventures, a pre-Series A fund focused on deep technology. He is also an advisor to UKRI’s Science and Technology Funding Council (SFTC) which helps early stage companies spin out from UK universities. He has previously served as a non-executive director for Desktop Genetics and Tropic Biosciences, both of which specialize in the use of CRISPR technology in gene editing. Prior to 2015, Mr. Thakrar worked at various public market institutions in global equity research and fund management including at ADIA (Abu Dhabi’s sovereign wealth fund), JP Morgan, Aviva Group, Dresdner Bank and New Star Asset Management. He has previously held the position of Innovation Fellow at the University of Cambridge, recently joined as a Trustee of the Royal National Orthopaedic Hospital Charity and is a member of the commercial Board of the Institute and Audit committee. Mr. Thakrar has a degree in chemistry from Kings College, London, an MBA from Cranfield University and a CFA from the American Association of Investment Analysts.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Todd Thomson </w:t>
      </w:r>
      <w:r>
        <w:rPr>
          <w:rFonts w:ascii="Arial" w:cs="Arial" w:eastAsia="Arial" w:hAnsi="Arial"/>
          <w:sz w:val="16"/>
          <w:szCs w:val="16"/>
          <w:color w:val="auto"/>
        </w:rPr>
        <w:t>will serve as a member of our board of directors upon the effective date of the registration statement of which this prospectus is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 Mr. Thomson is currently the chief operating officer and chief financial officer of Kairos Ventures, an early-stage investment firm. He is an accomplished operating executive and entrepreneur, having served as Citigroup chief financial officer for five years and as chief executive officer of Citigroup’s nearly $10 billion global wealth management division for more than two years. Mr. Thomson is a leading practitioner on mergers and acquisitions and business strategy, having led the acquisition and strategy efforts for Citigroup and GE Capital, as well as serving as advisor to Fortune 500 firms while at Bain &amp; Co., Booz Allen Hamilton, and Barents Group. He has extensive investing experience as chief executive officer of Citigroup alternative investments, chairman of the Citigroup pension investment committee, chairman of the dynasty investment committee, and a member of the investment committees for the Davidson College and World Resources Institute endowments. Prior to joining Kairos Ventures, Mr. Thomson served as co-founder and chairman of Dynasty Financial Partners, or Dynasty, a leading investment and technology platform for sophisticated independent advisors. Founded by Mr. Thomson and his colleagues in 2010, Dynasty serves nearly 50 registered investment advisor firms nationally, with $50 billion under management. In addition to serving as chairman, Todd served in several operating roles since Dynasty’s founding, including chairing the investment committee, serving as chief investment officer, and designing and leading Dynasty Capital Strategies. Mr. Thomson has also agreed to serve on the board of Chardan NexTech Acquisition Corp., a blank check company, upon the effectiveness of its registration statement.</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our management team’s operating, SPAC, and mergers and acquisitions transaction experience and relationships with companies will quickly provide us with a substantial number of attractive potential business combination targets. Over the course of their careers, the members of our management team have developed a broad network of contacts and corporate relationships in and around the disruptive technology industry. This network has grown through the activities of our management team sourcing, acquiring and financing businesses, our management team’s relationships with sellers, financing sources and target management teams and the experience of our management team in executing transactions under varying economic and financial market conditions.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of our executive officers and directors also served as executive officers and directors of Chardan Healthcare Acquisition Corp., or Chardan Health SPAC 1, a blank check company that consummated its initial public offering in December 2018 and consummated its initial business combination with BiomX Ltd. (NYSE: PHGE) in October 2019.</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Healthcare Acquisition 2 Corp., or Chardan Health SPAC 2, a blank check company that consummated its initial public offering in April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38" w:gutter="0" w:footer="0" w:header="0"/>
        </w:sectPr>
      </w:pPr>
    </w:p>
    <w:bookmarkStart w:id="87" w:name="page88"/>
    <w:bookmarkEnd w:id="87"/>
    <w:p>
      <w:pPr>
        <w:jc w:val="both"/>
        <w:ind w:firstLine="648"/>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Ventoux CCM Acquisition Corp., or Ventoux CCM, a blank check company that consummated its initial public offering in December 2020.</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Certain of our executive officers and directors also serve as executive officers and directors of Chardan NexTech Acquisition Corp., or Chardan NexTech 1, a blank check company that is expected to consummate its initial public offering before the consummation of this offering.</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From time to time, Chardan acts as an underwriter for the initial public offering of special purpose acquisition companies and in addition to cash fees, Chardan receive equity in the form of private placement securities. Some of those special purpose acquisition companies may be competitive with our company as they look for targets in the same industries and geographies.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respect to the foregoing descriptions, the past performance of Chardan and its affiliates and our management team is not a guarantee either</w:t>
      </w:r>
    </w:p>
    <w:p>
      <w:pPr>
        <w:spacing w:after="0" w:line="46" w:lineRule="exact"/>
        <w:rPr>
          <w:sz w:val="20"/>
          <w:szCs w:val="20"/>
          <w:color w:val="auto"/>
        </w:rPr>
      </w:pPr>
    </w:p>
    <w:p>
      <w:pPr>
        <w:jc w:val="both"/>
        <w:ind w:firstLine="8"/>
        <w:spacing w:after="0" w:line="267" w:lineRule="auto"/>
        <w:tabs>
          <w:tab w:leader="none" w:pos="224"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that we will be able to identify a suitable candidate for our initial business combination or (ii) of success with respect to any business combination we may consummate. As described in this prospectus, Messrs. Propper, Grossman, Weil, and Boyle have had management and/or board experience with blank check companies. None of our other officers or directors, our sponsor, nor any of its respective officers, directors, employees, or affiliates, have had management experience with blank check companies or special purpose acquisition corporations in the past. You should not rely on their respective historical records or performance of Chardan, its affiliates, or our management team as indicative of our future performance. Our officers and directors may have conflicts of interest with other entities to which they owe fiduciary or contractual obligations with respect to initial business combination opportunities, including for our officers with respect to Chardan Health SPAC 2, Ventoux CCM, and Chardan NexTech 1, collectively which we refer to as the Affiliated SPACs. In order to minimize potential conflicts of interest which may arise from multiple affiliations, our officers who are also officers of any of the Affiliated SPACs will be required to present all suitable target businesses to the Affiliated SPACs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For a list of our officers and directors and entities for which a conflict of interest may or does exist between such officers or directors and the company, as well as the priority and preference that such entity has with respect to performance of obligations and presentation of business opportunities to us, please refer to the table and subsequent explanatory paragraph under “Management — Conflicts of Interest”.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management team’s objective is to generate attractive returns and create long-term value for our stockholders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evaluation process will leverage our co-founders’ and board’s network of industry, private equity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members of our management team, board and advisors have experience in:</w:t>
      </w:r>
    </w:p>
    <w:p>
      <w:pPr>
        <w:spacing w:after="0" w:line="225" w:lineRule="exact"/>
        <w:rPr>
          <w:sz w:val="20"/>
          <w:szCs w:val="20"/>
          <w:color w:val="auto"/>
        </w:rPr>
      </w:pPr>
    </w:p>
    <w:p>
      <w:pPr>
        <w:jc w:val="center"/>
        <w:ind w:left="5540" w:right="1320" w:hanging="4884"/>
        <w:spacing w:after="0" w:line="778" w:lineRule="auto"/>
        <w:tabs>
          <w:tab w:leader="none" w:pos="98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key activities of special purpose acquisition companies, sponsoring, underwriting and mergers and acquisitions advisory;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187"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has a strong competitive industry position with demonstrated competitive advantages to maintain barriers to entry;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has a historic record of above average growth and strong free cash flow characteristics with high returns on capital;</w:t>
      </w:r>
    </w:p>
    <w:p>
      <w:pPr>
        <w:spacing w:after="0" w:line="225" w:lineRule="exact"/>
        <w:rPr>
          <w:rFonts w:ascii="Arial" w:cs="Arial" w:eastAsia="Arial" w:hAnsi="Arial"/>
          <w:sz w:val="18"/>
          <w:szCs w:val="18"/>
          <w:color w:val="auto"/>
        </w:rPr>
      </w:pPr>
    </w:p>
    <w:p>
      <w:pPr>
        <w:ind w:left="980" w:right="360" w:hanging="324"/>
        <w:spacing w:after="0" w:line="342"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 positioned for continued organic growth and may grow through bolt-on acquisitions;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 a fundamentally sound company with a proven track record;</w:t>
      </w:r>
    </w:p>
    <w:p>
      <w:pPr>
        <w:spacing w:after="0" w:line="225"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has an operating model that has adapted or has an executable strategy to be able to meet the changing consumer or business behaviors in a COVID-19 or post-COVID 19 environment;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will offer an attractive risk-adjusted return for our stockholders; and</w:t>
      </w:r>
    </w:p>
    <w:p>
      <w:pPr>
        <w:spacing w:after="0" w:line="225"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can benefit from being a publicly traded company, are prepared to be a publicly traded company and can utilize access to broader capital markets.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Acquisition Strategy</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Rigorous and comprehensive due diligence on prospective business targets is particularly important for disruptive technology companies,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not identified any business combination target and we have not, nor has anyone on our behalf, initiated any substantive discussions, directly or indirectly, with any business combination target. Our sponsor, all of the members of our management team and our board, and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8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addition, our officers and directors are not prohibited from becoming either a director or officer of any other special purpose acquisition company with a class of securities registered under the Securities Exchange Act of 1934, as amended, which we refer to as the Exchange 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may obtain an opinion from an independent investment banking or accounting firm as to the fair market value of the target business. We have also agreed not to enter into a definitive agreement regarding an initial business combination without the prior consent of our sponsor. In addition, pursuant to Nasdaq rules, any initial business combination must be approved by a majority of our independent directors.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at our option, pursue a business combination opportunity jointly with Chardan or one or more entities affiliated with Chardan, which we refer to as an “Affiliated Joint Acquisition.” We do not expect that we would pursue any such opportunity with an Affiliated SPAC. Any such parties would co-invest only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We refer to this potential future issuance, or a similar issuance to other specified purchasers, as a “specified future issuance” throughout this prospectus. Any such Affiliated Joint Acquisition or specified future issuance would be in addition to, and would not include, the forward purchase securities issued pursuant to the forward purchase contract. The amount and other terms and conditions of any such specified future issuance would be determined at the time thereof. We are not obligated to make any specified future issuance and may determine not to do so. This is not an offer for any specified future issuance.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48"/>
        <w:spacing w:after="0" w:line="268" w:lineRule="auto"/>
        <w:rPr>
          <w:sz w:val="20"/>
          <w:szCs w:val="20"/>
          <w:color w:val="auto"/>
        </w:rPr>
      </w:pPr>
      <w:r>
        <w:rPr>
          <w:rFonts w:ascii="Arial" w:cs="Arial" w:eastAsia="Arial" w:hAnsi="Arial"/>
          <w:sz w:val="17"/>
          <w:szCs w:val="17"/>
          <w:color w:val="auto"/>
        </w:rPr>
        <w:t>We have not selected any specific business combination target and we have not, nor has anyone on our behalf, initiated any substantive discussions, directly or indirectly, with any business combination target. From the period commencing with our formation through the date of this prospectus, there have been no communications or discussions between any of our officers, directors or our sponsor and any of their potential contacts or relationships regarding a potential initial business combination. Additionally, we have not engaged or retained any agent or other representative to identify or locate any suitable acquisition candidate, to conduct any research or take any measures, directly or indirectly, to locate or contact a target business. Additionally, we have not contacted any of the prospective target businesses that any of the Affiliated SPACs had considered and rejected while such entity was a blank check company searching for target businesses to acquire. We do not currently intend to contact any of such targets; however, we may do so in the future if we become aware that the valuations, operations, profits or prospects of such target business, or the benefits of any potential transaction with such target business, would be attractive.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8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including an Affiliated Joint Acquisition as described above. However, we will only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post-business combination company, depending on valuations ascribed to the target and us in the business combination transaction.</w:t>
      </w:r>
    </w:p>
    <w:p>
      <w:pPr>
        <w:spacing w:after="0" w:line="1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pacing w:after="0" w:line="1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Chardan will be the beneficial owner of founder shares or private warrants following this offering by virtue of its ownership of our sponsor and members of our management team may indirectly own such securities. Our sponsor intends to allocate up to 20,000 founder shares to each of our independent directors. Because of such ownership and interests, Chardan and our officers and directors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We have not, however, selected any specific business combination target and we have not, nor has anyone on our behalf, initiated any substantive discussions, directly or indirectly, with any business combination target regarding an initial business combination with our company.</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sponsor, officers, directors, Chardan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Chardan NexTech 1,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both"/>
        <w:ind w:firstLine="648"/>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Chardan Health SPAC 2.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Chardan Health SPAC 2,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a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and the private placement of the private warrants, our shares, new debt, or a combination of these, as the consideration to be paid in our initial business combination. We may seek to consummate our initial business combination with a company or business that may be financially unstable or in its early stages of development or growth (such as a company that has begun operations but is not yet at the stage of commercial manufacturing and sales), which would subject us to the numerous risks inherent in such companies and businesses, although we will not be permitted to effectuate our initial business combination with another blank check company or a similar company with nominal operations.</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our initial business combination is paid for using shares or debt securities, or not all of the funds released from the trust account are used for payment of the purchase price in connection with our business combination or used for redemptions of purchases of our common stock, we may apply the cash released to us from the trust account that is not applied to the purchase price for general corporate purposes, including for maintenance or expansion of operations of acquired businesses, the payment of principal or interest due on indebtedness incurred in consummating our initial business combination, to fund the purchase of other companies or for working capital.</w:t>
      </w:r>
    </w:p>
    <w:p>
      <w:pPr>
        <w:spacing w:after="0" w:line="18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We will have 15 months from the closing of this offering (or up to 18 months from the closing of this offering if we have executed a definitive agreement and filed a proxy statement for an initial business combination within 18 months from the closing of this offering) to consummate an initial business combination. In addition, if we anticipate that we may not be able to consummate our initial business combination within 15 months and we have not entered into a definitive agreement and filed a proxy statement for an initial business combination by such date (or 18 months if we have executed a definitive agreement and filed a proxy statement for an initial business combination within 15 months from the closing of this offering), our insiders or their affiliates may, but are not obligated to, extend the period of time to consummate a business combination up to two times by an additional three months each time (for a total of up to 21 months to complete a business combination); </w:t>
      </w:r>
      <w:r>
        <w:rPr>
          <w:rFonts w:ascii="Arial" w:cs="Arial" w:eastAsia="Arial" w:hAnsi="Arial"/>
          <w:sz w:val="16"/>
          <w:szCs w:val="16"/>
          <w:i w:val="1"/>
          <w:iCs w:val="1"/>
          <w:color w:val="auto"/>
        </w:rPr>
        <w:t>provided that</w:t>
      </w:r>
      <w:r>
        <w:rPr>
          <w:rFonts w:ascii="Arial" w:cs="Arial" w:eastAsia="Arial" w:hAnsi="Arial"/>
          <w:sz w:val="16"/>
          <w:szCs w:val="16"/>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in the absence of a definitive agreement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 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In the event of our dissolution and liquidation, the private units will expire and will be worthless.</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Subject to the requirement that our initial business combination must be with one or more target businesses or assets having an aggregate fair market value of at least 80% of the value of the trust account (excluding any taxes payable) at the time of the agreement to enter into such initial business combination, we have virtually unrestricted flexibility in identifying and selecting one or more prospective target businesses.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this assessment may not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jc w:val="both"/>
        <w:ind w:firstLine="648"/>
        <w:spacing w:after="0" w:line="254" w:lineRule="auto"/>
        <w:rPr>
          <w:sz w:val="20"/>
          <w:szCs w:val="20"/>
          <w:color w:val="auto"/>
        </w:rPr>
      </w:pPr>
      <w:r>
        <w:rPr>
          <w:rFonts w:ascii="Arial" w:cs="Arial" w:eastAsia="Arial" w:hAnsi="Arial"/>
          <w:sz w:val="18"/>
          <w:szCs w:val="18"/>
          <w:color w:val="auto"/>
        </w:rPr>
        <w:t>We may seek to raise additional funds through a private offering of debt or equity securities in connection with the consummation of our initial business combination, and we may effectuate our initial business combination using the proceeds of such offering rather than using the amounts held in the trust account. Subject to compliance with applicable securities laws, we would consummate such financing only simultaneously with the consummation of our business combination. In the case of an initial business combination funded with assets other than the trust account assets, our tender offer documents or proxy materials disclosing the business combination would disclose the terms of the financing and, only if required by law or the Nasdaq,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Target Businesses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anticipate that target business candidates will be brought to our attention from various unaffiliated sources, including investment bankers, venture capital funds, private equity groups, leveraged buyout funds, management buyout funds and other members of the financial community. Target businesses may be brought to our attention by such unaffiliated sources as a result of being solicited by us through calls or mailings. These sources also may introduce us to target businesses in which they think we may be interested on an unsolicited basis, since many of these sources will have read this prospectus and know what types of businesses we are targeting. Our officers and directors, as well as their affiliates, also may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Although some of our officers and directors may enter into employment or consulting agreements with the acquired business following our initial business combination, the presence or absence of any such arrangements will not be used as a criterion in our selection process of an acquisition candidate.</w:t>
      </w:r>
    </w:p>
    <w:p>
      <w:pPr>
        <w:spacing w:after="0" w:line="18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not prohibited from pursuing an initial business combination with a business that is affiliated with Chardan or its affiliates or our sponsor, officers or directors, including an Affiliated Joint Acquisition. In the event we seek to complete our initial business combination with an initial business combination target that is affiliated with our sponsor, officers or directors, we, or a committee of independent directors, would obtain an opinion from an independent investment banking firm or another independent firm that commonly renders valuation opinions that such an initial business combination is fair to our stockholders from a financial point of view. We are not required to obtain such an opinion in any other context.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jc w:val="both"/>
        <w:ind w:firstLine="648"/>
        <w:spacing w:after="0" w:line="268" w:lineRule="auto"/>
        <w:rPr>
          <w:sz w:val="20"/>
          <w:szCs w:val="20"/>
          <w:color w:val="auto"/>
        </w:rPr>
      </w:pPr>
      <w:r>
        <w:rPr>
          <w:rFonts w:ascii="Arial" w:cs="Arial" w:eastAsia="Arial" w:hAnsi="Arial"/>
          <w:sz w:val="17"/>
          <w:szCs w:val="17"/>
          <w:color w:val="auto"/>
        </w:rPr>
        <w:t>As more fully discussed in the section of this prospectus entitled “Management — Conflicts of Interest”,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Chardan Healthcare Acquisition 2 Corp., Ventoux CCM Acquisition Corp. and Chardan NexTech Acquisition Corp. Our officers and directors also may become aware of business opportunities which may be appropriate for presentation to us and the other entities to which they owe certain fiduciary, contractual or other duties. Accordingly, if any of our officers or directors becomes aware of a business combination opportunity which is suitable for one or more entities to which he or she has fiduciary, contractual or other obligations or duties, including Chardan Healthcare Acquisition 2 Corp., Ventoux CCM Acquisition Corp. and Chardan NexTech Acquisition Corp., he or she will honor these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at our option, pursue an Affiliated Joint Acquisition. We do not expect that we would pursue any such opportunity with an Affiliated SPAC. Any such parties would co-invest only if (i) permitted by applicable regulatory and other legal limitations; (ii) we and our sponsor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Any such Affiliated Joint Acquisition or specified future issuance would be in addition to, and would not include, the forward purchase securities issued pursuant to the forward purchase contract.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Selection of a Target Business and Structuring of a Business Combination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So long as we obtain and maintain a listing for our securities on Nasdaq,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The fair market value of our initial business combination will be determined by our board of directors based upon one or more standards generally accepted by the financial community, such as discounted cash flow valuation, a valuation based on trading multiples of comparable public businesses or a valuation based on the financial metrics of mergers and acquisitions transactions of comparable businesses. If our board of directors is not able to independently determine the fair market value of our initial business combination, we will obtain an opinion from an independent investment banking firm or another independent firm that commonly renders valuation opinions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 We do not intend to purchase multiple businesses in unrelated industries in conjunction with our initial business combination. We have also agreed not to enter into a definitive agreement regarding an initial business combination without the prior consent of our sponsor. Subject to this requirement, our management will have virtually unrestricted flexibility in identifying and selecting one or more prospective target businesses, although we will not be permitted to effectuate our initial business combination with another blank check company or a similar company with nominal operations.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any case, we will only complete an initial business combination in which we own or acquire 50% or more of the outstanding voting securities of the target or otherwise acquire a controlling interest in the target sufficient for it not to be required to register as an investment company under the Investment Company Act. If we own or acquire less than 100% of the equity interests or assets of a target business or businesses, the portion of such business or businesses that are owned or acquired by the post-transaction company is what will be taken into account for purposes of Nasdaq’s 80% fair market value test. There is no basis for investors in this offering to evaluate the possible merits or risks of any target business with which we may ultimately complete our initial business combination.</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jc w:val="both"/>
        <w:ind w:firstLine="648"/>
        <w:spacing w:after="0" w:line="263" w:lineRule="auto"/>
        <w:rPr>
          <w:sz w:val="20"/>
          <w:szCs w:val="20"/>
          <w:color w:val="auto"/>
        </w:rPr>
      </w:pPr>
      <w:r>
        <w:rPr>
          <w:rFonts w:ascii="Arial" w:cs="Arial" w:eastAsia="Arial" w:hAnsi="Arial"/>
          <w:sz w:val="18"/>
          <w:szCs w:val="18"/>
          <w:color w:val="auto"/>
        </w:rPr>
        <w:t>In evaluating a prospective target business, we expect to conduct a thorough due diligence review that will encompass, among other things, meetings with incumbent management and employees, document reviews, interviews of customers and suppliers, inspection of facilities, as well as a review of financial and other information which will be made available to us.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a business combination is not ultimately completed will result in our incurring losses and will reduce the funds we can use to complete another business combination. We will not pay any finders or consulting fees to members of our management team, or any of their respective affiliates, for services rendered to or in connection with our initial business combination.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171" w:lineRule="exact"/>
        <w:rPr>
          <w:sz w:val="20"/>
          <w:szCs w:val="20"/>
          <w:color w:val="auto"/>
        </w:rPr>
      </w:pPr>
    </w:p>
    <w:p>
      <w:pPr>
        <w:ind w:left="9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The future role of members of our management team, if any, in the target business cannot presently be stated with any certainty. Consequently, members of our management team may not become a part of the target’s management team, and the future management may not have the necessary skills, qualifications or abilities to manage a public company. Further, it is also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 The determination as to whether any of our key personnel will remain with the combined company will be made at the time of our initial business combination.</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that additional managers will have the requisite skills, knowledge or experience necessary to enhance the incumbent management.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May Not Have the Ability to Approve an Initial Business Combination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connection with any proposed business combination, we will either (1) seek stockholder approval of our initial business combination at a meeting called for such purpose at which public stockholders may seek to redeem their public shares, regardless of whether they vote for or against the proposed business combination, into their pro rata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redeem any public shares held by them into their pro rata share of the aggregate amount then on deposit in the trust account. If we determine to engage in a tender offer, such tender offer will be structured so that each stockholder may tender any or all of his, her or its public shares rather than some pro rata portion of his, her or its shares. The decision as to whether we will seek stockholder approval of a proposed business combination or will allow stockholders to sell their shares to us in a tender offer will be made by us based on a variety of factors such as the timing of the transaction and whether the terms of the transaction would otherwise require us to seek stockholder approval. If we so choose and we are legally permitted to do so, we have the flexibility to avoid a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jc w:val="both"/>
        <w:ind w:firstLine="648"/>
        <w:spacing w:after="0" w:line="255" w:lineRule="auto"/>
        <w:rPr>
          <w:sz w:val="20"/>
          <w:szCs w:val="20"/>
          <w:color w:val="auto"/>
        </w:rPr>
      </w:pPr>
      <w:r>
        <w:rPr>
          <w:rFonts w:ascii="Arial" w:cs="Arial" w:eastAsia="Arial" w:hAnsi="Arial"/>
          <w:sz w:val="18"/>
          <w:szCs w:val="18"/>
          <w:color w:val="auto"/>
        </w:rPr>
        <w:t>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chose our net tangible asset threshold of $5,000,001 to ensure that we would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or sold to us)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15 months (or up to 21 months, as applicable) from the closing of this offering in order to be able to receive a pro rata share of the trust account.</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initial stockholders and our officers and directors have agreed (1) to vote any shares of common stock owned by them in favor of any proposed business combination, (2) not to redeem any shares of common stock in connection with a stockholder vote to approve a proposed initial business combination and (3) not sell any shares of common stock in any tender in connection with a proposed initial business combination. As a result, if we sought stockholder approval of a proposed transaction, we would need only 3,750,001, or 37.5%, of the 10,000,000 public shares sold in this offering to be voted in favor of an initial business combination (assuming all outstanding shares are voted) in order to have our initial business combination approved (assuming the over-allotment option is not exercised).</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None of our officers, directors, initial stockholders or their affiliates has indicated any intention to purchase units or shares of common stock in this offering or from persons in the open market or in private transactions. However, if we hold a meeting to approve a proposed business combination and a significant number of stockholders vote, or indicate an intention to vote, against such proposed business combination, our officers, directors, initial stockholders or their affiliates could make such purchases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Permitted Purchases of our Securities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initial stockholders, directors, officers, advisors or any their respective affiliates may purchase shares or public warrants in privately negotiated transactions or in the open market either prior to or following the completion of our initial business combination. There is no limit on the number of shares our initial stockholders, directors, officers, advisors or any of their respective affiliates may purchase in such transactions, subject to compliance with applicable law and Nasdaq rules. However, they have no current commitments, plans or intentions to engage in such transactions and have not formulated any terms or conditions for any such transactions.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jc w:val="both"/>
        <w:ind w:firstLine="648"/>
        <w:spacing w:after="0" w:line="269" w:lineRule="auto"/>
        <w:rPr>
          <w:sz w:val="20"/>
          <w:szCs w:val="20"/>
          <w:color w:val="auto"/>
        </w:rPr>
      </w:pPr>
      <w:r>
        <w:rPr>
          <w:rFonts w:ascii="Arial" w:cs="Arial" w:eastAsia="Arial" w:hAnsi="Arial"/>
          <w:sz w:val="17"/>
          <w:szCs w:val="17"/>
          <w:color w:val="auto"/>
        </w:rPr>
        <w:t>In the event our initial stockholders, directors, officers, advisors or any of their respective affiliates determine to make any such purchases at the time of a stockholder vote relating to our initial business combination, such purchases could have the effect of influencing the vote necessary to approve such transaction. If they engage in such transactions, they will be restricted from making any such purchases when they are in possession of any material non-public information not disclosed to the seller or if such purchases are prohibited by Regulation M under the Exchange Act. Such a purchase may include a contractual acknowledgement that such stockholder, although still the record holder of our shares, is no longer the beneficial owner thereof and therefore agrees not to exercise its redemption rights.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our initial business combination.</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sponsor, officers, directors, advisors and/or any of their respective affiliates anticipate that they may identify the stockholders with whom our sponsor, officers, directors, advisors or any of their respective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sponsor, officers, directors, advisors or any of their respective affiliates enter into a private purchase, they would identify and contact only potential selling stockholders who have expressed their election to redeem their shares for a pro rata share of the trust account or vote against our initial business combination, whether or not such stockholder has already submitted a proxy with respect to our initial business combination. Such persons would select the stockholders from whom to acquire shares based on the number of shares available, the negotiated price per share and such other factors as any such person may deem relevant at the time of purchase. The price per share paid in any such transaction may be different than the amount per share a public stockholder would receive if it elected to redeem its shares in connection with our initial business combination. Our sponsor, officers, directors, advisors or any of their respective affiliates will purchase shares only if such purchases comply with Regulation M under the Exchange Act and the other federal securities laws</w:t>
      </w:r>
    </w:p>
    <w:p>
      <w:pPr>
        <w:spacing w:after="0" w:line="18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Any purchases by our sponsor, officers, directors and/or any of their respective affiliates who are affiliated purchasers under Rule 10b-18 under the Exchange Act will only be made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officers, directors, advisors and/or any of their respective affiliates will not make purchases of common stock if the purchases would violate Section 9(a)(2) or Rule 10b-5 of the Exchange Act. Any such purchases will be reported pursuant to Section 13 and Section 16 of the Exchange Act to the extent such purchases are subject to such reporting requirements.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Redemption/Tender Rights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any meeting called to approve an initial business combination, public stockholders may seek to redeem their public shares, regardless of whether they vote for or against the proposed business combination, into their pro rata share of the aggregate amount then on deposit in the trust account, less any taxes then due but not yet paid. Notwithstanding the foregoing, our initial stockholders have agreed, pursuant to written letter agreements with us, not to redeem any public shares held by them into their pro rata share of the aggregate amount then on deposit in the trust account. If we hold a meeting to approve an initial business combination, a holder will always have the ability to vote against a proposed business combination and not seek redemption of his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both"/>
        <w:ind w:firstLine="648"/>
        <w:spacing w:after="0" w:line="311" w:lineRule="auto"/>
        <w:rPr>
          <w:sz w:val="20"/>
          <w:szCs w:val="20"/>
          <w:color w:val="auto"/>
        </w:rPr>
      </w:pPr>
      <w:r>
        <w:rPr>
          <w:rFonts w:ascii="Arial" w:cs="Arial" w:eastAsia="Arial" w:hAnsi="Arial"/>
          <w:sz w:val="16"/>
          <w:szCs w:val="16"/>
          <w:color w:val="auto"/>
        </w:rPr>
        <w:t>Alternatively, if we engage in a tender offer, each public stockholder will be provided the opportunity to sell his public shares to us in such tender offer. The tender offer rules require us to hold the tender offer open for at least 20 business days. Accordingly, this is the minimum amount of time we would need to provide holders to determine whether they want to sell their public shares to us in the tender offer or remain an investor in our company.</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initial stockholders, officers and directors will not have redemption rights with respect to any shares of common stock owned by them, directly or indirectly, whether acquired prior to this offering or purchased by them in this offering or in the aftermarket.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also require public stockholders, whether they are a record holder or hold their shares in “street name,” to either tender their certificates (if any) to our transfer agent or to deliver their shares to the transfer agent electronically using Depository Trust Company’s DWAC (Deposit/Withdrawal At Custodian) System, at the holder’s option, at any time at or prior to the vote on the business combination.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our proxy statement is mailed through the vote on the business combination to deliver his shares if he wishes to seek to exercise his redemption rights. Under Delaware law and our bylaws, we are required to provide at least 10 days’ advance notice of any stockholder meeting, which would be the minimum amount of time a stockholder would have to determine whether to exercise redemption rights. As a result, if we require public stockholders who wish to redeem their shares of common stock into the right to receive a pro rata portion of the funds in the trust account to comply with the foregoing delivery requirements, holders may not have sufficient time to receive the notice and deliver their shares for redemption. Accordingly, investors may not be able to exercise their redemption rights and may be forced to retain our securities when they otherwise would not want to. The redemption rights will include the requirement that a beneficial holder must identify itself in order to validly redeem its shares.</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redeeming holder. However, this fee would be incurred regardless of whether or not we require holders seeking to exercise redemption rights. The need to deliver shares is a requirement of exercising redemption rights regardless of the timing of when such delivery must be effectuated. However, in the event we require stockholders seeking to exercise redemption rights to deliver their shares prior to the consummation of the proposed business combination and the proposed business combination is not consummated, this may result in an increased cost to stockholders.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request to redeem or tender such shares once made, may be withdrawn at any time up to the vote on the proposed business combination or expiration of the tender offer. Furthermore, if a holder of a public share delivered his certificate in connection with an election of their redemption or tender and subsequently decides prior to the vote on the business combination or the expiration of the tender offer not to elect to exercise such rights, he may simply request that the transfer agent return the certificate (physically or electronically).</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amended and restated certificate of incorporation will provide that 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For example, the proposed initial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initial business combination. In the event the aggregate cash consideration we would be required to pay for all shares of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shares of common stock submitted for redemption will be returned to the holders thereof.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spacing w:after="0" w:line="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Notwithstanding the foregoing, 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which we refer to as the “Excess Shares.” Such restriction shall also be applicable to our affiliates. We believe this restriction will discourage stockholders from accumulating large blocks of shares, and subsequent attempts by such holders to use their ability to exercise their redemption rights against a proposed initial business combination as a means to force us or our management to purchase their shares at a significant premium to the then-current market price or on other undesirable terms. Absent this provision, a public stockholder holding more than an aggregate of 15% of the shares sold in this offering could threaten to exercise its redemption rights if such holder’s shares are not purchased by us or our management at a premium to the then-current market price or on other undesirable terms. By limiting our stockholders’ ability to redeem no more than 15% of the shares sold in this offering without our prior consent, we believe we will limit the ability of a small group of stockholders to unreasonably attempt to block our ability to complete our initial business combination, particularly in connection with an initial business combination with a target that requires as a closing condition that we have a minimum net worth or a certain amount of cash. However, we would not be restricting our stockholders’ ability to vote all of their shares (including Excess Shares) for or against our initial business combination.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initial business combination is not approved or completed for any reason, then our public stockholders who elected to exercise their redemption or tender rights would not be entitled to redeem their shares for the applicable pro rata share of the trust account. In such case, we will promptly return any shares delivered by public 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of Trust Account if No Business Combination</w:t>
      </w:r>
    </w:p>
    <w:p>
      <w:pPr>
        <w:spacing w:after="0" w:line="22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If we do not complete a business combination within 15 months from the closing of this offering (or up to 18 months from the closing of this offering if we have executed a definitive agreement and filed a proxy statement for an initial business combination within 15 months from the closing of this offering),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However, if we anticipate that we may not be able to consummate our initial business combination within 15 months and we have not entered into a definitive agreement and filed a proxy statement for an initial business combination by such date (or 18 months if we have executed a definitive agreement and filed a proxy statement for an initial business combination within 15 months from the closing of this offering), our insiders or their affiliates may, but are not obligated to, extend the period of time to consummate a business combination up to two times by an additional three months each time (for a total of up to 21 months to complete a business combination); </w:t>
      </w:r>
      <w:r>
        <w:rPr>
          <w:rFonts w:ascii="Arial" w:cs="Arial" w:eastAsia="Arial" w:hAnsi="Arial"/>
          <w:sz w:val="16"/>
          <w:szCs w:val="16"/>
          <w:i w:val="1"/>
          <w:iCs w:val="1"/>
          <w:color w:val="auto"/>
        </w:rPr>
        <w:t>provided that</w:t>
      </w:r>
      <w:r>
        <w:rPr>
          <w:rFonts w:ascii="Arial" w:cs="Arial" w:eastAsia="Arial" w:hAnsi="Arial"/>
          <w:sz w:val="16"/>
          <w:szCs w:val="16"/>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in the absence of a definitive agreement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Public stockholders will not be offered the opportunity to vote on or redeem their shares in connection with any such extension.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 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There will be no redemption rights or liquidating distributions with respect to our warrants, which will expire worthless if we fail to complete our initial business combination within the allotted time period.</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sponsor,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15 months (or up to 21 months, as applicable) from the closing of this offering. However, if our sponsor, officers or directors acquire public shares in or after this offering, they will be entitled to liquidating distributions from the trust account with respect to such public shares if we fail to complete our initial business combination within the allotted time period.</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15 months (or up to 21 months, as applicable) from the closing of this offering or (ii)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If this optional redemption right is exercised with respect to an excessive number of public shares such that we cannot satisfy the net tangible asset requirement (described above), we would not proceed with the amendment or the related redemption of our public shares at such time.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68" w:orient="portrait"/>
          <w:cols w:equalWidth="0" w:num="1">
            <w:col w:w="11240"/>
          </w:cols>
          <w:pgMar w:left="320" w:top="1124" w:right="339" w:bottom="0" w:gutter="0" w:footer="0" w:header="0"/>
        </w:sectPr>
      </w:pPr>
    </w:p>
    <w:bookmarkStart w:id="99" w:name="page100"/>
    <w:bookmarkEnd w:id="99"/>
    <w:p>
      <w:pPr>
        <w:jc w:val="both"/>
        <w:ind w:firstLine="648"/>
        <w:spacing w:after="0" w:line="253" w:lineRule="auto"/>
        <w:rPr>
          <w:sz w:val="20"/>
          <w:szCs w:val="20"/>
          <w:color w:val="auto"/>
        </w:rPr>
      </w:pPr>
      <w:r>
        <w:rPr>
          <w:rFonts w:ascii="Arial" w:cs="Arial" w:eastAsia="Arial" w:hAnsi="Arial"/>
          <w:sz w:val="18"/>
          <w:szCs w:val="18"/>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9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 redeem our public shares as soon as reasonably possible following the 15th month (or up to 21st month, as applicable) from the closing of this offering, but not more than five business days thereafter,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seek to have all third parties (including any vendors or other entities we engage after this offering) and any prospective target businesses enter into valid and enforceable agreements with us waiving any right, title, interest or claim of any kind they may have in or to any monies held in the trust account. The underwriters in this offering will execute such a waiver agreement.</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refused to execute a waiver would be the engagement of a third party consultant who cannot sign such an agreement due to regulatory restrictions, such as our independent public registered accounting firm,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they execute such agreements with us, they will not seek recourse against the trust account.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$10.10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this offering against certain liabilities, including liabilities under the Securities Act. Our board of directors has evaluated our insiders’ financial net worth and believes they will be able to satisfy any indemnification obligations that may arise. However, our insiders may not be able to satisfy their indemnification obligations, as we have not required our insiders to retain any assets to provide for their indemnification obligations, nor have we taken any further steps to ensure that they will be able to satisfy any indemnification obligations that arise. Moreover, our insiders will not be liable to our public stockholders and instead will only have liability to us. As a result, if we liquidate, the per-share distribution from the trust account could be less than approximately $10.10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jc w:val="both"/>
        <w:ind w:firstLine="648"/>
        <w:spacing w:after="0" w:line="270" w:lineRule="auto"/>
        <w:rPr>
          <w:sz w:val="20"/>
          <w:szCs w:val="20"/>
          <w:color w:val="auto"/>
        </w:rPr>
      </w:pPr>
      <w:r>
        <w:rPr>
          <w:rFonts w:ascii="Arial" w:cs="Arial" w:eastAsia="Arial" w:hAnsi="Arial"/>
          <w:sz w:val="17"/>
          <w:szCs w:val="17"/>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5 business days to effectuate the redemption of our public shares. Our insiders have waived their rights to participate in any redemption with respect to their founder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$15,000) and have agreed not to seek repayment of such expenses. Each holder of public shares will receive a full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8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public stockholders shall be entitled to receive funds from the trust account only in the event of our failure to complete our initial business combination in the required time period or if the stockholders seek to have us redeem their respective shares of common stock upon a business combination which is actually completed by us. In no other circumstances shall a stockholder have any right or interest of any kind to or in the trust account.</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redemption amount received by public stockholders may be less than $10.10.</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amended and restated certificate of incorporation will contain certain requirements and restrictions relating to this offering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Our insiders have agreed to waive any redemption rights with respect to any founder shares and any public shares they may hold in connection with any vote to amend our certificate of incorporation. Specifically, our certificate of incorporation provides, among other things, that:</w:t>
      </w:r>
    </w:p>
    <w:p>
      <w:pPr>
        <w:spacing w:after="0" w:line="165" w:lineRule="exact"/>
        <w:rPr>
          <w:sz w:val="20"/>
          <w:szCs w:val="20"/>
          <w:color w:val="auto"/>
        </w:rPr>
      </w:pPr>
    </w:p>
    <w:p>
      <w:pPr>
        <w:jc w:val="both"/>
        <w:ind w:left="980" w:hanging="324"/>
        <w:spacing w:after="0" w:line="255"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prior to the consummation of our initial business combination, we shall either (1) seek stockholder approval of our initial business combination at a meeting called for such purpose at which public stockholders may seek to redeem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jc w:val="both"/>
        <w:ind w:left="980" w:hanging="324"/>
        <w:spacing w:after="0" w:line="263"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public stockholders do not exercise redemption rights in an amount that would cause our net tangible assets to be less than $5,000,001 and a majority of the outstanding shares of common stock voted are voted in favor of the business combination;</w:t>
      </w:r>
    </w:p>
    <w:p>
      <w:pPr>
        <w:spacing w:after="0" w:line="183" w:lineRule="exact"/>
        <w:rPr>
          <w:rFonts w:ascii="Arial" w:cs="Arial" w:eastAsia="Arial" w:hAnsi="Arial"/>
          <w:sz w:val="18"/>
          <w:szCs w:val="18"/>
          <w:color w:val="auto"/>
        </w:rPr>
      </w:pPr>
    </w:p>
    <w:p>
      <w:pPr>
        <w:jc w:val="both"/>
        <w:ind w:left="980" w:hanging="324"/>
        <w:spacing w:after="0" w:line="342"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our initial business combination is not consummated within 15 months (or up to 21 months, as applicable) of the closing of this offering, then our existence will terminate and we will distribute all amounts in the trust account to all of our public holders of shares of common stock;</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upon the consummation of this offering, $101,000,000, or $116,150,000 if the over-allotment option is exercised in full, shall be placed into the trust account;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prior to our initial business combination, we may not issue additional shares of capital stock that would entitle the holders thereof to</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(i) receive funds from the trust account or (ii) vote on any initial business combination.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Revisions to Agreements with Insiders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of our insiders has entered into letter agreements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184" w:lineRule="exact"/>
        <w:rPr>
          <w:sz w:val="20"/>
          <w:szCs w:val="20"/>
          <w:color w:val="auto"/>
        </w:rPr>
      </w:pPr>
    </w:p>
    <w:p>
      <w:pPr>
        <w:ind w:left="980" w:hanging="324"/>
        <w:spacing w:after="0" w:line="308"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restrictions on transfer of our securities could be amended to allow transfer to third parties who were not members of our original management team;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obligation of our management team to not propose amendments to our organizational documents could be amended to allow them to propose such changes to our stockholders;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obligation of insiders to not receive any compensation in connection with a business combination could be modified in order to allow them to receive such compensation;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requirement to obtain a valuation for any target business affiliated with our insiders, in the event it was too expensive to do so.</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ind w:left="660"/>
        <w:spacing w:after="0"/>
        <w:rPr>
          <w:sz w:val="20"/>
          <w:szCs w:val="20"/>
          <w:color w:val="auto"/>
        </w:rPr>
      </w:pPr>
      <w:r>
        <w:rPr>
          <w:rFonts w:ascii="Arial" w:cs="Arial" w:eastAsia="Arial" w:hAnsi="Arial"/>
          <w:sz w:val="16"/>
          <w:szCs w:val="16"/>
          <w:color w:val="auto"/>
        </w:rPr>
        <w:t>Except as specified above, stockholders would not be required to be given the opportunity to redeem their shares in connection with such changes.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changes could result in:</w:t>
      </w:r>
    </w:p>
    <w:p>
      <w:pPr>
        <w:spacing w:after="0" w:line="211" w:lineRule="exact"/>
        <w:rPr>
          <w:sz w:val="20"/>
          <w:szCs w:val="20"/>
          <w:color w:val="auto"/>
        </w:rPr>
      </w:pPr>
    </w:p>
    <w:p>
      <w:pPr>
        <w:ind w:left="9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insiders being able to vote against a business combination or in favor of changes to our organizational documents;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operations being controlled by a new management team that our stockholders did not elect to invest with;</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insiders receiving compensation in connection with a business combination;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insiders closing a transaction with one of their affiliates without receiving an independent valuation of such business.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significant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the requirement that we acquire a target business or businesses having a fair market value equal to at least 80% of the value of the trust account (excluding any taxes payable) at the time of the agreement to enter into the business combination, our obligation to pay cash in connection with our public stockholders who exercise their redemption rights and the number of our outstanding warrants and the future dilution they potentially represent, may not be viewed favorably by certain target businesses. Any of these factors may place us at a competitive disadvantage in successfully negotiating our initial business combination.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3" w:lineRule="exact"/>
        <w:rPr>
          <w:sz w:val="20"/>
          <w:szCs w:val="20"/>
          <w:color w:val="auto"/>
        </w:rPr>
      </w:pPr>
    </w:p>
    <w:p>
      <w:pPr>
        <w:jc w:val="both"/>
        <w:ind w:right="20" w:firstLine="648"/>
        <w:spacing w:after="0" w:line="214" w:lineRule="auto"/>
        <w:rPr>
          <w:sz w:val="20"/>
          <w:szCs w:val="20"/>
          <w:color w:val="auto"/>
        </w:rPr>
      </w:pPr>
      <w:r>
        <w:rPr>
          <w:rFonts w:ascii="Arial" w:cs="Arial" w:eastAsia="Arial" w:hAnsi="Arial"/>
          <w:sz w:val="18"/>
          <w:szCs w:val="18"/>
          <w:color w:val="auto"/>
        </w:rPr>
        <w:t>We currently maintain our executive offices at 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 New York, NY 10004. Our sponsor is making this space available to us for a fee of $10,000 per month. We consider our current office space adequate for our current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currently have two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With funds available for an initial business combination initially in the amount of $97,497,000, after payment of the Marketing Fee of $3,500,000 (or $112,122,000 after payment of the Marketing Fee of up to $4,025,000 if the underwriters’ over-allotment option is exercised in full), before fees and expenses associated with our initial business combination, we offer a target business a variety of options such as creating a liquidity event for its owners, providing capital for the potential growth and expansion of its operations or strengthening its balance sheet by reducing its debt or leverage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registered the offer and sale of our units, shares of common stock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will provide stockholders with audited financial statements of the prospective target business as part of any proxy solicitation sent to stockholders to assist them in assessing the target business. In all likelihood, the financial information included in the proxy solicitation materials will need to be prepared in accordance with U.S. GAAP or IFRS, depending on the circumstances, and the historical financial statements may be required to be audited in accordance with the standards of the PCAOB. The financial statements may also be required to be prepared in accordance with U.S. GAAP for the Form 8-K announcing the closing of an initial business combination, which would need to be filed within four business days thereafter. We cannot assure you that any particular target business identified by us as a potential acquisition candidate will have the necessary financial information. To the extent that this requirement cannot be met, we may not be able to acquire the proposed target business.</w:t>
      </w:r>
    </w:p>
    <w:p>
      <w:pPr>
        <w:spacing w:after="0" w:line="17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will be required to comply with the internal control requirements of the Sarbanes-Oxley Act beginning for the fiscal year ending December 31, 2022.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prior year’s second quarter, and (2) the date on which we have issued more than $1.0 billion in non-convertible debt securities during the prior three-year period. References herein to “emerging growth company” shall have the meaning associated with it in the JOBS Act.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we are a “smaller reporting company” as defined in Item 10(f)(1) of Regulation S-K promulgated by the Securities and Exchange Commission, or the SEC.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that year’s second fiscal quarter, or (2) our annual revenues exceeded $100 million during such completed fiscal year and the market value of our common stock held by non-affiliates exceeds $700 million as of the end of that year’s second fiscal quarter.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is no material litigation, arbitration or governmental proceeding currently pending against us or any of our officers or directors in their capacity as such, and we and our officers and directors have not been subject to any such proceeding in the 12 months preceding the date of this prospectus.</w:t>
      </w:r>
    </w:p>
    <w:p>
      <w:pPr>
        <w:spacing w:after="0" w:line="1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compares the redemptions and other permitted purchases of public shares that may take place in connection with the completion of our initial business combination and if we are unable to complete our initial business combination within 15 months (or up to 21 months, as applicable) from the closing of this offering.</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Calculation of redemption price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Redemptions</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Other Permitted</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Redemptions if we</w:t>
            </w:r>
          </w:p>
        </w:tc>
      </w:t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 Connection with our</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Purchases of Public</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fail to Complete an</w:t>
            </w:r>
          </w:p>
        </w:tc>
      </w:t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Initial Business</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 by us or our</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Initial Business</w:t>
            </w:r>
          </w:p>
        </w:tc>
      </w:tr>
      <w:tr>
        <w:trPr>
          <w:trHeight w:val="234"/>
        </w:trPr>
        <w:tc>
          <w:tcPr>
            <w:tcW w:w="20" w:type="dxa"/>
            <w:vAlign w:val="bottom"/>
          </w:tcPr>
          <w:p>
            <w:pPr>
              <w:spacing w:after="0"/>
              <w:rPr>
                <w:sz w:val="20"/>
                <w:szCs w:val="20"/>
                <w:color w:val="auto"/>
              </w:rPr>
            </w:pPr>
          </w:p>
        </w:tc>
        <w:tc>
          <w:tcPr>
            <w:tcW w:w="3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Combination</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Affiliates</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Combination</w:t>
            </w:r>
          </w:p>
        </w:tc>
      </w:tr>
      <w:tr>
        <w:trPr>
          <w:trHeight w:val="195"/>
        </w:trPr>
        <w:tc>
          <w:tcPr>
            <w:tcW w:w="20" w:type="dxa"/>
            <w:vAlign w:val="bottom"/>
          </w:tcPr>
          <w:p>
            <w:pPr>
              <w:spacing w:after="0"/>
              <w:rPr>
                <w:sz w:val="16"/>
                <w:szCs w:val="16"/>
                <w:color w:val="auto"/>
              </w:rPr>
            </w:pPr>
          </w:p>
        </w:tc>
        <w:tc>
          <w:tcPr>
            <w:tcW w:w="3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Redemptions  at  the  time  of  our  initial</w:t>
            </w:r>
          </w:p>
        </w:tc>
        <w:tc>
          <w:tcPr>
            <w:tcW w:w="12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If we seek stockholder approval of our</w:t>
            </w:r>
          </w:p>
        </w:tc>
        <w:tc>
          <w:tcPr>
            <w:tcW w:w="10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If we are unable to complete our initial</w:t>
            </w:r>
          </w:p>
        </w:tc>
        <w:tc>
          <w:tcPr>
            <w:tcW w:w="20" w:type="dxa"/>
            <w:vAlign w:val="bottom"/>
          </w:tcPr>
          <w:p>
            <w:pPr>
              <w:spacing w:after="0"/>
              <w:rPr>
                <w:sz w:val="16"/>
                <w:szCs w:val="16"/>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business combination may be made pursuant</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initial business combination, our sponsor,</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business combination within 15 months (or</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to a tender offer or in connection with a</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rPr>
              <w:t>directors,  officers,  advisors  or  their</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up to 21 months, as applicable) from the</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stockholder vote. The redemption price will</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affiliates may purchase shares in privately</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closing of this offering, we will redeem all</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be   the   same   whether   we   conduct</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negotiated  transactions  or  in  the  open</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public shares at a per-share price, payable</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redemptions pursuant to a tender offer or in</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market prior to or following completion of</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color w:val="auto"/>
                <w:w w:val="98"/>
              </w:rPr>
              <w:t>in cash, equal to the aggregate amount,</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connection with a stockholder vote. In either</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our initial business combination. There is</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then on deposit in the trust account (which</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case, our public stockholders may redeem</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rPr>
              <w:t>no limit to the prices that our sponsor,</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rPr>
              <w:t>is initially anticipated to be $10.10 per</w:t>
            </w: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rPr>
              <w:t>their public shares for cash equal to the</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rPr>
              <w:t>directors,  officers,  advisors  or  their</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public share) including interest earned on</w:t>
            </w: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aggregate amount then on deposit in the trust</w:t>
            </w:r>
          </w:p>
        </w:tc>
        <w:tc>
          <w:tcPr>
            <w:tcW w:w="3240" w:type="dxa"/>
            <w:vAlign w:val="bottom"/>
            <w:gridSpan w:val="2"/>
          </w:tcPr>
          <w:p>
            <w:pPr>
              <w:spacing w:after="0"/>
              <w:rPr>
                <w:sz w:val="20"/>
                <w:szCs w:val="20"/>
                <w:color w:val="auto"/>
              </w:rPr>
            </w:pPr>
            <w:r>
              <w:rPr>
                <w:rFonts w:ascii="Arial" w:cs="Arial" w:eastAsia="Arial" w:hAnsi="Arial"/>
                <w:sz w:val="18"/>
                <w:szCs w:val="18"/>
                <w:color w:val="auto"/>
              </w:rPr>
              <w:t>affiliates may pay in these transactions.</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the funds held in the trust account and not</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account as of two business days prior to the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previously released to us to pay our taxes</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consummation  of  the  initial  business</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rPr>
              <w:t>(less up to $100,000 of interest to pay</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combination (which is initially anticipated to</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dissolution  expenses),  divided  by  the</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be  $10.10  per  public  share),  including</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w w:val="93"/>
              </w:rPr>
              <w:t>number of then outstanding public shares.</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interest earned on the funds held in the trust</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account and not previously released to us to</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pay our taxes divided by the number of then</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outstanding  public  shares,  subject  to  the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limitation that we may only redeem our</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public shares so long as our net tangible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assets  are  at  least  $5,000,001  either</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immediately prior to or upon consummation</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of our initial business combination and any</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limitations (including but not limited to cash</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requirements) agreed to in connection with</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the negotiation of terms of a proposed initial</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380" w:type="dxa"/>
            <w:vAlign w:val="bottom"/>
            <w:gridSpan w:val="3"/>
          </w:tcPr>
          <w:p>
            <w:pPr>
              <w:spacing w:after="0"/>
              <w:rPr>
                <w:sz w:val="20"/>
                <w:szCs w:val="20"/>
                <w:color w:val="auto"/>
              </w:rPr>
            </w:pPr>
            <w:r>
              <w:rPr>
                <w:rFonts w:ascii="Arial" w:cs="Arial" w:eastAsia="Arial" w:hAnsi="Arial"/>
                <w:sz w:val="18"/>
                <w:szCs w:val="18"/>
                <w:color w:val="auto"/>
              </w:rPr>
              <w:t>business combination.</w:t>
            </w: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1100" w:space="280"/>
            <w:col w:w="9860"/>
          </w:cols>
          <w:pgMar w:left="320" w:top="904"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343" w:lineRule="auto"/>
        <w:rPr>
          <w:sz w:val="20"/>
          <w:szCs w:val="20"/>
          <w:color w:val="auto"/>
        </w:rPr>
      </w:pPr>
      <w:r>
        <w:rPr>
          <w:rFonts w:ascii="Arial" w:cs="Arial" w:eastAsia="Arial" w:hAnsi="Arial"/>
          <w:sz w:val="15"/>
          <w:szCs w:val="15"/>
          <w:b w:val="1"/>
          <w:bCs w:val="1"/>
          <w:color w:val="auto"/>
        </w:rPr>
        <w:t>Impact to remaining stockholders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Redemptions</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Other Permitted</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89"/>
              </w:rPr>
              <w:t>Redemptions if we</w:t>
            </w:r>
          </w:p>
        </w:tc>
      </w:t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 Connection with our</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Purchases of Public</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0"/>
              </w:rPr>
              <w:t>fail to Complete an</w:t>
            </w:r>
          </w:p>
        </w:tc>
      </w:t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Initial Business</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 by us or our</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89"/>
              </w:rPr>
              <w:t>Initial Business</w:t>
            </w:r>
          </w:p>
        </w:tc>
      </w:tr>
      <w:tr>
        <w:trPr>
          <w:trHeight w:val="234"/>
        </w:trPr>
        <w:tc>
          <w:tcPr>
            <w:tcW w:w="20" w:type="dxa"/>
            <w:vAlign w:val="bottom"/>
          </w:tcPr>
          <w:p>
            <w:pPr>
              <w:spacing w:after="0"/>
              <w:rPr>
                <w:sz w:val="20"/>
                <w:szCs w:val="20"/>
                <w:color w:val="auto"/>
              </w:rPr>
            </w:pPr>
          </w:p>
        </w:tc>
        <w:tc>
          <w:tcPr>
            <w:tcW w:w="3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Combination</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Affiliates</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2"/>
              </w:rPr>
              <w:t>Combination</w:t>
            </w:r>
          </w:p>
        </w:tc>
      </w:tr>
      <w:tr>
        <w:trPr>
          <w:trHeight w:val="195"/>
        </w:trPr>
        <w:tc>
          <w:tcPr>
            <w:tcW w:w="20" w:type="dxa"/>
            <w:vAlign w:val="bottom"/>
          </w:tcPr>
          <w:p>
            <w:pPr>
              <w:spacing w:after="0"/>
              <w:rPr>
                <w:sz w:val="16"/>
                <w:szCs w:val="16"/>
                <w:color w:val="auto"/>
              </w:rPr>
            </w:pPr>
          </w:p>
        </w:tc>
        <w:tc>
          <w:tcPr>
            <w:tcW w:w="3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The  redemptions  in  connection  with  our</w:t>
            </w:r>
          </w:p>
        </w:tc>
        <w:tc>
          <w:tcPr>
            <w:tcW w:w="12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If the permitted purchases described above</w:t>
            </w:r>
          </w:p>
        </w:tc>
        <w:tc>
          <w:tcPr>
            <w:tcW w:w="10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The redemption of our public shares if we</w:t>
            </w: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initial business combination will reduce the</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are made there would be no impact to our</w:t>
            </w:r>
          </w:p>
        </w:tc>
        <w:tc>
          <w:tcPr>
            <w:tcW w:w="3140" w:type="dxa"/>
            <w:vAlign w:val="bottom"/>
          </w:tcPr>
          <w:p>
            <w:pPr>
              <w:jc w:val="center"/>
              <w:spacing w:after="0"/>
              <w:rPr>
                <w:sz w:val="20"/>
                <w:szCs w:val="20"/>
                <w:color w:val="auto"/>
              </w:rPr>
            </w:pPr>
            <w:r>
              <w:rPr>
                <w:rFonts w:ascii="Arial" w:cs="Arial" w:eastAsia="Arial" w:hAnsi="Arial"/>
                <w:sz w:val="18"/>
                <w:szCs w:val="18"/>
                <w:color w:val="auto"/>
              </w:rPr>
              <w:t>fail  to  complete  our  initial  business</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book  value  per  share  for  our  remaining</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remaining   stockholders   because   the</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combination will reduce the book value per</w:t>
            </w: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stockholders, who will bear the burden of the</w:t>
            </w:r>
          </w:p>
        </w:tc>
        <w:tc>
          <w:tcPr>
            <w:tcW w:w="3240" w:type="dxa"/>
            <w:vAlign w:val="bottom"/>
            <w:gridSpan w:val="2"/>
          </w:tcPr>
          <w:p>
            <w:pPr>
              <w:spacing w:after="0"/>
              <w:rPr>
                <w:sz w:val="20"/>
                <w:szCs w:val="20"/>
                <w:color w:val="auto"/>
              </w:rPr>
            </w:pPr>
            <w:r>
              <w:rPr>
                <w:rFonts w:ascii="Arial" w:cs="Arial" w:eastAsia="Arial" w:hAnsi="Arial"/>
                <w:sz w:val="18"/>
                <w:szCs w:val="18"/>
                <w:color w:val="auto"/>
              </w:rPr>
              <w:t>purchase price would not be paid by us.</w:t>
            </w:r>
          </w:p>
        </w:tc>
        <w:tc>
          <w:tcPr>
            <w:tcW w:w="3140" w:type="dxa"/>
            <w:vAlign w:val="bottom"/>
          </w:tcPr>
          <w:p>
            <w:pPr>
              <w:jc w:val="center"/>
              <w:spacing w:after="0"/>
              <w:rPr>
                <w:sz w:val="20"/>
                <w:szCs w:val="20"/>
                <w:color w:val="auto"/>
              </w:rPr>
            </w:pPr>
            <w:r>
              <w:rPr>
                <w:rFonts w:ascii="Arial" w:cs="Arial" w:eastAsia="Arial" w:hAnsi="Arial"/>
                <w:sz w:val="18"/>
                <w:szCs w:val="18"/>
                <w:color w:val="auto"/>
              </w:rPr>
              <w:t>share for the shares held by our initial</w:t>
            </w: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Marketing Fee, taxes payable.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rPr>
              <w:t>stockholders,  who  will  be  our  only</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rPr>
              <w:t>remaining   stockholders   after   such</w:t>
            </w:r>
          </w:p>
        </w:tc>
      </w:tr>
      <w:tr>
        <w:trPr>
          <w:trHeight w:val="230"/>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redemptions.</w:t>
            </w:r>
          </w:p>
        </w:tc>
      </w:tr>
    </w:tbl>
    <w:p>
      <w:pPr>
        <w:spacing w:after="0" w:line="198" w:lineRule="exact"/>
        <w:rPr>
          <w:sz w:val="20"/>
          <w:szCs w:val="20"/>
          <w:color w:val="auto"/>
        </w:rPr>
      </w:pPr>
    </w:p>
    <w:p>
      <w:pPr>
        <w:sectPr>
          <w:pgSz w:w="11900" w:h="16838" w:orient="portrait"/>
          <w:cols w:equalWidth="0" w:num="2">
            <w:col w:w="980" w:space="400"/>
            <w:col w:w="986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Comparison to Offerings of Blank Check Companies Subject to Rule 419</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following table compares and contrasts the terms of our offering and the terms of an offering of blank check companies under Rule 419 promulgated by the SEC assuming that the gross proceeds, underwriting discounts and underwriting expenses for the Rule 419 offering are the same as this offering and that the underwriters will not exercise their over-allotment option. None of the terms of a Rule 419 offering will apply to this offering because we will be listed on a national securities exchange, we will have net tangible assets in excess of $5,000,001 either immediately prior to or upon the successful consummation of this offering and will file a Current Report on Form 8-K, including an audited balance sheet demonstrating this fact.</w:t>
      </w:r>
    </w:p>
    <w:p>
      <w:pPr>
        <w:sectPr>
          <w:pgSz w:w="11900" w:h="16838" w:orient="portrait"/>
          <w:cols w:equalWidth="0" w:num="1">
            <w:col w:w="11240"/>
          </w:cols>
          <w:pgMar w:left="320" w:top="904" w:right="339" w:bottom="1440" w:gutter="0" w:footer="0" w:header="0"/>
          <w:type w:val="continuous"/>
        </w:sectPr>
      </w:pP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vMerge w:val="restart"/>
          </w:tcPr>
          <w:p>
            <w:pPr>
              <w:spacing w:after="0"/>
              <w:rPr>
                <w:sz w:val="20"/>
                <w:szCs w:val="20"/>
                <w:color w:val="auto"/>
              </w:rPr>
            </w:pPr>
            <w:r>
              <w:rPr>
                <w:rFonts w:ascii="Arial" w:cs="Arial" w:eastAsia="Arial" w:hAnsi="Arial"/>
                <w:sz w:val="18"/>
                <w:szCs w:val="18"/>
                <w:b w:val="1"/>
                <w:bCs w:val="1"/>
                <w:color w:val="auto"/>
              </w:rPr>
              <w:t>Escrow of offering proceeds</w:t>
            </w:r>
          </w:p>
        </w:tc>
        <w:tc>
          <w:tcPr>
            <w:tcW w:w="404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Terms of the Offering</w:t>
            </w: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w w:val="89"/>
              </w:rPr>
              <w:t>$101,000,000 of the net offering proceeds and proceeds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from the sale of the private warrants will be deposited</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into a trust account in the United States, maintained by</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Continental Stock Transfer &amp; Trust Company, acting as</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trustee.</w:t>
            </w:r>
          </w:p>
        </w:tc>
        <w:tc>
          <w:tcPr>
            <w:tcW w:w="0" w:type="dxa"/>
            <w:vAlign w:val="bottom"/>
          </w:tcPr>
          <w:p>
            <w:pPr>
              <w:spacing w:after="0"/>
              <w:rPr>
                <w:sz w:val="1"/>
                <w:szCs w:val="1"/>
                <w:color w:val="auto"/>
              </w:rPr>
            </w:pPr>
          </w:p>
        </w:tc>
      </w:tr>
      <w:tr>
        <w:trPr>
          <w:trHeight w:val="634"/>
        </w:trPr>
        <w:tc>
          <w:tcPr>
            <w:tcW w:w="3060" w:type="dxa"/>
            <w:vAlign w:val="bottom"/>
          </w:tcPr>
          <w:p>
            <w:pPr>
              <w:spacing w:after="0"/>
              <w:rPr>
                <w:sz w:val="20"/>
                <w:szCs w:val="20"/>
                <w:color w:val="auto"/>
              </w:rPr>
            </w:pPr>
            <w:r>
              <w:rPr>
                <w:rFonts w:ascii="Arial" w:cs="Arial" w:eastAsia="Arial" w:hAnsi="Arial"/>
                <w:sz w:val="18"/>
                <w:szCs w:val="18"/>
                <w:b w:val="1"/>
                <w:bCs w:val="1"/>
                <w:color w:val="auto"/>
              </w:rPr>
              <w:t>Investment of net proceeds</w:t>
            </w:r>
          </w:p>
        </w:tc>
        <w:tc>
          <w:tcPr>
            <w:tcW w:w="4040" w:type="dxa"/>
            <w:vAlign w:val="bottom"/>
          </w:tcPr>
          <w:p>
            <w:pPr>
              <w:spacing w:after="0"/>
              <w:rPr>
                <w:sz w:val="20"/>
                <w:szCs w:val="20"/>
                <w:color w:val="auto"/>
              </w:rPr>
            </w:pPr>
            <w:r>
              <w:rPr>
                <w:rFonts w:ascii="Arial" w:cs="Arial" w:eastAsia="Arial" w:hAnsi="Arial"/>
                <w:sz w:val="18"/>
                <w:szCs w:val="18"/>
                <w:color w:val="auto"/>
                <w:w w:val="99"/>
              </w:rPr>
              <w:t>The $101,000,000 of the net offering proceeds and</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proceeds from the sale of the private warrants held in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trust will only be invested in United States government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treasury bills, bonds or notes with a maturity of 185</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days or less or in money market funds meeting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applicable conditions under Rule 2a-7 promulgated</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under the Investment Company Act and that invest</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solely in United States government treasuries.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$89,550,000 of the offering proceeds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16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807" w:lineRule="exact"/>
        <w:rPr>
          <w:sz w:val="20"/>
          <w:szCs w:val="20"/>
          <w:color w:val="auto"/>
        </w:rPr>
      </w:pPr>
    </w:p>
    <w:p>
      <w:pPr>
        <w:sectPr>
          <w:pgSz w:w="11900" w:h="16838" w:orient="portrait"/>
          <w:cols w:equalWidth="0" w:num="2">
            <w:col w:w="7100" w:space="220"/>
            <w:col w:w="3920"/>
          </w:cols>
          <w:pgMar w:left="320" w:top="904"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06" w:name="page107"/>
    <w:bookmarkEnd w:id="106"/>
    <w:p>
      <w:pPr>
        <w:spacing w:after="0" w:line="216" w:lineRule="exact"/>
        <w:rPr>
          <w:sz w:val="20"/>
          <w:szCs w:val="20"/>
          <w:color w:val="auto"/>
        </w:rPr>
      </w:pPr>
    </w:p>
    <w:p>
      <w:pPr>
        <w:ind w:left="180" w:hanging="161"/>
        <w:spacing w:after="0" w:line="282" w:lineRule="auto"/>
        <w:rPr>
          <w:sz w:val="20"/>
          <w:szCs w:val="20"/>
          <w:color w:val="auto"/>
        </w:rPr>
      </w:pPr>
      <w:r>
        <w:rPr>
          <w:rFonts w:ascii="Arial" w:cs="Arial" w:eastAsia="Arial" w:hAnsi="Arial"/>
          <w:sz w:val="18"/>
          <w:szCs w:val="18"/>
          <w:b w:val="1"/>
          <w:bCs w:val="1"/>
          <w:color w:val="auto"/>
        </w:rPr>
        <w:t>Receipt of interest on escrowed funds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5628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Interest on proceeds from the trust account to be paid to stockholders is reduced by (i) any taxes paid or payable and (ii) in the event of our liquidation for failure to complete our initial business combination within the allotted time, up to $100,000 of net interest that may be released to us should we have no or insufficient working capital to fund the costs and expenses of our dissolution and liquidation.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Interest on funds in escrow account would be held for the sole benefit of investors, unless and only after the funds held in escrow were released to us in connection with our completion of a business combination.</w:t>
      </w:r>
    </w:p>
    <w:p>
      <w:pPr>
        <w:spacing w:after="0" w:line="834" w:lineRule="exact"/>
        <w:rPr>
          <w:sz w:val="20"/>
          <w:szCs w:val="20"/>
          <w:color w:val="auto"/>
        </w:rPr>
      </w:pPr>
    </w:p>
    <w:p>
      <w:pPr>
        <w:sectPr>
          <w:pgSz w:w="11900" w:h="16838" w:orient="portrait"/>
          <w:cols w:equalWidth="0" w:num="3">
            <w:col w:w="2380" w:space="680"/>
            <w:col w:w="4040" w:space="220"/>
            <w:col w:w="3920"/>
          </w:cols>
          <w:pgMar w:left="320" w:top="904" w:right="339" w:bottom="1440" w:gutter="0" w:footer="0" w:header="0"/>
        </w:sectPr>
      </w:pPr>
    </w:p>
    <w:p>
      <w:pPr>
        <w:spacing w:after="0"/>
        <w:tabs>
          <w:tab w:leader="none" w:pos="3040" w:val="left"/>
        </w:tabs>
        <w:rPr>
          <w:sz w:val="20"/>
          <w:szCs w:val="20"/>
          <w:color w:val="auto"/>
        </w:rPr>
      </w:pPr>
      <w:r>
        <w:rPr>
          <w:rFonts w:ascii="Arial" w:cs="Arial" w:eastAsia="Arial" w:hAnsi="Arial"/>
          <w:sz w:val="18"/>
          <w:szCs w:val="18"/>
          <w:b w:val="1"/>
          <w:bCs w:val="1"/>
          <w:color w:val="auto"/>
        </w:rPr>
        <w:t>Limitation on fair value or net assets</w:t>
      </w:r>
      <w:r>
        <w:rPr>
          <w:sz w:val="20"/>
          <w:szCs w:val="20"/>
          <w:color w:val="auto"/>
        </w:rPr>
        <w:tab/>
      </w:r>
      <w:r>
        <w:rPr>
          <w:rFonts w:ascii="Arial" w:cs="Arial" w:eastAsia="Arial" w:hAnsi="Arial"/>
          <w:sz w:val="16"/>
          <w:szCs w:val="16"/>
          <w:color w:val="auto"/>
        </w:rPr>
        <w:t>The initial target business that we acquire must have a</w:t>
      </w:r>
    </w:p>
    <w:p>
      <w:pPr>
        <w:spacing w:after="0" w:line="27" w:lineRule="exact"/>
        <w:rPr>
          <w:sz w:val="20"/>
          <w:szCs w:val="20"/>
          <w:color w:val="auto"/>
        </w:rPr>
      </w:pPr>
    </w:p>
    <w:p>
      <w:pPr>
        <w:ind w:left="180"/>
        <w:spacing w:after="0"/>
        <w:tabs>
          <w:tab w:leader="none" w:pos="3040" w:val="left"/>
        </w:tabs>
        <w:rPr>
          <w:sz w:val="20"/>
          <w:szCs w:val="20"/>
          <w:color w:val="auto"/>
        </w:rPr>
      </w:pPr>
      <w:r>
        <w:rPr>
          <w:rFonts w:ascii="Arial" w:cs="Arial" w:eastAsia="Arial" w:hAnsi="Arial"/>
          <w:sz w:val="18"/>
          <w:szCs w:val="18"/>
          <w:b w:val="1"/>
          <w:bCs w:val="1"/>
          <w:color w:val="auto"/>
        </w:rPr>
        <w:t>of target business</w:t>
      </w:r>
      <w:r>
        <w:rPr>
          <w:sz w:val="20"/>
          <w:szCs w:val="20"/>
          <w:color w:val="auto"/>
        </w:rPr>
        <w:tab/>
      </w:r>
      <w:r>
        <w:rPr>
          <w:rFonts w:ascii="Arial" w:cs="Arial" w:eastAsia="Arial" w:hAnsi="Arial"/>
          <w:sz w:val="16"/>
          <w:szCs w:val="16"/>
          <w:color w:val="auto"/>
        </w:rPr>
        <w:t>fair market value equal to at least 80% of the balance in</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our trust account net of taxes payable at the time of the</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execution of a definitive agreement for our initial</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business combination.</w:t>
      </w:r>
    </w:p>
    <w:p>
      <w:pPr>
        <w:spacing w:after="0" w:line="207"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color w:val="auto"/>
        </w:rPr>
        <w:t>Trading of securities issued</w:t>
      </w:r>
      <w:r>
        <w:rPr>
          <w:sz w:val="20"/>
          <w:szCs w:val="20"/>
          <w:color w:val="auto"/>
        </w:rPr>
        <w:tab/>
      </w:r>
      <w:r>
        <w:rPr>
          <w:rFonts w:ascii="Arial" w:cs="Arial" w:eastAsia="Arial" w:hAnsi="Arial"/>
          <w:sz w:val="16"/>
          <w:szCs w:val="16"/>
          <w:color w:val="auto"/>
        </w:rPr>
        <w:t>The units may commence trading on or promptly after</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the date of this prospectus. The shares of common</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stock and warrants comprising the units will begin to</w:t>
      </w:r>
    </w:p>
    <w:p>
      <w:pPr>
        <w:ind w:left="3060"/>
        <w:spacing w:after="0" w:line="207" w:lineRule="auto"/>
        <w:rPr>
          <w:sz w:val="20"/>
          <w:szCs w:val="20"/>
          <w:color w:val="auto"/>
        </w:rPr>
      </w:pPr>
      <w:r>
        <w:rPr>
          <w:rFonts w:ascii="Arial" w:cs="Arial" w:eastAsia="Arial" w:hAnsi="Arial"/>
          <w:sz w:val="17"/>
          <w:szCs w:val="17"/>
          <w:color w:val="auto"/>
        </w:rPr>
        <w:t>trade separately on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of this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prospectus unless Chardan informs us of its decision to</w:t>
      </w:r>
    </w:p>
    <w:p>
      <w:pPr>
        <w:spacing w:after="0" w:line="7" w:lineRule="exact"/>
        <w:rPr>
          <w:sz w:val="20"/>
          <w:szCs w:val="20"/>
          <w:color w:val="auto"/>
        </w:rPr>
      </w:pPr>
    </w:p>
    <w:p>
      <w:pPr>
        <w:ind w:left="3060"/>
        <w:spacing w:after="0"/>
        <w:tabs>
          <w:tab w:leader="none" w:pos="3620" w:val="left"/>
          <w:tab w:leader="none" w:pos="4260" w:val="left"/>
          <w:tab w:leader="none" w:pos="5020" w:val="left"/>
          <w:tab w:leader="none" w:pos="5700" w:val="left"/>
          <w:tab w:leader="none" w:pos="6360" w:val="left"/>
          <w:tab w:leader="none" w:pos="6900" w:val="left"/>
        </w:tabs>
        <w:rPr>
          <w:sz w:val="20"/>
          <w:szCs w:val="20"/>
          <w:color w:val="auto"/>
        </w:rPr>
      </w:pPr>
      <w:r>
        <w:rPr>
          <w:rFonts w:ascii="Arial" w:cs="Arial" w:eastAsia="Arial" w:hAnsi="Arial"/>
          <w:sz w:val="18"/>
          <w:szCs w:val="18"/>
          <w:color w:val="auto"/>
        </w:rPr>
        <w:t>allow</w:t>
        <w:tab/>
        <w:t>earlier</w:t>
        <w:tab/>
        <w:t>separate</w:t>
        <w:tab/>
        <w:t>trading</w:t>
        <w:tab/>
        <w:t>(based</w:t>
        <w:tab/>
        <w:t>upon</w:t>
      </w:r>
      <w:r>
        <w:rPr>
          <w:sz w:val="20"/>
          <w:szCs w:val="20"/>
          <w:color w:val="auto"/>
        </w:rPr>
        <w:tab/>
      </w:r>
      <w:r>
        <w:rPr>
          <w:rFonts w:ascii="Arial" w:cs="Arial" w:eastAsia="Arial" w:hAnsi="Arial"/>
          <w:sz w:val="16"/>
          <w:szCs w:val="16"/>
          <w:color w:val="auto"/>
        </w:rPr>
        <w:t>its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assessment of the relative strengths of the securities</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markets  and  small  capitalization  and  blank  check</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companies in general, and the trading pattern of, and</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demand for, our securities in particular), provided we</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have filed with the SEC a Current Report on Form 8-K,</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which includes an audited balance sheet reflecting our</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receipt of the proceeds of this offering.</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We would be restricted from acquiring a target business unless the fair value of such business or net assets to be acquired represent at least 80% of the maximum offering proceeds.</w:t>
      </w:r>
    </w:p>
    <w:p>
      <w:pPr>
        <w:spacing w:after="0" w:line="200" w:lineRule="exact"/>
        <w:rPr>
          <w:sz w:val="20"/>
          <w:szCs w:val="20"/>
          <w:color w:val="auto"/>
        </w:rPr>
      </w:pPr>
    </w:p>
    <w:p>
      <w:pPr>
        <w:spacing w:after="0" w:line="2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No trading of the units or the underlying securities would be permitted until the completion of a business combination. During this period, the securities would be held in the escrow or trust account.</w:t>
      </w:r>
    </w:p>
    <w:p>
      <w:pPr>
        <w:spacing w:after="0" w:line="2130" w:lineRule="exact"/>
        <w:rPr>
          <w:sz w:val="20"/>
          <w:szCs w:val="20"/>
          <w:color w:val="auto"/>
        </w:rPr>
      </w:pPr>
    </w:p>
    <w:p>
      <w:pPr>
        <w:sectPr>
          <w:pgSz w:w="11900" w:h="16838" w:orient="portrait"/>
          <w:cols w:equalWidth="0" w:num="2">
            <w:col w:w="7100" w:space="220"/>
            <w:col w:w="3920"/>
          </w:cols>
          <w:pgMar w:left="320" w:top="904" w:right="339" w:bottom="1440" w:gutter="0" w:footer="0" w:header="0"/>
          <w:type w:val="continuous"/>
        </w:sectPr>
      </w:pPr>
    </w:p>
    <w:p>
      <w:pPr>
        <w:spacing w:after="0" w:line="7"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color w:val="auto"/>
        </w:rPr>
        <w:t>Exercise of the warrants</w:t>
      </w:r>
      <w:r>
        <w:rPr>
          <w:sz w:val="20"/>
          <w:szCs w:val="20"/>
          <w:color w:val="auto"/>
        </w:rPr>
        <w:tab/>
      </w:r>
      <w:r>
        <w:rPr>
          <w:rFonts w:ascii="Arial" w:cs="Arial" w:eastAsia="Arial" w:hAnsi="Arial"/>
          <w:sz w:val="16"/>
          <w:szCs w:val="16"/>
          <w:color w:val="auto"/>
        </w:rPr>
        <w:t>The warrants cannot be exercised until the completion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a business combination and, accordingly, will be</w:t>
      </w:r>
    </w:p>
    <w:p>
      <w:pPr>
        <w:spacing w:after="0" w:line="9" w:lineRule="exact"/>
        <w:rPr>
          <w:sz w:val="20"/>
          <w:szCs w:val="20"/>
          <w:color w:val="auto"/>
        </w:rPr>
      </w:pPr>
    </w:p>
    <w:p>
      <w:pPr>
        <w:ind w:left="3060"/>
        <w:spacing w:after="0"/>
        <w:tabs>
          <w:tab w:leader="none" w:pos="3860" w:val="left"/>
          <w:tab w:leader="none" w:pos="4320" w:val="left"/>
          <w:tab w:leader="none" w:pos="4800" w:val="left"/>
          <w:tab w:leader="none" w:pos="5160" w:val="left"/>
          <w:tab w:leader="none" w:pos="5640" w:val="left"/>
          <w:tab w:leader="none" w:pos="6340" w:val="left"/>
          <w:tab w:leader="none" w:pos="6720" w:val="left"/>
        </w:tabs>
        <w:rPr>
          <w:sz w:val="20"/>
          <w:szCs w:val="20"/>
          <w:color w:val="auto"/>
        </w:rPr>
      </w:pPr>
      <w:r>
        <w:rPr>
          <w:rFonts w:ascii="Arial" w:cs="Arial" w:eastAsia="Arial" w:hAnsi="Arial"/>
          <w:sz w:val="18"/>
          <w:szCs w:val="18"/>
          <w:color w:val="auto"/>
        </w:rPr>
        <w:t>exercised</w:t>
        <w:tab/>
        <w:t>only</w:t>
        <w:tab/>
        <w:t>after</w:t>
        <w:tab/>
        <w:t>the</w:t>
        <w:tab/>
        <w:t>trust</w:t>
        <w:tab/>
        <w:t>account</w:t>
        <w:tab/>
        <w:t>has</w:t>
      </w:r>
      <w:r>
        <w:rPr>
          <w:sz w:val="20"/>
          <w:szCs w:val="20"/>
          <w:color w:val="auto"/>
        </w:rPr>
        <w:tab/>
      </w:r>
      <w:r>
        <w:rPr>
          <w:rFonts w:ascii="Arial" w:cs="Arial" w:eastAsia="Arial" w:hAnsi="Arial"/>
          <w:sz w:val="15"/>
          <w:szCs w:val="15"/>
          <w:color w:val="auto"/>
        </w:rPr>
        <w:t>been</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terminated and distributed.</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301" w:lineRule="auto"/>
        <w:rPr>
          <w:sz w:val="20"/>
          <w:szCs w:val="20"/>
          <w:color w:val="auto"/>
        </w:rPr>
      </w:pPr>
      <w:r>
        <w:rPr>
          <w:rFonts w:ascii="Arial" w:cs="Arial" w:eastAsia="Arial" w:hAnsi="Arial"/>
          <w:sz w:val="16"/>
          <w:szCs w:val="16"/>
          <w:color w:val="auto"/>
        </w:rPr>
        <w:t>The warrants could be exercised prior to the completion of a business combination, but securities received and cash paid in connection with the exercise would be deposited in the escrow or trust account.</w:t>
      </w:r>
    </w:p>
    <w:p>
      <w:pPr>
        <w:sectPr>
          <w:pgSz w:w="11900" w:h="16838" w:orient="portrait"/>
          <w:cols w:equalWidth="0" w:num="2">
            <w:col w:w="7080" w:space="240"/>
            <w:col w:w="3920"/>
          </w:cols>
          <w:pgMar w:left="320" w:top="904" w:right="339"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3060" w:type="dxa"/>
            <w:vAlign w:val="bottom"/>
            <w:vMerge w:val="restart"/>
          </w:tcPr>
          <w:p>
            <w:pPr>
              <w:spacing w:after="0"/>
              <w:rPr>
                <w:sz w:val="20"/>
                <w:szCs w:val="20"/>
                <w:color w:val="auto"/>
              </w:rPr>
            </w:pPr>
            <w:r>
              <w:rPr>
                <w:rFonts w:ascii="Arial" w:cs="Arial" w:eastAsia="Arial" w:hAnsi="Arial"/>
                <w:sz w:val="18"/>
                <w:szCs w:val="18"/>
                <w:b w:val="1"/>
                <w:bCs w:val="1"/>
                <w:color w:val="auto"/>
              </w:rPr>
              <w:t>Election to remain an investor</w:t>
            </w:r>
          </w:p>
        </w:tc>
        <w:tc>
          <w:tcPr>
            <w:tcW w:w="404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Terms of the Offering</w:t>
            </w: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w w:val="92"/>
              </w:rPr>
              <w:t>We will either (1) give our stockholders the opportunity</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to vote on the business combination or (2) provide our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public stockholders with the opportunity to sell their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public shares to us in a tender offer for cash equal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 xml:space="preserve">their </w:t>
            </w:r>
            <w:r>
              <w:rPr>
                <w:rFonts w:ascii="Arial" w:cs="Arial" w:eastAsia="Arial" w:hAnsi="Arial"/>
                <w:sz w:val="18"/>
                <w:szCs w:val="18"/>
                <w:i w:val="1"/>
                <w:iCs w:val="1"/>
                <w:color w:val="auto"/>
                <w:w w:val="96"/>
              </w:rPr>
              <w:t>pro rata</w:t>
            </w:r>
            <w:r>
              <w:rPr>
                <w:rFonts w:ascii="Arial" w:cs="Arial" w:eastAsia="Arial" w:hAnsi="Arial"/>
                <w:sz w:val="18"/>
                <w:szCs w:val="18"/>
                <w:color w:val="auto"/>
                <w:w w:val="96"/>
              </w:rPr>
              <w:t xml:space="preserve"> share of the aggregate amount then 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deposit in the trust account, less taxes. If we hold a</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meeting to approve a proposed business combination,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we  will  send  each  stockholder  a  proxy  statement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containing information required by the SEC. Under our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certificate of incorporation, we must provide at least 10</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days advance notice of any meeting of stockholders.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Accordingly, this is the minimum amount of time we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would need to provide holders to determine whether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exercise their rights to redeem their shares into cash at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7"/>
              </w:rPr>
              <w:t>such  a  meeting  or  to  remain  an  investor  in  our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company. Alternatively, if we do not hold a meeting</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and instead conduct a tender offer, we will conduct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such tender offer in accordance with the tender offer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rules of the SEC and file tender offer documents with</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the SEC which will contain substantially the same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financial  and  other  information  about  the  initial</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business combination as we would have included in a</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proxy statement.</w:t>
            </w:r>
          </w:p>
        </w:tc>
        <w:tc>
          <w:tcPr>
            <w:tcW w:w="0" w:type="dxa"/>
            <w:vAlign w:val="bottom"/>
          </w:tcPr>
          <w:p>
            <w:pPr>
              <w:spacing w:after="0"/>
              <w:rPr>
                <w:sz w:val="1"/>
                <w:szCs w:val="1"/>
                <w:color w:val="auto"/>
              </w:rPr>
            </w:pPr>
          </w:p>
        </w:tc>
      </w:tr>
      <w:tr>
        <w:trPr>
          <w:trHeight w:val="418"/>
        </w:trPr>
        <w:tc>
          <w:tcPr>
            <w:tcW w:w="306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The tender offer rules require us to hold the tender offer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open for at least 20 business days. Accordingly, this is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the minimum amount of time we would need to provide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holders to determine whether they want to sell their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shares to us in the tender offer or remain an investor in</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our company.</w:t>
            </w:r>
          </w:p>
        </w:tc>
        <w:tc>
          <w:tcPr>
            <w:tcW w:w="0" w:type="dxa"/>
            <w:vAlign w:val="bottom"/>
          </w:tcPr>
          <w:p>
            <w:pPr>
              <w:spacing w:after="0"/>
              <w:rPr>
                <w:sz w:val="1"/>
                <w:szCs w:val="1"/>
                <w:color w:val="auto"/>
              </w:rPr>
            </w:pPr>
          </w:p>
        </w:tc>
      </w:tr>
      <w:tr>
        <w:trPr>
          <w:trHeight w:val="418"/>
        </w:trPr>
        <w:tc>
          <w:tcPr>
            <w:tcW w:w="3060" w:type="dxa"/>
            <w:vAlign w:val="bottom"/>
          </w:tcPr>
          <w:p>
            <w:pPr>
              <w:spacing w:after="0"/>
              <w:rPr>
                <w:sz w:val="20"/>
                <w:szCs w:val="20"/>
                <w:color w:val="auto"/>
              </w:rPr>
            </w:pPr>
            <w:r>
              <w:rPr>
                <w:rFonts w:ascii="Arial" w:cs="Arial" w:eastAsia="Arial" w:hAnsi="Arial"/>
                <w:sz w:val="18"/>
                <w:szCs w:val="18"/>
                <w:b w:val="1"/>
                <w:bCs w:val="1"/>
                <w:color w:val="auto"/>
              </w:rPr>
              <w:t>Business combination deadline</w:t>
            </w:r>
          </w:p>
        </w:tc>
        <w:tc>
          <w:tcPr>
            <w:tcW w:w="4040" w:type="dxa"/>
            <w:vAlign w:val="bottom"/>
          </w:tcPr>
          <w:p>
            <w:pPr>
              <w:spacing w:after="0"/>
              <w:rPr>
                <w:sz w:val="20"/>
                <w:szCs w:val="20"/>
                <w:color w:val="auto"/>
              </w:rPr>
            </w:pPr>
            <w:r>
              <w:rPr>
                <w:rFonts w:ascii="Arial" w:cs="Arial" w:eastAsia="Arial" w:hAnsi="Arial"/>
                <w:sz w:val="18"/>
                <w:szCs w:val="18"/>
                <w:color w:val="auto"/>
                <w:w w:val="92"/>
              </w:rPr>
              <w:t>Pursuant to our certificate of incorporation, if we do not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complete an initial business combination within 15</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7"/>
              </w:rPr>
              <w:t>months (or up to 21 months, as applicable) from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consummation of  this  offering,  it  will  trigger  our</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automatic winding up, dissolution and liquidation.</w:t>
            </w:r>
          </w:p>
        </w:tc>
        <w:tc>
          <w:tcPr>
            <w:tcW w:w="0" w:type="dxa"/>
            <w:vAlign w:val="bottom"/>
          </w:tcPr>
          <w:p>
            <w:pPr>
              <w:spacing w:after="0"/>
              <w:rPr>
                <w:sz w:val="1"/>
                <w:szCs w:val="1"/>
                <w:color w:val="auto"/>
              </w:rPr>
            </w:pPr>
          </w:p>
        </w:tc>
      </w:tr>
      <w:tr>
        <w:trPr>
          <w:trHeight w:val="648"/>
        </w:trPr>
        <w:tc>
          <w:tcPr>
            <w:tcW w:w="3060" w:type="dxa"/>
            <w:vAlign w:val="bottom"/>
          </w:tcPr>
          <w:p>
            <w:pPr>
              <w:spacing w:after="0"/>
              <w:rPr>
                <w:sz w:val="24"/>
                <w:szCs w:val="24"/>
                <w:color w:val="auto"/>
              </w:rPr>
            </w:pPr>
          </w:p>
        </w:tc>
        <w:tc>
          <w:tcPr>
            <w:tcW w:w="4040" w:type="dxa"/>
            <w:vAlign w:val="bottom"/>
          </w:tcPr>
          <w:p>
            <w:pPr>
              <w:ind w:left="24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 prospectus containing information required by the SEC would be sent to each investor. Each investor would be given the opportunity to notify the company, in writing, within a period of no less than 20 business days and no more than 45 business days from the effective date of the post-effective amendment, to decide whether he or she elects to remain a stockholder of the company or require the return of his or her investment. If the company has not received</w:t>
      </w:r>
    </w:p>
    <w:p>
      <w:pPr>
        <w:spacing w:after="0" w:line="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notification by the end of the 45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business day, funds and interest or dividends, if any, held in the trust or escrow account would automatically be returned to the stockholder. Unless a sufficient number of investors elect to remain investors, all of the deposited funds in the escrow account must be returned to all investors and none of the securities will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an acquisition has not been consummated within 18 months after the effective date of the initial registration statement, funds held in the trust or escrow account would be returned to investors.</w:t>
      </w:r>
    </w:p>
    <w:p>
      <w:pPr>
        <w:sectPr>
          <w:pgSz w:w="11900" w:h="16838" w:orient="portrait"/>
          <w:cols w:equalWidth="0" w:num="2">
            <w:col w:w="7100" w:space="220"/>
            <w:col w:w="3920"/>
          </w:cols>
          <w:pgMar w:left="320" w:top="904" w:right="339" w:bottom="1440" w:gutter="0" w:footer="0" w:header="0"/>
        </w:sectPr>
      </w:pPr>
    </w:p>
    <w:bookmarkStart w:id="108" w:name="page109"/>
    <w:bookmarkEnd w:id="108"/>
    <w:p>
      <w:pPr>
        <w:spacing w:after="0" w:line="216" w:lineRule="exact"/>
        <w:rPr>
          <w:sz w:val="20"/>
          <w:szCs w:val="20"/>
          <w:color w:val="auto"/>
        </w:rPr>
      </w:pPr>
    </w:p>
    <w:p>
      <w:pPr>
        <w:ind w:hanging="161"/>
        <w:spacing w:after="0" w:line="277" w:lineRule="auto"/>
        <w:rPr>
          <w:sz w:val="20"/>
          <w:szCs w:val="20"/>
          <w:color w:val="auto"/>
        </w:rPr>
      </w:pPr>
      <w:r>
        <w:rPr>
          <w:rFonts w:ascii="Arial" w:cs="Arial" w:eastAsia="Arial" w:hAnsi="Arial"/>
          <w:sz w:val="17"/>
          <w:szCs w:val="17"/>
          <w:b w:val="1"/>
          <w:bCs w:val="1"/>
          <w:color w:val="auto"/>
        </w:rPr>
        <w:t>Limitation on redemption rights of stockholders holding more than 15% of the shares sold in this offering if we hold a stockholder vote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5628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(including our affiliates), together with any affiliate of such stockholder or any other person with whom such stockholder is acting in concert or as a “group” (as defined under Section 13 of the Exchange Act), will be restricted from seeking redemption rights with respect to Excess Shares (more than an aggregate of 1% of the shares sold in this offering). Our public stockholders’ inability to redeem Excess Shares will reduce their influence over our ability to complete our initial business combination and they could suffer a material loss on their investment in us if they sell any Excess Shares in open market transactions.</w:t>
      </w:r>
    </w:p>
    <w:p>
      <w:pPr>
        <w:spacing w:after="0" w:line="200" w:lineRule="exact"/>
        <w:rPr>
          <w:sz w:val="20"/>
          <w:szCs w:val="20"/>
          <w:color w:val="auto"/>
        </w:rPr>
      </w:pPr>
    </w:p>
    <w:p>
      <w:pPr>
        <w:spacing w:after="0" w:line="20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Many blank check companies provide no restrictions on the ability of stockholders to redeem shares based on the number of shares held by such stockholders in connection with an initial business combination</w:t>
      </w:r>
    </w:p>
    <w:p>
      <w:pPr>
        <w:sectPr>
          <w:pgSz w:w="11900" w:h="16838" w:orient="portrait"/>
          <w:cols w:equalWidth="0" w:num="3">
            <w:col w:w="2500" w:space="380"/>
            <w:col w:w="4040" w:space="220"/>
            <w:col w:w="3900"/>
          </w:cols>
          <w:pgMar w:left="500" w:top="904" w:right="359" w:bottom="1440" w:gutter="0" w:footer="0" w:header="0"/>
        </w:sectPr>
      </w:pPr>
    </w:p>
    <w:bookmarkStart w:id="109" w:name="page110"/>
    <w:bookmarkEnd w:id="109"/>
    <w:p>
      <w:pPr>
        <w:spacing w:after="0" w:line="216" w:lineRule="exact"/>
        <w:rPr>
          <w:sz w:val="20"/>
          <w:szCs w:val="20"/>
          <w:color w:val="auto"/>
        </w:rPr>
      </w:pPr>
    </w:p>
    <w:p>
      <w:pPr>
        <w:ind w:hanging="161"/>
        <w:spacing w:after="0" w:line="266" w:lineRule="auto"/>
        <w:rPr>
          <w:sz w:val="20"/>
          <w:szCs w:val="20"/>
          <w:color w:val="auto"/>
        </w:rPr>
      </w:pPr>
      <w:r>
        <w:rPr>
          <w:rFonts w:ascii="Arial" w:cs="Arial" w:eastAsia="Arial" w:hAnsi="Arial"/>
          <w:sz w:val="18"/>
          <w:szCs w:val="18"/>
          <w:b w:val="1"/>
          <w:bCs w:val="1"/>
          <w:color w:val="auto"/>
        </w:rPr>
        <w:t>Tendering stock certificates in connection with a tender offer or redemption rights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5628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using The Depository Trust Company’s DWAC System, at the holder’s option. The tender offer or proxy materials, as applicable, that we will furnish to holders of our public shares in connection with our initial business combination will indicate whether we are requiring public stockholders to satisfy such delivery requirements. Accordingly, a public stockholder would have from the time we send out our tender offer materials until the close of the tender offer period, or up to two business days prior to the vote on the initial business combination if we distribute proxy materials, as applicable, to tender its shares if it wishes to seek to exercise its redemption rights.</w:t>
      </w:r>
    </w:p>
    <w:p>
      <w:pPr>
        <w:spacing w:after="0" w:line="39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14605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order to perfect redemption rights in connection with their business combinations, holders could vote against a proposed initial business combination and check a box on the proxy card indicating such holders were seeking to exercise their redemption rights. After the business combination was approved, the company would contact such stockholders to arrange for them to deliver their certificate to verify ownership.</w:t>
      </w:r>
    </w:p>
    <w:p>
      <w:pPr>
        <w:sectPr>
          <w:pgSz w:w="11900" w:h="16838" w:orient="portrait"/>
          <w:cols w:equalWidth="0" w:num="3">
            <w:col w:w="2520" w:space="360"/>
            <w:col w:w="4040" w:space="220"/>
            <w:col w:w="3920"/>
          </w:cols>
          <w:pgMar w:left="500" w:top="904"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4"/>
        </w:trPr>
        <w:tc>
          <w:tcPr>
            <w:tcW w:w="3060" w:type="dxa"/>
            <w:vAlign w:val="bottom"/>
            <w:vMerge w:val="restart"/>
          </w:tcPr>
          <w:p>
            <w:pPr>
              <w:spacing w:after="0"/>
              <w:rPr>
                <w:sz w:val="20"/>
                <w:szCs w:val="20"/>
                <w:color w:val="auto"/>
              </w:rPr>
            </w:pPr>
            <w:r>
              <w:rPr>
                <w:rFonts w:ascii="Arial" w:cs="Arial" w:eastAsia="Arial" w:hAnsi="Arial"/>
                <w:sz w:val="18"/>
                <w:szCs w:val="18"/>
                <w:b w:val="1"/>
                <w:bCs w:val="1"/>
                <w:color w:val="auto"/>
              </w:rPr>
              <w:t>Release of funds</w:t>
            </w:r>
          </w:p>
        </w:tc>
        <w:tc>
          <w:tcPr>
            <w:tcW w:w="404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Terms of the Offering</w:t>
            </w: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w w:val="91"/>
              </w:rPr>
              <w:t>Except for interest earned on the funds held in the trust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account that may be released to us to pay our tax</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obligations, the proceeds from this offering and the sale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of the private warrants held in the trust account will not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be  released  until  the  earliest  to  occur  of:  (i)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completion of our initial business combination, (ii)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redemption of any public shares properly submitted in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connection  with  a  stockholder  vote  to  amend  our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amended and restated certificate of incorporation (A)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modify the substance or timing of our obligation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allow  redemption  in  connection  with  our  initial</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business combination or to redeem 100% of our public</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shares if we do not complete our  initial  business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combination within 15 months (or up to 21 months, as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applicable) from the closing of this offering or (B) with</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respect to any other provision relating to stockholders’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rights or pre-business combination activity and (iii)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redemption of 100% of our public shares if we are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unable to complete an initial business combination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within  the  required  time  frame  (subject  to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requirements of applicable law). On the completion of</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our initial business combination, all amounts held in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trust account will be released to us, less amounts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released to a separate account controlled by the trustee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for disbursal to redeeming stockholders. We will use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these  funds  to  pay  amounts  due  to  any  public</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stockholders who exercise their redemption rights as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described above under “Redemption rights for public</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7"/>
              </w:rPr>
              <w:t>stockholders upon completion of our initial business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combination,”  to  pay  all  or  a  portion  of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7"/>
              </w:rPr>
              <w:t>consideration payable to the target or owners of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7"/>
              </w:rPr>
              <w:t>target of our initial business combination and to pay</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other expenses associated with our initial business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combination, including the Marketing Fee pursuant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the  Business  Combination  Marketing  Agreement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7"/>
              </w:rPr>
              <w:t>described under “</w:t>
            </w:r>
            <w:r>
              <w:rPr>
                <w:rFonts w:ascii="Arial" w:cs="Arial" w:eastAsia="Arial" w:hAnsi="Arial"/>
                <w:sz w:val="18"/>
                <w:szCs w:val="18"/>
                <w:i w:val="1"/>
                <w:iCs w:val="1"/>
                <w:color w:val="auto"/>
                <w:w w:val="97"/>
              </w:rPr>
              <w:t>Underwriting (Conflicts of Interest)</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 Business Combination Marketing Agreement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8"/>
        </w:trPr>
        <w:tc>
          <w:tcPr>
            <w:tcW w:w="3060" w:type="dxa"/>
            <w:vAlign w:val="bottom"/>
          </w:tcPr>
          <w:p>
            <w:pPr>
              <w:spacing w:after="0"/>
              <w:rPr>
                <w:sz w:val="24"/>
                <w:szCs w:val="24"/>
                <w:color w:val="auto"/>
              </w:rPr>
            </w:pPr>
          </w:p>
        </w:tc>
        <w:tc>
          <w:tcPr>
            <w:tcW w:w="4040" w:type="dxa"/>
            <w:vAlign w:val="bottom"/>
          </w:tcPr>
          <w:p>
            <w:pPr>
              <w:ind w:left="24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proceeds held in the escrow account would not be released until the earlier of the completion of a business combination or the failure to effect a business combination within the allotted time.</w:t>
      </w:r>
    </w:p>
    <w:p>
      <w:pPr>
        <w:sectPr>
          <w:pgSz w:w="11900" w:h="16838" w:orient="portrait"/>
          <w:cols w:equalWidth="0" w:num="2">
            <w:col w:w="7100" w:space="220"/>
            <w:col w:w="3920"/>
          </w:cols>
          <w:pgMar w:left="320" w:top="904"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 Directors and Director Nominees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officers, directors, and director nominees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Borders>
              <w:bottom w:val="single" w:sz="8" w:color="CCEEFF"/>
            </w:tcBorders>
          </w:tcPr>
          <w:p>
            <w:pPr>
              <w:spacing w:after="0"/>
              <w:rPr>
                <w:sz w:val="20"/>
                <w:szCs w:val="20"/>
                <w:color w:val="auto"/>
              </w:rPr>
            </w:pPr>
          </w:p>
        </w:tc>
        <w:tc>
          <w:tcPr>
            <w:tcW w:w="8200" w:type="dxa"/>
            <w:vAlign w:val="bottom"/>
            <w:tcBorders>
              <w:bottom w:val="single" w:sz="8" w:color="auto"/>
            </w:tcBorders>
          </w:tcPr>
          <w:p>
            <w:pPr>
              <w:ind w:left="3800"/>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Kerry Propper</w:t>
            </w:r>
          </w:p>
        </w:tc>
        <w:tc>
          <w:tcPr>
            <w:tcW w:w="100" w:type="dxa"/>
            <w:vAlign w:val="bottom"/>
            <w:shd w:val="clear" w:color="auto" w:fill="CCEEFF"/>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Co-Founder and Director Nominee (Chairman)</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Jonas Grossman</w:t>
            </w: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Co-Founder, Chief Executive Officer, President, Secretary, Treasurer and Director</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Alex Weil</w:t>
            </w:r>
          </w:p>
        </w:tc>
        <w:tc>
          <w:tcPr>
            <w:tcW w:w="8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Financial Officer and Director Nominee</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Jonathan Biele</w:t>
            </w: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Perry Boyle</w:t>
            </w:r>
          </w:p>
        </w:tc>
        <w:tc>
          <w:tcPr>
            <w:tcW w:w="8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 Nominee</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Roderick Hardamon</w:t>
            </w: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Jory Des Jardins</w:t>
            </w:r>
          </w:p>
        </w:tc>
        <w:tc>
          <w:tcPr>
            <w:tcW w:w="8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 Nominee</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Hitesh Thakrar</w:t>
            </w: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Todd Thomson</w:t>
            </w:r>
          </w:p>
        </w:tc>
        <w:tc>
          <w:tcPr>
            <w:tcW w:w="8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 Nominee</w:t>
            </w:r>
          </w:p>
        </w:tc>
      </w:tr>
    </w:tbl>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Kerry Propper</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46</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our co-founder and will serve as our Chairman of the board of directors upon the effectiveness of the registration statement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which this prospectus is a part. Mr. Propper was co-founder of Chardan and served as its chief executive officer and head of its investment bank from 2003 to 2015. He is a pioneer in the special purpose acquisition marketplace and has been an executive or senior advisor for six special purpose acquisition companies. Since 2015 Mr. Propper has been the chairman of Chardan’s board of directors and the co-founder and managing partner of ATW Partners, a growth-focused investment firm. Mr. Propper also sits on the board of 340Basics, Credit Sesame, PierianDx, and China Networks. Mr. Propper dedicates much of his time to philanthropy and is a founding member of Nadia’s Initiative. He also serves on the board of trustees of the International Crisis Group and sits on the executive boards of Keep A Child Alive, Voices of Rwanda, Yazda and Digital Citizens Fund. Mr. Propper earned his B.A. in Economics and International Studies from Colby College. We believe Mr. Propper is qualified to serve on our board of directors because of his extensive industry and transaction expertise and wide network of relationships with industry participants.</w:t>
      </w:r>
    </w:p>
    <w:p>
      <w:pPr>
        <w:spacing w:after="0" w:line="18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Jonas Grossman</w:t>
      </w:r>
      <w:r>
        <w:rPr>
          <w:rFonts w:ascii="Arial" w:cs="Arial" w:eastAsia="Arial" w:hAnsi="Arial"/>
          <w:sz w:val="16"/>
          <w:szCs w:val="16"/>
          <w:color w:val="auto"/>
        </w:rPr>
        <w:t>, 47, is our co-founder and has been our Chief Executive Officer and a member of our board of directors since June 2020 and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Secretary, and Treasurer since July 2020. Since July 2020, Mr. Grossman has served as Chief Executive Officer and director of Chardan NexTech Acquisition Corp. Since April 2020, Mr. Grossman has been the Chief Executive Officer and president of Chardan Healthcare Acquisition 2 Corp., a special purpose acquisition company, which announced its merger with Renovacor, Inc in March 2021. He was the Chief Executive officer and President of Chardan Healthcare Acquisition Corp. from March 2018 until its merger in October 2019 with BiomX (NYSE: PHGE). Mr. Grossman is currently a director of BiomX. He was a co-founder and director for LifeSci Acquisition Corp., a special purpose acquisition company from March 2020 until its merger with Vincera Pharma, Inc. in December of 2020. Since December 2020, Mr. Grossman has served as a director of Ventoux CCM Acquisition Corp., a special purpose acquisition company. Since May 2021, Mr. Grossman has served as a director of CleanTech Acquisition Corp., a special purpose acquisition company. He has served as managing partner and head of capital markets for Chardan, a New York headquartered broker/dealer, since December 2003, and has additionally served as president of Chardan since September 2015. Since 2003, Mr. Grossman has overseen the Chardan’s investment banking and capital markets activities and initiatives. He has extensive transactional experience having led or managed more than 500 transactions during his tenure at Chardan. Since December 2006, Mr. Grossman has served as a founding partner for Cornix Advisors, LLC, a New York based hedge fund. From 2001 until 2003, Mr. Grossman worked at Ramius Capital Group, LLC, a global multi-strategy hedge fund where he served as Vice President and Head Trader. Mr. Grossman served as a director for Ideanomics, Inc. (formerly China Broadband, Inc.) (NASDAQ: IDEX) from January 2008 until November 2010. He holds a B.A. in Economics from Cornell University and an M.B.A. from NYU’s Stern School of Business. Mr. Grossman has served on the board of directors for UNICEF since December 2016. We believe Mr. Grossman is qualified to serve on our board of directors because of his long-running capital markets experience as well as his previous company board positions.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Alex Weil</w:t>
      </w:r>
      <w:r>
        <w:rPr>
          <w:rFonts w:ascii="Arial" w:cs="Arial" w:eastAsia="Arial" w:hAnsi="Arial"/>
          <w:sz w:val="17"/>
          <w:szCs w:val="17"/>
          <w:color w:val="auto"/>
        </w:rPr>
        <w:t>, 49, has served as our Chief Financial Officer since April 2021 and will serve as a member of our board of directors upon the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 of the registration statement of which this prospectus is a part. Since March 2021, Mr. Weil has served as chief financial officer of Chardan NexTech Acquisition Corp., and he has agreed to serve on the board of directors. Mr. Weil has served as managing director and co-head of FinTech investment banking at Chardan, a New York headquartered broker/dealer, since March 2020 and as a director of Ventoux CCM Acquisition Corp., a special purpose acquisition company, since December 2020. From January 2018 to March 2020, he served as managing director and head of insurtech investment banking at SenaHill Securities, LLC, a New York headquartered broker/dealer. From January 2013 to September 2017, Mr. Weil was a director at PricewaterhouseCoopers Inc., a network of firms providing assurance, advisory and tax services. Prior to 2012, Mr. Weil held positions as a director at Lazard Middle Market, LLC, an executive director at UBS Securities LLC and a director at Citigroup Global Markets Inc. Mr. Weil holds a B.A. in Business Administration from the University of Colorado, Boulder. We believe Mr. Weil is qualified to serve on our board of directors extensive capital markets and transaction management experience and network of relationships.</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Jonathan C. “Jon” Biele</w:t>
      </w:r>
      <w:r>
        <w:rPr>
          <w:rFonts w:ascii="Arial" w:cs="Arial" w:eastAsia="Arial" w:hAnsi="Arial"/>
          <w:sz w:val="17"/>
          <w:szCs w:val="17"/>
          <w:color w:val="auto"/>
        </w:rPr>
        <w:t>, 51, has agreed to become a member of our board of directors as of the effective date of the registration statement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this prospectus is a part. Mr. Biele recently joined PREEM Inc., a vertical technology platform, as head of business and corporate development after a 28-year career in investment banking serving in a variety of leadership roles. Most recently, Mr. Biele served as head of technology and services investment banking after rejuvenating the equity capital markets practice at SunTrust Robinson Humphrey, where he worked from July 2013 to February 2020. During his career, Mr. Biele focused on providing capital markets, strategic and tactical advice to companies, boards of directors, private equity and venture capitalists. In addition to his tenure at SunTrust Robinson Humphrey, Mr. Biele served as head of equity capital markets for Citadel Securities from 2010 to 2013, for Cowen and Co. from 2007 to 2010, and for Lazard Freres from 2005 to 2007, in addition to his contribution in a variety of capacities with the equity capital markets departments of Lehman Brothers, ABN Amro Rothschild, and UBS Securities. In these roles Mr. Biele originated and executed numerous public and private equity and debt financings and provided strategic advice. His vast experience in corporate finance and advisory spans across multiple sectors and asset classes both public and private. In addition to his professional activities, Mr. Biele most recently completed a third term as a trustee of Burke Mountain Academy, a premier ski academy in the United States, and remains the lead investor and advisor to the chief executive officer of inGamba Tours, a luxury cyclo-tourism business. Mr. Biele earned a B.A. in History in 1992 from St. Lawrence University. We believe that Mr. Biele’s vast experience in corporate finance and strategy, in addition to his vast network of relationships, will be an extremely valuable contribution to our board of directors.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spacing w:after="0" w:line="9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Perry Boyle</w:t>
      </w:r>
      <w:r>
        <w:rPr>
          <w:rFonts w:ascii="Arial" w:cs="Arial" w:eastAsia="Arial" w:hAnsi="Arial"/>
          <w:sz w:val="16"/>
          <w:szCs w:val="16"/>
          <w:color w:val="auto"/>
        </w:rPr>
        <w:t>, 57, will serve as a member of our board of directors upon the effective date of the registration statement of which this prospectus is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 Mr. Boyle was with Point72 Asset Management, L.P., or Point 72, and Point 72 affiliates from 2004 through his retirement in March 2020. He helped lead Point72’s launch as a registered investment advisor, raising over $6 billion in external capital. He originally joined S.A.C. Capital Advisors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9s Program, and helped drive the internationalization of the Point72, overseeing offices in London, Hong Kong, Tokyo and Singapore. Prior to joining S.A.C., Mr. Boyle was a founding partner of Thomas Weisel Partners from 2000 until 2004, and a managing director at Alex. Brown &amp; Sons from 1992-2000. He began his career as an investment banker with Salomon Brothers Inc. Mr. Boyle is a member of the advisory board of the Center for a New American Security (CNAS), and a director of The US Friends of the International Institute for Strategic Studies (IISS). He has agreed to serve on the board of directors of Chardan NexTech Acquisition Corp. upon the effectiveness of its registration statement. He was a 2018 and 2019 delegate from the IISS to the Shangri-La Dialogue in Singapore. He is a council member of the Hoover Institution and a Lionel Curtis member of Chatham House. Mr. Boyle helps lead the annual Ride For Our Vets, the major source of funding for the Connecticut Veterans Legal Center. He received his B.A. in Economics from Stanford University, his M.B.A. from Dartmouth College and a M.A. from the Fletcher School at Tufts University. He has lectured on investing at Brown, Yale, Dartmouth, Harvard, Cambridge and UNC, and delivered testimony to Congress on financial regulation. We believe Mr. Boyle is qualified to serve on our board of directors because of industry leadership and capital markets experience from research to fundraising.</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Roderick Hardamon</w:t>
      </w:r>
      <w:r>
        <w:rPr>
          <w:rFonts w:ascii="Arial" w:cs="Arial" w:eastAsia="Arial" w:hAnsi="Arial"/>
          <w:sz w:val="17"/>
          <w:szCs w:val="17"/>
          <w:color w:val="auto"/>
        </w:rPr>
        <w:t>, 44, will serve as a member of our board of directors upon the effective date of the registration statement of which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prospectus is a part. Mr. Hardamon has served as chief executive officer of URGE Imprint LLC, a boutique management consulting firm headquartered in Detroit, Michigan, and URGE Development Group, a real estate development firm headquartered in Detroit, Michigan, since May 2016. From July 1998 to March 2016, Mr. Hardamon held various positions at Citigroup, a leading global bank, finally serving as managing director and North American head of Citigroup’s alternative investor services business. From March 2016 to April 2016, Mr. Hardamon briefly served as a managing director at SS&amp;C Technologies, a global provider of services and software for the financial services and healthcare industries. Mr. Hardamon graduated from Morehouse College with B.A.s in accounting and Philosophy in 1998. We believe Mr. Hardamon is qualified to serve on our board of directors because of his extensive experience in business innovation, mergers and acquisitions, and senior executive leadership.</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Jory Des Jardins</w:t>
      </w:r>
      <w:r>
        <w:rPr>
          <w:rFonts w:ascii="Arial" w:cs="Arial" w:eastAsia="Arial" w:hAnsi="Arial"/>
          <w:sz w:val="16"/>
          <w:szCs w:val="16"/>
          <w:color w:val="auto"/>
        </w:rPr>
        <w:t>, 49, will serve as a member of our board of directors upon the effective date of the registration statement of which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prospectus is a part. Ms. Jardins is the chief marketing officer of The @ Company, a position she has held since 2020. She has also served as VC-in-Residence at the W Fund since 2020. Ms. Jardins recently served as the head of global startup marketing at Amazon Web Services from 2019 to 2020. Before her time at Amazon Web Services, she served as the global head of community at ConsenSys from 2018 to 2019. Ms. Jardins served as an advisor at Tribal Advisors from 2016 to 2018. In 2005, she co-founded BlogHer and served as the company’s president until its acquisition in 2015. Ms. Jardins graduated from the University of Illinois at Urbana-Champaign in 1993 where she studied history, literature, and psychology. We believe that Ms. Jardins is qualified to serve on our board of directors given her exposure to dozens of scaling startups as well as her experience with disruptiv</w:t>
      </w:r>
      <w:r>
        <w:rPr>
          <w:rFonts w:ascii="Arial" w:cs="Arial" w:eastAsia="Arial" w:hAnsi="Arial"/>
          <w:sz w:val="16"/>
          <w:szCs w:val="16"/>
          <w:b w:val="1"/>
          <w:bCs w:val="1"/>
          <w:color w:val="auto"/>
        </w:rPr>
        <w:t>e</w:t>
      </w:r>
      <w:r>
        <w:rPr>
          <w:rFonts w:ascii="Arial" w:cs="Arial" w:eastAsia="Arial" w:hAnsi="Arial"/>
          <w:sz w:val="16"/>
          <w:szCs w:val="16"/>
          <w:color w:val="auto"/>
        </w:rPr>
        <w:t xml:space="preserve"> technology</w:t>
      </w:r>
      <w:r>
        <w:rPr>
          <w:rFonts w:ascii="Arial" w:cs="Arial" w:eastAsia="Arial" w:hAnsi="Arial"/>
          <w:sz w:val="16"/>
          <w:szCs w:val="16"/>
          <w:b w:val="1"/>
          <w:bCs w:val="1"/>
          <w:color w:val="auto"/>
        </w:rPr>
        <w:t>.</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Hitesh Thakrar</w:t>
      </w:r>
      <w:r>
        <w:rPr>
          <w:rFonts w:ascii="Arial" w:cs="Arial" w:eastAsia="Arial" w:hAnsi="Arial"/>
          <w:sz w:val="16"/>
          <w:szCs w:val="16"/>
          <w:color w:val="auto"/>
        </w:rPr>
        <w:t>, 59, will serve as a member of our board of directors upon the effective date of the registration statement of which this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 part. Mr. Thakrar is an experienced investor in the technology sector, having spent over 20 years investing in public equities in the life sciences, information technology and innovation sectors. Since 2015, he has been active in early stage venture investing. Mr. Thakrar is currently a Venture Partner at Syncona Limited, a Wellcome Trust backed early stage venture fund, a position he has held since February 2016. He has also served as a Governance Board Member of KQ Labs at the Francis Crick Institute since December 2018. Since August 2020, he has been the main Board Trustee of the Alan Turing Institute which is the UK National Institute for Artificial Intelligence and Data Science research. Additionally, since November 2016, Mr. Thakrar has been the Chair of the Investment Committee for Newable Ventures, a pre-Series A fund focused on deep technology. He has also served as an advisor to UKRI’s Science and Technology Funding Council (SFTC), which helps early stage companies spin out from UK universities, since July 2020. He has previously served as a non-executive director for Desktop Genetics and Tropic Biosciences since 2015 and 2017 respectively, both of which specialize in the use of CRISPR technology in gene editing. Previously, Mr. Thakrar held the position of Portfolio Manager, Global Innovation Fund with the Abu Dhabi Investment Authority (ADIA), from 2009 until 2015. He has worked at several other public market institutions in global equity research and fund management including JP Morgan, Aviva Group, Dresdner Bank and New Star Asset Management. He has previously held the position of Innovation Fellow at the University of Cambridge, recently joined as a Trustee of the Royal National Orthopaedic Hospital Charity and is a member of the commercial Board of the Institute and Audit committee. Mr. Thakrar has a degree in chemistry from Kings College, London, an MBA from Cranfield University and a CFA from the American Association of Investment Analysts. We believe Mr. Thakrar is qualified to serve as a member of our board of directors given his decades of technology investing and public company expertise.</w:t>
      </w:r>
    </w:p>
    <w:p>
      <w:pPr>
        <w:spacing w:after="0" w:line="3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Todd Thomson</w:t>
      </w:r>
      <w:r>
        <w:rPr>
          <w:rFonts w:ascii="Arial" w:cs="Arial" w:eastAsia="Arial" w:hAnsi="Arial"/>
          <w:sz w:val="16"/>
          <w:szCs w:val="16"/>
          <w:color w:val="auto"/>
        </w:rPr>
        <w:t>, 60, will serve as a member of our board of directors upon the effective date of the registration statement of which this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 part. He is currently the chief operating officer and chief financial officer of Kairos Ventures, an early-stage investment firm. He is an accomplished operating executive and entrepreneur, having served as Citigroup chief financial officer for five years and as chief executive officer of Citigroup’s nearly $10 billion global wealth management division for more than two years. Mr. Thomson is a leading practitioner on mergers and acquisitions and business strategy, having led the acquisition and strategy efforts for Citigroup and GE Capital, as well as serving as advisor to Fortune 500 firms while at Bain &amp; Co., Booz Allen Hamilton, and Barents Group. He has extensive investing experience as chief executive officer of Citigroup alternative investments, chairman of the Citigroup pension investment committee, chairman of the dynasty investment committee, and a member of the investment committees for the Davidson College and World Resources Institute endowments. Prior to joining Kairos Ventures, Mr. Thomson served as co-founder and chairman of Dynasty Financial Partners, or Dynasty, a leading investment and technology platform for sophisticated independent advisors. Founded by Mr. Thomson and his colleagues in 2010, Dynasty serves nearly 50 registered investment advisor firms nationally, with $50 billion under management. In addition to serving as chairman, Todd served in several operating roles since Dynasty’s founding, including chairing the investment committee, serving as chief investment officer, and designing and leading Dynasty Capital Strategies. Mr. Thomson has also agreed to serve on the board of Chardan NexTech Acquisition Corp., a blank check company, upon the effectiveness of its registration statement. We believe Mr. Thomson is qualified to serve on our board of directors because experience in public company corporate finance and early-stage investing.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So long as we obtain and maintain a listing for our securities on Nasdaq, a majority of our board of directors generally must be independent, subject to certain limited exceptions and phase-in period set forth under the rules of Nasdaq.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w:t>
      </w:r>
    </w:p>
    <w:p>
      <w:pPr>
        <w:sectPr>
          <w:pgSz w:w="11900" w:h="16936" w:orient="portrait"/>
          <w:cols w:equalWidth="0" w:num="1">
            <w:col w:w="11240"/>
          </w:cols>
          <w:pgMar w:left="320" w:top="908" w:right="339" w:bottom="0" w:gutter="0" w:footer="0" w:header="0"/>
        </w:sectPr>
      </w:pPr>
    </w:p>
    <w:bookmarkStart w:id="114" w:name="page115"/>
    <w:bookmarkEnd w:id="114"/>
    <w:p>
      <w:pPr>
        <w:jc w:val="both"/>
        <w:spacing w:after="0" w:line="259" w:lineRule="auto"/>
        <w:rPr>
          <w:sz w:val="20"/>
          <w:szCs w:val="20"/>
          <w:color w:val="auto"/>
        </w:rPr>
      </w:pPr>
      <w:r>
        <w:rPr>
          <w:rFonts w:ascii="Arial" w:cs="Arial" w:eastAsia="Arial" w:hAnsi="Arial"/>
          <w:sz w:val="18"/>
          <w:szCs w:val="18"/>
          <w:color w:val="auto"/>
        </w:rPr>
        <w:t>directors has determined that each of Messrs. Biele, Boyle, Hardamon, Thakrar and Thomson and Ms. Jardins, is an “independent director” as defined in the Nasdaq listing standards and applicable SEC rules. We expect a majority of our board of directors to be comprised of independent directors within 12 months from the date of listing to comply with the majority independent board requirement in Rule 5605(b) of the Nasdaq listing rules. Our independent directors will have regularly scheduled meetings at which only independent directors are present.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will have eight directors upon completion of this offering. Our board of directors will be divided into two classes with only one class of directors being elected in each year and each class (except for those directors appointed prior to our first annual meeting of stockholders) serving a 2-year term. In accordance with Nasdaq corporate governance requirements, we are not required to hold an annual meeting until one year after our first fiscal year end following our listing on Nasdaq. The term of office of the first class of directors, consisting of Messrs. Biele, Boyle, Hardamon, Thakrar and Thomson and Ms. Jardins will expire at our first annual meeting of stockholders. The term of office of the second class of directors, consisting of Messrs. Grossman, Propper, and Weil, will expire at our second annual meeting of stockholders. We may not hold an annual meeting of stockholders until after we consummate our initial business combination. Subject to the terms of any preferred stock, any or all of the directors may be removed from office at any time, but only for cause and only by the affirmative vote of holders of a majority of the voting power of all then outstanding shares of our capital stock entitled to vote generally in the election of directors, voting together as a single class; Subject to any other special rights applicable to the stockholders, including holders of preferred stock, whenever any director shall have been elected by the holders of any class of stock voting separately as a class, such director may be removed and the vacancy filled only by the holders of that class of stock voting separately as a class. Vacancies caused by any such removal and not filled by the stockholders at the meeting at which such removal shall have been made, or any vacancy caused by the death or resignation of any director or for any other reason, and any newly created directorship resulting from any increase in the authorized number of directors, may be filled by the affirmative vote of a majority of the directors then in office, although less than a quorum, and any director so elected to fill any such vacancy or newly created directorship shall hold office until his or her successor is elected and qualified or until his or her earlier resignation or removal.</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Vice Chairmen of the Board, President, Vice Presidents, Secretary, Treasurer, Assistant Secretaries, Assistant Treasurers, and such other offices as may be determined by the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and Director Compensation</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None of our officers or directors has received any cash compensation for services rendered to us. Except as described below, to date, no compensation of any kind, including any finder’s fee, reimbursement, consulting fee or monies in respect of any payment of a loan, will be paid by us to our officers and directors, or, other than as described herein, to our sponsor or any affiliate of our sponsor or officers, prior to, or in connection with any services rendered in order to effectuate, the consummation of our initial business combination (regardless of the type of transaction that it is). However, in May and June 2021, our sponsor transferred 20,000 founder shares to each of Messrs. Biele, Boyle, Hardamon, Thakrar and Thomson and Ms. Jardins. In addition, commencing on the date our securities are first listed on Nasdaq, we will pay an amount equal to $10,000 per month to our sponsor for office space, administrative and shared personnel support services. Also, our officers and directors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Any such payments prior to an initial business combination will be made using funds held outside the trust account. Other than quarterly audit committee review of such payments, we do not expect to have any additional controls in place governing our reimbursement payments to our directors and officers for their out-of-pocket expenses incurred in connection with identifying and consummating an initial business combination.</w:t>
      </w:r>
    </w:p>
    <w:p>
      <w:pPr>
        <w:spacing w:after="0" w:line="1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tender offer materials or proxy solicitation materials furnished to our stockholders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 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firstLine="648"/>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will have two standing committees: an audit committee and a compensation committee. Subject to phase-in rules and certain limited exceptions, Nasdaq rules and Rule 10A-3 of the Exchange Act require that the audit committee of a listed company be comprised solely of independent directors. In addition, Nasdaq rules generally require that the compensation committee of a listed company be comprised solely of independent directors, subject to certain limited exceptions set forth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consummation of this offering, we will establish an audit committee of the board of directors. Messrs. Hardamon, Boyle and Grossman will serve as members of our audit committee, and Mr. Hardamon will chair the audit committee. Under the Nasdaq listing standards and applicable SEC rules, we are required to have at least three members of the audit committee, all of whom must be independent, subject to certain phase-in provisions. Mr. Hardamon and Mr. Boyle meet the independent director standard under Nasdaq listing standards and under Rule 10-A-3(b) (1) of the Exchange Act but Mr. Grossman does not meet such standards.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Mr. Hardamon qualifies as an “audit committee financial expert” as defined in applicable SEC rules.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adopt an audit committee charter, which will detail the principal functions of the audit committee, including:</w:t>
      </w:r>
    </w:p>
    <w:p>
      <w:pPr>
        <w:spacing w:after="0" w:line="225" w:lineRule="exact"/>
        <w:rPr>
          <w:sz w:val="20"/>
          <w:szCs w:val="20"/>
          <w:color w:val="auto"/>
        </w:rPr>
      </w:pPr>
    </w:p>
    <w:p>
      <w:pPr>
        <w:ind w:left="98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registered public accounting firm engaged by us;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pre-approving all audit and permitted non-audit services to be provided by the independent registered public accounting firm engaged by us, and establishing pre-approval policies and procedures;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registered public accounting firm, including but not limited to, as required by applicable laws and regulations;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225"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registered public accounting firm describing (i) the independent registered public accounting firm’s internal quality-control procedures,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and (iii) all relationships between the independent registered public accounting firm and us to assess the independent registered public accounting firm’s independence;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ind w:left="980" w:right="2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170"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Prior to the consummation of this offering, we will establish a compensation committee of the board of directors. Ms. Jardins, Mr. Biele and Mr. Thomson will serve as members of our compensation committee. Under the Nasdaq listing standards and applicable SEC rules, we generally would be required to have at least two members of the compensation committee, all of whom must be independent, subject to certain limited exceptions set forth under the rules of Nasdaq. Ms. Jardins, Mr. Biele and Mr. Thomson are independent, and Ms. Jardins will chair the compensation committee.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adopt a compensation committee charter, which will detail the principal functions of the compensation committee, including:</w:t>
      </w:r>
    </w:p>
    <w:p>
      <w:pPr>
        <w:spacing w:after="0" w:line="225" w:lineRule="exact"/>
        <w:rPr>
          <w:sz w:val="20"/>
          <w:szCs w:val="20"/>
          <w:color w:val="auto"/>
        </w:rPr>
      </w:pPr>
    </w:p>
    <w:p>
      <w:pPr>
        <w:jc w:val="both"/>
        <w:ind w:left="980" w:hanging="324"/>
        <w:spacing w:after="0" w:line="263"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is paid by us, evaluating our Chief Executive Officer’s performance in light of such goals and objectives and determining and approving the remuneration (if any) of our Chief Executive Officer based on such evaluation;</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and approving on an annual basis the compensation, if any is paid by us, of all of our other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on an annual basis our executive compensation policies and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do not have a standing nominating committee, although we intend to form a corporate governance and nominating committee as and when required to do so by law or Nasdaq rules. In accordance with Rule 5605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All of our independent directors who will participate in the consideration and recommendation of director nominees. In accordance with Rule 5605 of the Nasdaq rules, each of Messrs. Biele, Boyle, Hardamon, Thakrar and Thomson and Ms. Jardins is independent. As there is no standing nominating committee, we do not have a nominating committee charter in place.</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 However, prior to our initial business combination, holders of our public shares will not have the right to recommend director candidates for nomination to our board of directors.</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Prior to the consummation of this offering, we will adopt a Code of Ethics applicable to our directors, officers and employees. We will file a copy of our Code of Ethics and our audit and compensation committee charters as exhibits to the registration statement of which this prospectus is a part. You will be able to review these documents by accessing our public filings at the SEC’s web site at www.sec.gov. In addition, a copy of the Code of Ethics will be provided without charge upon request from us. We intend to disclose any amendments to or waivers of certain provisions of our Code of Ethics in a Current Report on Form 8-K. See the section of this prospectus entitled “</w:t>
      </w:r>
      <w:r>
        <w:rPr>
          <w:rFonts w:ascii="Arial" w:cs="Arial" w:eastAsia="Arial" w:hAnsi="Arial"/>
          <w:sz w:val="16"/>
          <w:szCs w:val="16"/>
          <w:i w:val="1"/>
          <w:iCs w:val="1"/>
          <w:color w:val="auto"/>
        </w:rPr>
        <w:t>Where You Can Find Additional Information</w:t>
      </w:r>
      <w:r>
        <w:rPr>
          <w:rFonts w:ascii="Arial" w:cs="Arial" w:eastAsia="Arial" w:hAnsi="Arial"/>
          <w:sz w:val="16"/>
          <w:szCs w:val="16"/>
          <w:color w:val="auto"/>
        </w:rPr>
        <w:t>” for more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In addition, our officers and directors may have a duty to offer acquisition opportunities to other entities to which they owe duties or clients of affiliates of our sponsor.</w:t>
      </w:r>
    </w:p>
    <w:p>
      <w:pPr>
        <w:spacing w:after="0" w:line="1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result, affiliates of our sponsor and their respective clients may compete with us for acquisition opportunities in the same industries and sectors as we may target for our initial business combination. If any of them decide to pursue any such opportunity, we may be precluded from procuring such opportunities. In addition, investment ideas generated within Chardan, including by any of our officers and other persons who may make decisions for the company, may be suitable both for us and for affiliates of our sponsor or any of their respective clients, and will be directed initially to such persons rather than to us. None of Chardan nor members of our management team who are also employed by Chardan or any of its affiliates have any obligation to present us with any opportunity for a potential business combination of which they become aware unless it is offered to them solely in their capacity as a director or officer of the Company and after they have satisfied their contractual and fiduciary obligations to other parties.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sponsor, officers, directors, Chardan and their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Chardan NexTech 1,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firstLine="648"/>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Notwithstanding the foregoing, we may, at our option, pursue an Affiliated Joint Acquisition. We do not expect that we would pursue any such opportunity with an Affiliated SPAC. This would only occur, though, if (i) permitted by applicable regulatory and other legal limitations; (ii) we and our sponsor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could involve a co-investment with us in the target business at the time of our initial business combination, or we could raise additional proceeds to complete the initial business combination. Any such Affiliated Joint Acquisition or specified future issuance would be in addition to, and would not include, the forward purchase securities issued pursuant to the forward purchase contract.</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potential conflicts described above may limit our ability to enter into a business combination or other transactions. These circumstances could give rise to numerous situations where interests may conflict. There can be no assurance that these or other conflicts of interest with the potential for adverse effects on the Company and investors will not arise.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Potential investors should be aware of the additional following potential conflicts of interest:</w:t>
      </w:r>
    </w:p>
    <w:p>
      <w:pPr>
        <w:spacing w:after="0" w:line="225" w:lineRule="exact"/>
        <w:rPr>
          <w:sz w:val="20"/>
          <w:szCs w:val="20"/>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170" w:lineRule="exact"/>
        <w:rPr>
          <w:rFonts w:ascii="Arial" w:cs="Arial" w:eastAsia="Arial" w:hAnsi="Arial"/>
          <w:sz w:val="18"/>
          <w:szCs w:val="18"/>
          <w:color w:val="auto"/>
        </w:rPr>
      </w:pPr>
    </w:p>
    <w:p>
      <w:pPr>
        <w:jc w:val="both"/>
        <w:ind w:left="980" w:hanging="324"/>
        <w:spacing w:after="0" w:line="301" w:lineRule="auto"/>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management has pre-existing fiduciary duties and contractual obligations and if there is a conflict of interest in determining to which entity a particular business opportunity should be presented, any pre-existing fiduciary obligation will be presented the opportunity before we are presented with it.</w:t>
      </w:r>
    </w:p>
    <w:p>
      <w:pPr>
        <w:spacing w:after="0" w:line="157"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officers and directors may in the future become affiliated with entities, including other blank check companies, engaged in business activities similar to those intended to be conducted by our company.</w:t>
      </w:r>
    </w:p>
    <w:p>
      <w:pPr>
        <w:spacing w:after="0" w:line="170" w:lineRule="exact"/>
        <w:rPr>
          <w:rFonts w:ascii="Arial" w:cs="Arial" w:eastAsia="Arial" w:hAnsi="Arial"/>
          <w:sz w:val="18"/>
          <w:szCs w:val="18"/>
          <w:color w:val="auto"/>
        </w:rPr>
      </w:pPr>
    </w:p>
    <w:p>
      <w:pPr>
        <w:jc w:val="both"/>
        <w:ind w:left="980" w:hanging="324"/>
        <w:spacing w:after="0" w:line="272" w:lineRule="auto"/>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founder shares owned by our officers and directors will be released from escrow only if a business combination is successfully completed and subject to certain other limitations. Additionally, our officers and directors will not receive distributions from the trust account with respect to any of their founder shares if we do not complete a business combination. In addition, our officers and directors may loan funds to us after this offering and may be owed reimbursement for expenses incurred in connection with certain activities on our behalf which would only be repaid if we complete an initial business combination. For the foregoing reasons, the personal and financial interests of our directors and executive officers may influence their motivation in identifying and selecting a target business, completing a business combination in a timely manner and securing the release of their shares.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0" w:name="page121"/>
    <w:bookmarkEnd w:id="120"/>
    <w:p>
      <w:pPr>
        <w:jc w:val="both"/>
        <w:ind w:left="980" w:hanging="324"/>
        <w:spacing w:after="0" w:line="268" w:lineRule="auto"/>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sponsor, officers and directors have agreed to waive their redemption rights with respect to any founder shares and any public shares held by them in connection with the consummation of our initial business combination. Additionally, our initial stockholders, officers and directors have agreed to waive their rights to liquidating distributions from the trust account with respect to any founder shares held by them if we fail to consummate our initial business combination within the completion window. However, if our initial stockholders or any of our officers, directors or affiliates acquire public shares in or after this offering, they will be entitled to liquidating distributions from the trust account with respect to such public shares if we fail to consummate our initial business combination within the completion window. 50% of these founder shares will not be transferred, assigned, sold or released from escrow until the earlier of (i) six months after the date of the consummation of our initial business combination or (ii) the date on which the closing price of our shares of common stock equals or exceeds $12.50 per share (as adjusted for stock splits, stock dividends, reorganizations and recapitalizations) for any 10 trading days within any 30-trading day period commencing after our initial business combination. And the remaining 50% of the founder shares will not be transferred, assigned, sold or released from escrow until six months after the date of the consummation of our initial business combination or earlier, in either case, if, subsequent to our initial business combination, we consummate a subsequent liquidation, merger, stock exchange or other similar transaction that results in all of our stockholders having the right to exchange their shares of common stock for cash, securities or other property. Since our sponsor, officers and directors may directly or indirectly own common stock and warrants following this offering, our officers and directors may have a conflict of interest in determining whether a particular target business is an appropriate business with which to effectuate our initial business combination.</w:t>
      </w:r>
    </w:p>
    <w:p>
      <w:pPr>
        <w:spacing w:after="0" w:line="179" w:lineRule="exact"/>
        <w:rPr>
          <w:rFonts w:ascii="Arial" w:cs="Arial" w:eastAsia="Arial" w:hAnsi="Arial"/>
          <w:sz w:val="17"/>
          <w:szCs w:val="17"/>
          <w:color w:val="auto"/>
        </w:rPr>
      </w:pPr>
    </w:p>
    <w:p>
      <w:pPr>
        <w:jc w:val="both"/>
        <w:ind w:left="980" w:right="20" w:hanging="324"/>
        <w:spacing w:after="0" w:line="263"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sponsor, officers or directors may have a conflict of interest with respect to evaluating a business combination and financing arrangements as we may obtain loans from our sponsor or an affiliate of our sponsor or any of our officers or directors to finance transaction costs in connection with an intended initial business combination.</w:t>
      </w:r>
    </w:p>
    <w:p>
      <w:pPr>
        <w:spacing w:after="0" w:line="183"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order to minimize potential conflicts of interest which may arise from multiple affiliations, our officers will be required to present all suitable target businesses to an Affiliated SPAC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w:t>
      </w:r>
    </w:p>
    <w:p>
      <w:pPr>
        <w:spacing w:after="0" w:line="18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sponsor intends to allocate up to 20,000 founder shares to each of our independent directors. Such securities will be worthless if we do not complete an initial business combination.</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engage Chardan, or another affiliate of our sponsor, as a financial advisor in connection with our initial business combination and pay such affiliate a customary financial advisory fee in an amount that constitutes a market standard financial advisory fee for comparable transactions.</w:t>
      </w:r>
    </w:p>
    <w:p>
      <w:pPr>
        <w:spacing w:after="0" w:line="183"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Furthermore, we may acquire a target company that has engaged Chardan, or another affiliate of our sponsor, as a financial advisor, and such target company may pay such affiliate a financial advisory fee in connection with our initial business combination.</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70"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jc w:val="both"/>
        <w:ind w:firstLine="648"/>
        <w:spacing w:after="0" w:line="284" w:lineRule="auto"/>
        <w:rPr>
          <w:sz w:val="20"/>
          <w:szCs w:val="20"/>
          <w:color w:val="auto"/>
        </w:rPr>
      </w:pPr>
      <w:r>
        <w:rPr>
          <w:rFonts w:ascii="Arial" w:cs="Arial" w:eastAsia="Arial" w:hAnsi="Arial"/>
          <w:sz w:val="16"/>
          <w:szCs w:val="16"/>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w:t>
      </w:r>
    </w:p>
    <w:p>
      <w:pPr>
        <w:spacing w:after="0" w:line="4" w:lineRule="exact"/>
        <w:rPr>
          <w:sz w:val="20"/>
          <w:szCs w:val="20"/>
          <w:color w:val="auto"/>
        </w:rPr>
      </w:pPr>
    </w:p>
    <w:p>
      <w:pPr>
        <w:jc w:val="both"/>
        <w:ind w:firstLine="8"/>
        <w:spacing w:after="0" w:line="269" w:lineRule="auto"/>
        <w:tabs>
          <w:tab w:leader="none" w:pos="266" w:val="left"/>
        </w:tabs>
        <w:numPr>
          <w:ilvl w:val="0"/>
          <w:numId w:val="52"/>
        </w:numPr>
        <w:rPr>
          <w:rFonts w:ascii="Arial" w:cs="Arial" w:eastAsia="Arial" w:hAnsi="Arial"/>
          <w:sz w:val="17"/>
          <w:szCs w:val="17"/>
          <w:color w:val="auto"/>
        </w:rPr>
      </w:pPr>
      <w:r>
        <w:rPr>
          <w:rFonts w:ascii="Arial" w:cs="Arial" w:eastAsia="Arial" w:hAnsi="Arial"/>
          <w:sz w:val="17"/>
          <w:szCs w:val="17"/>
          <w:color w:val="auto"/>
        </w:rPr>
        <w:t>15 months (or up to 21 months, as applicable) from the date of this prospectus.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other relevant pre-existing fiduciary or contractual obligations of our officers and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580" w:type="dxa"/>
            <w:vAlign w:val="bottom"/>
          </w:tcPr>
          <w:p>
            <w:pPr>
              <w:ind w:left="1720"/>
              <w:spacing w:after="0"/>
              <w:rPr>
                <w:sz w:val="20"/>
                <w:szCs w:val="20"/>
                <w:color w:val="auto"/>
              </w:rPr>
            </w:pPr>
            <w:r>
              <w:rPr>
                <w:rFonts w:ascii="Arial" w:cs="Arial" w:eastAsia="Arial" w:hAnsi="Arial"/>
                <w:sz w:val="18"/>
                <w:szCs w:val="18"/>
                <w:b w:val="1"/>
                <w:bCs w:val="1"/>
                <w:color w:val="auto"/>
              </w:rPr>
              <w:t>Priority/Preference relative to</w:t>
            </w:r>
          </w:p>
        </w:tc>
        <w:tc>
          <w:tcPr>
            <w:tcW w:w="0" w:type="dxa"/>
            <w:vAlign w:val="bottom"/>
          </w:tcPr>
          <w:p>
            <w:pPr>
              <w:spacing w:after="0"/>
              <w:rPr>
                <w:sz w:val="1"/>
                <w:szCs w:val="1"/>
                <w:color w:val="auto"/>
              </w:rPr>
            </w:pPr>
          </w:p>
        </w:tc>
      </w:tr>
      <w:tr>
        <w:trPr>
          <w:trHeight w:val="234"/>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Affiliated Company</w:t>
            </w:r>
          </w:p>
        </w:tc>
        <w:tc>
          <w:tcPr>
            <w:tcW w:w="20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2"/>
              </w:rPr>
              <w:t>Name of Individual</w:t>
            </w:r>
          </w:p>
        </w:tc>
        <w:tc>
          <w:tcPr>
            <w:tcW w:w="5580" w:type="dxa"/>
            <w:vAlign w:val="bottom"/>
            <w:tcBorders>
              <w:bottom w:val="single" w:sz="8" w:color="auto"/>
            </w:tcBorders>
          </w:tcPr>
          <w:p>
            <w:pPr>
              <w:ind w:left="1420"/>
              <w:spacing w:after="0"/>
              <w:rPr>
                <w:sz w:val="20"/>
                <w:szCs w:val="20"/>
                <w:color w:val="auto"/>
              </w:rPr>
            </w:pPr>
            <w:r>
              <w:rPr>
                <w:rFonts w:ascii="Arial" w:cs="Arial" w:eastAsia="Arial" w:hAnsi="Arial"/>
                <w:sz w:val="18"/>
                <w:szCs w:val="18"/>
                <w:b w:val="1"/>
                <w:bCs w:val="1"/>
                <w:color w:val="auto"/>
              </w:rPr>
              <w:t>Chardan NexTech Acquisition 2 Corp.</w:t>
            </w:r>
          </w:p>
        </w:tc>
        <w:tc>
          <w:tcPr>
            <w:tcW w:w="0" w:type="dxa"/>
            <w:vAlign w:val="bottom"/>
          </w:tcPr>
          <w:p>
            <w:pPr>
              <w:spacing w:after="0"/>
              <w:rPr>
                <w:sz w:val="1"/>
                <w:szCs w:val="1"/>
                <w:color w:val="auto"/>
              </w:rPr>
            </w:pPr>
          </w:p>
        </w:tc>
      </w:tr>
      <w:tr>
        <w:trPr>
          <w:trHeight w:val="195"/>
        </w:trPr>
        <w:tc>
          <w:tcPr>
            <w:tcW w:w="3600" w:type="dxa"/>
            <w:vAlign w:val="bottom"/>
          </w:tcPr>
          <w:p>
            <w:pPr>
              <w:spacing w:after="0" w:line="195" w:lineRule="exact"/>
              <w:rPr>
                <w:sz w:val="20"/>
                <w:szCs w:val="20"/>
                <w:color w:val="auto"/>
              </w:rPr>
            </w:pPr>
            <w:r>
              <w:rPr>
                <w:rFonts w:ascii="Arial" w:cs="Arial" w:eastAsia="Arial" w:hAnsi="Arial"/>
                <w:sz w:val="18"/>
                <w:szCs w:val="18"/>
                <w:color w:val="auto"/>
              </w:rPr>
              <w:t>340Basics d/b/a Nuvem</w:t>
            </w:r>
          </w:p>
        </w:tc>
        <w:tc>
          <w:tcPr>
            <w:tcW w:w="206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ATW Partners</w:t>
            </w:r>
          </w:p>
        </w:tc>
        <w:tc>
          <w:tcPr>
            <w:tcW w:w="2060" w:type="dxa"/>
            <w:vAlign w:val="bottom"/>
          </w:tcPr>
          <w:p>
            <w:pPr>
              <w:spacing w:after="0"/>
              <w:rPr>
                <w:sz w:val="18"/>
                <w:szCs w:val="18"/>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w w:val="95"/>
              </w:rPr>
              <w:t>340Basics d/b/a Nuvem, ATW Partners, and Chardan Capital Markets,</w:t>
            </w:r>
          </w:p>
        </w:tc>
        <w:tc>
          <w:tcPr>
            <w:tcW w:w="0" w:type="dxa"/>
            <w:vAlign w:val="bottom"/>
          </w:tcPr>
          <w:p>
            <w:pPr>
              <w:spacing w:after="0"/>
              <w:rPr>
                <w:sz w:val="1"/>
                <w:szCs w:val="1"/>
                <w:color w:val="auto"/>
              </w:rPr>
            </w:pPr>
          </w:p>
        </w:tc>
      </w:tr>
      <w:tr>
        <w:trPr>
          <w:trHeight w:val="108"/>
        </w:trPr>
        <w:tc>
          <w:tcPr>
            <w:tcW w:w="3600" w:type="dxa"/>
            <w:vAlign w:val="bottom"/>
            <w:vMerge w:val="restart"/>
          </w:tcPr>
          <w:p>
            <w:pPr>
              <w:spacing w:after="0"/>
              <w:rPr>
                <w:sz w:val="20"/>
                <w:szCs w:val="20"/>
                <w:color w:val="auto"/>
              </w:rPr>
            </w:pPr>
            <w:r>
              <w:rPr>
                <w:rFonts w:ascii="Arial" w:cs="Arial" w:eastAsia="Arial" w:hAnsi="Arial"/>
                <w:sz w:val="18"/>
                <w:szCs w:val="18"/>
                <w:color w:val="auto"/>
              </w:rPr>
              <w:t>Chardan Capital Markets, LLC</w:t>
            </w:r>
          </w:p>
        </w:tc>
        <w:tc>
          <w:tcPr>
            <w:tcW w:w="2060" w:type="dxa"/>
            <w:vAlign w:val="bottom"/>
          </w:tcPr>
          <w:p>
            <w:pPr>
              <w:spacing w:after="0"/>
              <w:rPr>
                <w:sz w:val="9"/>
                <w:szCs w:val="9"/>
                <w:color w:val="auto"/>
              </w:rPr>
            </w:pPr>
          </w:p>
        </w:tc>
        <w:tc>
          <w:tcPr>
            <w:tcW w:w="5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2060" w:type="dxa"/>
            <w:vAlign w:val="bottom"/>
          </w:tcPr>
          <w:p>
            <w:pPr>
              <w:spacing w:after="0"/>
              <w:rPr>
                <w:sz w:val="9"/>
                <w:szCs w:val="9"/>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w w:val="93"/>
              </w:rPr>
              <w:t>LLC, Chardan NexTech Acquisition Corp., China Networks International</w:t>
            </w:r>
          </w:p>
        </w:tc>
        <w:tc>
          <w:tcPr>
            <w:tcW w:w="0" w:type="dxa"/>
            <w:vAlign w:val="bottom"/>
          </w:tcPr>
          <w:p>
            <w:pPr>
              <w:spacing w:after="0"/>
              <w:rPr>
                <w:sz w:val="1"/>
                <w:szCs w:val="1"/>
                <w:color w:val="auto"/>
              </w:rPr>
            </w:pPr>
          </w:p>
        </w:tc>
      </w:tr>
      <w:tr>
        <w:trPr>
          <w:trHeight w:val="108"/>
        </w:trPr>
        <w:tc>
          <w:tcPr>
            <w:tcW w:w="3600" w:type="dxa"/>
            <w:vAlign w:val="bottom"/>
            <w:vMerge w:val="restart"/>
          </w:tcPr>
          <w:p>
            <w:pPr>
              <w:spacing w:after="0"/>
              <w:rPr>
                <w:sz w:val="20"/>
                <w:szCs w:val="20"/>
                <w:color w:val="auto"/>
              </w:rPr>
            </w:pPr>
            <w:r>
              <w:rPr>
                <w:rFonts w:ascii="Arial" w:cs="Arial" w:eastAsia="Arial" w:hAnsi="Arial"/>
                <w:sz w:val="18"/>
                <w:szCs w:val="18"/>
                <w:color w:val="auto"/>
              </w:rPr>
              <w:t>Chardan NexTech Acquisition Corp.</w:t>
            </w:r>
          </w:p>
        </w:tc>
        <w:tc>
          <w:tcPr>
            <w:tcW w:w="2060" w:type="dxa"/>
            <w:vAlign w:val="bottom"/>
            <w:vMerge w:val="restart"/>
          </w:tcPr>
          <w:p>
            <w:pPr>
              <w:jc w:val="center"/>
              <w:ind w:left="130"/>
              <w:spacing w:after="0"/>
              <w:rPr>
                <w:sz w:val="20"/>
                <w:szCs w:val="20"/>
                <w:color w:val="auto"/>
              </w:rPr>
            </w:pPr>
            <w:r>
              <w:rPr>
                <w:rFonts w:ascii="Arial" w:cs="Arial" w:eastAsia="Arial" w:hAnsi="Arial"/>
                <w:sz w:val="18"/>
                <w:szCs w:val="18"/>
                <w:color w:val="auto"/>
                <w:w w:val="92"/>
              </w:rPr>
              <w:t>Kerry Propper</w:t>
            </w:r>
          </w:p>
        </w:tc>
        <w:tc>
          <w:tcPr>
            <w:tcW w:w="5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w w:val="96"/>
              </w:rPr>
              <w:t>Holdings Ltd., Credit Sesame, Inc., and PierianDx, Inc. will each have</w:t>
            </w:r>
          </w:p>
        </w:tc>
        <w:tc>
          <w:tcPr>
            <w:tcW w:w="0" w:type="dxa"/>
            <w:vAlign w:val="bottom"/>
          </w:tcPr>
          <w:p>
            <w:pPr>
              <w:spacing w:after="0"/>
              <w:rPr>
                <w:sz w:val="1"/>
                <w:szCs w:val="1"/>
                <w:color w:val="auto"/>
              </w:rPr>
            </w:pPr>
          </w:p>
        </w:tc>
      </w:tr>
      <w:tr>
        <w:trPr>
          <w:trHeight w:val="108"/>
        </w:trPr>
        <w:tc>
          <w:tcPr>
            <w:tcW w:w="3600" w:type="dxa"/>
            <w:vAlign w:val="bottom"/>
            <w:vMerge w:val="restart"/>
          </w:tcPr>
          <w:p>
            <w:pPr>
              <w:spacing w:after="0"/>
              <w:rPr>
                <w:sz w:val="20"/>
                <w:szCs w:val="20"/>
                <w:color w:val="auto"/>
              </w:rPr>
            </w:pPr>
            <w:r>
              <w:rPr>
                <w:rFonts w:ascii="Arial" w:cs="Arial" w:eastAsia="Arial" w:hAnsi="Arial"/>
                <w:sz w:val="18"/>
                <w:szCs w:val="18"/>
                <w:color w:val="auto"/>
              </w:rPr>
              <w:t>China Networks International Holdings Ltd.</w:t>
            </w:r>
          </w:p>
        </w:tc>
        <w:tc>
          <w:tcPr>
            <w:tcW w:w="2060" w:type="dxa"/>
            <w:vAlign w:val="bottom"/>
          </w:tcPr>
          <w:p>
            <w:pPr>
              <w:spacing w:after="0"/>
              <w:rPr>
                <w:sz w:val="9"/>
                <w:szCs w:val="9"/>
                <w:color w:val="auto"/>
              </w:rPr>
            </w:pPr>
          </w:p>
        </w:tc>
        <w:tc>
          <w:tcPr>
            <w:tcW w:w="5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2060" w:type="dxa"/>
            <w:vAlign w:val="bottom"/>
          </w:tcPr>
          <w:p>
            <w:pPr>
              <w:spacing w:after="0"/>
              <w:rPr>
                <w:sz w:val="9"/>
                <w:szCs w:val="9"/>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rPr>
              <w:t>priority over us.</w:t>
            </w:r>
          </w:p>
        </w:tc>
        <w:tc>
          <w:tcPr>
            <w:tcW w:w="0" w:type="dxa"/>
            <w:vAlign w:val="bottom"/>
          </w:tcPr>
          <w:p>
            <w:pPr>
              <w:spacing w:after="0"/>
              <w:rPr>
                <w:sz w:val="1"/>
                <w:szCs w:val="1"/>
                <w:color w:val="auto"/>
              </w:rPr>
            </w:pPr>
          </w:p>
        </w:tc>
      </w:tr>
      <w:tr>
        <w:trPr>
          <w:trHeight w:val="122"/>
        </w:trPr>
        <w:tc>
          <w:tcPr>
            <w:tcW w:w="3600" w:type="dxa"/>
            <w:vAlign w:val="bottom"/>
            <w:vMerge w:val="restart"/>
          </w:tcPr>
          <w:p>
            <w:pPr>
              <w:spacing w:after="0"/>
              <w:rPr>
                <w:sz w:val="20"/>
                <w:szCs w:val="20"/>
                <w:color w:val="auto"/>
              </w:rPr>
            </w:pPr>
            <w:r>
              <w:rPr>
                <w:rFonts w:ascii="Arial" w:cs="Arial" w:eastAsia="Arial" w:hAnsi="Arial"/>
                <w:sz w:val="18"/>
                <w:szCs w:val="18"/>
                <w:color w:val="auto"/>
              </w:rPr>
              <w:t>Credit Sesame, Inc.</w:t>
            </w:r>
          </w:p>
        </w:tc>
        <w:tc>
          <w:tcPr>
            <w:tcW w:w="2060" w:type="dxa"/>
            <w:vAlign w:val="bottom"/>
          </w:tcPr>
          <w:p>
            <w:pPr>
              <w:spacing w:after="0"/>
              <w:rPr>
                <w:sz w:val="10"/>
                <w:szCs w:val="10"/>
                <w:color w:val="auto"/>
              </w:rPr>
            </w:pPr>
          </w:p>
        </w:tc>
        <w:tc>
          <w:tcPr>
            <w:tcW w:w="5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600" w:type="dxa"/>
            <w:vAlign w:val="bottom"/>
            <w:vMerge w:val="continue"/>
          </w:tcPr>
          <w:p>
            <w:pPr>
              <w:spacing w:after="0"/>
              <w:rPr>
                <w:sz w:val="8"/>
                <w:szCs w:val="8"/>
                <w:color w:val="auto"/>
              </w:rPr>
            </w:pPr>
          </w:p>
        </w:tc>
        <w:tc>
          <w:tcPr>
            <w:tcW w:w="2060" w:type="dxa"/>
            <w:vAlign w:val="bottom"/>
          </w:tcPr>
          <w:p>
            <w:pPr>
              <w:spacing w:after="0"/>
              <w:rPr>
                <w:sz w:val="8"/>
                <w:szCs w:val="8"/>
                <w:color w:val="auto"/>
              </w:rPr>
            </w:pPr>
          </w:p>
        </w:tc>
        <w:tc>
          <w:tcPr>
            <w:tcW w:w="5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PierianDx, Inc.</w:t>
            </w:r>
          </w:p>
        </w:tc>
        <w:tc>
          <w:tcPr>
            <w:tcW w:w="2060" w:type="dxa"/>
            <w:vAlign w:val="bottom"/>
            <w:tcBorders>
              <w:bottom w:val="single" w:sz="8" w:color="auto"/>
            </w:tcBorders>
          </w:tcPr>
          <w:p>
            <w:pPr>
              <w:spacing w:after="0"/>
              <w:rPr>
                <w:sz w:val="20"/>
                <w:szCs w:val="20"/>
                <w:color w:val="auto"/>
              </w:rPr>
            </w:pPr>
          </w:p>
        </w:tc>
        <w:tc>
          <w:tcPr>
            <w:tcW w:w="5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3600" w:type="dxa"/>
            <w:vAlign w:val="bottom"/>
          </w:tcPr>
          <w:p>
            <w:pPr>
              <w:spacing w:after="0"/>
              <w:rPr>
                <w:sz w:val="20"/>
                <w:szCs w:val="20"/>
                <w:color w:val="auto"/>
              </w:rPr>
            </w:pPr>
            <w:r>
              <w:rPr>
                <w:rFonts w:ascii="Arial" w:cs="Arial" w:eastAsia="Arial" w:hAnsi="Arial"/>
                <w:sz w:val="18"/>
                <w:szCs w:val="18"/>
                <w:color w:val="auto"/>
              </w:rPr>
              <w:t>Chardan Capital Markets, LLC</w:t>
            </w:r>
          </w:p>
        </w:tc>
        <w:tc>
          <w:tcPr>
            <w:tcW w:w="206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Chardan Healthcare Acquisition 2 Corp.</w:t>
            </w:r>
          </w:p>
        </w:tc>
        <w:tc>
          <w:tcPr>
            <w:tcW w:w="20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Chardan NexTech Acquisition Corp.</w:t>
            </w:r>
          </w:p>
        </w:tc>
        <w:tc>
          <w:tcPr>
            <w:tcW w:w="206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w w:val="93"/>
              </w:rPr>
              <w:t>Chardan Capital Markets, LLC, Chardan Healthcare Acquisition 2 Corp.,</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Chardan NexTech Investments LLC</w:t>
            </w:r>
          </w:p>
        </w:tc>
        <w:tc>
          <w:tcPr>
            <w:tcW w:w="2060" w:type="dxa"/>
            <w:vAlign w:val="bottom"/>
            <w:vMerge w:val="restart"/>
          </w:tcPr>
          <w:p>
            <w:pPr>
              <w:jc w:val="center"/>
              <w:ind w:left="130"/>
              <w:spacing w:after="0"/>
              <w:rPr>
                <w:sz w:val="20"/>
                <w:szCs w:val="20"/>
                <w:color w:val="auto"/>
              </w:rPr>
            </w:pPr>
            <w:r>
              <w:rPr>
                <w:rFonts w:ascii="Arial" w:cs="Arial" w:eastAsia="Arial" w:hAnsi="Arial"/>
                <w:sz w:val="18"/>
                <w:szCs w:val="18"/>
                <w:color w:val="auto"/>
                <w:w w:val="85"/>
              </w:rPr>
              <w:t>Jonas Grossman</w:t>
            </w:r>
          </w:p>
        </w:tc>
        <w:tc>
          <w:tcPr>
            <w:tcW w:w="5580" w:type="dxa"/>
            <w:vAlign w:val="bottom"/>
          </w:tcPr>
          <w:p>
            <w:pPr>
              <w:ind w:left="200"/>
              <w:spacing w:after="0"/>
              <w:rPr>
                <w:sz w:val="20"/>
                <w:szCs w:val="20"/>
                <w:color w:val="auto"/>
              </w:rPr>
            </w:pPr>
            <w:r>
              <w:rPr>
                <w:rFonts w:ascii="Arial" w:cs="Arial" w:eastAsia="Arial" w:hAnsi="Arial"/>
                <w:sz w:val="18"/>
                <w:szCs w:val="18"/>
                <w:color w:val="auto"/>
                <w:w w:val="91"/>
              </w:rPr>
              <w:t>Chardan NexTech Acquisition Corp., Chardan NexTech Investments LLC,</w:t>
            </w:r>
          </w:p>
        </w:tc>
        <w:tc>
          <w:tcPr>
            <w:tcW w:w="0" w:type="dxa"/>
            <w:vAlign w:val="bottom"/>
          </w:tcPr>
          <w:p>
            <w:pPr>
              <w:spacing w:after="0"/>
              <w:rPr>
                <w:sz w:val="1"/>
                <w:szCs w:val="1"/>
                <w:color w:val="auto"/>
              </w:rPr>
            </w:pPr>
          </w:p>
        </w:tc>
      </w:tr>
      <w:tr>
        <w:trPr>
          <w:trHeight w:val="122"/>
        </w:trPr>
        <w:tc>
          <w:tcPr>
            <w:tcW w:w="3600" w:type="dxa"/>
            <w:vAlign w:val="bottom"/>
            <w:vMerge w:val="restart"/>
          </w:tcPr>
          <w:p>
            <w:pPr>
              <w:spacing w:after="0"/>
              <w:rPr>
                <w:sz w:val="20"/>
                <w:szCs w:val="20"/>
                <w:color w:val="auto"/>
              </w:rPr>
            </w:pPr>
            <w:r>
              <w:rPr>
                <w:rFonts w:ascii="Arial" w:cs="Arial" w:eastAsia="Arial" w:hAnsi="Arial"/>
                <w:sz w:val="18"/>
                <w:szCs w:val="18"/>
                <w:color w:val="auto"/>
              </w:rPr>
              <w:t>CleanTech Acquisition Corp.</w:t>
            </w:r>
          </w:p>
        </w:tc>
        <w:tc>
          <w:tcPr>
            <w:tcW w:w="2060" w:type="dxa"/>
            <w:vAlign w:val="bottom"/>
            <w:vMerge w:val="continue"/>
          </w:tcPr>
          <w:p>
            <w:pPr>
              <w:spacing w:after="0"/>
              <w:rPr>
                <w:sz w:val="10"/>
                <w:szCs w:val="10"/>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w w:val="94"/>
              </w:rPr>
              <w:t>Cornix Advisers, LLC, BiomX, Inc. and Ventoux CCM Acquisition Corp.</w:t>
            </w:r>
          </w:p>
        </w:tc>
        <w:tc>
          <w:tcPr>
            <w:tcW w:w="0" w:type="dxa"/>
            <w:vAlign w:val="bottom"/>
          </w:tcPr>
          <w:p>
            <w:pPr>
              <w:spacing w:after="0"/>
              <w:rPr>
                <w:sz w:val="1"/>
                <w:szCs w:val="1"/>
                <w:color w:val="auto"/>
              </w:rPr>
            </w:pPr>
          </w:p>
        </w:tc>
      </w:tr>
      <w:tr>
        <w:trPr>
          <w:trHeight w:val="94"/>
        </w:trPr>
        <w:tc>
          <w:tcPr>
            <w:tcW w:w="3600" w:type="dxa"/>
            <w:vAlign w:val="bottom"/>
            <w:vMerge w:val="continue"/>
          </w:tcPr>
          <w:p>
            <w:pPr>
              <w:spacing w:after="0"/>
              <w:rPr>
                <w:sz w:val="8"/>
                <w:szCs w:val="8"/>
                <w:color w:val="auto"/>
              </w:rPr>
            </w:pPr>
          </w:p>
        </w:tc>
        <w:tc>
          <w:tcPr>
            <w:tcW w:w="2060" w:type="dxa"/>
            <w:vAlign w:val="bottom"/>
          </w:tcPr>
          <w:p>
            <w:pPr>
              <w:spacing w:after="0"/>
              <w:rPr>
                <w:sz w:val="8"/>
                <w:szCs w:val="8"/>
                <w:color w:val="auto"/>
              </w:rPr>
            </w:pPr>
          </w:p>
        </w:tc>
        <w:tc>
          <w:tcPr>
            <w:tcW w:w="5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Cornix Advisers, LLC</w:t>
            </w:r>
          </w:p>
        </w:tc>
        <w:tc>
          <w:tcPr>
            <w:tcW w:w="206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will each have priority over us.</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BiomX, Inc.</w:t>
            </w:r>
          </w:p>
        </w:tc>
        <w:tc>
          <w:tcPr>
            <w:tcW w:w="20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Ventoux CCM Acquisition Corp.</w:t>
            </w:r>
          </w:p>
        </w:tc>
        <w:tc>
          <w:tcPr>
            <w:tcW w:w="2060" w:type="dxa"/>
            <w:vAlign w:val="bottom"/>
            <w:tcBorders>
              <w:bottom w:val="single" w:sz="8" w:color="auto"/>
            </w:tcBorders>
          </w:tcPr>
          <w:p>
            <w:pPr>
              <w:spacing w:after="0"/>
              <w:rPr>
                <w:sz w:val="20"/>
                <w:szCs w:val="20"/>
                <w:color w:val="auto"/>
              </w:rPr>
            </w:pPr>
          </w:p>
        </w:tc>
        <w:tc>
          <w:tcPr>
            <w:tcW w:w="5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3600" w:type="dxa"/>
            <w:vAlign w:val="bottom"/>
          </w:tcPr>
          <w:p>
            <w:pPr>
              <w:spacing w:after="0"/>
              <w:rPr>
                <w:sz w:val="20"/>
                <w:szCs w:val="20"/>
                <w:color w:val="auto"/>
              </w:rPr>
            </w:pPr>
            <w:r>
              <w:rPr>
                <w:rFonts w:ascii="Arial" w:cs="Arial" w:eastAsia="Arial" w:hAnsi="Arial"/>
                <w:sz w:val="18"/>
                <w:szCs w:val="18"/>
                <w:color w:val="auto"/>
              </w:rPr>
              <w:t>Chardan Capital Markets, LLC</w:t>
            </w:r>
          </w:p>
        </w:tc>
        <w:tc>
          <w:tcPr>
            <w:tcW w:w="2060" w:type="dxa"/>
            <w:vAlign w:val="bottom"/>
          </w:tcPr>
          <w:p>
            <w:pPr>
              <w:spacing w:after="0"/>
              <w:rPr>
                <w:sz w:val="24"/>
                <w:szCs w:val="24"/>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w w:val="93"/>
              </w:rPr>
              <w:t>Chardan Capital Markets, LLC, Chardan NexTech Acquisition Corp. and</w:t>
            </w:r>
          </w:p>
        </w:tc>
        <w:tc>
          <w:tcPr>
            <w:tcW w:w="0" w:type="dxa"/>
            <w:vAlign w:val="bottom"/>
          </w:tcPr>
          <w:p>
            <w:pPr>
              <w:spacing w:after="0"/>
              <w:rPr>
                <w:sz w:val="1"/>
                <w:szCs w:val="1"/>
                <w:color w:val="auto"/>
              </w:rPr>
            </w:pPr>
          </w:p>
        </w:tc>
      </w:tr>
      <w:tr>
        <w:trPr>
          <w:trHeight w:val="108"/>
        </w:trPr>
        <w:tc>
          <w:tcPr>
            <w:tcW w:w="3600" w:type="dxa"/>
            <w:vAlign w:val="bottom"/>
            <w:vMerge w:val="restart"/>
          </w:tcPr>
          <w:p>
            <w:pPr>
              <w:spacing w:after="0"/>
              <w:rPr>
                <w:sz w:val="20"/>
                <w:szCs w:val="20"/>
                <w:color w:val="auto"/>
              </w:rPr>
            </w:pPr>
            <w:r>
              <w:rPr>
                <w:rFonts w:ascii="Arial" w:cs="Arial" w:eastAsia="Arial" w:hAnsi="Arial"/>
                <w:sz w:val="18"/>
                <w:szCs w:val="18"/>
                <w:color w:val="auto"/>
              </w:rPr>
              <w:t>Chardan NexTech Acquisition Corp.</w:t>
            </w:r>
          </w:p>
        </w:tc>
        <w:tc>
          <w:tcPr>
            <w:tcW w:w="2060" w:type="dxa"/>
            <w:vAlign w:val="bottom"/>
            <w:vMerge w:val="restart"/>
          </w:tcPr>
          <w:p>
            <w:pPr>
              <w:jc w:val="center"/>
              <w:ind w:left="130"/>
              <w:spacing w:after="0"/>
              <w:rPr>
                <w:sz w:val="20"/>
                <w:szCs w:val="20"/>
                <w:color w:val="auto"/>
              </w:rPr>
            </w:pPr>
            <w:r>
              <w:rPr>
                <w:rFonts w:ascii="Arial" w:cs="Arial" w:eastAsia="Arial" w:hAnsi="Arial"/>
                <w:sz w:val="18"/>
                <w:szCs w:val="18"/>
                <w:color w:val="auto"/>
                <w:w w:val="95"/>
              </w:rPr>
              <w:t>Alex Weil</w:t>
            </w:r>
          </w:p>
        </w:tc>
        <w:tc>
          <w:tcPr>
            <w:tcW w:w="5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rPr>
              <w:t>Ventoux CCM Acquisition Corp. will each have priority over us.</w:t>
            </w:r>
          </w:p>
        </w:tc>
        <w:tc>
          <w:tcPr>
            <w:tcW w:w="0" w:type="dxa"/>
            <w:vAlign w:val="bottom"/>
          </w:tcPr>
          <w:p>
            <w:pPr>
              <w:spacing w:after="0"/>
              <w:rPr>
                <w:sz w:val="1"/>
                <w:szCs w:val="1"/>
                <w:color w:val="auto"/>
              </w:rPr>
            </w:pPr>
          </w:p>
        </w:tc>
      </w:tr>
      <w:tr>
        <w:trPr>
          <w:trHeight w:val="122"/>
        </w:trPr>
        <w:tc>
          <w:tcPr>
            <w:tcW w:w="3600" w:type="dxa"/>
            <w:vAlign w:val="bottom"/>
            <w:vMerge w:val="restart"/>
          </w:tcPr>
          <w:p>
            <w:pPr>
              <w:spacing w:after="0"/>
              <w:rPr>
                <w:sz w:val="20"/>
                <w:szCs w:val="20"/>
                <w:color w:val="auto"/>
              </w:rPr>
            </w:pPr>
            <w:r>
              <w:rPr>
                <w:rFonts w:ascii="Arial" w:cs="Arial" w:eastAsia="Arial" w:hAnsi="Arial"/>
                <w:sz w:val="18"/>
                <w:szCs w:val="18"/>
                <w:color w:val="auto"/>
              </w:rPr>
              <w:t>Ventoux CCM Acquisition Corp.</w:t>
            </w:r>
          </w:p>
        </w:tc>
        <w:tc>
          <w:tcPr>
            <w:tcW w:w="2060" w:type="dxa"/>
            <w:vAlign w:val="bottom"/>
          </w:tcPr>
          <w:p>
            <w:pPr>
              <w:spacing w:after="0"/>
              <w:rPr>
                <w:sz w:val="10"/>
                <w:szCs w:val="10"/>
                <w:color w:val="auto"/>
              </w:rPr>
            </w:pPr>
          </w:p>
        </w:tc>
        <w:tc>
          <w:tcPr>
            <w:tcW w:w="5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00" w:type="dxa"/>
            <w:vAlign w:val="bottom"/>
            <w:tcBorders>
              <w:bottom w:val="single" w:sz="8" w:color="auto"/>
            </w:tcBorders>
            <w:vMerge w:val="continue"/>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5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5"/>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PREEM Inc.</w:t>
            </w:r>
          </w:p>
        </w:tc>
        <w:tc>
          <w:tcPr>
            <w:tcW w:w="20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0"/>
              </w:rPr>
              <w:t>Jonathan Biele</w:t>
            </w:r>
          </w:p>
        </w:tc>
        <w:tc>
          <w:tcPr>
            <w:tcW w:w="5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PREEM Inc. will have priority over us.</w:t>
            </w:r>
          </w:p>
        </w:tc>
        <w:tc>
          <w:tcPr>
            <w:tcW w:w="0" w:type="dxa"/>
            <w:vAlign w:val="bottom"/>
          </w:tcPr>
          <w:p>
            <w:pPr>
              <w:spacing w:after="0"/>
              <w:rPr>
                <w:sz w:val="1"/>
                <w:szCs w:val="1"/>
                <w:color w:val="auto"/>
              </w:rPr>
            </w:pPr>
          </w:p>
        </w:tc>
      </w:tr>
      <w:tr>
        <w:trPr>
          <w:trHeight w:val="425"/>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Chardan NexTech Acquisition Corp.</w:t>
            </w:r>
          </w:p>
        </w:tc>
        <w:tc>
          <w:tcPr>
            <w:tcW w:w="20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4"/>
              </w:rPr>
              <w:t>Perry Boyle</w:t>
            </w:r>
          </w:p>
        </w:tc>
        <w:tc>
          <w:tcPr>
            <w:tcW w:w="5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Chardan NexTech Acquisition Corp. will have priority over us.</w:t>
            </w:r>
          </w:p>
        </w:tc>
        <w:tc>
          <w:tcPr>
            <w:tcW w:w="0" w:type="dxa"/>
            <w:vAlign w:val="bottom"/>
          </w:tcPr>
          <w:p>
            <w:pPr>
              <w:spacing w:after="0"/>
              <w:rPr>
                <w:sz w:val="1"/>
                <w:szCs w:val="1"/>
                <w:color w:val="auto"/>
              </w:rPr>
            </w:pPr>
          </w:p>
        </w:tc>
      </w:tr>
      <w:tr>
        <w:trPr>
          <w:trHeight w:val="411"/>
        </w:trPr>
        <w:tc>
          <w:tcPr>
            <w:tcW w:w="3600" w:type="dxa"/>
            <w:vAlign w:val="bottom"/>
          </w:tcPr>
          <w:p>
            <w:pPr>
              <w:spacing w:after="0"/>
              <w:rPr>
                <w:sz w:val="20"/>
                <w:szCs w:val="20"/>
                <w:color w:val="auto"/>
              </w:rPr>
            </w:pPr>
            <w:r>
              <w:rPr>
                <w:rFonts w:ascii="Arial" w:cs="Arial" w:eastAsia="Arial" w:hAnsi="Arial"/>
                <w:sz w:val="18"/>
                <w:szCs w:val="18"/>
                <w:color w:val="auto"/>
              </w:rPr>
              <w:t>URGE Development Group</w:t>
            </w:r>
          </w:p>
        </w:tc>
        <w:tc>
          <w:tcPr>
            <w:tcW w:w="2060" w:type="dxa"/>
            <w:vAlign w:val="bottom"/>
            <w:vMerge w:val="restart"/>
          </w:tcPr>
          <w:p>
            <w:pPr>
              <w:jc w:val="center"/>
              <w:ind w:left="130"/>
              <w:spacing w:after="0"/>
              <w:rPr>
                <w:sz w:val="20"/>
                <w:szCs w:val="20"/>
                <w:color w:val="auto"/>
              </w:rPr>
            </w:pPr>
            <w:r>
              <w:rPr>
                <w:rFonts w:ascii="Arial" w:cs="Arial" w:eastAsia="Arial" w:hAnsi="Arial"/>
                <w:sz w:val="18"/>
                <w:szCs w:val="18"/>
                <w:color w:val="auto"/>
                <w:w w:val="92"/>
              </w:rPr>
              <w:t>Roderick Hardamon</w:t>
            </w:r>
          </w:p>
        </w:tc>
        <w:tc>
          <w:tcPr>
            <w:tcW w:w="5580" w:type="dxa"/>
            <w:vAlign w:val="bottom"/>
          </w:tcPr>
          <w:p>
            <w:pPr>
              <w:ind w:left="200"/>
              <w:spacing w:after="0"/>
              <w:rPr>
                <w:sz w:val="20"/>
                <w:szCs w:val="20"/>
                <w:color w:val="auto"/>
              </w:rPr>
            </w:pPr>
            <w:r>
              <w:rPr>
                <w:rFonts w:ascii="Arial" w:cs="Arial" w:eastAsia="Arial" w:hAnsi="Arial"/>
                <w:sz w:val="18"/>
                <w:szCs w:val="18"/>
                <w:color w:val="auto"/>
              </w:rPr>
              <w:t>URGE Development Group and URGE Imprint LLC will each have</w:t>
            </w:r>
          </w:p>
        </w:tc>
        <w:tc>
          <w:tcPr>
            <w:tcW w:w="0" w:type="dxa"/>
            <w:vAlign w:val="bottom"/>
          </w:tcPr>
          <w:p>
            <w:pPr>
              <w:spacing w:after="0"/>
              <w:rPr>
                <w:sz w:val="1"/>
                <w:szCs w:val="1"/>
                <w:color w:val="auto"/>
              </w:rPr>
            </w:pPr>
          </w:p>
        </w:tc>
      </w:tr>
      <w:tr>
        <w:trPr>
          <w:trHeight w:val="122"/>
        </w:trPr>
        <w:tc>
          <w:tcPr>
            <w:tcW w:w="3600" w:type="dxa"/>
            <w:vAlign w:val="bottom"/>
            <w:vMerge w:val="restart"/>
          </w:tcPr>
          <w:p>
            <w:pPr>
              <w:spacing w:after="0"/>
              <w:rPr>
                <w:sz w:val="20"/>
                <w:szCs w:val="20"/>
                <w:color w:val="auto"/>
              </w:rPr>
            </w:pPr>
            <w:r>
              <w:rPr>
                <w:rFonts w:ascii="Arial" w:cs="Arial" w:eastAsia="Arial" w:hAnsi="Arial"/>
                <w:sz w:val="18"/>
                <w:szCs w:val="18"/>
                <w:color w:val="auto"/>
              </w:rPr>
              <w:t>URGE Imprint LLC</w:t>
            </w:r>
          </w:p>
        </w:tc>
        <w:tc>
          <w:tcPr>
            <w:tcW w:w="2060" w:type="dxa"/>
            <w:vAlign w:val="bottom"/>
            <w:vMerge w:val="continue"/>
          </w:tcPr>
          <w:p>
            <w:pPr>
              <w:spacing w:after="0"/>
              <w:rPr>
                <w:sz w:val="10"/>
                <w:szCs w:val="10"/>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rPr>
              <w:t>priority over us.</w:t>
            </w:r>
          </w:p>
        </w:tc>
        <w:tc>
          <w:tcPr>
            <w:tcW w:w="0" w:type="dxa"/>
            <w:vAlign w:val="bottom"/>
          </w:tcPr>
          <w:p>
            <w:pPr>
              <w:spacing w:after="0"/>
              <w:rPr>
                <w:sz w:val="1"/>
                <w:szCs w:val="1"/>
                <w:color w:val="auto"/>
              </w:rPr>
            </w:pPr>
          </w:p>
        </w:tc>
      </w:tr>
      <w:tr>
        <w:trPr>
          <w:trHeight w:val="108"/>
        </w:trPr>
        <w:tc>
          <w:tcPr>
            <w:tcW w:w="3600" w:type="dxa"/>
            <w:vAlign w:val="bottom"/>
            <w:tcBorders>
              <w:bottom w:val="single" w:sz="8" w:color="auto"/>
            </w:tcBorders>
            <w:vMerge w:val="continue"/>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55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3600" w:type="dxa"/>
            <w:vAlign w:val="bottom"/>
          </w:tcPr>
          <w:p>
            <w:pPr>
              <w:spacing w:after="0"/>
              <w:rPr>
                <w:sz w:val="20"/>
                <w:szCs w:val="20"/>
                <w:color w:val="auto"/>
              </w:rPr>
            </w:pPr>
            <w:r>
              <w:rPr>
                <w:rFonts w:ascii="Arial" w:cs="Arial" w:eastAsia="Arial" w:hAnsi="Arial"/>
                <w:sz w:val="18"/>
                <w:szCs w:val="18"/>
                <w:color w:val="auto"/>
              </w:rPr>
              <w:t>The @ Company</w:t>
            </w:r>
          </w:p>
        </w:tc>
        <w:tc>
          <w:tcPr>
            <w:tcW w:w="2060" w:type="dxa"/>
            <w:vAlign w:val="bottom"/>
            <w:vMerge w:val="restart"/>
          </w:tcPr>
          <w:p>
            <w:pPr>
              <w:jc w:val="center"/>
              <w:ind w:left="130"/>
              <w:spacing w:after="0"/>
              <w:rPr>
                <w:sz w:val="20"/>
                <w:szCs w:val="20"/>
                <w:color w:val="auto"/>
              </w:rPr>
            </w:pPr>
            <w:r>
              <w:rPr>
                <w:rFonts w:ascii="Arial" w:cs="Arial" w:eastAsia="Arial" w:hAnsi="Arial"/>
                <w:sz w:val="18"/>
                <w:szCs w:val="18"/>
                <w:color w:val="auto"/>
                <w:w w:val="89"/>
              </w:rPr>
              <w:t>Jory Des Jardins</w:t>
            </w: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rPr>
              <w:t>The @ Company and W Fund will each have priority over us.</w:t>
            </w:r>
          </w:p>
        </w:tc>
        <w:tc>
          <w:tcPr>
            <w:tcW w:w="0" w:type="dxa"/>
            <w:vAlign w:val="bottom"/>
          </w:tcPr>
          <w:p>
            <w:pPr>
              <w:spacing w:after="0"/>
              <w:rPr>
                <w:sz w:val="1"/>
                <w:szCs w:val="1"/>
                <w:color w:val="auto"/>
              </w:rPr>
            </w:pPr>
          </w:p>
        </w:tc>
      </w:tr>
      <w:tr>
        <w:trPr>
          <w:trHeight w:val="122"/>
        </w:trPr>
        <w:tc>
          <w:tcPr>
            <w:tcW w:w="3600" w:type="dxa"/>
            <w:vAlign w:val="bottom"/>
            <w:vMerge w:val="restart"/>
          </w:tcPr>
          <w:p>
            <w:pPr>
              <w:spacing w:after="0"/>
              <w:rPr>
                <w:sz w:val="20"/>
                <w:szCs w:val="20"/>
                <w:color w:val="auto"/>
              </w:rPr>
            </w:pPr>
            <w:r>
              <w:rPr>
                <w:rFonts w:ascii="Arial" w:cs="Arial" w:eastAsia="Arial" w:hAnsi="Arial"/>
                <w:sz w:val="18"/>
                <w:szCs w:val="18"/>
                <w:color w:val="auto"/>
              </w:rPr>
              <w:t>W Fund</w:t>
            </w:r>
          </w:p>
        </w:tc>
        <w:tc>
          <w:tcPr>
            <w:tcW w:w="2060" w:type="dxa"/>
            <w:vAlign w:val="bottom"/>
            <w:vMerge w:val="continue"/>
          </w:tcPr>
          <w:p>
            <w:pPr>
              <w:spacing w:after="0"/>
              <w:rPr>
                <w:sz w:val="10"/>
                <w:szCs w:val="10"/>
                <w:color w:val="auto"/>
              </w:rPr>
            </w:pPr>
          </w:p>
        </w:tc>
        <w:tc>
          <w:tcPr>
            <w:tcW w:w="5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00" w:type="dxa"/>
            <w:vAlign w:val="bottom"/>
            <w:tcBorders>
              <w:bottom w:val="single" w:sz="8" w:color="auto"/>
            </w:tcBorders>
            <w:vMerge w:val="continue"/>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5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3600" w:type="dxa"/>
            <w:vAlign w:val="bottom"/>
          </w:tcPr>
          <w:p>
            <w:pPr>
              <w:spacing w:after="0"/>
              <w:rPr>
                <w:sz w:val="20"/>
                <w:szCs w:val="20"/>
                <w:color w:val="auto"/>
              </w:rPr>
            </w:pPr>
            <w:r>
              <w:rPr>
                <w:rFonts w:ascii="Arial" w:cs="Arial" w:eastAsia="Arial" w:hAnsi="Arial"/>
                <w:sz w:val="18"/>
                <w:szCs w:val="18"/>
                <w:color w:val="auto"/>
              </w:rPr>
              <w:t>Syncona Limited</w:t>
            </w:r>
          </w:p>
        </w:tc>
        <w:tc>
          <w:tcPr>
            <w:tcW w:w="2060" w:type="dxa"/>
            <w:vAlign w:val="bottom"/>
            <w:vMerge w:val="restart"/>
          </w:tcPr>
          <w:p>
            <w:pPr>
              <w:jc w:val="center"/>
              <w:ind w:left="130"/>
              <w:spacing w:after="0"/>
              <w:rPr>
                <w:sz w:val="20"/>
                <w:szCs w:val="20"/>
                <w:color w:val="auto"/>
              </w:rPr>
            </w:pPr>
            <w:r>
              <w:rPr>
                <w:rFonts w:ascii="Arial" w:cs="Arial" w:eastAsia="Arial" w:hAnsi="Arial"/>
                <w:sz w:val="18"/>
                <w:szCs w:val="18"/>
                <w:color w:val="auto"/>
                <w:w w:val="91"/>
              </w:rPr>
              <w:t>Hitesh Thakrar</w:t>
            </w: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rPr>
              <w:t>Syncona Limited and KQ Labs will each have priority over us.</w:t>
            </w:r>
          </w:p>
        </w:tc>
        <w:tc>
          <w:tcPr>
            <w:tcW w:w="0" w:type="dxa"/>
            <w:vAlign w:val="bottom"/>
          </w:tcPr>
          <w:p>
            <w:pPr>
              <w:spacing w:after="0"/>
              <w:rPr>
                <w:sz w:val="1"/>
                <w:szCs w:val="1"/>
                <w:color w:val="auto"/>
              </w:rPr>
            </w:pPr>
          </w:p>
        </w:tc>
      </w:tr>
      <w:tr>
        <w:trPr>
          <w:trHeight w:val="122"/>
        </w:trPr>
        <w:tc>
          <w:tcPr>
            <w:tcW w:w="3600" w:type="dxa"/>
            <w:vAlign w:val="bottom"/>
            <w:vMerge w:val="restart"/>
          </w:tcPr>
          <w:p>
            <w:pPr>
              <w:spacing w:after="0"/>
              <w:rPr>
                <w:sz w:val="20"/>
                <w:szCs w:val="20"/>
                <w:color w:val="auto"/>
              </w:rPr>
            </w:pPr>
            <w:r>
              <w:rPr>
                <w:rFonts w:ascii="Arial" w:cs="Arial" w:eastAsia="Arial" w:hAnsi="Arial"/>
                <w:sz w:val="18"/>
                <w:szCs w:val="18"/>
                <w:color w:val="auto"/>
              </w:rPr>
              <w:t>KQ Labs</w:t>
            </w:r>
          </w:p>
        </w:tc>
        <w:tc>
          <w:tcPr>
            <w:tcW w:w="2060" w:type="dxa"/>
            <w:vAlign w:val="bottom"/>
            <w:vMerge w:val="continue"/>
          </w:tcPr>
          <w:p>
            <w:pPr>
              <w:spacing w:after="0"/>
              <w:rPr>
                <w:sz w:val="10"/>
                <w:szCs w:val="10"/>
                <w:color w:val="auto"/>
              </w:rPr>
            </w:pPr>
          </w:p>
        </w:tc>
        <w:tc>
          <w:tcPr>
            <w:tcW w:w="5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00" w:type="dxa"/>
            <w:vAlign w:val="bottom"/>
            <w:tcBorders>
              <w:bottom w:val="single" w:sz="8" w:color="auto"/>
            </w:tcBorders>
            <w:vMerge w:val="continue"/>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5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3600" w:type="dxa"/>
            <w:vAlign w:val="bottom"/>
          </w:tcPr>
          <w:p>
            <w:pPr>
              <w:spacing w:after="0"/>
              <w:rPr>
                <w:sz w:val="20"/>
                <w:szCs w:val="20"/>
                <w:color w:val="auto"/>
              </w:rPr>
            </w:pPr>
            <w:r>
              <w:rPr>
                <w:rFonts w:ascii="Arial" w:cs="Arial" w:eastAsia="Arial" w:hAnsi="Arial"/>
                <w:sz w:val="18"/>
                <w:szCs w:val="18"/>
                <w:color w:val="auto"/>
              </w:rPr>
              <w:t>Kairos Ventures Investments, LLC</w:t>
            </w:r>
          </w:p>
        </w:tc>
        <w:tc>
          <w:tcPr>
            <w:tcW w:w="2060" w:type="dxa"/>
            <w:vAlign w:val="bottom"/>
            <w:vMerge w:val="restart"/>
          </w:tcPr>
          <w:p>
            <w:pPr>
              <w:jc w:val="center"/>
              <w:ind w:left="130"/>
              <w:spacing w:after="0"/>
              <w:rPr>
                <w:sz w:val="20"/>
                <w:szCs w:val="20"/>
                <w:color w:val="auto"/>
              </w:rPr>
            </w:pPr>
            <w:r>
              <w:rPr>
                <w:rFonts w:ascii="Arial" w:cs="Arial" w:eastAsia="Arial" w:hAnsi="Arial"/>
                <w:sz w:val="18"/>
                <w:szCs w:val="18"/>
                <w:color w:val="auto"/>
                <w:w w:val="89"/>
              </w:rPr>
              <w:t>Todd Thomson</w:t>
            </w:r>
          </w:p>
        </w:tc>
        <w:tc>
          <w:tcPr>
            <w:tcW w:w="5580" w:type="dxa"/>
            <w:vAlign w:val="bottom"/>
          </w:tcPr>
          <w:p>
            <w:pPr>
              <w:ind w:left="200"/>
              <w:spacing w:after="0"/>
              <w:rPr>
                <w:sz w:val="20"/>
                <w:szCs w:val="20"/>
                <w:color w:val="auto"/>
              </w:rPr>
            </w:pPr>
            <w:r>
              <w:rPr>
                <w:rFonts w:ascii="Arial" w:cs="Arial" w:eastAsia="Arial" w:hAnsi="Arial"/>
                <w:sz w:val="18"/>
                <w:szCs w:val="18"/>
                <w:color w:val="auto"/>
                <w:w w:val="97"/>
              </w:rPr>
              <w:t>Kairos Ventures Investments, LLC and Chardan NexTech Acquisition</w:t>
            </w:r>
          </w:p>
        </w:tc>
        <w:tc>
          <w:tcPr>
            <w:tcW w:w="0" w:type="dxa"/>
            <w:vAlign w:val="bottom"/>
          </w:tcPr>
          <w:p>
            <w:pPr>
              <w:spacing w:after="0"/>
              <w:rPr>
                <w:sz w:val="1"/>
                <w:szCs w:val="1"/>
                <w:color w:val="auto"/>
              </w:rPr>
            </w:pPr>
          </w:p>
        </w:tc>
      </w:tr>
      <w:tr>
        <w:trPr>
          <w:trHeight w:val="122"/>
        </w:trPr>
        <w:tc>
          <w:tcPr>
            <w:tcW w:w="3600" w:type="dxa"/>
            <w:vAlign w:val="bottom"/>
            <w:vMerge w:val="restart"/>
          </w:tcPr>
          <w:p>
            <w:pPr>
              <w:spacing w:after="0"/>
              <w:rPr>
                <w:sz w:val="20"/>
                <w:szCs w:val="20"/>
                <w:color w:val="auto"/>
              </w:rPr>
            </w:pPr>
            <w:r>
              <w:rPr>
                <w:rFonts w:ascii="Arial" w:cs="Arial" w:eastAsia="Arial" w:hAnsi="Arial"/>
                <w:sz w:val="18"/>
                <w:szCs w:val="18"/>
                <w:color w:val="auto"/>
              </w:rPr>
              <w:t>Chardan NexTech Acquisition Corp.</w:t>
            </w:r>
          </w:p>
        </w:tc>
        <w:tc>
          <w:tcPr>
            <w:tcW w:w="2060" w:type="dxa"/>
            <w:vAlign w:val="bottom"/>
            <w:vMerge w:val="continue"/>
          </w:tcPr>
          <w:p>
            <w:pPr>
              <w:spacing w:after="0"/>
              <w:rPr>
                <w:sz w:val="10"/>
                <w:szCs w:val="10"/>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rPr>
              <w:t>Corp. will each have priority over us.</w:t>
            </w:r>
          </w:p>
        </w:tc>
        <w:tc>
          <w:tcPr>
            <w:tcW w:w="0" w:type="dxa"/>
            <w:vAlign w:val="bottom"/>
          </w:tcPr>
          <w:p>
            <w:pPr>
              <w:spacing w:after="0"/>
              <w:rPr>
                <w:sz w:val="1"/>
                <w:szCs w:val="1"/>
                <w:color w:val="auto"/>
              </w:rPr>
            </w:pPr>
          </w:p>
        </w:tc>
      </w:tr>
      <w:tr>
        <w:trPr>
          <w:trHeight w:val="108"/>
        </w:trPr>
        <w:tc>
          <w:tcPr>
            <w:tcW w:w="3600" w:type="dxa"/>
            <w:vAlign w:val="bottom"/>
            <w:tcBorders>
              <w:bottom w:val="single" w:sz="8" w:color="auto"/>
            </w:tcBorders>
            <w:vMerge w:val="continue"/>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55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noted above, some of our officers and directors are affiliated with Chardan, which is also our sponsor and the underwriter in this offering. Such officers and directors owe a pre-existing fiduciary duty to Chardan, meaning that they will present opportunities to Chardan prior to presenting them to us, if, for example, a potential target company is open to either raising funds in an offering or engaging in a transaction with a SPAC. This may limit the number of potential targets they present to us for purposes of completing a business combination.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jc w:val="both"/>
        <w:ind w:firstLine="648"/>
        <w:spacing w:after="0" w:line="273" w:lineRule="auto"/>
        <w:rPr>
          <w:sz w:val="20"/>
          <w:szCs w:val="20"/>
          <w:color w:val="auto"/>
        </w:rPr>
      </w:pPr>
      <w:r>
        <w:rPr>
          <w:rFonts w:ascii="Arial" w:cs="Arial" w:eastAsia="Arial" w:hAnsi="Arial"/>
          <w:sz w:val="17"/>
          <w:szCs w:val="17"/>
          <w:color w:val="auto"/>
        </w:rPr>
        <w:t>In connection with the vote required for any business combination, all of our existing stockholders, including all of our officers and directors, have agreed to vote their respective founder shares in favor of any proposed business combination. In addition, they have agreed to waive their respective rights to participate in any liquidation distribution with respect to those shares of common stock acquired by them prior to this offering. If they purchase shares of common stock in this offering or in the open market, however, they would be entitled to participate in any liquidation distribution in respect of such shares but have agreed not to redeem such shares (or sell their shares in any tender offer) in connection with the consummation of our initial business combination or an amendment to our certificate of incorporation relating to pre-business combination activity.</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further minimize conflicts of interest, we have agreed not to consummate our initial business combination with an entity that is affiliated with any of our officers, directors or initial stockholders, unless we have obtained (i) an opinion from an independent investment banking firm that the business combination is fair to our unaffiliated stockholders from a financial point of view and (ii) the approval of a majority of our disinterested and independent directors (if we have any at that time). Furthermore, in no event will any of our initial stockholders, officers, directors, special advisors or their respective affiliates be paid any finder’s fee, consulting fee or other similar compensation prior to, or for any services they render in order to effectuate, the consummation of our initial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amended and restated certificate of incorporation will provide that our officers and directors will be indemnified by us to the fullest extent authorized by Delaware law, as it now exists or may in the future be amended. In addition, our amended and restated certificate of incorporation will provide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will enter into agreements with our officers and directors to provide contractual indemnification in addition to the indemnification provided for in our amended and restated certificate of incorporation. Our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these provisions, the directors’ and officers’ liability insurance and the indemnity agreements are necessary to attract and retain talented and experienced officers and directors.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sets forth information regarding the beneficial ownership of our shares of common stock as of the date of this prospectus and as adjusted to reflect the sale of our shares of common stock included in the units offered by this prospectus (assuming none of the individuals listed purchase units in this offering), by:</w:t>
      </w:r>
    </w:p>
    <w:p>
      <w:pPr>
        <w:spacing w:after="0" w:line="184"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shares of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our officers, directors, and director nominees that beneficially owns shares of our common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of our officers, directors, and director nominees as a group.</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 The following table does not reflect record or beneficial ownership of the private warrants, as such warrants are not exercisable within 60 days of the date of this prospectus.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July 23, 2020, our sponsor purchased 1,000,000 shares of common stock for an aggregate purchase price of $25,000. On March 4, 2021, we effected a 2.875-for-1 stock split, resulting in 2,875,000 shares of common stock being held by our sponsor (up to 375,000 of which are subject to forfeiture if the underwriters’ over-allotment option is not exercised in full). In May and June 2021, our sponsor transferred 20,000 founder shares to each of Messrs. Biele, Boyle, Hardamon, Thakrar and Thomson and Ms. Jardins. In addition, Chardan NexTech 2 Warrant Holdings LLC, an affiliate of our sponsor, has committed, pursuant to a written agreement, to purchase an aggregate of 4,200,000 (or up to 4,385,185 depending on the extent to which the underwriters’ over-allotment option is exercised) private warrants for a purchase price of $0.81 per private warrant in a private placement that will occur simultaneously with the closing of this offering. The following table presents the number of shares and percentage of our common stock owned by our initial stockholders before and after this offering. The post-offering numbers and percentages presented assume that the underwriters do not exercise their over-allotment option, that our initial stockholders forfeit 375,000 founder shares on a pro rata basis, and that there are an aggregate of 12,500,000 shares of common stock, consisting of issued and outstanding after this offering.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gridSpan w:val="4"/>
          </w:tcPr>
          <w:p>
            <w:pPr>
              <w:jc w:val="right"/>
              <w:ind w:right="1120"/>
              <w:spacing w:after="0"/>
              <w:rPr>
                <w:sz w:val="20"/>
                <w:szCs w:val="20"/>
                <w:color w:val="auto"/>
              </w:rPr>
            </w:pPr>
            <w:r>
              <w:rPr>
                <w:rFonts w:ascii="Arial" w:cs="Arial" w:eastAsia="Arial" w:hAnsi="Arial"/>
                <w:sz w:val="18"/>
                <w:szCs w:val="18"/>
                <w:b w:val="1"/>
                <w:bCs w:val="1"/>
                <w:color w:val="auto"/>
              </w:rPr>
              <w:t>Prior to Offering</w:t>
            </w:r>
          </w:p>
        </w:tc>
        <w:tc>
          <w:tcPr>
            <w:tcW w:w="294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After Offering</w:t>
            </w:r>
            <w:r>
              <w:rPr>
                <w:rFonts w:ascii="Arial" w:cs="Arial" w:eastAsia="Arial" w:hAnsi="Arial"/>
                <w:sz w:val="29"/>
                <w:szCs w:val="29"/>
                <w:b w:val="1"/>
                <w:bCs w:val="1"/>
                <w:color w:val="auto"/>
                <w:vertAlign w:val="superscript"/>
              </w:rPr>
              <w:t>(2)</w:t>
            </w:r>
          </w:p>
        </w:tc>
        <w:tc>
          <w:tcPr>
            <w:tcW w:w="0" w:type="dxa"/>
            <w:vAlign w:val="bottom"/>
          </w:tcPr>
          <w:p>
            <w:pPr>
              <w:spacing w:after="0"/>
              <w:rPr>
                <w:sz w:val="1"/>
                <w:szCs w:val="1"/>
                <w:color w:val="auto"/>
              </w:rPr>
            </w:pPr>
          </w:p>
        </w:tc>
      </w:tr>
      <w:tr>
        <w:trPr>
          <w:trHeight w:val="191"/>
        </w:trPr>
        <w:tc>
          <w:tcPr>
            <w:tcW w:w="4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Approximate</w:t>
            </w:r>
          </w:p>
        </w:tc>
        <w:tc>
          <w:tcPr>
            <w:tcW w:w="38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Approximate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1"/>
              </w:rPr>
              <w:t>Number of</w:t>
            </w: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Percentage of</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180"/>
        </w:trPr>
        <w:tc>
          <w:tcPr>
            <w:tcW w:w="4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00" w:type="dxa"/>
            <w:vAlign w:val="bottom"/>
            <w:gridSpan w:val="2"/>
          </w:tcPr>
          <w:p>
            <w:pPr>
              <w:jc w:val="center"/>
              <w:ind w:right="440"/>
              <w:spacing w:after="0" w:line="181" w:lineRule="exact"/>
              <w:rPr>
                <w:sz w:val="20"/>
                <w:szCs w:val="20"/>
                <w:color w:val="auto"/>
              </w:rPr>
            </w:pPr>
            <w:r>
              <w:rPr>
                <w:rFonts w:ascii="Arial" w:cs="Arial" w:eastAsia="Arial" w:hAnsi="Arial"/>
                <w:sz w:val="18"/>
                <w:szCs w:val="18"/>
                <w:b w:val="1"/>
                <w:bCs w:val="1"/>
                <w:color w:val="auto"/>
                <w:w w:val="90"/>
              </w:rPr>
              <w:t>Outstanding</w:t>
            </w:r>
          </w:p>
        </w:tc>
        <w:tc>
          <w:tcPr>
            <w:tcW w:w="1540" w:type="dxa"/>
            <w:vAlign w:val="bottom"/>
            <w:gridSpan w:val="2"/>
          </w:tcPr>
          <w:p>
            <w:pPr>
              <w:jc w:val="center"/>
              <w:ind w:right="320"/>
              <w:spacing w:after="0" w:line="181" w:lineRule="exact"/>
              <w:rPr>
                <w:sz w:val="20"/>
                <w:szCs w:val="20"/>
                <w:color w:val="auto"/>
              </w:rPr>
            </w:pPr>
            <w:r>
              <w:rPr>
                <w:rFonts w:ascii="Arial" w:cs="Arial" w:eastAsia="Arial" w:hAnsi="Arial"/>
                <w:sz w:val="18"/>
                <w:szCs w:val="18"/>
                <w:b w:val="1"/>
                <w:bCs w:val="1"/>
                <w:color w:val="auto"/>
                <w:w w:val="91"/>
              </w:rPr>
              <w:t>Number of</w:t>
            </w:r>
          </w:p>
        </w:tc>
        <w:tc>
          <w:tcPr>
            <w:tcW w:w="1400" w:type="dxa"/>
            <w:vAlign w:val="bottom"/>
            <w:gridSpan w:val="2"/>
          </w:tcPr>
          <w:p>
            <w:pPr>
              <w:jc w:val="center"/>
              <w:ind w:right="200"/>
              <w:spacing w:after="0" w:line="181" w:lineRule="exact"/>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Shares</w:t>
            </w: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Shares of</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Shares</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Shares of</w:t>
            </w:r>
          </w:p>
        </w:tc>
        <w:tc>
          <w:tcPr>
            <w:tcW w:w="0" w:type="dxa"/>
            <w:vAlign w:val="bottom"/>
          </w:tcPr>
          <w:p>
            <w:pPr>
              <w:spacing w:after="0"/>
              <w:rPr>
                <w:sz w:val="1"/>
                <w:szCs w:val="1"/>
                <w:color w:val="auto"/>
              </w:rPr>
            </w:pPr>
          </w:p>
        </w:tc>
      </w:tr>
      <w:tr>
        <w:trPr>
          <w:trHeight w:val="216"/>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29"/>
                <w:szCs w:val="29"/>
                <w:b w:val="1"/>
                <w:bCs w:val="1"/>
                <w:color w:val="auto"/>
                <w:vertAlign w:val="superscript"/>
              </w:rPr>
              <w:t>(1)</w:t>
            </w:r>
          </w:p>
        </w:tc>
        <w:tc>
          <w:tcPr>
            <w:tcW w:w="220" w:type="dxa"/>
            <w:vAlign w:val="bottom"/>
            <w:vMerge w:val="restart"/>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Beneficially</w:t>
            </w: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Common</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Common</w:t>
            </w:r>
          </w:p>
        </w:tc>
        <w:tc>
          <w:tcPr>
            <w:tcW w:w="0" w:type="dxa"/>
            <w:vAlign w:val="bottom"/>
          </w:tcPr>
          <w:p>
            <w:pPr>
              <w:spacing w:after="0"/>
              <w:rPr>
                <w:sz w:val="1"/>
                <w:szCs w:val="1"/>
                <w:color w:val="auto"/>
              </w:rPr>
            </w:pPr>
          </w:p>
        </w:tc>
      </w:tr>
      <w:tr>
        <w:trPr>
          <w:trHeight w:val="270"/>
        </w:trPr>
        <w:tc>
          <w:tcPr>
            <w:tcW w:w="4920" w:type="dxa"/>
            <w:vAlign w:val="bottom"/>
            <w:tcBorders>
              <w:bottom w:val="single" w:sz="8" w:color="auto"/>
            </w:tcBorders>
            <w:vMerge w:val="continue"/>
          </w:tcPr>
          <w:p>
            <w:pPr>
              <w:spacing w:after="0"/>
              <w:rPr>
                <w:sz w:val="23"/>
                <w:szCs w:val="23"/>
                <w:color w:val="auto"/>
              </w:rPr>
            </w:pPr>
          </w:p>
        </w:tc>
        <w:tc>
          <w:tcPr>
            <w:tcW w:w="220" w:type="dxa"/>
            <w:vAlign w:val="bottom"/>
            <w:tcBorders>
              <w:bottom w:val="single" w:sz="8" w:color="CCEEFF"/>
            </w:tcBorders>
            <w:vMerge w:val="continue"/>
          </w:tcPr>
          <w:p>
            <w:pPr>
              <w:spacing w:after="0"/>
              <w:rPr>
                <w:sz w:val="23"/>
                <w:szCs w:val="23"/>
                <w:color w:val="auto"/>
              </w:rPr>
            </w:pPr>
          </w:p>
        </w:tc>
        <w:tc>
          <w:tcPr>
            <w:tcW w:w="122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8"/>
              </w:rPr>
              <w:t>Owned</w:t>
            </w:r>
            <w:r>
              <w:rPr>
                <w:rFonts w:ascii="Arial" w:cs="Arial" w:eastAsia="Arial" w:hAnsi="Arial"/>
                <w:sz w:val="29"/>
                <w:szCs w:val="29"/>
                <w:b w:val="1"/>
                <w:bCs w:val="1"/>
                <w:color w:val="auto"/>
                <w:w w:val="88"/>
                <w:vertAlign w:val="superscript"/>
              </w:rPr>
              <w:t>(2)</w:t>
            </w:r>
          </w:p>
        </w:tc>
        <w:tc>
          <w:tcPr>
            <w:tcW w:w="34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38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Owned</w:t>
            </w:r>
          </w:p>
        </w:tc>
        <w:tc>
          <w:tcPr>
            <w:tcW w:w="3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Chardan NexTech Investments 2 LLC</w:t>
            </w:r>
            <w:r>
              <w:rPr>
                <w:rFonts w:ascii="Arial" w:cs="Arial" w:eastAsia="Arial" w:hAnsi="Arial"/>
                <w:sz w:val="28"/>
                <w:szCs w:val="28"/>
                <w:color w:val="auto"/>
                <w:vertAlign w:val="superscript"/>
              </w:rPr>
              <w:t>(3)</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2,755,000</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95.83%</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2,380,000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Kerry Propper</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Jonas Grossman</w:t>
            </w:r>
            <w:r>
              <w:rPr>
                <w:rFonts w:ascii="Arial" w:cs="Arial" w:eastAsia="Arial" w:hAnsi="Arial"/>
                <w:sz w:val="29"/>
                <w:szCs w:val="29"/>
                <w:color w:val="auto"/>
                <w:vertAlign w:val="superscript"/>
              </w:rPr>
              <w:t>(3)</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2,755,000</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95.83%</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2,380,000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Alex Weil</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Biele</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20,000</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Perry Boyle</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20,000</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20,000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Roderick Hardamon</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20,000</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Jory Des Jardins</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20,000</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20,000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Hitesh Thakrar</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20,000</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Todd Thomson</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20,000</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20,000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officers and directors as a group (8 individuals)</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2,875,000</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left="340" w:hanging="332"/>
        <w:spacing w:after="0" w:line="193" w:lineRule="auto"/>
        <w:tabs>
          <w:tab w:leader="none" w:pos="340" w:val="left"/>
        </w:tabs>
        <w:numPr>
          <w:ilvl w:val="0"/>
          <w:numId w:val="54"/>
        </w:numPr>
        <w:rPr>
          <w:rFonts w:ascii="Arial" w:cs="Arial" w:eastAsia="Arial" w:hAnsi="Arial"/>
          <w:sz w:val="34"/>
          <w:szCs w:val="34"/>
          <w:color w:val="auto"/>
          <w:vertAlign w:val="superscript"/>
        </w:rPr>
      </w:pPr>
      <w:r>
        <w:rPr>
          <w:rFonts w:ascii="Arial" w:cs="Arial" w:eastAsia="Arial" w:hAnsi="Arial"/>
          <w:sz w:val="17"/>
          <w:szCs w:val="17"/>
          <w:color w:val="auto"/>
        </w:rPr>
        <w:t>Unless otherwise indicated, the business address of each of the individuals is c/o Chardan NexTech Acquisition 2 Corp., 17 State Street, 21</w:t>
      </w:r>
      <w:r>
        <w:rPr>
          <w:rFonts w:ascii="Arial" w:cs="Arial" w:eastAsia="Arial" w:hAnsi="Arial"/>
          <w:sz w:val="27"/>
          <w:szCs w:val="27"/>
          <w:color w:val="auto"/>
          <w:vertAlign w:val="superscript"/>
        </w:rPr>
        <w:t>st</w:t>
      </w:r>
      <w:r>
        <w:rPr>
          <w:rFonts w:ascii="Arial" w:cs="Arial" w:eastAsia="Arial" w:hAnsi="Arial"/>
          <w:sz w:val="17"/>
          <w:szCs w:val="17"/>
          <w:color w:val="auto"/>
        </w:rPr>
        <w:t xml:space="preserve"> Floor, New York, NY 10004.</w:t>
      </w: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Interests shown consist of founder shares.</w:t>
      </w:r>
    </w:p>
    <w:p>
      <w:pPr>
        <w:spacing w:after="0" w:line="9" w:lineRule="exact"/>
        <w:rPr>
          <w:rFonts w:ascii="Arial" w:cs="Arial" w:eastAsia="Arial" w:hAnsi="Arial"/>
          <w:sz w:val="18"/>
          <w:szCs w:val="18"/>
          <w:color w:val="auto"/>
        </w:rPr>
      </w:pPr>
    </w:p>
    <w:p>
      <w:pPr>
        <w:jc w:val="both"/>
        <w:ind w:left="340" w:hanging="332"/>
        <w:spacing w:after="0" w:line="253"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sponsor is the record holder of such shares. Jonas Grossman is the sole member of our sponsor. As such, Mr. Grossman may be deemed to have beneficial ownership of the common stock held directly by our sponsor. Mr. Grossman disclaims any beneficial ownership of the reported shares other than to the extent of any pecuniary interest they may have therein, directly or indirectly. Certain other employees of Chardan or its affiliates, including each of our executive officers, have direct or indirect membership interests in our sponsor, and thus have pecuniary interests in certain of the reported shares.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firstLine="648"/>
        <w:spacing w:after="0" w:line="257" w:lineRule="auto"/>
        <w:rPr>
          <w:sz w:val="20"/>
          <w:szCs w:val="20"/>
          <w:color w:val="auto"/>
        </w:rPr>
      </w:pPr>
      <w:r>
        <w:rPr>
          <w:rFonts w:ascii="Arial" w:cs="Arial" w:eastAsia="Arial" w:hAnsi="Arial"/>
          <w:sz w:val="18"/>
          <w:szCs w:val="18"/>
          <w:color w:val="auto"/>
        </w:rPr>
        <w:t>Immediately after this offering, our initial stockholders will beneficially own 20% of the then issued and outstanding shares of common stock (assuming none of them purchase any units offered by this prospectus). None of our initial stockholders, officers and directors has indicated to us that he intends to purchase securities in this offering. Because of the ownership block held by our initial stockholders, such individuals may be able to effectively exercise control over all matters requiring approval by our stockholders, including the election of directors and approval of significant corporate transactions other than approval of our initial business combination.</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the underwriters do not exercise all or a portion of the over-allotment option, our initial stockholders will have up to an aggregate 375,000 shares of common stock subject to forfeiture. Only a number of shares necessary to maintain our initial stockholders’ collective 20% ownership interest in our shares of common stock after giving effect to the offering and the exercise, if any, of the underwriters’ over-allotment option will be forfeited.</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Chardan NexTech 2 Warrant Holdings LLC, an affiliate of our sponsor, has committed to purchase from us an aggregate of 4,200,000 (or up to 4,385,185 depending on the extent to which the underwriters’ over-allotment option is exercised) warrants at a price of $0.81 per warrant ($3,402,000 (or up to $3,552,000 depending on the extent to which the underwriters’ over-allotment option is exercised)), with each warrant exercisable for one share of common stock at an exercise price of $11.50 per share. These purchases will take place on a private placement basis simultaneously with the consummation of this offering.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proceeds from the sale of the private warrants will be added to the proceeds of this offering and placed in a trust account in the United States maintained by Continental Stock Transfer &amp; Trust Company, as trustee. If we do not complete our initial business combination within 15 months (or up to 21 months, as applicable), the proceeds from the sale of the private warrants will be included in the liquidating distribution to the holders of our public shares.</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private warrants are identical to the warrants sold as part of the public units in this offering except that, so long as they are held by the initial purchasers or their respective permitted transferees, the private warrants (i) will not be redeemable by us, (ii) may not, subject to certain limited exceptions, be transferred, assigned or sold by the initial purchaser until 30 days after the completion of our initial business combination, and (iii) may be exercised by the holders on a cashless basis. The private warrants purchased by Chardan NexTech 2 Warrant Holdings LLC will not be exercisable more than five years from the effective date of the registration statement, of which this prospectus forms a part, in accordance with Financial Industry Regulatory Authority, or FINRA, Rule 5110(g), as long as Chardan or any of its related persons beneficially own these private warrants</w:t>
      </w:r>
    </w:p>
    <w:p>
      <w:pPr>
        <w:spacing w:after="0" w:line="16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To meet our working capital needs following the consummation of this offering,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be 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our sponsor, officers and directors is our “promoter,” as that term is defined under the federal securities laws.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Transfers of Founder Shares and Private Warrants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of the founder shares issued and outstanding prior to the date of this prospectus will be placed in escrow with Continental Stock Transfer &amp; Trust Company, as escrow agent, until (1) with respect to 50% of the founder shares, the earlier of six months after the date of the consummation of our initial business combination and the date on which the closing price of our common stock equals or exceeds $12.50 per share (as adjusted for share splits, share capitalizations, reorganizations and recapitalizations) for any 10 trading days within any 30-trading day period commencing after our initial business combination and (2) with respect to the remaining 50% of the founder shares, six months after the date of the consummation of our initial business combination, or earlier, in either case, if, subsequent to our initial business combination, we consummate a liquidation, merger, share exchange or other similar transaction which results in all of our stockholders having the right to exchange their shares for cash, securities or other property. Up to 375,000 of the founder shares may also be released from escrow earlier than this date for forfeiture and cancellation if the over-allotment option is not exercised in full as described above.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jc w:val="both"/>
        <w:ind w:firstLine="648"/>
        <w:spacing w:after="0" w:line="269" w:lineRule="auto"/>
        <w:rPr>
          <w:sz w:val="20"/>
          <w:szCs w:val="20"/>
          <w:color w:val="auto"/>
        </w:rPr>
      </w:pPr>
      <w:r>
        <w:rPr>
          <w:rFonts w:ascii="Arial" w:cs="Arial" w:eastAsia="Arial" w:hAnsi="Arial"/>
          <w:sz w:val="17"/>
          <w:szCs w:val="17"/>
          <w:color w:val="auto"/>
        </w:rPr>
        <w:t>During the escrow period, the holders of the founder shares will not be able to sell or transfer their securities except (1) to any parties (including their respective affiliates and stockholders) participating in the private placement of the private warrants, officers, directors, stockholders, employees and members of our sponsor and its affiliates, (2) amongst initial stockholders or to our officers, directors, and employees, (3) if a holder is an entity, as a distribution to its, partners, stockholders or members upon its liquidation, (4) by bona fide gift to a member of the holder’s immediate family or to a trust, the beneficiary of which is a holder or a member of a holder’s immediate family, for estate planning purposes, (5) by virtue of the laws of descent and distribution upon death, (6) pursuant to a qualified domestic relations order, (7) by certain pledges to secure obligations incurred in connection with purchases of our securities, (8) by private sales at prices no greater than the price at which the shares were originally purchased, (9) in the event of our liquidation prior to our completion of our initial business combination, (10) by virtue of the laws of the State of Delaware or our sponsor’s operating agreement upon dissolution of our sponsor or the organizational documents of Chardan upon dissolution of Chardan; or (11) for the cancellation of up to 375,000 founder shares subject to forfeiture to the extent that the underwriters’ over-allotment is not exercised in full or in part or in connection with the consummation of our initial business combination, in each case (except for clause 11 or with our prior consent) where the transferee agrees to the terms of the escrow agreement and the insider letter.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holders of our founder shares issued and outstanding on the date of this prospectus, as well as the holders of the private warrants (and underlying securities)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Chardan and its related persons may not, with respect to the private warrants purchased by Chardan NexTech 2 Warrant Holdings LLC , (i) have more than one demand registration right at our expense, (ii) exercise their demand registration rights more than five years from the effective date of the registration statement of which this prospectus forms a part, and (iii) exercise their “piggy-back” registration rights more than seven years from the effective date of the registration statement of which this prospectus forms a part, as long as Chardan or any of its related persons are beneficial owners of private warrants.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In May and June 2021, our sponsor transferred 20,000 founder shares to each of Messrs. Biele, Boyle, Hardamon, Thakrar and Thomson and Ms. Jardins. If the underwriters do not exercise all or a portion of their over-allotment option, our initial stockholders have agreed to forfeit and immediately cancel up to an aggregate of 375,000 founder shares in proportion to the portion of the over-allotment option that was not exercised.</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underwriters determine the size of the offering should be increased (including pursuant to Rule 462(b) under the Securities Act) or decreased, a share capitalization or a contribution back to capital, as applicable, would be effectuated in order to maintain our initial stockholders’ ownership at 20% of the number of shares issued and outstanding after the closing of this offering.</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Chardan NexTech 2 Warrant Holdings LLC, an affiliate of our sponsor, has committed to purchase from us an aggregate of 4,200,000 (or up to 4,385,185 depending on the extent to which the underwriters’ over-allotment option is exercised) warrants at a price of $0.81 per warrant ($3,402,000 (or up to $3,552,000 depending on the extent to which the underwriters’ over-allotment option is exercised)), with each warrant exercisable for one share of common stock at an exercise price of $11.50 per share. These purchases will take place on a private placement basis simultaneously with the consummation of this offering. If we do not complete our initial business combination within 15 months from the closing of this offering (or up to 21 months from the closing of this offering if we extend the period of time to consummate a business combination by the maximum amount as described in more detail in this prospectus), the proceeds from the sale of the private warrants will be included in the liquidating distribution to the holders of our public shares. The private warrants are identical to the warrants sold as part of the public units in this offering except that, so long as they are held by the initial purchasers or their respective permitted transferees, the private warrants (i) will not be redeemable by us, (ii) may not, subject to certain limited exceptions, be transferred, assigned or sold by the initial purchaser until 30 days after the completion of our initial business combination, and (iii) may be exercised by the holders on a cashless basis. The private warrants purchased by Chardan NexTech 2 Warrant Holdings LLC will not be exercisable more than five years from the effective date of the registration statement, of which this prospectus forms a part, in accordance with Financial Industry Regulatory Authority, or FINRA, Rule 5110(g), as long as Chardan or any of its related persons beneficially own these private warrants.</w:t>
      </w:r>
    </w:p>
    <w:p>
      <w:pPr>
        <w:spacing w:after="0" w:line="17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To meet our working capital needs following the consummation of this offering,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be 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6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Our initial stockholders, holders of the private warrants (and all underlying securities) and holders of the warrants (and all underlying securities) issuable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or warrants issued in payment of working capital loans made to us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Chardan and its related persons may not, with respect to the private warrants purchased by Chardan NexTech 2 Warrant Holdings LLC , (i) have more than one demand registration right at our expense,</w:t>
      </w:r>
    </w:p>
    <w:p>
      <w:pPr>
        <w:spacing w:after="0" w:line="6" w:lineRule="exact"/>
        <w:rPr>
          <w:sz w:val="20"/>
          <w:szCs w:val="20"/>
          <w:color w:val="auto"/>
        </w:rPr>
      </w:pPr>
    </w:p>
    <w:p>
      <w:pPr>
        <w:jc w:val="both"/>
        <w:ind w:firstLine="8"/>
        <w:spacing w:after="0" w:line="255" w:lineRule="auto"/>
        <w:tabs>
          <w:tab w:leader="none" w:pos="267"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exercise their demand registration rights more than five years from the effective date of the registration statement of which this prospectus forms a part, and (iii) exercise their “piggy-back” registration rights more than seven years from the effective date of the registration statement of which this prospectus forms a part, as long as Chardan or any of its related persons are beneficial owners of private warrants.</w:t>
      </w:r>
    </w:p>
    <w:p>
      <w:pPr>
        <w:spacing w:after="0" w:line="19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We will have 15 months from the closing of this offering (or up to 18 months from the closing of this offering if we have executed a definitive agreement and filed a proxy statement for an initial business combination within 18 months from the closing of this offering) to consummate an initial business combination. In addition, if we anticipate that we may not be able to consummate our initial business combination within 15 months and we have not entered into a definitive agreement and filed a proxy statement for an initial business combination by such date (or 18 months if we have executed a definitive agreement and filed a proxy statement for an initial business combination within 15 months from the closing of this offering), our insiders or their affiliates may, but are not obligated to, extend the period of time to consummate a business combination up to two times by an additional three months each time (for a total of up to 21 months to complete a business combination); </w:t>
      </w:r>
      <w:r>
        <w:rPr>
          <w:rFonts w:ascii="Arial" w:cs="Arial" w:eastAsia="Arial" w:hAnsi="Arial"/>
          <w:sz w:val="16"/>
          <w:szCs w:val="16"/>
          <w:i w:val="1"/>
          <w:iCs w:val="1"/>
          <w:color w:val="auto"/>
        </w:rPr>
        <w:t>provided that</w:t>
      </w:r>
      <w:r>
        <w:rPr>
          <w:rFonts w:ascii="Arial" w:cs="Arial" w:eastAsia="Arial" w:hAnsi="Arial"/>
          <w:sz w:val="16"/>
          <w:szCs w:val="16"/>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in the absence of a definitive agreement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 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In the event of our dissolution and liquidation, the private units will expire and will be worthless.</w:t>
      </w:r>
    </w:p>
    <w:p>
      <w:pPr>
        <w:spacing w:after="0" w:line="17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are not prohibited from pursuing an initial business combination with a business that is affiliated with our sponsor, its affiliates, or our officers or directors, including an Affiliated Joint Acquisition. In the event we seek to complete our initial business combination with a business that is affiliated with our sponsor, its affiliates or our officers or directors, we, or a committee of independent directors, will obtain an opinion from an independent</w:t>
      </w:r>
    </w:p>
    <w:p>
      <w:pPr>
        <w:sectPr>
          <w:pgSz w:w="11900" w:h="16944" w:orient="portrait"/>
          <w:cols w:equalWidth="0" w:num="1">
            <w:col w:w="11240"/>
          </w:cols>
          <w:pgMar w:left="320" w:top="904" w:right="339" w:bottom="0" w:gutter="0" w:footer="0" w:header="0"/>
        </w:sectPr>
      </w:pPr>
    </w:p>
    <w:bookmarkStart w:id="127" w:name="page128"/>
    <w:bookmarkEnd w:id="127"/>
    <w:p>
      <w:pPr>
        <w:jc w:val="both"/>
        <w:spacing w:after="0" w:line="263" w:lineRule="auto"/>
        <w:rPr>
          <w:sz w:val="20"/>
          <w:szCs w:val="20"/>
          <w:color w:val="auto"/>
        </w:rPr>
      </w:pPr>
      <w:r>
        <w:rPr>
          <w:rFonts w:ascii="Arial" w:cs="Arial" w:eastAsia="Arial" w:hAnsi="Arial"/>
          <w:sz w:val="18"/>
          <w:szCs w:val="18"/>
          <w:color w:val="auto"/>
        </w:rPr>
        <w:t>investment banking firm or another independent firm that commonly renders valuation opinions that our initial business combination is fair to our stockholders from a financial point of view. Any such Affiliated Joint Acquisition or specified future issuance would be in addition to, and would not include, the forward purchase securities issued pursuant to the forward purchase contract.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jc w:val="both"/>
        <w:ind w:firstLine="648"/>
        <w:spacing w:after="0" w:line="272" w:lineRule="auto"/>
        <w:rPr>
          <w:sz w:val="20"/>
          <w:szCs w:val="20"/>
          <w:color w:val="auto"/>
        </w:rPr>
      </w:pPr>
      <w:r>
        <w:rPr>
          <w:rFonts w:ascii="Arial" w:cs="Arial" w:eastAsia="Arial" w:hAnsi="Arial"/>
          <w:sz w:val="17"/>
          <w:szCs w:val="17"/>
          <w:color w:val="auto"/>
        </w:rPr>
        <w:t>We will reimburse our officers and directors for any reasonable out-of-pocket business expenses incurred by them in connection with certain activities on our behalf such as identifying and investigating possible target businesses and business combinations.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 Our audit committee will review and approve all reimbursements and payments made to any initial stockholder or member of our management team, or our or their respective affiliates, and any reimbursements and payments made to members of our audit committee will be reviewed and approved by our Board of Directors, with any interested director abstaining from such review and approval.</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compensation or fees of any kind, including finder’s fees, consulting fees or other similar compensation, will be paid to any of our initial stockholders, officers or directors who owned our shares of common stock prior to this offering, or to any of their respective affiliates, prior to or with respect to the business combination (regardless of the type of transaction that it is).</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including the payment of any compensation, will require prior approval by a majority of our uninterested “independent” directors (to the extent we have any) or the members of our board who do not have an interest in the transaction, in either case who had access, at our expense, to our attorneys or independent legal counsel. We will not enter into any such transaction unless our disinterested “independent” directors (or, if there are no “independent” directors, our disinterested directors) determine that the terms of such transaction are no less favorable to us than those that would be available to us with respect to such a transaction from unaffiliated third parties.</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Commencing on the date our securities are first listed on Nasdaq, we will pay an amount equal to $10,000 per month to our sponsor for office space, administrative and shared personnel support services. Upon completion of our initial business combination or our liquidation, we will cease paying these monthly fees. Accordingly, in the event the consummation of our initial business combination takes 15 months, our sponsor will be paid a total of $150,000 ($10,000 per month) and will be entitled to be reimbursed for any out-of-pocket expenses.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engage Chardan, or another affiliate of our sponsor, as a financial advisor in connection with our initial business combination and pay such affiliate a customary financial advisory fee in an amount that constitutes a market standard financial advisory fee for comparable transactions. Furthermore, we may acquire a target company that has engaged Chardan, or another affiliate of our sponsor, as a financial advisor, and such target company may pay such affiliate a financial advisory fee in connection with our initial business combination.</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engaged Chardan as an advisor in connection with our business combination, pursuant to the Business Combination Marketing Agreement described under “</w:t>
      </w:r>
      <w:r>
        <w:rPr>
          <w:rFonts w:ascii="Arial" w:cs="Arial" w:eastAsia="Arial" w:hAnsi="Arial"/>
          <w:sz w:val="17"/>
          <w:szCs w:val="17"/>
          <w:i w:val="1"/>
          <w:iCs w:val="1"/>
          <w:color w:val="auto"/>
        </w:rPr>
        <w:t>Underwriting (Conflicts of Interest) — Business Combination Marketing Agreement</w:t>
      </w:r>
      <w:r>
        <w:rPr>
          <w:rFonts w:ascii="Arial" w:cs="Arial" w:eastAsia="Arial" w:hAnsi="Arial"/>
          <w:sz w:val="17"/>
          <w:szCs w:val="17"/>
          <w:color w:val="auto"/>
        </w:rPr>
        <w:t>.”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not yet adopted a formal policy for the review, approval or ratification of related party transactions. Accordingly, the transactions discussed above were not reviewed, approved or ratified in accordance with any such policy.</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Prior to the consummation of this offering, we will adopt a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will include any financial transaction, arrangement or relationship (including any indebtedness or guarantee of indebtedness) involving the company. A form of the code of ethics that we plan to adopt prior to the consummation of this offering is filed as an exhibit to the registration statement of which this prospectus is a part.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jc w:val="both"/>
        <w:ind w:firstLine="648"/>
        <w:spacing w:after="0" w:line="272" w:lineRule="auto"/>
        <w:rPr>
          <w:sz w:val="20"/>
          <w:szCs w:val="20"/>
          <w:color w:val="auto"/>
        </w:rPr>
      </w:pPr>
      <w:r>
        <w:rPr>
          <w:rFonts w:ascii="Arial" w:cs="Arial" w:eastAsia="Arial" w:hAnsi="Arial"/>
          <w:sz w:val="17"/>
          <w:szCs w:val="17"/>
          <w:color w:val="auto"/>
        </w:rPr>
        <w:t>In addition, our audit committee, pursuant to a written charter that we will adopt prior to the consummation of this offering, will be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A form of the audit committee charter that we plan to adopt prior to the consummation of this offering is filed as an exhibit to the registration statement of which this prospectus is a part. We also require each of our directors and officers to complete a directors’ and officers’ questionnaire that elicits information about related party transactions.</w:t>
      </w:r>
    </w:p>
    <w:p>
      <w:pPr>
        <w:spacing w:after="0" w:line="17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further minimize conflicts of interest, we have agreed not to consummate an initial business combination with an entity that is affiliated with any of our sponsor, officers or directors unless we, or a committee of independent directors, have obtained an opinion from an independent investment banking firm or another independent firm that commonly renders valuation opinions that our initial business combination is fair to our stockholders from a financial point of view. Furthermore, there will be no finder’s fees, reimbursement, consulting fee, non-cash payments, monies in respect of any payment of a loan or other compensation paid by us to our sponsor, officers or directors, or any affiliate of our sponsor or officers prior to, or in connection with any services rendered in order to effectuate, the consummation of our initial business combination (regardless of the type of transaction that it is) other than the following payments, none of which will be made from the proceeds of this offering held in the trust account prior to the completion of our initial business combination:</w:t>
      </w:r>
    </w:p>
    <w:p>
      <w:pPr>
        <w:spacing w:after="0" w:line="192" w:lineRule="exact"/>
        <w:rPr>
          <w:sz w:val="20"/>
          <w:szCs w:val="20"/>
          <w:color w:val="auto"/>
        </w:rPr>
      </w:pPr>
    </w:p>
    <w:p>
      <w:pPr>
        <w:ind w:left="980" w:hanging="324"/>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Repayment of up to an aggregate of $250,000 in loans made to us by our sponsor, which our sponsor has committed to cover offering-related and organizational expenses;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Repayment to our sponsor for office space, administrative and shared personnel support services, in an amount equal to $10,000 per month;</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sponsor intends to allocate up to 20,000 founder shares to each of our independent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Reimbursement for any out-of-pocket expenses related to identifying, investigating and completing an initial business combination;</w:t>
      </w:r>
    </w:p>
    <w:p>
      <w:pPr>
        <w:spacing w:after="0" w:line="236" w:lineRule="exact"/>
        <w:rPr>
          <w:rFonts w:ascii="Arial" w:cs="Arial" w:eastAsia="Arial" w:hAnsi="Arial"/>
          <w:sz w:val="17"/>
          <w:szCs w:val="17"/>
          <w:color w:val="auto"/>
        </w:rPr>
      </w:pPr>
    </w:p>
    <w:p>
      <w:pPr>
        <w:jc w:val="both"/>
        <w:ind w:left="980" w:right="20" w:hanging="324"/>
        <w:spacing w:after="0" w:line="259"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Repayment of loans, which may be made by our sponsor or an affiliate of our sponsor or certain of our officers and directors to finance transaction costs in connection with an intended initial business combination, the terms of which have not been determined nor have any written agreements been executed with respect thereto (provided that in no event will any loans provided by our sponsor be convertible into our securities); and</w:t>
      </w:r>
    </w:p>
    <w:p>
      <w:pPr>
        <w:spacing w:after="0" w:line="186"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Payment to Chardan of the Marketing Fee, fees for any financial advisory, placement agency or other similar investment banking services Chardan may provide to our company in the future, including in connection with the closing of our initial business combination, and reimbursement of Chardan for any out-of-pocket expenses incurred by it in connection with the performance of such services.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audit committee will review on a quarterly basis all payments that were made to our sponsor, officers or directors, or our or their affiliates.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amended certificate of incorporation will authorize the issuance of 50,000,000 shares of common stock, $0.0001 par value per share, and 1,000,000 shares of preferred stock, $0.0001 par value per share. As of the date of this prospectus, 2,875,000 shares of common stock are issued and outstanding, which are held by our initial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Each unit consists of one share of common stock and one-half of one warrant. Each whole warrant entitles the holder thereof to purchase one share of our common stock at a price of $11.50 per share, subject to adjustment as described in this prospectus. Pursuant to the warrant agreement, a warrant holder may exercise its warrants only for a whole number of shares of common stock. Thus, only a whole warrant may be exercised at any given time by a warrant holder. No fractional warrants will be issued upon separation of the units and only whole warrants will trade. Accordingly, unless you purchase a multiple of two units, the number of warrants issuable to you upon separation of the units will be rounded down to the nearest whole number of warrants.</w:t>
      </w:r>
    </w:p>
    <w:p>
      <w:pPr>
        <w:spacing w:after="0" w:line="16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expect that the common stock and warrants comprising the units will begin separate trading on the 52nd day following the closing of this offering unless Chardan informs us of its decision to allow earlier separate trading, subject to our having filed the Current Report on Form 8-K described below and having issued a press release announcing when such separate trading will begin. Once the shares of common stock and warrants commence separate trading, holders will have the option to continue to hold units or separate their units into the component securities. Holders will need to have their brokers contact our transfer agent in order to separate the units into shares of common stock and warrants.</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no event will the common stock and warrants be traded separately until we have filed with the SEC a Current Report on Form 8-K that includes an audited balance sheet reflecting our receipt of the gross proceeds at the closing of this offering. We will file a Current Report on Form 8-K that includes this audited balance sheet upon the completion of this offering, which closing is anticipated to take place three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Upon the closing of this offering, 12,500,000 shares of our common stock will be outstanding (assuming no exercise of the underwriters’ over-allotment option and the corresponding forfeiture of 375,000 founder shares by our initial stockholders), consisting of:</w:t>
      </w:r>
    </w:p>
    <w:p>
      <w:pPr>
        <w:spacing w:after="0" w:line="170" w:lineRule="exact"/>
        <w:rPr>
          <w:sz w:val="20"/>
          <w:szCs w:val="20"/>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10,000,000 shares of common stock underlying the units being offered in this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2,500,000 founder shares held by our initial stockholders.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increase or decrease the size of this offering (including pursuant to Rule 462(b) under the Securities Act), a share capitalization or a contribution back to capital, as applicable, would be effectuated in order to maintain our initial stockholders’ ownership at 20% of the number of shares issued and outstanding after the closing of this offering.</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Common stockholders of record are entitled to one vote for each share held on all matters to be voted on by stockholders. Unless specified in our amended and restated certificate of incorporation or bylaws, or as required by applicable law or stock exchange rules, the affirmative vote of a majority of our shares of common stock that are voted is required to approve any such matter voted on by our stockholders (other than the election of directors). Our board of directors will be divided into two classes, each of which will generally serve for a term of two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both"/>
        <w:ind w:firstLine="648"/>
        <w:spacing w:after="0" w:line="259" w:lineRule="auto"/>
        <w:rPr>
          <w:sz w:val="20"/>
          <w:szCs w:val="20"/>
          <w:color w:val="auto"/>
        </w:rPr>
      </w:pPr>
      <w:r>
        <w:rPr>
          <w:rFonts w:ascii="Arial" w:cs="Arial" w:eastAsia="Arial" w:hAnsi="Arial"/>
          <w:sz w:val="18"/>
          <w:szCs w:val="18"/>
          <w:color w:val="auto"/>
        </w:rPr>
        <w:t>Because our amended and restated certificate of incorporation will authorize the issuance of up to 50,000,000 shares of common stock, if we were to enter into an initial business combination, we may (depending on the terms of such an initial business combination) be required to increase the number of shares of common stock that we are authorized to issue at the same time as our stockholders vote on the initial business combination to the extent we seek stockholder approval in connection with our initial business combination.</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7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will provide our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$10.10 per public share.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 Unlike many blank check companies that hold stockholder votes and conduct proxy solicitations in conjunction with their initial business combinations and provide for related redemptions of public shares for cash upon completion of such initial business combinations even when a vote is not required by law, if a stockholder vote is not required by law and we do not decide to hold a stockholder vote for business or other legal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will require these tender offer documents to contain substantially the same financial and other information about the initial business combination and the redemption rights as is required under the SEC’s proxy rules. If, however, a stockholder approval of the transaction is required by law, or we decide to obtain stockholder approval for business or other legal reasons, we will, like many blank check companies, offer to redeem shares in conjunction with a proxy solicitation pursuant to the proxy rules and not pursuant to the tender offer rules. 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However, the participation of our sponsor, officers, directors, advisors or their affiliates in privately-negotiated transactions (as described in this prospectus), if any, could result in the approval of our initial business combination even if a majority of our public stockholders vote, or indicate their intention to vote, against such business combination. For purposes of seeking approval of the majority of our outstanding shares of common stock voted, non-votes will have no effect on the approval of our initial business combination once a quorum is obtained. 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spacing w:after="0" w:line="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shares of common stock sold in this offering, which we refer to as the Excess Shares.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the initial business combination. And, as a result, such stockholders will continue to hold that number of shares exceeding 15% and, in order to dispose such shares would be required to sell their stock in open market transactions, potentially at a loss.</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we seek stockholder approval in connection with our initial business combination, pursuant to the letter agreement our sponsor, officers and directors have agreed to vote their founder shares and any public shares purchased during or after this offering (including in open market and privately negotiated transactions) in favor of our initial business combination. As a result, in addition to our initial stockholders’ founder shares, we would need only 7,500,001, or 37.5%, of the 20,000,000 public shares sold in this offering to be voted in favor of an initial business combination (assuming all outstanding shares are voted) in order to have our initial business combination approved (assuming the over-allotment option is not exercised). Additionally, each public stockholder may elect to redeem its public shares irrespective of whether they vote for or against the proposed transaction (subject to the limitation described in the preceding paragraph).</w:t>
      </w:r>
    </w:p>
    <w:p>
      <w:pPr>
        <w:spacing w:after="0" w:line="19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Pursuant to our amended and restated certificate of incorporation, if we do not complete a business combination within 15 months from the closing of this offering (or up to 18 months from the closing of this offering if we have executed a definitive agreement and filed a proxy statement for an initial business combination within 15 months from the closing of this offering),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However, if we anticipate that we may not be able to consummate our initial business combination within 15 months and we have not entered into a definitive agreement and filed a proxy statement for an initial business combination by such date (or 18 months if we have executed a definitive agreement and filed a proxy statement for an initial business combination within 15 months from the closing of this offering), our insiders or their affiliates may, but are not obligated to, extend the period of time to consummate a business combination up to two times by an additional three months each time (for a total of up to 21 months to complete a business combination); </w:t>
      </w:r>
      <w:r>
        <w:rPr>
          <w:rFonts w:ascii="Arial" w:cs="Arial" w:eastAsia="Arial" w:hAnsi="Arial"/>
          <w:sz w:val="16"/>
          <w:szCs w:val="16"/>
          <w:i w:val="1"/>
          <w:iCs w:val="1"/>
          <w:color w:val="auto"/>
        </w:rPr>
        <w:t>provided that</w:t>
      </w:r>
      <w:r>
        <w:rPr>
          <w:rFonts w:ascii="Arial" w:cs="Arial" w:eastAsia="Arial" w:hAnsi="Arial"/>
          <w:sz w:val="16"/>
          <w:szCs w:val="16"/>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in the absence of a definitive agreement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 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There will be no redemption rights or liquidating distributions with respect to our warrants, which will expire worthless if we fail to complete our initial business combination within the allotted time period. Our sponsor, officers and directors have entered into a letter agreement with us, pursuant to which they have agreed to waive their rights to liquidating distributions from the trust account with respect to any founder shares held by them if we fail to complete our initial business combination within 15 months from the closing of this offering (or up to 21 months from the closing of this offering if we extend the period of time to consummate a business combination by the maximum amount as described in more detail in this prospectus). However, if our initial stockholders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event of a liquidation, dissolution or winding up of the company after an initial business combination, our stockholders are entitled to share ratably in all assets remaining available for distribution to them after payment of liabilities and after provision is made for each class of stock, if any, having preference over the common stock. Our stockholders have no preemptive or other subscription rights. There are no sinking fund provisions applicable to the common stock, except that we will provide our stockholders with the opportunity to redeem their public shares for cash equal to their pro rata share of the aggregate amount then on deposit in the trust account, upon the completion of our initial business combination, subject to the limitations described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The founder shares are identical to the shares of common stock included in the units being sold in this offering, and holders of founder shares have the same stockholder rights as public stockholders, except that (i) the founder shares are subject to certain transfer restrictions, as described in more detail below, (ii) our sponsor, officers and directors have entered into a letter agreement with us, pursuant to which they have agreed (A) to waive their redemption rights with respect to any founder shares and any public shares held by them in connection with the completion of our initial business combination, (B) to waive their redemption rights with respect to their founder shares and public shares in connection with a stockholder vote to approve an amendment to our amended and restated certificate of incorporation (x) to modify the substance or timing of our obligation to allow redemption in connection with our initial business combination or to redeem 100% of our public shares if we do not complete our initial business combination within </w:t>
      </w:r>
      <w:r>
        <w:rPr>
          <w:rFonts w:ascii="Arial" w:cs="Arial" w:eastAsia="Arial" w:hAnsi="Arial"/>
          <w:sz w:val="16"/>
          <w:szCs w:val="16"/>
          <w:u w:val="single" w:color="auto"/>
          <w:color w:val="auto"/>
        </w:rPr>
        <w:t>15</w:t>
      </w:r>
      <w:r>
        <w:rPr>
          <w:rFonts w:ascii="Arial" w:cs="Arial" w:eastAsia="Arial" w:hAnsi="Arial"/>
          <w:sz w:val="16"/>
          <w:szCs w:val="16"/>
          <w:color w:val="auto"/>
        </w:rPr>
        <w:t xml:space="preserve"> months (or up to </w:t>
      </w:r>
      <w:r>
        <w:rPr>
          <w:rFonts w:ascii="Arial" w:cs="Arial" w:eastAsia="Arial" w:hAnsi="Arial"/>
          <w:sz w:val="16"/>
          <w:szCs w:val="16"/>
          <w:u w:val="single" w:color="auto"/>
          <w:color w:val="auto"/>
        </w:rPr>
        <w:t>21</w:t>
      </w:r>
      <w:r>
        <w:rPr>
          <w:rFonts w:ascii="Arial" w:cs="Arial" w:eastAsia="Arial" w:hAnsi="Arial"/>
          <w:sz w:val="16"/>
          <w:szCs w:val="16"/>
          <w:color w:val="auto"/>
        </w:rPr>
        <w:t xml:space="preserve"> months, as applicable) from the closing of this offering or (y) with respect to any other provision relating to stockholders’ rights or pre-initial business combination activity and (C) to waive their rights to liquidating distributions from the trust account with respect to any founder shares held by them if we fail to complete our initial business combination within </w:t>
      </w:r>
      <w:r>
        <w:rPr>
          <w:rFonts w:ascii="Arial" w:cs="Arial" w:eastAsia="Arial" w:hAnsi="Arial"/>
          <w:sz w:val="16"/>
          <w:szCs w:val="16"/>
          <w:u w:val="single" w:color="auto"/>
          <w:color w:val="auto"/>
        </w:rPr>
        <w:t>15</w:t>
      </w:r>
      <w:r>
        <w:rPr>
          <w:rFonts w:ascii="Arial" w:cs="Arial" w:eastAsia="Arial" w:hAnsi="Arial"/>
          <w:sz w:val="16"/>
          <w:szCs w:val="16"/>
          <w:color w:val="auto"/>
        </w:rPr>
        <w:t xml:space="preserve"> months (or up to </w:t>
      </w:r>
      <w:r>
        <w:rPr>
          <w:rFonts w:ascii="Arial" w:cs="Arial" w:eastAsia="Arial" w:hAnsi="Arial"/>
          <w:sz w:val="16"/>
          <w:szCs w:val="16"/>
          <w:u w:val="single" w:color="auto"/>
          <w:color w:val="auto"/>
        </w:rPr>
        <w:t>21</w:t>
      </w:r>
      <w:r>
        <w:rPr>
          <w:rFonts w:ascii="Arial" w:cs="Arial" w:eastAsia="Arial" w:hAnsi="Arial"/>
          <w:sz w:val="16"/>
          <w:szCs w:val="16"/>
          <w:color w:val="auto"/>
        </w:rPr>
        <w:t xml:space="preserve"> months, as applicable) from the closing of this offering,</w:t>
      </w:r>
    </w:p>
    <w:p>
      <w:pPr>
        <w:sectPr>
          <w:pgSz w:w="11900" w:h="16924" w:orient="portrait"/>
          <w:cols w:equalWidth="0" w:num="1">
            <w:col w:w="11240"/>
          </w:cols>
          <w:pgMar w:left="320" w:top="908" w:right="339" w:bottom="0" w:gutter="0" w:footer="0" w:header="0"/>
        </w:sectPr>
      </w:pPr>
    </w:p>
    <w:bookmarkStart w:id="133" w:name="page134"/>
    <w:bookmarkEnd w:id="133"/>
    <w:p>
      <w:pPr>
        <w:jc w:val="both"/>
        <w:spacing w:after="0" w:line="257" w:lineRule="auto"/>
        <w:rPr>
          <w:sz w:val="20"/>
          <w:szCs w:val="20"/>
          <w:color w:val="auto"/>
        </w:rPr>
      </w:pPr>
      <w:r>
        <w:rPr>
          <w:rFonts w:ascii="Arial" w:cs="Arial" w:eastAsia="Arial" w:hAnsi="Arial"/>
          <w:sz w:val="18"/>
          <w:szCs w:val="18"/>
          <w:color w:val="auto"/>
        </w:rPr>
        <w:t>although they will be entitled to liquidating distributions from the trust account with respect to any public shares they hold if we fail to complete our initial business combination within such time period, and (iii) are entitled to registration rights. If we submit our initial business combination to our public stockholders for a vote, our sponsor, officers and directors have agreed pursuant to the letter agreement to vote any founder shares held by them and any public shares purchased during or after this offering (including in open market and privately negotiated transactions) in favor of our initial business combination.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4" w:name="page135"/>
    <w:bookmarkEnd w:id="134"/>
    <w:p>
      <w:pPr>
        <w:jc w:val="both"/>
        <w:ind w:firstLine="648"/>
        <w:spacing w:after="0" w:line="272" w:lineRule="auto"/>
        <w:rPr>
          <w:sz w:val="20"/>
          <w:szCs w:val="20"/>
          <w:color w:val="auto"/>
        </w:rPr>
      </w:pPr>
      <w:r>
        <w:rPr>
          <w:rFonts w:ascii="Arial" w:cs="Arial" w:eastAsia="Arial" w:hAnsi="Arial"/>
          <w:sz w:val="17"/>
          <w:szCs w:val="17"/>
          <w:color w:val="auto"/>
        </w:rPr>
        <w:t>With certain limited exceptions, 50% of the founder shares will not be transferred, assigned, sold or released from escrow until the earlier of (i) six months after the date of the consummation of a business combination or (ii) the date on which the closing price of our shares of common stock equals or exceeds $12.50 per share (as adjusted for stock splits, stock dividends, reorganizations and recapitalizations) for any 10 trading days within any 30-trading day period commencing after a business combination. The remaining 50% of the founder shares will not be transferred, assigned, sold or released from escrow until 6 months after the date of the consummation of a business combination, or earlier, in either case, if, subsequent to a business combination, we consummate a subsequent liquidation, merger, stock exchange or other similar transaction which results in all of the stockholders having the right to exchange their shares of common stock for cash, securities or other property.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There are no shares of preferred stock outstanding as of the date of this prospectus. Our amended and restated certificate of incorporation to be filed with the State of Delaware will authorize the issuance of 1,000,000 shares of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that participates in any manner in the proceeds of the trust account, or which votes as a class with the common stock on our initial business combination. We may issue some or all of the preferred stock to effect our initial business combination. In addition, the preferred stock could be used as a method of discouraging, delaying or preventing a change in control of us. Although we do not currently intend to issue any shares of preferred stock, we reserve the right to do so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whole warrant entitles the registered holder to purchase one share of our common stock at a price of $11.50 per share, subject to adjustment as discussed below, at any time commencing 30 days after the completion of our initial business combination. Pursuant to the warrant agreement, a warrant holder may exercise its warrants only for a whole number of shares of common stock. This means that only a whole warrant may be exercised at any given time by a warrant holder. No fractional warrants will be issued upon separation of the units and only whole warrants will trade. Accordingly, unless you purchase a multiple of two units, the number of warrants issuable to you upon separation of the units will be rounded down to the nearest whole number of warrants. The warrants will expire five years after the completion of our initial business combination, at 5:00 p.m., New York City time, or earlier upon redemption or liquidation.</w:t>
      </w:r>
    </w:p>
    <w:p>
      <w:pPr>
        <w:spacing w:after="0" w:line="19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will not be obligated to deliver any shares of common stock pursuant to the exercise of a warrant and will have no obligation to settle such warrant exercise unless a registration statement under the Securities Act with respect to the offer and sale of the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jc w:val="both"/>
        <w:ind w:firstLine="648"/>
        <w:spacing w:after="0" w:line="286" w:lineRule="auto"/>
        <w:rPr>
          <w:sz w:val="20"/>
          <w:szCs w:val="20"/>
          <w:color w:val="auto"/>
        </w:rPr>
      </w:pPr>
      <w:r>
        <w:rPr>
          <w:rFonts w:ascii="Arial" w:cs="Arial" w:eastAsia="Arial" w:hAnsi="Arial"/>
          <w:sz w:val="16"/>
          <w:szCs w:val="16"/>
          <w:color w:val="auto"/>
        </w:rPr>
        <w:t>We are registering the offer and sale of our common stock underlying the public warrants under the Securities Act. In addition, we have agreed that as soon as practicable, but in no event later than 15 business days after the closing of our initial business combination, we will use our commercially reasonable best efforts to file with the SEC a registration statement covering the shares of common stock issuable upon exercise of the warrants, to cause such registration statement to become effective within 60 business days after the closing of our initial business combination, and to maintain a current prospectus relating to those shares of common stock until the warrants expire or are redeemed, as specified in the warrant agreement. If a registration statement covering the shares of common stock issuable upon exercise of the warrants is not effective by the 60th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commercially reasonable best efforts to register or qualify the shares under applicable blue sky laws to the extent an exemption is not available.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Once the warrants become exercisable, we may call the warrants for redemption:</w:t>
      </w:r>
    </w:p>
    <w:p>
      <w:pPr>
        <w:spacing w:after="0" w:line="225" w:lineRule="exact"/>
        <w:rPr>
          <w:sz w:val="20"/>
          <w:szCs w:val="20"/>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25"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and only if, the last reported sale price of the shares of common stock equals or exceeds $16.00 per share (as adjusted for stock splits, stock dividends, reorganizations, recapitalizations and the like) for any 10 trading days within a 30-day trading period commencing once the warrants become exercisable and ending three trading days before we send the notice of redemption to warrant holders.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commercially reasonable best efforts to register or qualify such shares of common stock under the blue sky laws of the state of residence in those states in which the warrants were offered by us in this offering.</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common stock may fall below the $16.00 redemption trigger price (as adjusted for stock splits, stock dividends, reorganizations, recapitalizations and the like) as well as the $11.50 warrant exercise price after the redemption notice is issued.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6" w:name="page137"/>
    <w:bookmarkEnd w:id="136"/>
    <w:p>
      <w:pPr>
        <w:jc w:val="both"/>
        <w:ind w:firstLine="648"/>
        <w:spacing w:after="0" w:line="285" w:lineRule="auto"/>
        <w:rPr>
          <w:sz w:val="20"/>
          <w:szCs w:val="20"/>
          <w:color w:val="auto"/>
        </w:rPr>
      </w:pPr>
      <w:r>
        <w:rPr>
          <w:rFonts w:ascii="Arial" w:cs="Arial" w:eastAsia="Arial" w:hAnsi="Arial"/>
          <w:sz w:val="16"/>
          <w:szCs w:val="16"/>
          <w:color w:val="auto"/>
        </w:rPr>
        <w:t>If we call the warrants for redemption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If our management takes advantage of this option, all holders of warrants would pay the exercise price by surrendering their warrants for that number of shares of common stock equal to the quotient obtained by dividing</w:t>
      </w:r>
    </w:p>
    <w:p>
      <w:pPr>
        <w:spacing w:after="0" w:line="2" w:lineRule="exact"/>
        <w:rPr>
          <w:sz w:val="20"/>
          <w:szCs w:val="20"/>
          <w:color w:val="auto"/>
        </w:rPr>
      </w:pPr>
    </w:p>
    <w:p>
      <w:pPr>
        <w:jc w:val="both"/>
        <w:ind w:firstLine="8"/>
        <w:spacing w:after="0" w:line="286" w:lineRule="auto"/>
        <w:tabs>
          <w:tab w:leader="none" w:pos="263"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product of the number of shares of common stock underlying the warrants, multiplied by the difference between the exercise price of the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our sponsor and its permitted transferees would still be entitled to exercise their private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shares of common stock outstanding immediately after giving effect to such exercise.</w:t>
      </w:r>
    </w:p>
    <w:p>
      <w:pPr>
        <w:spacing w:after="0" w:line="18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If the number of outstanding shares of common stock is increased by a stock dividend payable in shares of common stock, or by a split-up of shares of common stock or other similar event, then, on the effective date of such stock dividend, split-up or similar event, the number of shares of common stock issuable on exercise of each warrant will be increased in proportion to such increase in the outstanding shares of common stock. A rights offering to holders of common stock entitling holders to purchase shares of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and (ii) one minus the quotient of</w:t>
      </w:r>
    </w:p>
    <w:p>
      <w:pPr>
        <w:spacing w:after="0" w:line="4" w:lineRule="exact"/>
        <w:rPr>
          <w:sz w:val="20"/>
          <w:szCs w:val="20"/>
          <w:color w:val="auto"/>
        </w:rPr>
      </w:pPr>
    </w:p>
    <w:p>
      <w:pPr>
        <w:jc w:val="both"/>
        <w:ind w:firstLine="8"/>
        <w:spacing w:after="0" w:line="271" w:lineRule="auto"/>
        <w:tabs>
          <w:tab w:leader="none" w:pos="261"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price per share of common stock paid in such rights offering divided by (y) the fair market value. For these purposes (i) if the rights offering is for securities convertible into or exercisable for common stock, in determining the price payable for common stock, there will be taken into account any consideration received for such rights, as well as any additional amount payable upon exercise or redemption and (ii) fair market value means the volume weighted average price of common stock as reported during the 10-trading day period ending on the trading day prior to the first date on which the shares of common stock trade on the applicable exchange or in the applicable market, regular way, without the right to receive such rights.</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if we, at any time while the warrants are outstanding and unexpired, pay a dividend or make a distribution in cash, securities or other assets to the holders of common stock on account of such shares of common stock (or other shares of our capital stock into which the warrants are convertible), other than (a) as described above, (b) certain ordinary cash dividends, (c) to satisfy the redemption rights of the holders of common stock in connection with a proposed initial business combination, (d) to satisfy the redemption rights of the holders of common stock in connection with a stockholder vote to amend our amended and restated certificate of incorporation (i) to modify the substance or timing of our obligation to allow redemption in connection with our initial business combination or to redeem 100% of our common stock if we do not complete our initial business combination within 15 months (or up to 21 months, as applicable) from the closing of this offering or (ii) with respect to any other provision relating to stockholders’ rights or pre-initial business combination activity,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will be decreased in proportion to such decrease in outstanding shares of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7" w:name="page138"/>
    <w:bookmarkEnd w:id="137"/>
    <w:p>
      <w:pPr>
        <w:jc w:val="both"/>
        <w:ind w:firstLine="648"/>
        <w:spacing w:after="0" w:line="259" w:lineRule="auto"/>
        <w:rPr>
          <w:sz w:val="20"/>
          <w:szCs w:val="20"/>
          <w:color w:val="auto"/>
        </w:rPr>
      </w:pPr>
      <w:r>
        <w:rPr>
          <w:rFonts w:ascii="Arial" w:cs="Arial" w:eastAsia="Arial" w:hAnsi="Arial"/>
          <w:sz w:val="18"/>
          <w:szCs w:val="18"/>
          <w:color w:val="auto"/>
        </w:rPr>
        <w:t>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in order to determine and realize the option value component of the warrant. This formula is to compensate the warrant holder for the loss of the option value portion of the warrant due to the requirement that the warrant holder exercise the warrant within 30 days of the event. The Black-Scholes model is an accepted pricing model for estimating fair market value where no quoted market price for an instrument is available.</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warrants will be issued in registered form under a warrant agreement between Continental Stock Transfer &amp; Trust Company, as warrant agent, and us. You should review a copy of the warrant agreement, which will be filed as an exhibit to the registration statement of which this prospectus is a part,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 majority of the then outstanding public warrants to make any change that adversely affects the interests of the registered holders of public warrants.</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if (x) we issue additional shares or equity-linked securities for capital raising purposes in connection with the closing of our initial business combination (not including any securities to be issued in connection with the forward purchase agreement to be entered into with our sponsor) at a Newly Issued Price of less than $9.20 per share (as adjusted for stock splits, stock dividends, rights issuances, subdivisions, reorganizations, recapitalizations and the like), (y) the aggregate gross proceeds from such issuances represent more than 60% of the total equity proceeds, and interest thereon, available for the funding of our initial business combination on the date of the consummation of our initial business combination (net of redemptions), and the Market Value is below $9.20 per share (as adjusted for stock splits, stock dividends, rights issuances, subdivisions, reorganizations, recapitalizations and the like), then the exercise price of each warrant will be adjusted (to the nearest cent) such that the effective exercise price per full share will be equal to 115% of the higher of the Market Value and the Newly Issued Price, and the $16.00 per share redemption trigger price described above will be adjusted (to the nearest cent) to be equal to 160% of the higher of the Market Value and the Newly Issued Price. This may make it more difficult for us to consummate an initial business combination with a target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8" w:name="page139"/>
    <w:bookmarkEnd w:id="138"/>
    <w:p>
      <w:pPr>
        <w:jc w:val="both"/>
        <w:ind w:firstLine="648"/>
        <w:spacing w:after="0" w:line="255"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9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No fractional shares will be issued upon exercise of the warrants. If, upon exercise of the warrants, a holder would be entitled to receive a fractional interest in a share, we will, upon exercise, round down to the nearest whole number of shares of common stock to be issued to the warrant holder.</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agreed that, subject to applicable law, any action, proceeding or claim against us arising out of or relating in any way to the warrant agreement will be brought and enforced in the courts of the State of New York in the Borough of Manhattan or the United States District Court for the Southern District of New York, and we irrevocably submit to such jurisdiction, which jurisdiction will be the exclusive forum for any such action, proceeding or claim. See “Risk Factors – Our warrant agreement will designate the courts of the State of New York located in the in the Borough of Manhattan or the United States District Court for the Southern District of New York as the exclusive forums for certain types of actions and proceedings that may be initiated by holders of our warrants, which could limit the ability of warrant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private warrants (including the common stock issuable upon exercise of the private warrants) will not be transferable, assignable or salable until 30 days after the completion of our initial business combination (except, among other limited exceptions as described under the section of this prospectus entitled “</w:t>
      </w:r>
      <w:r>
        <w:rPr>
          <w:rFonts w:ascii="Arial" w:cs="Arial" w:eastAsia="Arial" w:hAnsi="Arial"/>
          <w:sz w:val="16"/>
          <w:szCs w:val="16"/>
          <w:i w:val="1"/>
          <w:iCs w:val="1"/>
          <w:color w:val="auto"/>
        </w:rPr>
        <w:t>Principal Stockholders — Restrictions on Transfers of Founder Shares and Private Warrants</w:t>
      </w:r>
      <w:r>
        <w:rPr>
          <w:rFonts w:ascii="Arial" w:cs="Arial" w:eastAsia="Arial" w:hAnsi="Arial"/>
          <w:sz w:val="16"/>
          <w:szCs w:val="16"/>
          <w:color w:val="auto"/>
        </w:rPr>
        <w:t>” to our officers and directors and other persons or entities affiliated with our sponsor) and they will not be redeemable by us so long as they are held by our sponsor or its permitted transferees. Our sponsor, or its permitted transferees, has the option to exercise the private warrants on a cashless basis. Except as described below, the private warrants have terms and provisions that are identical to those of the warrants being sold as part of the units in this offering, including as to exercise price, exercisability and exercise period. If the private warrants are held by holders other than our sponsor or its permitted transferees, the private warrants will be redeemable by us and exercisable by the holders on the same basis as the warrants included in the units being sold in this offering.</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holders of the private warrants elect to exercise them on a cashless basis, they would pay the exercise price by surrendering their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warrant exercise is sent to the warrant agent. The reason that we have agreed that these warrants will be exercisable on a cashless basis so long as they are held by our sponsor or its permitted transferees is because it is not known at this time whether they will be affiliated with us following an initial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shares of common stock issuable upon exercise of the warrants freely in the open market, the insiders could be significantly restricted from doing so. As a result, we believe that allowing the holders to exercise such warrants on a cashless basis is appropriate.</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holders of our private warrants are entitled to certain registration rights and any private warrants purchased by Chardan NexTech 2 Warrant Holdings LLC will not be exercisable more than five years from the effective date of the registration statement, of which this prospectus forms a part, in accordance with FINRA Rule 5110(g), as long as Chardan or any of its related persons beneficially own these private warrants.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jc w:val="both"/>
        <w:ind w:firstLine="648"/>
        <w:spacing w:after="0" w:line="287" w:lineRule="auto"/>
        <w:rPr>
          <w:sz w:val="20"/>
          <w:szCs w:val="20"/>
          <w:color w:val="auto"/>
        </w:rPr>
      </w:pPr>
      <w:r>
        <w:rPr>
          <w:rFonts w:ascii="Arial" w:cs="Arial" w:eastAsia="Arial" w:hAnsi="Arial"/>
          <w:sz w:val="16"/>
          <w:szCs w:val="16"/>
          <w:color w:val="auto"/>
        </w:rPr>
        <w:t>Pursuant to the letter agreement, the private warrants (including the common stock issuable upon exercise of any of the private warrants) are not transferable or salable until 30 days after the completion of our initial business combination, except (a) to our officers or directors, any affiliates or family members of any of our officers or directors, any members of Chardan NexTech 2 Warrant Holdings LLC, our sponsor, or any of their respective affiliates;</w:t>
      </w:r>
    </w:p>
    <w:p>
      <w:pPr>
        <w:spacing w:after="0" w:line="2" w:lineRule="exact"/>
        <w:rPr>
          <w:sz w:val="20"/>
          <w:szCs w:val="20"/>
          <w:color w:val="auto"/>
        </w:rPr>
      </w:pPr>
    </w:p>
    <w:p>
      <w:pPr>
        <w:jc w:val="both"/>
        <w:ind w:firstLine="8"/>
        <w:spacing w:after="0" w:line="268" w:lineRule="auto"/>
        <w:tabs>
          <w:tab w:leader="none" w:pos="2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our initial business combination; or (g) by virtue of the laws of Delaware or the applicable limited liability company agreement upon dissolution of Chardan NexTech 2 Warrant Holdings LLC,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Chardan NexTech 2 Warrant Holdings LLC, our sponsor, officers, and directors of the Company, as the case may be, with respect to such securities (including provisions relating to voting, the trust account and liquidation distributions described elsewhere in this prospectus).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Transfer Agent and Warrant Agent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transfer agent for our shares of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Amended and Restated Certificate of Incorporation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amended and restated certificate of incorporation will contain certain requirements and restrictions relating to this offering that will apply to us until the completion of our initial business combination. These provisions cannot be amended without the approval of the holders of at least a majority of our common stock. Our initial stockholders, who will collectively beneficially own 20% of our common stock upon the closing of this offering (assuming they do not purchase any units in this offering), will participate in any vote to amend our amended and restated certificate of incorporation and will have the discretion to vote in any manner they choose. Specifically, our amended and restated certificate of incorporation provides, among other things, that:</w:t>
      </w:r>
    </w:p>
    <w:p>
      <w:pPr>
        <w:spacing w:after="0" w:line="192" w:lineRule="exact"/>
        <w:rPr>
          <w:sz w:val="20"/>
          <w:szCs w:val="20"/>
          <w:color w:val="auto"/>
        </w:rPr>
      </w:pPr>
    </w:p>
    <w:p>
      <w:pPr>
        <w:jc w:val="both"/>
        <w:ind w:left="980" w:hanging="324"/>
        <w:spacing w:after="0" w:line="289" w:lineRule="auto"/>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we are unable to complete our initial business combination within 15 months (or up to 21 months, as applicable) from the closing of this offering, we will (i) cease all operations except for the purpose of winding up, (ii)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w:t>
      </w:r>
    </w:p>
    <w:p>
      <w:pPr>
        <w:spacing w:after="0" w:line="166" w:lineRule="exact"/>
        <w:rPr>
          <w:rFonts w:ascii="Arial" w:cs="Arial" w:eastAsia="Arial" w:hAnsi="Arial"/>
          <w:sz w:val="16"/>
          <w:szCs w:val="16"/>
          <w:color w:val="auto"/>
        </w:rPr>
      </w:pPr>
    </w:p>
    <w:p>
      <w:pPr>
        <w:ind w:left="980" w:hanging="324"/>
        <w:spacing w:after="0"/>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Prior to our initial business combination, we may not issue additional shares of capital stock that would entitle the holders thereof to</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(i) receive funds from the trust account or (ii) vote on any initial business combination;</w:t>
      </w:r>
    </w:p>
    <w:p>
      <w:pPr>
        <w:spacing w:after="0" w:line="210" w:lineRule="exact"/>
        <w:rPr>
          <w:rFonts w:ascii="Arial" w:cs="Arial" w:eastAsia="Arial" w:hAnsi="Arial"/>
          <w:sz w:val="17"/>
          <w:szCs w:val="17"/>
          <w:color w:val="auto"/>
        </w:rPr>
      </w:pPr>
    </w:p>
    <w:p>
      <w:pPr>
        <w:jc w:val="both"/>
        <w:ind w:left="980" w:hanging="324"/>
        <w:spacing w:after="0" w:line="279" w:lineRule="auto"/>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Although we do not intend to enter into an initial business combination with a target business that is affiliated with our sponsor, our directors or our officers, we are not prohibited from doing so. In the event we enter into such a transaction, we, or a committee of independent directors, will obtain an opinion from an independent investment banking firm or another independent firm that commonly renders valuation opinions that such an initial business combination is fair to our stockholders from a financial point of view;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0" w:name="page141"/>
    <w:bookmarkEnd w:id="140"/>
    <w:p>
      <w:pPr>
        <w:jc w:val="both"/>
        <w:ind w:left="980" w:hanging="324"/>
        <w:spacing w:after="0" w:line="273" w:lineRule="auto"/>
        <w:tabs>
          <w:tab w:leader="none" w:pos="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a stockholder vote on our initial business combination is not required by law and we do not decide to hold a stockholder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whether or not we maintain our registration under the our Exchange Act or our listing on Nasdaq, we will provide our public stockholders with the opportunity to redeem their public shares by one of the two methods listed above;</w:t>
      </w:r>
    </w:p>
    <w:p>
      <w:pPr>
        <w:spacing w:after="0" w:line="177"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So long as we obtain and maintain a listing for our securities on Nasdaq, 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w:t>
      </w:r>
    </w:p>
    <w:p>
      <w:pPr>
        <w:spacing w:after="0" w:line="186" w:lineRule="exact"/>
        <w:rPr>
          <w:rFonts w:ascii="Arial" w:cs="Arial" w:eastAsia="Arial" w:hAnsi="Arial"/>
          <w:sz w:val="18"/>
          <w:szCs w:val="18"/>
          <w:color w:val="auto"/>
        </w:rPr>
      </w:pPr>
    </w:p>
    <w:p>
      <w:pPr>
        <w:jc w:val="both"/>
        <w:ind w:left="980" w:hanging="324"/>
        <w:spacing w:after="0" w:line="272" w:lineRule="auto"/>
        <w:tabs>
          <w:tab w:leader="none" w:pos="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our stockholders approve an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15 months (or up to 21 months, as applicable) from the closing of this offering or (ii) with respect to any other provision relating to stockholders’ rights or pre-business combination activity, we will provide our public stockholders with the opportunity to redeem all or a portion of their shares of common stock upon such approval at a per-share price, payable in cash, equal to the aggregate amount then on deposit in the trust account, including interest earned on the funds held in the trust account and not previously released to us to pay our taxes, divided by the number of then outstanding public shares;</w:t>
      </w:r>
    </w:p>
    <w:p>
      <w:pPr>
        <w:spacing w:after="0" w:line="177" w:lineRule="exact"/>
        <w:rPr>
          <w:rFonts w:ascii="Arial" w:cs="Arial" w:eastAsia="Arial" w:hAnsi="Arial"/>
          <w:sz w:val="17"/>
          <w:szCs w:val="17"/>
          <w:color w:val="auto"/>
        </w:rPr>
      </w:pPr>
    </w:p>
    <w:p>
      <w:pPr>
        <w:ind w:left="980" w:hanging="324"/>
        <w:spacing w:after="0"/>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We will not effectuate our initial business combination with another blank check company or a similar company with nominal operations;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will not effect our initial business combination unless our sponsor approves of such transaction.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our amended and restated certificate of incorporation will provide that we may only redeem our public shares so long as our net tangible assets are at least $5,000,001 either immediately prior to or upon consummation of our initial business combination and after payment of underwriters’ fees and commissions.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Anti-Takeover Provisions of Delaware Law and our Certificate of Incorporation and By-Laws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Our amended and restated certificate of incorporation will provide that our board of directors will be classified into two classes of directors. As a result, in most circumstances, a person can gain control of our board only by successfully engaging in a proxy contest at two or more annual meetings.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84" w:lineRule="exact"/>
        <w:rPr>
          <w:sz w:val="20"/>
          <w:szCs w:val="20"/>
          <w:color w:val="auto"/>
        </w:rPr>
      </w:pPr>
    </w:p>
    <w:p>
      <w:pPr>
        <w:ind w:left="980" w:hanging="324"/>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1" w:name="page142"/>
    <w:bookmarkEnd w:id="141"/>
    <w:p>
      <w:pPr>
        <w:jc w:val="both"/>
        <w:ind w:firstLine="648"/>
        <w:spacing w:after="0" w:line="263" w:lineRule="auto"/>
        <w:rPr>
          <w:sz w:val="20"/>
          <w:szCs w:val="20"/>
          <w:color w:val="auto"/>
        </w:rPr>
      </w:pPr>
      <w:r>
        <w:rPr>
          <w:rFonts w:ascii="Arial" w:cs="Arial" w:eastAsia="Arial" w:hAnsi="Arial"/>
          <w:sz w:val="18"/>
          <w:szCs w:val="18"/>
          <w:color w:val="auto"/>
        </w:rPr>
        <w:t>Generally, a “business combination” includes a merger,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20% or more of our voting stock.</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amended and restated certificate of incorporation provides that our sponsor and its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90th day nor earlier than the opening of business on the 120th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Subsequent to the consummation of the offering, any action required or permitted to be taken by our common stockholders must be effected by a duly called annual or special meeting of such stockholders and may not be effected by written consent of the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amended and restated certificate of incorporation will require, subject to certain exceptions and unless we consent in writing to the selection of an alternative forum, the sole and exclusive forum for (a) any derivative action or proceeding brought on our behalf, (b) any action asserting a claim of breach of a fiduciary duty owed by any current or former director, officer, employee, agent to us or out stockholders, (c) any action asserting a claim arising pursuant to any provision of the DGCL, the amended and restated certificate of incorporation or bylaws, or (d) any action asserting a claim governed by the internal affairs doctrine shall be the Court of Chancery of the State of Delaware (or, if the Court of Chancery of the State of Delaware lacks jurisdiction over such action or proceeding, then another court of the State of Delaware or, if no court of the State of Delaware has jurisdiction, then the United States District Court for the District of Delaware).</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Although we believe this forum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 If any action, the subject matter of which is within the scope the forum provisions of our amended and restated certificate of incorporation, is filed in a court other than a court of the State of Delaware, such action we refer to as a foreign action, in the name of any stockholder, such stockholder shall be deemed to have consented to (i) the personal jurisdiction of the state and federal courts located within the State of Delaware in connection with any action brought in such court to enforce the forum provisions, such action we refer to as an enforcement action, and (ii) having service of process made upon such stockholder in any such enforcement action by service upon such stockholder’s counsel in the foreign action as agent for such stockholder.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our amended and restated certificate of incorporationwill state that unless we consent in writing to the selection of an alternative forum, the federal district courts of the United States of America shall be the exclusive forum for resolution of any complaint asserting a cause of action arising under the Securities Act. Section 22 of the Securities Act creates a concurrent jurisdiction for federal and state courts over all suits brought to enforce any duty or liability created by the Securities Act or the rules and regulations thereunder.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However, our amended and restated certificate of incorporation does not purport to require suits brought to enforce a duty or liability created by the Exchange Act to be brought in the Court of Chancery of the State of Delaware or another court of the State of Delaware. Section 27 of the Exchange Act creates exclusive federal jurisdiction over all claims brought to enforce any duty or liability created by the Exchange Act or the rules and regulations thereunder.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Eligible For Future Sale</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Immediately after this consummation of this offering, we will have 12,500,000 shares of common stock issued and outstanding, or 14,375,000 shares of common stock if the over-allotment option is exercised in full. Of these shares, the 10,000,000 shares sold in this offering, or 11,500,000 shares if the over-allotment option is exercised in full, will be freely tradable without restriction or further registration under the Securities Act, except for any shares purchased by one of our affiliates within the meaning of Rule 144 under the Securities Act. All of the remaining 2,500,000 (or 2,875,000 if the underwriters’ over-allotment is exercised in full) shares are restricted securities under Rule 144, in that they were issued in private transactions not involving a public offering. All of those shares will not be transferable except in limited circumstances described elsewhere in this prospectus, but these restricted securities will be entitled to registration rights as more fully described below under “—</w:t>
      </w:r>
      <w:r>
        <w:rPr>
          <w:rFonts w:ascii="Arial" w:cs="Arial" w:eastAsia="Arial" w:hAnsi="Arial"/>
          <w:sz w:val="17"/>
          <w:szCs w:val="17"/>
          <w:i w:val="1"/>
          <w:iCs w:val="1"/>
          <w:color w:val="auto"/>
        </w:rPr>
        <w:t>Registration Rights</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144</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Rule 144, a person who has beneficially owned restricted shares of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w:t>
      </w:r>
    </w:p>
    <w:p>
      <w:pPr>
        <w:spacing w:after="0" w:line="192" w:lineRule="exact"/>
        <w:rPr>
          <w:sz w:val="20"/>
          <w:szCs w:val="20"/>
          <w:color w:val="auto"/>
        </w:rPr>
      </w:pPr>
    </w:p>
    <w:p>
      <w:pPr>
        <w:ind w:left="98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 of the number of shares of common stock then issued and outstanding, which will equal 125,000 shares immediately after this offering (or 143,750 if the over-allotment option is exercised in full);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average weekly trading volume of the shares of common stock during the four calendar weeks preceding the filing of a notice on Form 144 with respect to the sale.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under Rule 144 are also limited by manner of sale provisions and notice requirements and to the availability of current public information about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84" w:lineRule="exact"/>
        <w:rPr>
          <w:sz w:val="20"/>
          <w:szCs w:val="20"/>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254" w:gutter="0" w:footer="0" w:header="0"/>
        </w:sectPr>
      </w:pPr>
    </w:p>
    <w:bookmarkStart w:id="143" w:name="page144"/>
    <w:bookmarkEnd w:id="143"/>
    <w:p>
      <w:pPr>
        <w:ind w:left="980" w:hanging="324"/>
        <w:spacing w:after="0" w:line="342" w:lineRule="auto"/>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our initial stockholders will be able to sell their founder shares and private warrants, and the securities underlying the foregoing, as applicable, pursuant to Rule 144 without registration one year after we have completed our initial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holders of our founder shares issued and outstanding on the date of this prospectus, as well as the holders of the private warrants (and underlying securities)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Chardan and its related persons may not, with respect to the private warrants purchased by Chardan NexTech 2 Warrant Holdings LLC, (i) have more than one demand registration right at our expense, (ii) exercise their demand registration rights more than five years from the effective date of the registration statement of which this prospectus forms a part, and (iii) exercise their “piggy-back” registration rights more than seven years from the effective date of the registration statement of which this prospectus forms a part, as long as Chardan or any of its related persons are beneficial owners of private warrants.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applied to list our units, common stock and warrants on Nasdaq under the symbols “CNTQU,” “CNTQ” and “CNTQW,” respectively. We expect that our units will be listed on Nasdaq on or promptly after the effective date of the registration statement. Following the date the shares of our common stock and warrants are eligible to trade separately, we anticipate that the shares of our common stock and warrants will be listed separately and as a unit on Nasdaq.</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following is a discussion of the material U.S. federal income tax considerations generally applicable to the acquisition, ownership and disposition of our units, shares of common stock and warrants, which we refer to collectively as our securities. Because once the shares of common stock and warrants commence separate trading, the components of a unit are separable at the option of the holder, the holder of a unit generally should be treated, for U.S. federal income tax purposes, as the owner of the underlying common stock and one-half of one redeemable warrant components of the unit, as the case may be. As a result, the discussion below with respect to actual holders of common stock and warrants should also apply to holders of units (as the deemed owners of the underlying common stock and warrants that comprise the units). This discussion applies only to securities that are held as capital assets for U.S. federal income tax purposes and is applicable only to holders who purchased units in this offering.</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including but not limited to:</w:t>
      </w:r>
    </w:p>
    <w:p>
      <w:pPr>
        <w:spacing w:after="0" w:line="184" w:lineRule="exact"/>
        <w:rPr>
          <w:sz w:val="20"/>
          <w:szCs w:val="20"/>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sponsor, officers or directors;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shares by vote or value;</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the securities;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persons holding the securities as part of a “straddle,” hedge, integrated transaction or similar transaction;</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and any beneficial owners of such entities; and</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are a partnership or other entity or arrangement treated as a partnership for U.S. federal income tax purposes, the U.S. federal income tax treatment of your partners will generally depend on the status of the partners and your activities.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discussion is based on the Internal Revenue Code of 1986, as amended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not sought, and will not seek, a ruling from the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5" w:name="page146"/>
    <w:bookmarkEnd w:id="145"/>
    <w:p>
      <w:pPr>
        <w:jc w:val="both"/>
        <w:ind w:firstLine="648"/>
        <w:spacing w:after="0" w:line="259" w:lineRule="auto"/>
        <w:rPr>
          <w:sz w:val="20"/>
          <w:szCs w:val="20"/>
          <w:color w:val="auto"/>
        </w:rPr>
      </w:pPr>
      <w:r>
        <w:rPr>
          <w:rFonts w:ascii="Arial" w:cs="Arial" w:eastAsia="Arial" w:hAnsi="Arial"/>
          <w:sz w:val="18"/>
          <w:szCs w:val="18"/>
          <w:color w:val="auto"/>
        </w:rPr>
        <w:t>THIS DISCUSSION OF U.S. FEDERAL INCOME TAX CONSIDERATIONS IS FOR GENERAL INFORMATION PURPOSES ONLY AND IS NOT TAX ADVICE. WE URGE PROSPECTIVE HOLDERS TO CONSULT THEIR TAX ADVISORS CONCERNING THE U.S. FEDERAL INCOME TAX CONSEQUENCES TO THEM OF ACQUIRING, OWNING AND DISPOSING OF OUR SECURITIES, AS WELL AS THE APPLICATION OF ANY, STATE, LOCAL AND NON-U.S. INCOME, ESTATE AND OTHER TAX CONSIDERATIONS.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Personal Holding Company Status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would be subject to a second level of U.S. federal income tax on a portion of our income if we are determined to be a personal holding company (“PHC”) for U.S. federal income tax purposes. A U.S. corporation generally will be classified as a PHC for U.S.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1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Depending on the date and size of our initial business combination, it is possible that at least 60% of our adjusted ordinary gross income may consist of PHC income. In addition, depending on the concentration of our stock in the hands of individuals, including the members of our sponsor and certain tax-exempt organizations, pension funds and charitable trusts, it is possible that more than 50% of our stock may be owned or deemed owned (pursuant to the constructive ownership rules) by five or fewer such persons during the last half of a taxable year. Thus, no assurance can be given that we will not be a PHC following this offering or in the future. If we are or were to become a PHC in a given taxable year, we would be subject to an additional PHC tax, currently 20%, on our undistributed PHC income, which generally includes our taxable income, subject to certain adjustments.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of Purchase Price and Characterization of a Unit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No statutory, administrative or judicial authority directly addresses the treatment of the unit or instruments similar to the unit for U.S. federal income tax purposes and, therefore, that treatment is not entirely clear. The acquisition of a unit should be treated for U.S. federal income tax purposes as the acquisition of one share of our common stock and one-half of one warrant to acquire one share of our common stock. We intend to treat the acquisition of a unit in this manner and, by purchasing a unit, you agree to adopt such treatment for tax purposes. For U.S. federal income tax purposes, each holder of a unit must allocate the purchase price paid by such holder for such unit between the one share of common stock and the one-half of one warrant based on the relative fair market value of each at the time of issuance. Under U.S. federal income tax law, each investor must make its own determination of such value based on all the relevant facts and circumstances. Therefore, we strongly urge each investor to consult its tax advisor regarding the determination of value for these purposes. The price allocated to each share of common stock and the one-half of one warrant should be the holder’s initial tax basis in such share or one-half of one warrant, as the case may be. Any disposition of a unit should be treated for U.S. federal income tax purposes as a disposition of the share of common stock and one-half of one warrant comprising the unit, and the amount realized on the disposition should be allocated between the common stock and the one-half of one warrant based on their respective relative fair market values (as determined by each such unit holder on all the relevant facts and circumstances) at the time of disposition. The separation of shares of common stock and warrants comprising units should not be a taxable event for U.S. federal income tax purposes.</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foregoing treatment of the units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own tax advisors regarding the tax consequences of an investment in a unit (including alternative characterizations of a unit). The balance of this discussion assumes that the characterization of the units described above is respected for U.S. federal income tax purposes.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U.S. Holders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This section applies to you if you are a “U.S. holder.” A U.S. holder is a beneficial owner of our units, shares of common stock or warrants who or that is, for U.S. federal income tax purposes:</w:t>
      </w:r>
    </w:p>
    <w:p>
      <w:pPr>
        <w:spacing w:after="0" w:line="170" w:lineRule="exact"/>
        <w:rPr>
          <w:sz w:val="20"/>
          <w:szCs w:val="20"/>
          <w:color w:val="auto"/>
        </w:rPr>
      </w:pPr>
    </w:p>
    <w:p>
      <w:pPr>
        <w:ind w:left="800" w:hanging="441"/>
        <w:spacing w:after="0"/>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800" w:hanging="441"/>
        <w:spacing w:after="0" w:line="277" w:lineRule="auto"/>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800" w:hanging="441"/>
        <w:spacing w:after="0"/>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225" w:lineRule="exact"/>
        <w:rPr>
          <w:rFonts w:ascii="Arial" w:cs="Arial" w:eastAsia="Arial" w:hAnsi="Arial"/>
          <w:sz w:val="18"/>
          <w:szCs w:val="18"/>
          <w:color w:val="auto"/>
        </w:rPr>
      </w:pPr>
    </w:p>
    <w:p>
      <w:pPr>
        <w:jc w:val="both"/>
        <w:ind w:left="800" w:hanging="441"/>
        <w:spacing w:after="0" w:line="263" w:lineRule="auto"/>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we pay distributions in cash or other property (other than certain distributions of our stock or rights to acquire our stock)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“U.S. Holders — Gain or Loss on Sale, Taxable Exchange or Other Taxable Disposition of Common Stock and Warrants” below.</w:t>
      </w:r>
    </w:p>
    <w:p>
      <w:pPr>
        <w:spacing w:after="0" w:line="1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dividends” that will be subject to tax at the preferential tax rate accorded to long-term capital gains. It is unclear whether the redemption rights with respect to the common stock described in this prospectus may prevent a U.S. holder from satisfying the applicable holding period requirements with respect to the dividends received deduction or the preferential tax rate on qualified dividend income, as the case may be.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or Loss on Sale, Taxable Exchange or Other Taxable Disposition of Common Stock and Warrants.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Upon a sale or other taxable disposition of our common stock or warrants which, in general, would include a redemption of common stock or warrants that is treated as a sale of such securities as described below, and including as a result of a dissolution and liquidation in the event we do not consummate an initial business combination within the required time period, a U.S. holder generally will recognize capital gain or loss in an amount equal to the difference between the amount realized and the U.S. holder’s adjusted tax basis in the common stock or warrants so disposed of. Any such capital gain or loss generally will be long-term capital gain or loss if the U.S. holder’s holding period for the common stock or warrants so disposed of exceeds one year. It is unclear, however, whether the redemption rights with respect to the common stock described in this prospectus may suspend the running of the applicable holding period for this purpose. If the running of the holding period for the common stock is suspended, then non-corporate U.S. holders may not be able to satisfy the one-year holding period requirement for long-term capital gain treatment, in which case any gain on a sale or taxable disposition of the shares or warrants would be subject to short-term capital gain treatment and would be taxed at regular ordinary income tax rates. Long-term capital gains recognized by non-corporate U.S. holders are currently eligible to be taxed at reduced rates. The deductibility of capital losses is subject to limitations.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7" w:name="page148"/>
    <w:bookmarkEnd w:id="147"/>
    <w:p>
      <w:pPr>
        <w:jc w:val="both"/>
        <w:ind w:firstLine="648"/>
        <w:spacing w:after="0" w:line="291" w:lineRule="auto"/>
        <w:rPr>
          <w:sz w:val="20"/>
          <w:szCs w:val="20"/>
          <w:color w:val="auto"/>
        </w:rPr>
      </w:pPr>
      <w:r>
        <w:rPr>
          <w:rFonts w:ascii="Arial" w:cs="Arial" w:eastAsia="Arial" w:hAnsi="Arial"/>
          <w:sz w:val="16"/>
          <w:szCs w:val="16"/>
          <w:color w:val="auto"/>
        </w:rPr>
        <w:t>Generally, the amount of gain or loss recognized by a U.S. holder is equal to the difference between (i) the sum of the amount of cash and the fair market value of any property received in such disposition (or, if the common stock or warrants are held as part of units at the time of the disposition, the portion of the amount realized on such disposition that is allocated to the common stock or the warrants based upon the then fair market values of the common stock and the warrants included in the units) and (ii) the U.S. holder’s adjusted tax basis in its common stock or warrants so disposed of. A U.S. holder’s adjusted tax basis in its common stock or warrants generally will equal the U.S. holder’s acquisition cost (that is, as discussed above, the portion of the purchase price of a unit allocated to a share of common stock or one-half of one warrant or, as discussed below, the U.S. holder’s initial basis for common stock received upon exercise of warrants) less, in the case of a share of common stock, any prior distributions treated as a return of 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Common Stock</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In the event that a U.S. holder’s common stock is redeemed pursuant to the redemption provisions described under the section of this prospectus entitled “Description of Securities </w:t>
      </w:r>
      <w:r>
        <w:rPr>
          <w:rFonts w:ascii="Arial" w:cs="Arial" w:eastAsia="Arial" w:hAnsi="Arial"/>
          <w:sz w:val="16"/>
          <w:szCs w:val="16"/>
          <w:i w:val="1"/>
          <w:iCs w:val="1"/>
          <w:color w:val="auto"/>
        </w:rPr>
        <w:t>—</w:t>
      </w:r>
      <w:r>
        <w:rPr>
          <w:rFonts w:ascii="Arial" w:cs="Arial" w:eastAsia="Arial" w:hAnsi="Arial"/>
          <w:sz w:val="16"/>
          <w:szCs w:val="16"/>
          <w:color w:val="auto"/>
        </w:rPr>
        <w:t xml:space="preserve"> Common Stock” or if we purchase a U.S. holder’s common stock in an open market transaction (each of which we refer to as a “redemption”), the treatment of the transaction for U.S. federal income tax purposes will depend on whether the redemption qualifies as a sale or exchange of the common stock under Section 302 of the Code. If the redemption qualifies as a sale or exchange of common stock, the U.S. holder will be treated as described under “U.S. Holders — Gain or Loss on Sale, Taxable Exchange or Other Taxable Disposition of Common Stock and Warrants” above. If the redemption does not qualify as a sale or exchange of common stock, the U.S. holder will be treated as receiving a corporate distribution with the tax consequences described above under “U.S. Holders — Taxation of Distributions”. Whether a redemption qualifies for sale or exchange treatment will depend largely on the total number of shares of our stock treated as owned by the U.S. holder (including any stock constructively owned by the U.S. holder described in the following paragraph) relative to all of our shares outstanding both before and after the redemption. The redemption of common stock generally will be treated as a sale of the common stock (rather than as a corporate distribution) if the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6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determining whether any of the foregoing tests are satisfied, a U.S. holder takes into account not only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common stock which could be acquired pursuant to the exercise of the warrants. In order to meet the substantially disproportionate test, the percentage of our outstanding voting stock actually and constructively owned by the U.S. holder immediately following the redemption of common stock must, among other requirements, be less than 80% of the percentage of our outstanding voting stock actually and constructively owned by the U.S. holder immediately before the redemption.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shares of our stock (including any stock constructively owned by the U.S. holder as a result of owning warrants). The redemption of the common stock will not be essentially equivalent to a dividend with respect to a U.S. holder if the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a redemption.</w:t>
      </w:r>
    </w:p>
    <w:p>
      <w:pPr>
        <w:spacing w:after="0" w:line="3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none of the foregoing tests is satisfied, then the redemption will be treated as a corporate distribution and the tax effects will be as described under “U.S. Holders — Taxation of Distributions,” above. After the application of those rules, any remaining tax basis of the U.S. holder in the redeemed common stock will be added to the U.S. holder’s adjusted tax basis in its remaining shares, or, if it has none, to the U.S. holder’s adjusted tax basis in its warrants or possibly in other stock constructively owned by 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i w:val="1"/>
          <w:iCs w:val="1"/>
          <w:color w:val="auto"/>
        </w:rPr>
        <w:t>Exercise or Lapse of a Warrant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Except as discussed below with respect to the cashless exercise of a warrant, a U.S. holder generally will not recognize taxable gain or loss on the acquisition of common stock upon exercise of a warrant for cash. The U.S. holder’s tax basis in the share of our common stock received upon exercise of the warrant generally will be an amount equal to the sum of the U.S. holder’s initial investment in the warrant (i.e., the portion of the U.S. holder’s purchase price for the units that is allocated to the warrant, as described above under “— Allocation of Purchase Price and Characterization of a Unit”) and the exercise price of such warrant. It is unclear whether the U.S. holder’s holding period for the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tax-free situation, a U.S. holder’s tax basis in the common stock received generally should equal the holder’s tax basis in the warrants exercised therefor. If the cashless exercise were treated as not being a realization event (and not a recapitalization), it is unclear whether a U.S. holder’s holding period for the common stock would be treated as commencing on the date following the date of exercise or on the date of exercise of the warrant; in either case, the holding period would not include the period during which the U.S. holder held the warrants. If the cashless exercise were treated as a recapitalization, the holding period of the common stock would include the holding period of the warrants exercised therefor.</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It is also possible that a cashless exercise could be treated in part as a taxable exchange in which gain or loss would be recognized. In such event, a U.S. holder could be deemed to have surrendered a number of warrants having an aggregate fair market value equal to the exercise price for the total number of warrants to be exercised. The U.S. holder would recognize capital gain or loss in an amount equal to the difference between the fair market value of the common stock received in respect of the warrants deemed surrendered and the U.S. holder’s adjusted tax basis in such warrants. Such gain or loss would be long-term or short-term, depending on the U.S. holder’s holding period in the warrants deemed surrendered. In this case, a U.S. holder’s tax basis in the common stock received would equal the sum of the U.S. holder’s tax basis in the warrants exercised (i.e., the portion of the U.S. holder’s purchase price for the units that is allocated to the warrants, as described above under “— Allocation of Purchase Price and Characterization of a Unit”) and the exercise price of such warrants. It is unclear whether a U.S. holder’s holding period for the common stock would commence on the date following the date of exercise or on the date of exercise of the warrants; in either case, the holding period would not include the period during which the U.S. holder held the warrants.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Due to the absence of authority on the U.S. federal income tax treatment of a cashless exercise, including when a U.S. holder’s holding period would commence with respect to the common stock received,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If we redeem warrants for cash or if we purchase warrants in an open market transaction, such redemption or purchase generally will be treated as a taxable disposition to the U.S. holder, taxed as described above under “— Gain or Loss on Sale, Taxable Exchange or Other Taxable Disposition of Common Stock and Warrants.” The tax consequences of an exercise of a warrant occurring after our giving notice of an intention to redeem the warrant for $0.01 as described in the section of this prospectus entitled “Description of Securities — Redeemable Warrants — Public Warrants” are unclear under current law. In the case of a cashless exercise, the exercise may be treated either as if we redeemed such warrant for common stock or as an exercise of the warrant. If the cashless exercise of a warrant for common stock is treated as a redemption, then such redemption generally should be treated as a tax-deferred recapitalization for U.S. federal income tax purposes, in which case a U.S. holder should not recognize any gain or loss on such redemption, and accordingly, a U.S. holder’s basis in the common stock received should equal the U.S. holder’s basis in the warrant and the holding period of the shares of common stock would include the holding period of the warrant. If the cashless exercise of a warrant is treated as such, the tax consequences generally should be as described under the heading “U.S. Holders — Exercise, Lapse or Redemption of a Warrant.” In the case of an exercise of a warrant for cash, the tax treatment generally should be as described above under the heading “U.S. Holders — Exercise, Lapse or Redemption of a Warrant.” Due to the lack of clarity under current law regarding the treatment of an exercise of a warrant after our giving notice of an intention to redeem the warrant for $0.01, there can be no assurance as to which, if any, of the alternative tax consequences described above would be adopted by the IRS or a court of law. Accordingly, U.S. holders should consult their tax advisors regarding the tax consequences of the exercise of a warrant occurring after our giving notice of an intention to redeem the warrant as described above.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common stock for which the warrant may be exercised or to the exercise price of the warrant in certain events, as discussed in the section of this prospectus entitled “Description of Securities — Redeemable Warrants — Public Warrants.” An adjustment which has the effect of preventing dilution generally is not taxable. The U.S. holders of the warrants would, however, be treated as receiving a constructive distribution from us if, for example, the adjustment to the number of such shares or to such exercise price increases the warrant 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 taxable to the U.S. holders of such shares as a distribution (as described under “U.S. Holders — Taxation of Distributions” above). Such constructive distribution would be subject to tax as described under that section in the same manner as if the U.S. holders of the warrants received a cash distribution from us equal to the fair market value of such increased interest.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general, information reporting requirements may apply to dividends paid to a U.S. holder and to the proceeds of the sale or other disposition of our units, shares of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refund or a credit against a U.S. holder’s U.S. federal income tax liability provided the required information is timely furnished to the IRS. All U.S. holders should consult their tax advisors regarding the application of information reporting and backup withholding to them.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units, common stock or warrants who or that is for U.S. federal income tax purposes a non-resident alien individual (other than certain former citizens and residents of the United States subject to U.S. federal income tax as expatriates), a foreign corporation, or an estate or trust that is not a U.S. holder, but generally does not include an individual who is present in the United States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general, any distributions (including constructive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(and are not attributable to a U.S. permanent establishment under an applicable treaty),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“Non-U.S. Holders — Gain on Sale, Taxable Exchange or Other Taxable Disposition of Common Stock and Warrants” below. In addition, if we determine that we are likely to be classified as a “U.S. real property holding corporation” (see “Non-U.S. Holders — Gain on Sale, Taxable Exchange or Other Taxable Disposition of Common Stock and Warrants” below), we will withhold 15% of any distribution that exceeds our current and accumulated earnings and profits, including a distribution in redemption of shares of our common stock. See also “Non-U.S. Holders — Possible Constructive Distributions” for potential U.S. federal tax consequences with respect to constructive distributions.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withholding tax does not apply to dividends paid to a Non-U.S. holder who provides a Form W-8ECI, certifying that the dividends are effectively connected with such Non-U.S. holder’s conduct of a trade or business within the United States (or, if an income tax treaty applies, are attributable to a U.S. permanent establishment or fixed base maintained by the non-U.S. holder). Instead, the effectively connected dividends will generally be subject to regular U.S. federal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Taxable Exchange or Other Taxable Disposition of Common Stock and Warrants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Subject to the discussion of FATCA and backup withholding below, a Non-U.S. holder generally will not be subject to U.S. federal income or withholding tax in respect of gain recognized on a sale, taxable exchange or other taxable disposition of our common stock, which would include a dissolution and liquidation in the event we do not complete an initial business combination within the required period of time, or warrants (including an expiration or redemption of our warrants), in each case without regard to whether those securities were held as part of a unit, unless:</w:t>
      </w:r>
    </w:p>
    <w:p>
      <w:pPr>
        <w:spacing w:after="0" w:line="171" w:lineRule="exact"/>
        <w:rPr>
          <w:sz w:val="20"/>
          <w:szCs w:val="20"/>
          <w:color w:val="auto"/>
        </w:rPr>
      </w:pPr>
    </w:p>
    <w:p>
      <w:pPr>
        <w:ind w:left="800" w:hanging="441"/>
        <w:spacing w:after="0" w:line="308" w:lineRule="auto"/>
        <w:tabs>
          <w:tab w:leader="none" w:pos="8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146" w:lineRule="exact"/>
        <w:rPr>
          <w:rFonts w:ascii="Arial" w:cs="Arial" w:eastAsia="Arial" w:hAnsi="Arial"/>
          <w:sz w:val="17"/>
          <w:szCs w:val="17"/>
          <w:color w:val="auto"/>
        </w:rPr>
      </w:pPr>
    </w:p>
    <w:p>
      <w:pPr>
        <w:jc w:val="both"/>
        <w:ind w:left="800" w:hanging="441"/>
        <w:spacing w:after="0" w:line="273" w:lineRule="auto"/>
        <w:tabs>
          <w:tab w:leader="none" w:pos="8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(including through ownership of warrants),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Unless an applicable income tax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treaty rate).</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second bullet point above applies to a Non-U.S. holder, gain recognized by such holder on the sale, exchange or other disposition of our common stock or warrants will be subject to tax at generally applicable U.S. federal income tax rates. In addition, a buyer of our common stock or warrants from such holder may be required to withhold U.S. federal income tax at a rate of 15% of the amount realized upon such disposition. We cannot determine whether we will be a U.S. real property holding corporation in the future until we complete an initial business combination. We will be classified as a U.S. real property holding corporation if the fair market value of our “U.S. real property interests” equals or exceeds 50 percent of the sum of the fair market value of our worldwide real property interests plus our other assets used or held for use in a trade or business, as determined for U.S. federal income tax purposes.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i w:val="1"/>
          <w:iCs w:val="1"/>
          <w:color w:val="auto"/>
        </w:rPr>
        <w:t>Redemption of Common Stock</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characterization for U.S. federal income tax purposes of the redemption of a Non-U.S. holder’s common stock pursuant to the redemption provisions described in the section of this prospectus entitled “Description of Securities — Common Stock” generally will correspond to the U.S. federal income tax characterization of such a redemption of a U.S. holder’s common stock, as described under “U.S. Holders — Redemption of Common Stock” above, and the consequences of the redemption to the Non-U.S. holder will be as described above under “Non-U.S. Holders — Taxation of Distributions” and “Non-U.S. Holders — Gain on Sale, Taxable Exchange or Other Taxable Disposition of Common Stock and Warrants,” as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Lapse or Redemption of a Warrant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U.S. federal income tax treatment of a Non-U.S. holder’s exercise of a warrant, or the lapse of a warrant held by a Non-U.S. holder, generally will correspond to the U.S. federal income tax treatment of the exercise or lapse of a warrant by a U.S. holder, as described under “U.S. holders — Exercise, Lapse or Redemption of a Warrant” above, although to the extent a cashless exercise results in a taxable exchange, the consequences would be similar to those described above in “Non-U.S. Holders — Gain on Sale, Taxable Exchange or Other Taxable Disposition of Common Stock and Warrants.” The U.S. federal income tax treatment for a Non-U.S. holder of a redemption of warrants for common stock will correspond to the U.S. federal income tax treatment for a U.S. holder of a redemption of warrants for common stock, as described above in “U.S. Holders — Exercise, Lapse or Redemption of a Warrant.” The U.S. federal income tax treatment for a Non-U.S. holder of a redemption of warrants for cash (or if we purchase warrants in an open market transaction) would be similar to that described above in “Non-U.S. Holders — Gain on Sale, Taxable Exchange or Other Taxable Disposition of Common Stock and Warrants.”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common stock for which the warrant may be exercised or to the exercise price of the warrant in certain events, as discussed in the section of this prospectus entitled “Description of Securities — Redeemable Warrants — Public Warrants.” An adjustment which has the effect of preventing dilution generally is not taxable. Nevertheless, the Non-U.S. holders of the warrants would be treated as receiving a constructive distribution from us if, for example, the adjustment to the number of such shares or to such exercise price increases the warrant 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 taxable to the holders of such shares as a distribution (as described under “Non-U.S. Holders — Taxation of Distributions” above). Such constructive distribution would be subject to tax in the same manner as if the Non-U.S. holders of the warrants received a cash distribution from us equal to the fair market value of such increased interest resulting from the adjustment.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Information returns will be filed with the IRS in connection with payments of dividends and the proceeds from a sale or other disposition of our units, shares of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 All Non-U.S. holders should consult their tax advisors regarding the application of information reporting and backup withholding to them.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i w:val="1"/>
          <w:iCs w:val="1"/>
          <w:color w:val="auto"/>
        </w:rPr>
        <w:t>FATCA Withholding Taxes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Provisions commonly referred to as “FATCA” impose withholding of 30% on payments of dividends (including constructive dividends) on our common stock or warrants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The IRS has issued proposed regulations (on which taxpayers may rely until final regulations are issued) that would generally not apply these withholding requirements to gross proceeds from sales or other disposition proceeds from our securities.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advisers regarding the effects of FATCA on their investment in our securities.</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U.S. FEDERAL INCOME TAX DISCUSSION SET FORTH ABOVE IS INCLUDED FOR GENERAL INFORMATION ONLY AND MAY NOT BE APPLICABLE DEPENDING UPON A HOLDER’S PARTICULAR SITUATION. HOLDERS ARE URGED TO CONSULT THEIR OWN TAX ADVISORS WITH RESPECT TO THE TAX CONSEQUENCES TO THEM OF THE ACQUISITION, OWNERSHIP AND DISPOSITION OF OUR COMMON STOCK AND WARRANTS, INCLUDING THE TAX CONSEQUENCES UNDER STATE, LOCAL, ESTATE, NON-U.S. AND OTHER TAX LAWS AND TAX TREATIES AND THE POSSIBLE EFFECTS OF CHANGES IN U.S. OR OTHER TAX LAWS.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intend to offer our securities described in this prospectus through the underwriters named below. Chardan is the representative for the underwriters. We have entered into an underwriting agreement with the representative. Subject to the terms and conditions of the underwriting agreement, each of the underwriters has severally agreed to purchase from us the number of units listed next to its name in the following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180"/>
              <w:spacing w:after="0"/>
              <w:rPr>
                <w:sz w:val="20"/>
                <w:szCs w:val="20"/>
                <w:color w:val="auto"/>
              </w:rPr>
            </w:pPr>
            <w:r>
              <w:rPr>
                <w:rFonts w:ascii="Arial" w:cs="Arial" w:eastAsia="Arial" w:hAnsi="Arial"/>
                <w:sz w:val="18"/>
                <w:szCs w:val="18"/>
                <w:b w:val="1"/>
                <w:bCs w:val="1"/>
                <w:color w:val="auto"/>
              </w:rPr>
              <w:t>Number of</w:t>
            </w:r>
          </w:p>
        </w:tc>
      </w:tr>
      <w:tr>
        <w:trPr>
          <w:trHeight w:val="234"/>
        </w:trPr>
        <w:tc>
          <w:tcPr>
            <w:tcW w:w="9900" w:type="dxa"/>
            <w:vAlign w:val="bottom"/>
            <w:gridSpan w:val="2"/>
          </w:tcPr>
          <w:p>
            <w:pPr>
              <w:ind w:left="4420"/>
              <w:spacing w:after="0"/>
              <w:rPr>
                <w:sz w:val="20"/>
                <w:szCs w:val="20"/>
                <w:color w:val="auto"/>
              </w:rPr>
            </w:pPr>
            <w:r>
              <w:rPr>
                <w:rFonts w:ascii="Arial" w:cs="Arial" w:eastAsia="Arial" w:hAnsi="Arial"/>
                <w:sz w:val="18"/>
                <w:szCs w:val="18"/>
                <w:b w:val="1"/>
                <w:bCs w:val="1"/>
                <w:color w:val="auto"/>
              </w:rPr>
              <w:t>Underwriter</w:t>
            </w:r>
          </w:p>
        </w:tc>
        <w:tc>
          <w:tcPr>
            <w:tcW w:w="1340" w:type="dxa"/>
            <w:vAlign w:val="bottom"/>
            <w:gridSpan w:val="3"/>
          </w:tcPr>
          <w:p>
            <w:pPr>
              <w:ind w:left="420"/>
              <w:spacing w:after="0"/>
              <w:rPr>
                <w:sz w:val="20"/>
                <w:szCs w:val="20"/>
                <w:color w:val="auto"/>
              </w:rPr>
            </w:pPr>
            <w:r>
              <w:rPr>
                <w:rFonts w:ascii="Arial" w:cs="Arial" w:eastAsia="Arial" w:hAnsi="Arial"/>
                <w:sz w:val="18"/>
                <w:szCs w:val="18"/>
                <w:b w:val="1"/>
                <w:bCs w:val="1"/>
                <w:color w:val="auto"/>
              </w:rPr>
              <w:t>Units</w:t>
            </w:r>
          </w:p>
        </w:tc>
      </w:tr>
      <w:tr>
        <w:trPr>
          <w:trHeight w:val="209"/>
        </w:trPr>
        <w:tc>
          <w:tcPr>
            <w:tcW w:w="9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Chardan Capital Markets, LLC</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9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8"/>
              </w:rPr>
              <w:t>10,000,000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underwriting agreement has been filed as an exhibit to the registration statement of which this prospectus forms a part.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our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applied to list our units, common stock and warrants on Nasdaq under the symbols “CNTQU,” “CNTQ” and “CNTQW,” respectively. We expect that our units will be listed on Nasdaq on or promptly after the effective date of the registration statement. Following the date the shares of our common stock and warrants are eligible to trade separately, we anticipate that the shares of our common stock and warrants will be listed separately and as a unit on Nasdaq.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granted the underwriters an option to buy up to 1,500,000 additional units. The underwriters may exercise this option solely for the purpose of covering over-allotments, if any, made in connection with this offering. The underwriters have 45 days from the date of this prospectus to exercise this option. If the underwriters exercise this option, they will each purchase additional units approximately in proportion to the amounts specified in the table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Units sold by the underwriters to the public will initially be offered at the offering price set forth on the cover of this prospectus. The underwriters will be entitled to a cash underwriting discount of $500,000. The aggregate amount of the fee paid to the underwriters will remain constant at $500,000, even if the over-allotment option is exercised. B. Riley Securities, Inc. will receive $100,000 from the total underwriting discount for acting as a qualified</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independent underwriter. Any units sold by the underwriters to securities dealers may be sold at a discount of up to $ per unit from the public offering price. Any of these securities dealers may resell any units purchased from the underwriters to other brokers or dealers at a discount of up to</w:t>
      </w:r>
    </w:p>
    <w:p>
      <w:pPr>
        <w:jc w:val="both"/>
        <w:ind w:firstLine="8"/>
        <w:spacing w:after="0" w:line="253" w:lineRule="auto"/>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 unit from the public offering price. If all of the units are not sold at the initial public offering price, the representative may change the offering price and the other selling terms. Upon execution of the underwriting agreement, the underwriters will be obligated to purchase the units at the prices and upon the terms stated therein, and, as a result, will thereafter bear any risk associated with changing the offering price to the public or other selling terms.</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shows the per unit and total underwriting discounts and commissions we will pay to the underwriters assuming both no exercise and full exercise of the underwriters’ over-allotment option to purchase up to an additional 1,500,000 units.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Without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With</w:t>
            </w:r>
          </w:p>
        </w:tc>
        <w:tc>
          <w:tcPr>
            <w:tcW w:w="0" w:type="dxa"/>
            <w:vAlign w:val="bottom"/>
          </w:tcPr>
          <w:p>
            <w:pPr>
              <w:spacing w:after="0"/>
              <w:rPr>
                <w:sz w:val="1"/>
                <w:szCs w:val="1"/>
                <w:color w:val="auto"/>
              </w:rPr>
            </w:pPr>
          </w:p>
        </w:tc>
      </w:tr>
      <w:tr>
        <w:trPr>
          <w:trHeight w:val="234"/>
        </w:trPr>
        <w:tc>
          <w:tcPr>
            <w:tcW w:w="6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11"/>
              <w:spacing w:after="0"/>
              <w:rPr>
                <w:sz w:val="20"/>
                <w:szCs w:val="20"/>
                <w:color w:val="auto"/>
              </w:rPr>
            </w:pPr>
            <w:r>
              <w:rPr>
                <w:rFonts w:ascii="Arial" w:cs="Arial" w:eastAsia="Arial" w:hAnsi="Arial"/>
                <w:sz w:val="18"/>
                <w:szCs w:val="18"/>
                <w:b w:val="1"/>
                <w:bCs w:val="1"/>
                <w:color w:val="auto"/>
              </w:rPr>
              <w:t>Per Unit</w:t>
            </w:r>
          </w:p>
        </w:tc>
        <w:tc>
          <w:tcPr>
            <w:tcW w:w="280" w:type="dxa"/>
            <w:vAlign w:val="bottom"/>
          </w:tcPr>
          <w:p>
            <w:pPr>
              <w:spacing w:after="0"/>
              <w:rPr>
                <w:sz w:val="20"/>
                <w:szCs w:val="20"/>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2"/>
              </w:rPr>
              <w:t>Over-allotment</w:t>
            </w:r>
          </w:p>
        </w:tc>
        <w:tc>
          <w:tcPr>
            <w:tcW w:w="10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Over-allotment</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115,000,000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940" w:type="dxa"/>
            <w:vAlign w:val="bottom"/>
          </w:tcPr>
          <w:p>
            <w:pPr>
              <w:spacing w:after="0" w:line="149" w:lineRule="exact"/>
              <w:rPr>
                <w:sz w:val="20"/>
                <w:szCs w:val="20"/>
                <w:color w:val="auto"/>
              </w:rPr>
            </w:pPr>
            <w:r>
              <w:rPr>
                <w:rFonts w:ascii="Arial" w:cs="Arial" w:eastAsia="Arial" w:hAnsi="Arial"/>
                <w:sz w:val="17"/>
                <w:szCs w:val="17"/>
                <w:color w:val="auto"/>
              </w:rPr>
              <w:t>Discount and qualified independent underwriter fees</w:t>
            </w:r>
          </w:p>
        </w:tc>
        <w:tc>
          <w:tcPr>
            <w:tcW w:w="200" w:type="dxa"/>
            <w:vAlign w:val="bottom"/>
          </w:tcPr>
          <w:p>
            <w:pPr>
              <w:jc w:val="right"/>
              <w:ind w:right="12"/>
              <w:spacing w:after="0" w:line="149" w:lineRule="exact"/>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line="149" w:lineRule="exact"/>
              <w:rPr>
                <w:sz w:val="20"/>
                <w:szCs w:val="20"/>
                <w:color w:val="auto"/>
              </w:rPr>
            </w:pPr>
            <w:r>
              <w:rPr>
                <w:rFonts w:ascii="Arial" w:cs="Arial" w:eastAsia="Arial" w:hAnsi="Arial"/>
                <w:sz w:val="17"/>
                <w:szCs w:val="17"/>
                <w:color w:val="auto"/>
              </w:rPr>
              <w:t>0.005</w:t>
            </w:r>
          </w:p>
        </w:tc>
        <w:tc>
          <w:tcPr>
            <w:tcW w:w="280" w:type="dxa"/>
            <w:vAlign w:val="bottom"/>
            <w:vMerge w:val="restart"/>
          </w:tcPr>
          <w:p>
            <w:pPr>
              <w:jc w:val="right"/>
              <w:ind w:right="25"/>
              <w:spacing w:after="0"/>
              <w:rPr>
                <w:sz w:val="20"/>
                <w:szCs w:val="20"/>
                <w:color w:val="auto"/>
              </w:rPr>
            </w:pPr>
            <w:r>
              <w:rPr>
                <w:rFonts w:ascii="Arial" w:cs="Arial" w:eastAsia="Arial" w:hAnsi="Arial"/>
                <w:sz w:val="15"/>
                <w:szCs w:val="15"/>
                <w:color w:val="auto"/>
                <w:w w:val="87"/>
              </w:rPr>
              <w:t>(1)</w:t>
            </w:r>
          </w:p>
        </w:tc>
        <w:tc>
          <w:tcPr>
            <w:tcW w:w="180" w:type="dxa"/>
            <w:vAlign w:val="bottom"/>
          </w:tcPr>
          <w:p>
            <w:pPr>
              <w:jc w:val="right"/>
              <w:ind w:right="23"/>
              <w:spacing w:after="0" w:line="149" w:lineRule="exact"/>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7"/>
                <w:szCs w:val="17"/>
                <w:color w:val="auto"/>
              </w:rPr>
              <w:t>500,000</w:t>
            </w:r>
          </w:p>
        </w:tc>
        <w:tc>
          <w:tcPr>
            <w:tcW w:w="320" w:type="dxa"/>
            <w:vAlign w:val="bottom"/>
            <w:gridSpan w:val="2"/>
          </w:tcPr>
          <w:p>
            <w:pPr>
              <w:jc w:val="right"/>
              <w:ind w:right="30"/>
              <w:spacing w:after="0" w:line="149"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7"/>
                <w:szCs w:val="17"/>
                <w:color w:val="auto"/>
              </w:rPr>
              <w:t>500,000</w:t>
            </w:r>
          </w:p>
        </w:tc>
        <w:tc>
          <w:tcPr>
            <w:tcW w:w="0" w:type="dxa"/>
            <w:vAlign w:val="bottom"/>
          </w:tcPr>
          <w:p>
            <w:pPr>
              <w:spacing w:after="0"/>
              <w:rPr>
                <w:sz w:val="1"/>
                <w:szCs w:val="1"/>
                <w:color w:val="auto"/>
              </w:rPr>
            </w:pPr>
          </w:p>
        </w:tc>
      </w:tr>
      <w:tr>
        <w:trPr>
          <w:trHeight w:val="44"/>
        </w:trPr>
        <w:tc>
          <w:tcPr>
            <w:tcW w:w="6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Proceeds before expenses</w:t>
            </w:r>
            <w:r>
              <w:rPr>
                <w:rFonts w:ascii="Arial" w:cs="Arial" w:eastAsia="Arial" w:hAnsi="Arial"/>
                <w:sz w:val="29"/>
                <w:szCs w:val="29"/>
                <w:color w:val="auto"/>
                <w:vertAlign w:val="superscript"/>
              </w:rPr>
              <w:t>(2)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w:t>
            </w:r>
          </w:p>
        </w:tc>
        <w:tc>
          <w:tcPr>
            <w:tcW w:w="28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99,500,000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114,500,000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9" w:lineRule="exact"/>
        <w:rPr>
          <w:sz w:val="20"/>
          <w:szCs w:val="20"/>
          <w:color w:val="auto"/>
        </w:rPr>
      </w:pPr>
    </w:p>
    <w:p>
      <w:pPr>
        <w:ind w:left="340" w:hanging="332"/>
        <w:spacing w:after="0" w:line="258"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aggregate amount of the fee paid to the underwriters (including the amount payable to the qualified independent underwriter) remains constant at $500,000, even if the over-allotment option is exercised.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offering expenses are estimated at $575,000.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Pricing of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been advised by the representative that the underwriters propose to offer the units to the public at the offering price set forth on the cover page of this prospectus.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representative. Factors considered in determining the prices and terms of the units, including the shares of common stock and warrants underlying the units, include:</w:t>
      </w:r>
    </w:p>
    <w:p>
      <w:pPr>
        <w:spacing w:after="0" w:line="184" w:lineRule="exact"/>
        <w:rPr>
          <w:sz w:val="20"/>
          <w:szCs w:val="20"/>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per share amount of net proceeds being placed into the trust account;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Restrictions on Purchase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Rules of the SEC may limit the ability of the underwriters to bid for or purchase our units before the distribution of the units is completed.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However, the underwriters may engage in the following activities in accordance with the rules:</w:t>
      </w:r>
    </w:p>
    <w:p>
      <w:pPr>
        <w:spacing w:after="0" w:line="207" w:lineRule="exact"/>
        <w:rPr>
          <w:sz w:val="20"/>
          <w:szCs w:val="20"/>
          <w:color w:val="auto"/>
        </w:rPr>
      </w:pPr>
    </w:p>
    <w:p>
      <w:pPr>
        <w:ind w:left="980" w:hanging="324"/>
        <w:spacing w:after="0" w:line="347" w:lineRule="auto"/>
        <w:tabs>
          <w:tab w:leader="none" w:pos="98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Stabilizing Transactions</w:t>
      </w:r>
      <w:r>
        <w:rPr>
          <w:rFonts w:ascii="Arial" w:cs="Arial" w:eastAsia="Arial" w:hAnsi="Arial"/>
          <w:sz w:val="16"/>
          <w:szCs w:val="16"/>
          <w:color w:val="auto"/>
        </w:rPr>
        <w:t>. The underwriters may make bids or purchases for the purpose of preventing or retarding a decline in the price of</w:t>
      </w:r>
      <w:r>
        <w:rPr>
          <w:rFonts w:ascii="Arial" w:cs="Arial" w:eastAsia="Arial" w:hAnsi="Arial"/>
          <w:sz w:val="16"/>
          <w:szCs w:val="16"/>
          <w:b w:val="1"/>
          <w:bCs w:val="1"/>
          <w:color w:val="auto"/>
        </w:rPr>
        <w:t xml:space="preserve"> </w:t>
      </w:r>
      <w:r>
        <w:rPr>
          <w:rFonts w:ascii="Arial" w:cs="Arial" w:eastAsia="Arial" w:hAnsi="Arial"/>
          <w:sz w:val="16"/>
          <w:szCs w:val="16"/>
          <w:color w:val="auto"/>
        </w:rPr>
        <w:t>our units, as long as stabilizing bids do not exceed the offering price of $10.00 and the underwriters comply with all other applicable rules.</w:t>
      </w:r>
    </w:p>
    <w:p>
      <w:pPr>
        <w:spacing w:after="0" w:line="115" w:lineRule="exact"/>
        <w:rPr>
          <w:rFonts w:ascii="Arial" w:cs="Arial" w:eastAsia="Arial" w:hAnsi="Arial"/>
          <w:sz w:val="16"/>
          <w:szCs w:val="16"/>
          <w:color w:val="auto"/>
        </w:rPr>
      </w:pPr>
    </w:p>
    <w:p>
      <w:pPr>
        <w:jc w:val="both"/>
        <w:ind w:left="980" w:hanging="324"/>
        <w:spacing w:after="0" w:line="288" w:lineRule="auto"/>
        <w:tabs>
          <w:tab w:leader="none" w:pos="98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Over-Allotments and Syndicate Coverage Transactions</w:t>
      </w:r>
      <w:r>
        <w:rPr>
          <w:rFonts w:ascii="Arial" w:cs="Arial" w:eastAsia="Arial" w:hAnsi="Arial"/>
          <w:sz w:val="16"/>
          <w:szCs w:val="16"/>
          <w:color w:val="auto"/>
        </w:rPr>
        <w:t>. The underwriters may create a short position in our units by selling more of our</w:t>
      </w:r>
      <w:r>
        <w:rPr>
          <w:rFonts w:ascii="Arial" w:cs="Arial" w:eastAsia="Arial" w:hAnsi="Arial"/>
          <w:sz w:val="16"/>
          <w:szCs w:val="16"/>
          <w:b w:val="1"/>
          <w:bCs w:val="1"/>
          <w:color w:val="auto"/>
        </w:rPr>
        <w:t xml:space="preserve"> </w:t>
      </w:r>
      <w:r>
        <w:rPr>
          <w:rFonts w:ascii="Arial" w:cs="Arial" w:eastAsia="Arial" w:hAnsi="Arial"/>
          <w:sz w:val="16"/>
          <w:szCs w:val="16"/>
          <w:color w:val="auto"/>
        </w:rPr>
        <w:t>units than are set forth on the cover page of this prospectus up to the amount of the over-allotment option. This is known as a covered short position. The underwriters may also create a short position in our units by selling more of our units than are set forth on the cover page of this prospectus and the units allowed by the over-allotment option. This is known as a naked short position. If the underwriters create a short position during the offering, the representative may engage in syndicate covering transactions by purchasing our units in the open market. The representative may also elect to reduce any short position by exercising all or part of the over-allotment option. Determining what method to use in reducing the short position depends on how the units trade in the aftermarket following the offering. If the unit price drops following the offering, the short position is usually covered with shares purchased by the underwriters in the aftermarket. However, the underwriters may cover a short position by exercising the over-allotment option even if the unit price drops following the offering. If the unit price rises after the offering, then the over-allotment option is used to cover the short position. If the short position is more than the over-allotment option, the naked short must be covered by purchases in the aftermarket, which could be at prices above the offering price.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ind w:left="980" w:hanging="324"/>
        <w:spacing w:after="0" w:line="282"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Penalty Bids</w:t>
      </w:r>
      <w:r>
        <w:rPr>
          <w:rFonts w:ascii="Arial" w:cs="Arial" w:eastAsia="Arial" w:hAnsi="Arial"/>
          <w:sz w:val="18"/>
          <w:szCs w:val="18"/>
          <w:color w:val="auto"/>
        </w:rPr>
        <w:t>. The representative may reclaim a selling concession from a syndicate member when the units originally sold by the syndicate</w:t>
      </w:r>
      <w:r>
        <w:rPr>
          <w:rFonts w:ascii="Arial" w:cs="Arial" w:eastAsia="Arial" w:hAnsi="Arial"/>
          <w:sz w:val="18"/>
          <w:szCs w:val="18"/>
          <w:b w:val="1"/>
          <w:bCs w:val="1"/>
          <w:color w:val="auto"/>
        </w:rPr>
        <w:t xml:space="preserve"> </w:t>
      </w:r>
      <w:r>
        <w:rPr>
          <w:rFonts w:ascii="Arial" w:cs="Arial" w:eastAsia="Arial" w:hAnsi="Arial"/>
          <w:sz w:val="18"/>
          <w:szCs w:val="18"/>
          <w:color w:val="auto"/>
        </w:rPr>
        <w:t>member are purchased in a stabilizing or syndicate covering transaction to cover syndicate short positions.</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Stabilization and syndicate covering transactions may cause the price of our securities to be higher than they would be in the absence of these transactions. The imposition of a penalty bid might also have an effect on the prices of our securities if it discourages resales of our securities.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been advised by the representative of the underwriters that it does not intend to make a market in our public units.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Neither we nor the underwriters make any representation or prediction as to the effect that the transactions described above may have on the price of our securities. These transactions may occur on the Nasdaq, in the over-the-counter market or on any trading market. If any of these transactions are commenced, they may be discontinued without notice at any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Chardan NexTech 2 Warrant Holdings LLC, an affiliate of our sponsor, has committed, pursuant to a written agreement, to purchase an aggregate of 4,200,000 (or up to 4,385,185 depending on the extent to which the underwriters’ over-allotment option is exercised) warrants at a price of $0.81 per warrant ($3,402,000 (or up to $3,552,000 depending on the extent to which the underwriters’ over-allotment option is exercised)) in a private placement that will occur simultaneously with the closing of this offering. The private warrants have terms and provisions that are identical to the public warrants sold in this offering except as described under “</w:t>
      </w:r>
      <w:r>
        <w:rPr>
          <w:rFonts w:ascii="Arial" w:cs="Arial" w:eastAsia="Arial" w:hAnsi="Arial"/>
          <w:sz w:val="17"/>
          <w:szCs w:val="17"/>
          <w:i w:val="1"/>
          <w:iCs w:val="1"/>
          <w:color w:val="auto"/>
        </w:rPr>
        <w:t>Description of Securities — Redeemable Warrants — Private Warrants</w:t>
      </w:r>
      <w:r>
        <w:rPr>
          <w:rFonts w:ascii="Arial" w:cs="Arial" w:eastAsia="Arial" w:hAnsi="Arial"/>
          <w:sz w:val="17"/>
          <w:szCs w:val="17"/>
          <w:color w:val="auto"/>
        </w:rPr>
        <w:t>.” The private warrants will be considered underwriting compensation in connection with this offering. Such private warrants will be subject to lock-up restrictions, as required by FINRA Rule 5110(e)(1) and may not be sold during the offering, or sold, transferred, assigned, pledged, or hypothecated, or be the subject of any hedging, short sale, derivative, put, or call transaction that would result in the effective economic disposition of such securities by any person for a period of 180 days immediately following the date of effectiveness of the registration statement of which this prospectus forms a part or commencement of sales of the offering, except as provided in FINRA Rule 5110(e)(2). We have granted our sponsor the registration rights as described under the section “</w:t>
      </w:r>
      <w:r>
        <w:rPr>
          <w:rFonts w:ascii="Arial" w:cs="Arial" w:eastAsia="Arial" w:hAnsi="Arial"/>
          <w:sz w:val="17"/>
          <w:szCs w:val="17"/>
          <w:i w:val="1"/>
          <w:iCs w:val="1"/>
          <w:color w:val="auto"/>
        </w:rPr>
        <w:t>Description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our </w:t>
      </w:r>
      <w:r>
        <w:rPr>
          <w:rFonts w:ascii="Arial" w:cs="Arial" w:eastAsia="Arial" w:hAnsi="Arial"/>
          <w:sz w:val="17"/>
          <w:szCs w:val="17"/>
          <w:color w:val="auto"/>
        </w:rPr>
        <w:t>Securities —</w:t>
      </w:r>
      <w:r>
        <w:rPr>
          <w:rFonts w:ascii="Arial" w:cs="Arial" w:eastAsia="Arial" w:hAnsi="Arial"/>
          <w:sz w:val="17"/>
          <w:szCs w:val="17"/>
          <w:i w:val="1"/>
          <w:iCs w:val="1"/>
          <w:color w:val="auto"/>
        </w:rPr>
        <w:t xml:space="preserve"> Registration Rights</w:t>
      </w:r>
      <w:r>
        <w:rPr>
          <w:rFonts w:ascii="Arial" w:cs="Arial" w:eastAsia="Arial" w:hAnsi="Arial"/>
          <w:sz w:val="17"/>
          <w:szCs w:val="17"/>
          <w:color w:val="auto"/>
        </w:rPr>
        <w:t>.” The demand and piggyback registration rights being granted to our sponsor are subject to FINRA Rule 5110(g) and</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in compliance with FINRA Rule 5110.05.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engaged Chardan as an advisor in connection with our business combination to assist us in holding meetings with our stockholders to discuss the potential business combination and the target business’ attributes, introduce us to potential investors that are interested in purchasing our securities, assist us in obtaining stockholder approval for the business combination and assist us with our press releases and public filings in connection with the business combination.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sponsor is an affiliate of Chardan, the representative of the underwriters in this offering, and certain of our officers and directors are affiliated with Chardan. As a result, Chardan is deemed to have a “conflict of interest” within the meaning of FINRA Rule 5121.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6" w:name="page157"/>
    <w:bookmarkEnd w:id="156"/>
    <w:p>
      <w:pPr>
        <w:jc w:val="both"/>
        <w:ind w:firstLine="648"/>
        <w:spacing w:after="0" w:line="254" w:lineRule="auto"/>
        <w:rPr>
          <w:sz w:val="20"/>
          <w:szCs w:val="20"/>
          <w:color w:val="auto"/>
        </w:rPr>
      </w:pPr>
      <w:r>
        <w:rPr>
          <w:rFonts w:ascii="Arial" w:cs="Arial" w:eastAsia="Arial" w:hAnsi="Arial"/>
          <w:sz w:val="18"/>
          <w:szCs w:val="18"/>
          <w:color w:val="auto"/>
        </w:rPr>
        <w:t>Accordingly, this offering is being made in compliance with the applicable requirements of Rule 5121. Rule 5121 requires that a “qualified independent underwriter,” as defined in Rule 5121, participate in the preparation of the registration statement and prospectus and exercise the usual standards of due diligence with respect thereto. B. Riley Securities, Inc. has agreed to act as a “qualified independent underwriter” for this offering. B. Riley Securities, Inc. will receive $100,000 from the total underwriting discount for acting as a qualified independent underwriter. We have agreed to indemnify B. Riley Securities, Inc. against certain liabilities incurred in connection with acting as a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Terms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Except as set forth above, we are not under any contractual obligation to engage any of the underwriters to provide any services for us after this offering, and have no present intent to do so. However, any of the underwriters may, among other things, introduce us to potential target businesses or assist us in raising additional capital, as needs may arise in the future. If any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which is 90 days after the date of this prospectus, unless FINRA determines that such payment would not be deemed underwriter’s compensation in connection with this offering.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agreed to indemnify the underwriters against some liabilities, including civil liabilities under the Securities Act, or to contribute to payments the underwriters may be required to make in this respect.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Restrictions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 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Canadian purchaser will be required to represent to us and the dealer from whom the purchase confirmation is received that:</w:t>
      </w:r>
    </w:p>
    <w:p>
      <w:pPr>
        <w:spacing w:after="0" w:line="225" w:lineRule="exact"/>
        <w:rPr>
          <w:sz w:val="20"/>
          <w:szCs w:val="20"/>
          <w:color w:val="auto"/>
        </w:rPr>
      </w:pPr>
    </w:p>
    <w:p>
      <w:pPr>
        <w:ind w:left="980" w:hanging="324"/>
        <w:spacing w:after="0" w:line="277"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our securities without the benefit of a prospectus qualified under those securities laws;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purchaser acknowledges and consents to the provision of specified information concerning its purchase of our securities to the regulatory authority that by law is entitled to collect the information.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i w:val="1"/>
          <w:iCs w:val="1"/>
          <w:color w:val="auto"/>
        </w:rPr>
        <w:t>Rights of Action — Ontario Purchasers Only</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of Personal Information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 Suite 1903, Box 5520, Queen Street West, Toronto, Ontario, M5H 3S8, Telephone: (416) 593-8086, Facsimile: (416) 593-8252.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Reed Smith LLP, is acting as United States counsel in connection with the registration of the offer and sale of our securities under the Securities Act and will pass on the validity of the securities offered in the prospectus. Greenberg Traurig, LLP, is acting as counsel for the underwriters in this offering.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financial statements of Chardan NexTech Acquisition 2 Corp. as of December 31, 2020, and for the period from June 23, 2020 (inception) through December 31, 2020,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We have filed with the SEC a registration statement on Form S-1, which includes exhibits, schedules and amendments, under the Securities Act, with respect to this offering of our securities. Although this prospectus, which forms a part of the registration statement, contains all material information included in the registration statement, parts of the registration statement have been omitted as permitted by rules and regulations of the SEC. We refer you to the registration statement and its exhibits for further information about us, our securities and this offering. The registration statement and its exhibits, as well as our other reports filed with the SEC, can be inspected and copied at the SEC’s public reference room at 100 F Street, N.E., Washington, D.C. 20549. The public may obtain information about the operation of the public reference room by calling the SEC at 1-800-SEC-0330. In addition, the SEC maintains a web site at </w:t>
      </w:r>
      <w:r>
        <w:rPr>
          <w:rFonts w:ascii="Arial" w:cs="Arial" w:eastAsia="Arial" w:hAnsi="Arial"/>
          <w:sz w:val="17"/>
          <w:szCs w:val="17"/>
          <w:i w:val="1"/>
          <w:iCs w:val="1"/>
          <w:color w:val="auto"/>
        </w:rPr>
        <w:t>http://www.sec.gov</w:t>
      </w:r>
      <w:r>
        <w:rPr>
          <w:rFonts w:ascii="Arial" w:cs="Arial" w:eastAsia="Arial" w:hAnsi="Arial"/>
          <w:sz w:val="17"/>
          <w:szCs w:val="17"/>
          <w:color w:val="auto"/>
        </w:rPr>
        <w:t xml:space="preserve"> which contains the Form S-1 and other reports, proxy and information statements and information regarding issuers that file electronically with the SEC.</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20" w:type="dxa"/>
            <w:vAlign w:val="bottom"/>
            <w:gridSpan w:val="9"/>
            <w:shd w:val="clear" w:color="auto" w:fill="CCEEFF"/>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Report of Independent Registered Public Accounting Firm</w:t>
              </w:r>
            </w:hyperlink>
          </w:p>
        </w:tc>
        <w:tc>
          <w:tcPr>
            <w:tcW w:w="1520" w:type="dxa"/>
            <w:vAlign w:val="bottom"/>
            <w:gridSpan w:val="4"/>
            <w:shd w:val="clear" w:color="auto" w:fill="CCEEFF"/>
          </w:tcPr>
          <w:p>
            <w:pPr>
              <w:jc w:val="center"/>
              <w:ind w:right="720"/>
              <w:spacing w:after="0"/>
              <w:rPr>
                <w:rFonts w:ascii="Arial" w:cs="Arial" w:eastAsia="Arial" w:hAnsi="Arial"/>
                <w:sz w:val="18"/>
                <w:szCs w:val="18"/>
                <w:color w:val="0000EE"/>
                <w:w w:val="88"/>
              </w:rPr>
            </w:pPr>
            <w:hyperlink w:anchor="page161">
              <w:r>
                <w:rPr>
                  <w:rFonts w:ascii="Arial" w:cs="Arial" w:eastAsia="Arial" w:hAnsi="Arial"/>
                  <w:sz w:val="18"/>
                  <w:szCs w:val="18"/>
                  <w:color w:val="0000EE"/>
                  <w:w w:val="88"/>
                </w:rPr>
                <w:t>F-2</w:t>
              </w:r>
            </w:hyperlink>
          </w:p>
        </w:tc>
      </w:tr>
      <w:tr>
        <w:trPr>
          <w:trHeight w:val="20"/>
        </w:trPr>
        <w:tc>
          <w:tcPr>
            <w:tcW w:w="2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720" w:type="dxa"/>
            <w:vAlign w:val="bottom"/>
            <w:gridSpan w:val="9"/>
          </w:tcPr>
          <w:p>
            <w:pPr>
              <w:spacing w:after="0" w:line="176" w:lineRule="exact"/>
              <w:rPr>
                <w:rFonts w:ascii="Arial" w:cs="Arial" w:eastAsia="Arial" w:hAnsi="Arial"/>
                <w:sz w:val="18"/>
                <w:szCs w:val="18"/>
                <w:color w:val="0000EE"/>
              </w:rPr>
            </w:pPr>
            <w:hyperlink w:anchor="page162">
              <w:r>
                <w:rPr>
                  <w:rFonts w:ascii="Arial" w:cs="Arial" w:eastAsia="Arial" w:hAnsi="Arial"/>
                  <w:sz w:val="18"/>
                  <w:szCs w:val="18"/>
                  <w:color w:val="0000EE"/>
                </w:rPr>
                <w:t>Balance Sheets as of March 31, 2021 (unaudited) and December 31, 2020</w:t>
              </w:r>
            </w:hyperlink>
          </w:p>
        </w:tc>
        <w:tc>
          <w:tcPr>
            <w:tcW w:w="1520" w:type="dxa"/>
            <w:vAlign w:val="bottom"/>
            <w:gridSpan w:val="4"/>
          </w:tcPr>
          <w:p>
            <w:pPr>
              <w:jc w:val="center"/>
              <w:ind w:right="720"/>
              <w:spacing w:after="0" w:line="176" w:lineRule="exact"/>
              <w:rPr>
                <w:rFonts w:ascii="Arial" w:cs="Arial" w:eastAsia="Arial" w:hAnsi="Arial"/>
                <w:sz w:val="18"/>
                <w:szCs w:val="18"/>
                <w:color w:val="0000EE"/>
                <w:w w:val="88"/>
              </w:rPr>
            </w:pPr>
            <w:hyperlink w:anchor="page162">
              <w:r>
                <w:rPr>
                  <w:rFonts w:ascii="Arial" w:cs="Arial" w:eastAsia="Arial" w:hAnsi="Arial"/>
                  <w:sz w:val="18"/>
                  <w:szCs w:val="18"/>
                  <w:color w:val="0000EE"/>
                  <w:w w:val="88"/>
                </w:rPr>
                <w:t>F-3</w:t>
              </w:r>
            </w:hyperlink>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75"/>
        </w:trPr>
        <w:tc>
          <w:tcPr>
            <w:tcW w:w="86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0"/>
              </w:rPr>
            </w:pPr>
            <w:hyperlink w:anchor="page163">
              <w:r>
                <w:rPr>
                  <w:rFonts w:ascii="Arial" w:cs="Arial" w:eastAsia="Arial" w:hAnsi="Arial"/>
                  <w:sz w:val="18"/>
                  <w:szCs w:val="18"/>
                  <w:color w:val="0000EE"/>
                  <w:w w:val="90"/>
                </w:rPr>
                <w:t>Statements of Operations for the three months ended March 31, 2021 (unaudited) and for the period from June 23, 2020</w:t>
              </w:r>
            </w:hyperlink>
          </w:p>
        </w:tc>
        <w:tc>
          <w:tcPr>
            <w:tcW w:w="1080" w:type="dxa"/>
            <w:vAlign w:val="bottom"/>
            <w:tcBorders>
              <w:bottom w:val="single" w:sz="8" w:color="CCEEFF"/>
            </w:tcBorders>
            <w:gridSpan w:val="2"/>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r>
      <w:tr>
        <w:trPr>
          <w:trHeight w:val="196"/>
        </w:trPr>
        <w:tc>
          <w:tcPr>
            <w:tcW w:w="9720" w:type="dxa"/>
            <w:vAlign w:val="bottom"/>
            <w:gridSpan w:val="9"/>
            <w:shd w:val="clear" w:color="auto" w:fill="CCEEFF"/>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(inception) through December 31, 2020</w:t>
              </w:r>
            </w:hyperlink>
          </w:p>
        </w:tc>
        <w:tc>
          <w:tcPr>
            <w:tcW w:w="1520" w:type="dxa"/>
            <w:vAlign w:val="bottom"/>
            <w:gridSpan w:val="4"/>
            <w:shd w:val="clear" w:color="auto" w:fill="CCEEFF"/>
          </w:tcPr>
          <w:p>
            <w:pPr>
              <w:jc w:val="center"/>
              <w:ind w:right="720"/>
              <w:spacing w:after="0" w:line="196" w:lineRule="exact"/>
              <w:rPr>
                <w:rFonts w:ascii="Arial" w:cs="Arial" w:eastAsia="Arial" w:hAnsi="Arial"/>
                <w:sz w:val="18"/>
                <w:szCs w:val="18"/>
                <w:color w:val="0000EE"/>
                <w:w w:val="88"/>
              </w:rPr>
            </w:pPr>
            <w:hyperlink w:anchor="page163">
              <w:r>
                <w:rPr>
                  <w:rFonts w:ascii="Arial" w:cs="Arial" w:eastAsia="Arial" w:hAnsi="Arial"/>
                  <w:sz w:val="18"/>
                  <w:szCs w:val="18"/>
                  <w:color w:val="0000EE"/>
                  <w:w w:val="88"/>
                </w:rPr>
                <w:t>F-4</w:t>
              </w:r>
            </w:hyperlink>
          </w:p>
        </w:tc>
      </w:tr>
      <w:tr>
        <w:trPr>
          <w:trHeight w:val="21"/>
        </w:trPr>
        <w:tc>
          <w:tcPr>
            <w:tcW w:w="2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720" w:type="dxa"/>
            <w:vAlign w:val="bottom"/>
            <w:gridSpan w:val="9"/>
          </w:tcPr>
          <w:p>
            <w:pPr>
              <w:spacing w:after="0" w:line="176" w:lineRule="exact"/>
              <w:rPr>
                <w:rFonts w:ascii="Arial" w:cs="Arial" w:eastAsia="Arial" w:hAnsi="Arial"/>
                <w:sz w:val="18"/>
                <w:szCs w:val="18"/>
                <w:color w:val="0000EE"/>
              </w:rPr>
            </w:pPr>
            <w:hyperlink w:anchor="page164">
              <w:r>
                <w:rPr>
                  <w:rFonts w:ascii="Arial" w:cs="Arial" w:eastAsia="Arial" w:hAnsi="Arial"/>
                  <w:sz w:val="18"/>
                  <w:szCs w:val="18"/>
                  <w:color w:val="0000EE"/>
                </w:rPr>
                <w:t>Statements of Changes in Stockholder’s Equity for the three months ended March 31, 2021 (unaudited) and for the</w:t>
              </w:r>
            </w:hyperlink>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6"/>
        </w:trPr>
        <w:tc>
          <w:tcPr>
            <w:tcW w:w="82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period from June 23, 2020 (inception) through December 31, 2020</w:t>
              </w:r>
            </w:hyperlink>
          </w:p>
        </w:tc>
        <w:tc>
          <w:tcPr>
            <w:tcW w:w="1460" w:type="dxa"/>
            <w:vAlign w:val="bottom"/>
            <w:gridSpan w:val="3"/>
          </w:tcPr>
          <w:p>
            <w:pPr>
              <w:spacing w:after="0"/>
              <w:rPr>
                <w:sz w:val="17"/>
                <w:szCs w:val="17"/>
                <w:color w:val="auto"/>
              </w:rPr>
            </w:pPr>
          </w:p>
        </w:tc>
        <w:tc>
          <w:tcPr>
            <w:tcW w:w="1520" w:type="dxa"/>
            <w:vAlign w:val="bottom"/>
            <w:gridSpan w:val="4"/>
          </w:tcPr>
          <w:p>
            <w:pPr>
              <w:jc w:val="center"/>
              <w:ind w:right="720"/>
              <w:spacing w:after="0" w:line="196" w:lineRule="exact"/>
              <w:rPr>
                <w:rFonts w:ascii="Arial" w:cs="Arial" w:eastAsia="Arial" w:hAnsi="Arial"/>
                <w:sz w:val="18"/>
                <w:szCs w:val="18"/>
                <w:color w:val="0000EE"/>
                <w:w w:val="88"/>
              </w:rPr>
            </w:pPr>
            <w:hyperlink w:anchor="page164">
              <w:r>
                <w:rPr>
                  <w:rFonts w:ascii="Arial" w:cs="Arial" w:eastAsia="Arial" w:hAnsi="Arial"/>
                  <w:sz w:val="18"/>
                  <w:szCs w:val="18"/>
                  <w:color w:val="0000EE"/>
                  <w:w w:val="88"/>
                </w:rPr>
                <w:t>F-5</w:t>
              </w:r>
            </w:hyperlink>
          </w:p>
        </w:tc>
      </w:tr>
      <w:tr>
        <w:trPr>
          <w:trHeight w:val="20"/>
        </w:trPr>
        <w:tc>
          <w:tcPr>
            <w:tcW w:w="2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75"/>
        </w:trPr>
        <w:tc>
          <w:tcPr>
            <w:tcW w:w="870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0"/>
              </w:rPr>
            </w:pPr>
            <w:hyperlink w:anchor="page165">
              <w:r>
                <w:rPr>
                  <w:rFonts w:ascii="Arial" w:cs="Arial" w:eastAsia="Arial" w:hAnsi="Arial"/>
                  <w:sz w:val="18"/>
                  <w:szCs w:val="18"/>
                  <w:color w:val="0000EE"/>
                  <w:w w:val="90"/>
                </w:rPr>
                <w:t>Statements of Cash Flows for the three months ended March 31, 2021 (unaudited) and for the period from June 23, 2020</w:t>
              </w:r>
            </w:hyperlink>
          </w:p>
        </w:tc>
        <w:tc>
          <w:tcPr>
            <w:tcW w:w="10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r>
      <w:tr>
        <w:trPr>
          <w:trHeight w:val="196"/>
        </w:trPr>
        <w:tc>
          <w:tcPr>
            <w:tcW w:w="9720" w:type="dxa"/>
            <w:vAlign w:val="bottom"/>
            <w:gridSpan w:val="9"/>
            <w:shd w:val="clear" w:color="auto" w:fill="CCEEFF"/>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(inception) through December 31, 2020</w:t>
              </w:r>
            </w:hyperlink>
          </w:p>
        </w:tc>
        <w:tc>
          <w:tcPr>
            <w:tcW w:w="1520" w:type="dxa"/>
            <w:vAlign w:val="bottom"/>
            <w:gridSpan w:val="4"/>
            <w:shd w:val="clear" w:color="auto" w:fill="CCEEFF"/>
          </w:tcPr>
          <w:p>
            <w:pPr>
              <w:jc w:val="center"/>
              <w:ind w:right="720"/>
              <w:spacing w:after="0" w:line="196" w:lineRule="exact"/>
              <w:rPr>
                <w:rFonts w:ascii="Arial" w:cs="Arial" w:eastAsia="Arial" w:hAnsi="Arial"/>
                <w:sz w:val="18"/>
                <w:szCs w:val="18"/>
                <w:color w:val="0000EE"/>
                <w:w w:val="88"/>
              </w:rPr>
            </w:pPr>
            <w:hyperlink w:anchor="page165">
              <w:r>
                <w:rPr>
                  <w:rFonts w:ascii="Arial" w:cs="Arial" w:eastAsia="Arial" w:hAnsi="Arial"/>
                  <w:sz w:val="18"/>
                  <w:szCs w:val="18"/>
                  <w:color w:val="0000EE"/>
                  <w:w w:val="88"/>
                </w:rPr>
                <w:t>F-6</w:t>
              </w:r>
            </w:hyperlink>
          </w:p>
        </w:tc>
      </w:tr>
      <w:tr>
        <w:trPr>
          <w:trHeight w:val="21"/>
        </w:trPr>
        <w:tc>
          <w:tcPr>
            <w:tcW w:w="2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860" w:type="dxa"/>
            <w:vAlign w:val="bottom"/>
            <w:gridSpan w:val="2"/>
          </w:tcPr>
          <w:p>
            <w:pPr>
              <w:spacing w:after="0" w:line="176" w:lineRule="exact"/>
              <w:rPr>
                <w:rFonts w:ascii="Arial" w:cs="Arial" w:eastAsia="Arial" w:hAnsi="Arial"/>
                <w:sz w:val="18"/>
                <w:szCs w:val="18"/>
                <w:color w:val="0000EE"/>
              </w:rPr>
            </w:pPr>
            <w:hyperlink w:anchor="page166">
              <w:r>
                <w:rPr>
                  <w:rFonts w:ascii="Arial" w:cs="Arial" w:eastAsia="Arial" w:hAnsi="Arial"/>
                  <w:sz w:val="18"/>
                  <w:szCs w:val="18"/>
                  <w:color w:val="0000EE"/>
                </w:rPr>
                <w:t>Notes to Financial Statements</w:t>
              </w:r>
            </w:hyperlink>
          </w:p>
        </w:tc>
        <w:tc>
          <w:tcPr>
            <w:tcW w:w="6860" w:type="dxa"/>
            <w:vAlign w:val="bottom"/>
            <w:gridSpan w:val="7"/>
          </w:tcPr>
          <w:p>
            <w:pPr>
              <w:spacing w:after="0"/>
              <w:rPr>
                <w:sz w:val="15"/>
                <w:szCs w:val="15"/>
                <w:color w:val="auto"/>
              </w:rPr>
            </w:pPr>
          </w:p>
        </w:tc>
        <w:tc>
          <w:tcPr>
            <w:tcW w:w="1520" w:type="dxa"/>
            <w:vAlign w:val="bottom"/>
            <w:gridSpan w:val="4"/>
          </w:tcPr>
          <w:p>
            <w:pPr>
              <w:jc w:val="center"/>
              <w:ind w:right="760"/>
              <w:spacing w:after="0" w:line="176" w:lineRule="exact"/>
              <w:rPr>
                <w:rFonts w:ascii="Arial" w:cs="Arial" w:eastAsia="Arial" w:hAnsi="Arial"/>
                <w:sz w:val="18"/>
                <w:szCs w:val="18"/>
                <w:color w:val="0000EE"/>
                <w:w w:val="90"/>
              </w:rPr>
            </w:pPr>
            <w:hyperlink w:anchor="page166">
              <w:r>
                <w:rPr>
                  <w:rFonts w:ascii="Arial" w:cs="Arial" w:eastAsia="Arial" w:hAnsi="Arial"/>
                  <w:sz w:val="18"/>
                  <w:szCs w:val="18"/>
                  <w:color w:val="0000EE"/>
                  <w:w w:val="90"/>
                </w:rPr>
                <w:t>F-7 – F-17</w:t>
              </w:r>
            </w:hyperlink>
          </w:p>
        </w:tc>
      </w:tr>
      <w:tr>
        <w:trPr>
          <w:trHeight w:val="668"/>
        </w:trPr>
        <w:tc>
          <w:tcPr>
            <w:tcW w:w="2160" w:type="dxa"/>
            <w:vAlign w:val="bottom"/>
            <w:tcBorders>
              <w:top w:val="single" w:sz="8" w:color="0000EE"/>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F-1</w:t>
            </w:r>
          </w:p>
        </w:tc>
        <w:tc>
          <w:tcPr>
            <w:tcW w:w="28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60" w:name="page161"/>
    <w:bookmarkEnd w:id="160"/>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balance sheet of Chardan NexTech Acquisition 2 Corp. (the “Company”) as of December 31, 2020, the related statements of operations, changes in stockholder’s equity and cash flows for the period from June 23,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June 23, 2020 (inception) through December 31, 2020,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4,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jc w:val="center"/>
        <w:ind w:right="-9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ind w:left="4820"/>
              <w:spacing w:after="0"/>
              <w:rPr>
                <w:sz w:val="20"/>
                <w:szCs w:val="20"/>
                <w:color w:val="auto"/>
              </w:rPr>
            </w:pPr>
            <w:r>
              <w:rPr>
                <w:rFonts w:ascii="Arial" w:cs="Arial" w:eastAsia="Arial" w:hAnsi="Arial"/>
                <w:sz w:val="18"/>
                <w:szCs w:val="18"/>
                <w:b w:val="1"/>
                <w:bCs w:val="1"/>
                <w:color w:val="auto"/>
              </w:rPr>
              <w:t>BALANCE SHEETS</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5"/>
        </w:trPr>
        <w:tc>
          <w:tcPr>
            <w:tcW w:w="7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2021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7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Current assets – cash</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72,882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r>
      <w:tr>
        <w:trPr>
          <w:trHeight w:val="229"/>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offering costs</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77,118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63"/>
        </w:trPr>
        <w:tc>
          <w:tcPr>
            <w:tcW w:w="79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4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150,000</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25,000</w:t>
            </w:r>
          </w:p>
        </w:tc>
        <w:tc>
          <w:tcPr>
            <w:tcW w:w="100" w:type="dxa"/>
            <w:vAlign w:val="bottom"/>
            <w:tcBorders>
              <w:bottom w:val="single" w:sz="8" w:color="CCEEFF"/>
            </w:tcBorders>
          </w:tcPr>
          <w:p>
            <w:pPr>
              <w:spacing w:after="0"/>
              <w:rPr>
                <w:sz w:val="22"/>
                <w:szCs w:val="22"/>
                <w:color w:val="auto"/>
              </w:rPr>
            </w:pPr>
          </w:p>
        </w:tc>
      </w:tr>
      <w:tr>
        <w:trPr>
          <w:trHeight w:val="197"/>
        </w:trPr>
        <w:tc>
          <w:tcPr>
            <w:tcW w:w="7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29"/>
        </w:trPr>
        <w:tc>
          <w:tcPr>
            <w:tcW w:w="7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Promissory note – related party</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09"/>
        </w:trPr>
        <w:tc>
          <w:tcPr>
            <w:tcW w:w="79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126,000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b w:val="1"/>
                <w:bCs w:val="1"/>
                <w:color w:val="auto"/>
              </w:rPr>
              <w:t>Commitments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796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w w:val="94"/>
              </w:rPr>
              <w:t xml:space="preserve">Common stock, $0.0001 par value; 5,000,000 shares authorized; 2,875,000 issued and outstanding </w:t>
            </w:r>
            <w:r>
              <w:rPr>
                <w:rFonts w:ascii="Arial" w:cs="Arial" w:eastAsia="Arial" w:hAnsi="Arial"/>
                <w:sz w:val="29"/>
                <w:szCs w:val="29"/>
                <w:color w:val="auto"/>
                <w:w w:val="94"/>
                <w:vertAlign w:val="superscript"/>
              </w:rPr>
              <w:t>(1)</w:t>
            </w:r>
          </w:p>
        </w:tc>
        <w:tc>
          <w:tcPr>
            <w:tcW w:w="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24,712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24,712</w:t>
            </w:r>
          </w:p>
        </w:tc>
      </w:tr>
      <w:tr>
        <w:trPr>
          <w:trHeight w:val="229"/>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10"/>
        </w:trPr>
        <w:tc>
          <w:tcPr>
            <w:tcW w:w="7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4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24,000</w:t>
            </w:r>
          </w:p>
        </w:tc>
        <w:tc>
          <w:tcPr>
            <w:tcW w:w="100" w:type="dxa"/>
            <w:vAlign w:val="bottom"/>
            <w:tcBorders>
              <w:bottom w:val="single" w:sz="8" w:color="CCEEFF"/>
            </w:tcBorders>
          </w:tcPr>
          <w:p>
            <w:pPr>
              <w:spacing w:after="0"/>
              <w:rPr>
                <w:sz w:val="18"/>
                <w:szCs w:val="18"/>
                <w:color w:val="auto"/>
              </w:rPr>
            </w:pPr>
          </w:p>
        </w:tc>
      </w:tr>
      <w:tr>
        <w:trPr>
          <w:trHeight w:val="223"/>
        </w:trPr>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150,000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8"/>
        <w:spacing w:after="0" w:line="255" w:lineRule="auto"/>
        <w:tabs>
          <w:tab w:leader="none" w:pos="229" w:val="left"/>
        </w:tabs>
        <w:numPr>
          <w:ilvl w:val="0"/>
          <w:numId w:val="77"/>
        </w:numPr>
        <w:rPr>
          <w:rFonts w:ascii="Arial" w:cs="Arial" w:eastAsia="Arial" w:hAnsi="Arial"/>
          <w:sz w:val="25"/>
          <w:szCs w:val="25"/>
          <w:color w:val="auto"/>
          <w:vertAlign w:val="superscript"/>
        </w:rPr>
      </w:pPr>
      <w:r>
        <w:rPr>
          <w:rFonts w:ascii="Arial" w:cs="Arial" w:eastAsia="Arial" w:hAnsi="Arial"/>
          <w:sz w:val="15"/>
          <w:szCs w:val="15"/>
          <w:color w:val="auto"/>
        </w:rPr>
        <w:t>Includes up to 375,000 shares of common stock subject to forfeiture if the over-allotment option is not exercised in full or in part by the underwriter (see Note 5). On March 4, 2021, the Company effected a 2.875-for-1 stock split, resulting in 2,875,000 shares of common stock outstanding (see Note 5). All share and per-share amounts have been retroactively restated to reflect the stock split.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2" w:name="page163"/>
    <w:bookmarkEnd w:id="162"/>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21"/>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7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For the three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21"/>
              <w:spacing w:after="0"/>
              <w:rPr>
                <w:sz w:val="20"/>
                <w:szCs w:val="20"/>
                <w:color w:val="auto"/>
              </w:rPr>
            </w:pPr>
            <w:r>
              <w:rPr>
                <w:rFonts w:ascii="Arial" w:cs="Arial" w:eastAsia="Arial" w:hAnsi="Arial"/>
                <w:sz w:val="18"/>
                <w:szCs w:val="18"/>
                <w:b w:val="1"/>
                <w:bCs w:val="1"/>
                <w:color w:val="auto"/>
                <w:w w:val="91"/>
              </w:rPr>
              <w:t>Period from</w:t>
            </w:r>
          </w:p>
        </w:tc>
      </w:tr>
      <w:tr>
        <w:trPr>
          <w:trHeight w:val="216"/>
        </w:trPr>
        <w:tc>
          <w:tcPr>
            <w:tcW w:w="7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months ended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21"/>
              <w:spacing w:after="0"/>
              <w:rPr>
                <w:sz w:val="20"/>
                <w:szCs w:val="20"/>
                <w:color w:val="auto"/>
              </w:rPr>
            </w:pPr>
            <w:r>
              <w:rPr>
                <w:rFonts w:ascii="Arial" w:cs="Arial" w:eastAsia="Arial" w:hAnsi="Arial"/>
                <w:sz w:val="18"/>
                <w:szCs w:val="18"/>
                <w:b w:val="1"/>
                <w:bCs w:val="1"/>
                <w:color w:val="auto"/>
                <w:w w:val="88"/>
              </w:rPr>
              <w:t>June 23, 2020</w:t>
            </w:r>
          </w:p>
        </w:tc>
      </w:tr>
      <w:tr>
        <w:trPr>
          <w:trHeight w:val="216"/>
        </w:trPr>
        <w:tc>
          <w:tcPr>
            <w:tcW w:w="7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March 31, 2021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21"/>
              <w:spacing w:after="0"/>
              <w:rPr>
                <w:sz w:val="20"/>
                <w:szCs w:val="20"/>
                <w:color w:val="auto"/>
              </w:rPr>
            </w:pPr>
            <w:r>
              <w:rPr>
                <w:rFonts w:ascii="Arial" w:cs="Arial" w:eastAsia="Arial" w:hAnsi="Arial"/>
                <w:sz w:val="18"/>
                <w:szCs w:val="18"/>
                <w:b w:val="1"/>
                <w:bCs w:val="1"/>
                <w:color w:val="auto"/>
                <w:w w:val="91"/>
              </w:rPr>
              <w:t>(inception) Through</w:t>
            </w:r>
          </w:p>
        </w:tc>
      </w:tr>
      <w:tr>
        <w:trPr>
          <w:trHeight w:val="234"/>
        </w:trPr>
        <w:tc>
          <w:tcPr>
            <w:tcW w:w="74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right="41"/>
              <w:spacing w:after="0"/>
              <w:rPr>
                <w:sz w:val="20"/>
                <w:szCs w:val="20"/>
                <w:color w:val="auto"/>
              </w:rPr>
            </w:pPr>
            <w:r>
              <w:rPr>
                <w:rFonts w:ascii="Arial" w:cs="Arial" w:eastAsia="Arial" w:hAnsi="Arial"/>
                <w:sz w:val="18"/>
                <w:szCs w:val="18"/>
                <w:b w:val="1"/>
                <w:bCs w:val="1"/>
                <w:color w:val="auto"/>
                <w:w w:val="90"/>
              </w:rPr>
              <w:t>December 31, 2020</w:t>
            </w:r>
          </w:p>
        </w:tc>
      </w:tr>
      <w:tr>
        <w:trPr>
          <w:trHeight w:val="453"/>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1,000</w:t>
            </w:r>
          </w:p>
        </w:tc>
      </w:tr>
      <w:tr>
        <w:trPr>
          <w:trHeight w:val="263"/>
        </w:trPr>
        <w:tc>
          <w:tcPr>
            <w:tcW w:w="7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196"/>
        </w:trPr>
        <w:tc>
          <w:tcPr>
            <w:tcW w:w="7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7480" w:type="dxa"/>
            <w:vAlign w:val="bottom"/>
          </w:tcPr>
          <w:p>
            <w:pPr>
              <w:spacing w:after="0"/>
              <w:rPr>
                <w:sz w:val="20"/>
                <w:szCs w:val="20"/>
                <w:color w:val="auto"/>
              </w:rPr>
            </w:pPr>
            <w:r>
              <w:rPr>
                <w:rFonts w:ascii="Arial" w:cs="Arial" w:eastAsia="Arial" w:hAnsi="Arial"/>
                <w:sz w:val="18"/>
                <w:szCs w:val="18"/>
                <w:color w:val="auto"/>
              </w:rPr>
              <w:t>Weighted average common shares outstanding, basic and diluted (1)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2,500,000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right"/>
              <w:ind w:right="21"/>
              <w:spacing w:after="0"/>
              <w:rPr>
                <w:sz w:val="20"/>
                <w:szCs w:val="20"/>
                <w:color w:val="auto"/>
              </w:rPr>
            </w:pPr>
            <w:r>
              <w:rPr>
                <w:rFonts w:ascii="Arial" w:cs="Arial" w:eastAsia="Arial" w:hAnsi="Arial"/>
                <w:sz w:val="18"/>
                <w:szCs w:val="18"/>
                <w:color w:val="auto"/>
              </w:rPr>
              <w:t>2,500,000</w:t>
            </w:r>
          </w:p>
        </w:tc>
      </w:tr>
      <w:tr>
        <w:trPr>
          <w:trHeight w:val="210"/>
        </w:trPr>
        <w:tc>
          <w:tcPr>
            <w:tcW w:w="7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common share</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7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8"/>
        <w:spacing w:after="0" w:line="234" w:lineRule="auto"/>
        <w:tabs>
          <w:tab w:leader="none" w:pos="239" w:val="left"/>
        </w:tabs>
        <w:numPr>
          <w:ilvl w:val="0"/>
          <w:numId w:val="78"/>
        </w:numPr>
        <w:rPr>
          <w:rFonts w:ascii="Arial" w:cs="Arial" w:eastAsia="Arial" w:hAnsi="Arial"/>
          <w:sz w:val="27"/>
          <w:szCs w:val="27"/>
          <w:color w:val="auto"/>
          <w:vertAlign w:val="superscript"/>
        </w:rPr>
      </w:pPr>
      <w:r>
        <w:rPr>
          <w:rFonts w:ascii="Arial" w:cs="Arial" w:eastAsia="Arial" w:hAnsi="Arial"/>
          <w:sz w:val="16"/>
          <w:szCs w:val="16"/>
          <w:color w:val="auto"/>
        </w:rPr>
        <w:t>Excludes up to 375,000 shares of common stock subject to forfeiture if the over-allotment option is not exercised in full or in part by the underwriter (see Note 5). On March 4, 2021, the Company effected a 2.875-for-1 stock split, resulting in 2,875,000 shares of common stock outstanding (see Note 5). All share and per-share amounts have been retroactively restated to reflect the stock split.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3" w:name="page164"/>
    <w:bookmarkEnd w:id="163"/>
    <w:p>
      <w:pPr>
        <w:ind w:left="376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 THE THREE MONTHS ENDED MARCH 31, 2021 (UNAUDITED) AND FOR THE PERIOD FROM JUNE 23, 2020 (INCEPTION)</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THROUGH 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Additional</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Total</w:t>
            </w:r>
          </w:p>
        </w:tc>
      </w:tr>
      <w:tr>
        <w:trPr>
          <w:trHeight w:val="248"/>
        </w:trPr>
        <w:tc>
          <w:tcPr>
            <w:tcW w:w="4080" w:type="dxa"/>
            <w:vAlign w:val="bottom"/>
          </w:tcPr>
          <w:p>
            <w:pPr>
              <w:spacing w:after="0"/>
              <w:rPr>
                <w:sz w:val="21"/>
                <w:szCs w:val="21"/>
                <w:color w:val="auto"/>
              </w:rPr>
            </w:pPr>
          </w:p>
        </w:tc>
        <w:tc>
          <w:tcPr>
            <w:tcW w:w="24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21"/>
                <w:szCs w:val="21"/>
                <w:color w:val="auto"/>
              </w:rPr>
            </w:pPr>
          </w:p>
        </w:tc>
        <w:tc>
          <w:tcPr>
            <w:tcW w:w="126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w w:val="88"/>
              </w:rPr>
              <w:t>Accumulated</w:t>
            </w:r>
          </w:p>
        </w:tc>
        <w:tc>
          <w:tcPr>
            <w:tcW w:w="80" w:type="dxa"/>
            <w:vAlign w:val="bottom"/>
          </w:tcPr>
          <w:p>
            <w:pPr>
              <w:spacing w:after="0"/>
              <w:rPr>
                <w:sz w:val="21"/>
                <w:szCs w:val="21"/>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r>
      <w:tr>
        <w:trPr>
          <w:trHeight w:val="223"/>
        </w:trPr>
        <w:tc>
          <w:tcPr>
            <w:tcW w:w="4080" w:type="dxa"/>
            <w:vAlign w:val="bottom"/>
          </w:tcPr>
          <w:p>
            <w:pPr>
              <w:spacing w:after="0"/>
              <w:rPr>
                <w:sz w:val="19"/>
                <w:szCs w:val="19"/>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19"/>
                <w:szCs w:val="19"/>
                <w:color w:val="auto"/>
              </w:rPr>
            </w:pPr>
          </w:p>
        </w:tc>
        <w:tc>
          <w:tcPr>
            <w:tcW w:w="126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23, 2020 (inception)</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Issuance of common stock to Sponsor </w:t>
            </w:r>
            <w:r>
              <w:rPr>
                <w:rFonts w:ascii="Arial" w:cs="Arial" w:eastAsia="Arial" w:hAnsi="Arial"/>
                <w:sz w:val="29"/>
                <w:szCs w:val="29"/>
                <w:color w:val="auto"/>
                <w:vertAlign w:val="superscript"/>
              </w:rPr>
              <w:t>(1)</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2,875,000</w:t>
            </w:r>
          </w:p>
        </w:tc>
        <w:tc>
          <w:tcPr>
            <w:tcW w:w="9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288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24,712</w:t>
            </w: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9"/>
        </w:trPr>
        <w:tc>
          <w:tcPr>
            <w:tcW w:w="408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23"/>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2,875,000</w:t>
            </w: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288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24,712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40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2021 (unaudited)</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2,875,000</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288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24,712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(1,000)</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24,000</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jc w:val="both"/>
        <w:ind w:firstLine="8"/>
        <w:spacing w:after="0" w:line="255" w:lineRule="auto"/>
        <w:tabs>
          <w:tab w:leader="none" w:pos="229" w:val="left"/>
        </w:tabs>
        <w:numPr>
          <w:ilvl w:val="0"/>
          <w:numId w:val="79"/>
        </w:numPr>
        <w:rPr>
          <w:rFonts w:ascii="Arial" w:cs="Arial" w:eastAsia="Arial" w:hAnsi="Arial"/>
          <w:sz w:val="25"/>
          <w:szCs w:val="25"/>
          <w:color w:val="auto"/>
          <w:vertAlign w:val="superscript"/>
        </w:rPr>
      </w:pPr>
      <w:r>
        <w:rPr>
          <w:rFonts w:ascii="Arial" w:cs="Arial" w:eastAsia="Arial" w:hAnsi="Arial"/>
          <w:sz w:val="15"/>
          <w:szCs w:val="15"/>
          <w:color w:val="auto"/>
        </w:rPr>
        <w:t>Includes up to 375,000 shares of common stock subject to forfeiture if the over-allotment option is not exercised in full or in part by the underwriter (see Note 5). On March 4, 2021, the Company effected a 2.875-for-1 stock split, resulting in 2,875,000 shares of common stock outstanding (see Note 5). All share and per-share amounts have been retroactively restated to reflect the stock split.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4" w:name="page165"/>
    <w:bookmarkEnd w:id="164"/>
    <w:p>
      <w:pPr>
        <w:jc w:val="right"/>
        <w:ind w:right="14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offering costs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1"/>
              </w:rPr>
              <w:t>For the Period</w:t>
            </w:r>
          </w:p>
        </w:tc>
      </w:tr>
      <w:tr>
        <w:trPr>
          <w:trHeight w:val="216"/>
        </w:trPr>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0"/>
              </w:rPr>
              <w:t>from June 23,</w:t>
            </w:r>
          </w:p>
        </w:tc>
      </w:tr>
      <w:tr>
        <w:trPr>
          <w:trHeight w:val="216"/>
        </w:trPr>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28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0"/>
              </w:rPr>
              <w:t>For the three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1380" w:type="dxa"/>
            <w:vAlign w:val="bottom"/>
            <w:gridSpan w:val="3"/>
          </w:tcPr>
          <w:p>
            <w:pPr>
              <w:jc w:val="center"/>
              <w:ind w:right="61"/>
              <w:spacing w:after="0"/>
              <w:rPr>
                <w:sz w:val="20"/>
                <w:szCs w:val="20"/>
                <w:color w:val="auto"/>
              </w:rPr>
            </w:pPr>
            <w:r>
              <w:rPr>
                <w:rFonts w:ascii="Arial" w:cs="Arial" w:eastAsia="Arial" w:hAnsi="Arial"/>
                <w:sz w:val="18"/>
                <w:szCs w:val="18"/>
                <w:b w:val="1"/>
                <w:bCs w:val="1"/>
                <w:color w:val="auto"/>
                <w:w w:val="87"/>
              </w:rPr>
              <w:t>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Through</w:t>
            </w:r>
          </w:p>
        </w:tc>
      </w:tr>
      <w:tr>
        <w:trPr>
          <w:trHeight w:val="216"/>
        </w:trPr>
        <w:tc>
          <w:tcPr>
            <w:tcW w:w="138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92"/>
              </w:rPr>
              <w:t>March 31, 2021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26"/>
        </w:trPr>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(1,000)</w:t>
            </w:r>
          </w:p>
        </w:tc>
      </w:tr>
      <w:tr>
        <w:trPr>
          <w:trHeight w:val="446"/>
        </w:trPr>
        <w:tc>
          <w:tcPr>
            <w:tcW w:w="100" w:type="dxa"/>
            <w:vAlign w:val="bottom"/>
          </w:tcPr>
          <w:p>
            <w:pPr>
              <w:spacing w:after="0"/>
              <w:rPr>
                <w:sz w:val="24"/>
                <w:szCs w:val="24"/>
                <w:color w:val="auto"/>
              </w:rPr>
            </w:pPr>
          </w:p>
        </w:tc>
        <w:tc>
          <w:tcPr>
            <w:tcW w:w="1280" w:type="dxa"/>
            <w:vAlign w:val="bottom"/>
            <w:gridSpan w:val="2"/>
          </w:tcPr>
          <w:p>
            <w:pPr>
              <w:jc w:val="right"/>
              <w:ind w:right="1"/>
              <w:spacing w:after="0"/>
              <w:rPr>
                <w:sz w:val="20"/>
                <w:szCs w:val="20"/>
                <w:color w:val="auto"/>
              </w:rPr>
            </w:pPr>
            <w:r>
              <w:rPr>
                <w:rFonts w:ascii="Arial" w:cs="Arial" w:eastAsia="Arial" w:hAnsi="Arial"/>
                <w:sz w:val="18"/>
                <w:szCs w:val="18"/>
                <w:color w:val="auto"/>
              </w:rPr>
              <w:t>(77,118)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24"/>
                <w:szCs w:val="24"/>
                <w:color w:val="auto"/>
              </w:rPr>
            </w:pPr>
          </w:p>
        </w:tc>
      </w:tr>
      <w:tr>
        <w:trPr>
          <w:trHeight w:val="223"/>
        </w:trPr>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(77,118</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688" w:right="3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Proceeds from promissory note</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125,000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3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to Sponsor</w:t>
            </w:r>
          </w:p>
        </w:tc>
        <w:tc>
          <w:tcPr>
            <w:tcW w:w="2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9"/>
                <w:szCs w:val="19"/>
                <w:color w:val="auto"/>
              </w:rPr>
            </w:pPr>
          </w:p>
        </w:tc>
      </w:tr>
      <w:tr>
        <w:trPr>
          <w:trHeight w:val="263"/>
        </w:trPr>
        <w:tc>
          <w:tcPr>
            <w:tcW w:w="6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Net cash provided by financing activities</w:t>
            </w:r>
          </w:p>
        </w:tc>
        <w:tc>
          <w:tcPr>
            <w:tcW w:w="23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61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47,882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25,000</w:t>
            </w:r>
          </w:p>
        </w:tc>
        <w:tc>
          <w:tcPr>
            <w:tcW w:w="80" w:type="dxa"/>
            <w:vAlign w:val="bottom"/>
          </w:tcPr>
          <w:p>
            <w:pPr>
              <w:spacing w:after="0"/>
              <w:rPr>
                <w:sz w:val="18"/>
                <w:szCs w:val="18"/>
                <w:color w:val="auto"/>
              </w:rPr>
            </w:pPr>
          </w:p>
        </w:tc>
      </w:tr>
      <w:tr>
        <w:trPr>
          <w:trHeight w:val="23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2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140" w:type="dxa"/>
            <w:vAlign w:val="bottom"/>
          </w:tcPr>
          <w:p>
            <w:pPr>
              <w:spacing w:after="0"/>
              <w:rPr>
                <w:sz w:val="20"/>
                <w:szCs w:val="20"/>
                <w:color w:val="auto"/>
              </w:rPr>
            </w:pPr>
            <w:r>
              <w:rPr>
                <w:rFonts w:ascii="Arial" w:cs="Arial" w:eastAsia="Arial" w:hAnsi="Arial"/>
                <w:sz w:val="18"/>
                <w:szCs w:val="18"/>
                <w:b w:val="1"/>
                <w:bCs w:val="1"/>
                <w:color w:val="auto"/>
              </w:rPr>
              <w:t>Cash - End of period</w:t>
            </w:r>
          </w:p>
        </w:tc>
        <w:tc>
          <w:tcPr>
            <w:tcW w:w="23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72,882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65" w:name="page166"/>
    <w:bookmarkEnd w:id="165"/>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Chardan NexTech Acquisition 2 Corp (the “Company”) is a blank check company incorporated in Delaware on June 23, 2020. The Company was formed for the purpose of effectuating a merger, capital stock exchange, asset acquisition, stock purchase, reorganization or other similar business combination with one or more businesses (the “Business Combination”). The Company is an emerging growth company and, as such, the Company is subject to all of the risks associated with emerging growth companies.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the Company had not commenced any operations. All activity for the period from June 23, 2020 (inception) through March 31, 2021 relates to the Company’s formation and the proposed initial public offering (“Proposed Public Offering”). The Company will not generate any operating revenues until after the completion of a Business Combination, at the earliest. The Company will generate non-operating income in the form of interest income from the proceeds derived from the Proposed Public Offering.</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ability to commence operations is contingent upon obtaining adequate financial resources through a Proposed Public Offering of 10,000,000 units (the “Units” and, with respect to the shares of common stock included in the Units being offered, the “Public Shares”) at $10.00 per Unit (or 11,500,000 Units if the underwriters’ over-allotment option is exercised in full), which is discussed in Note 3, and the sale of 4,200,000 warrants (or 4,385,185 warrants if the underwriters’ over-allotment option is exercised in full) (the “Private Warrants”), at a price of $0.81 per Private Warrant, in a private placement to Chardan NexTech 2 Warrant Holdings LLC, an affiliate of Chardan NexTech Investments 2 LLC (the “Sponsor”), that will close simultaneously with the Proposed Public Offering.</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Proposed Public Offering and the sale of the Private Warrants, although substantially all of the net proceeds are intended to be applied generally toward consummating a Business Combination. There is no assurance that the Company will be able to complete a Business Combination successfully. Nasdaq rules provide that the Business Combination must be with one or more target businesses that together have a fair market value equal to at least 80% of the value of the Trust Account (as defined below) (excluding taxes payable on the income earned on the Trust Account) at the time of the signing of a definitive agreement to enter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 Upon the closing of the Proposed Public Offering, management has agreed that $10.10 per Unit sold in the Proposed Public Offering, including the proceeds from the sale of the Private Warrants, will be held in a trust account (“Trust Account”) and invested in U.S. government securities, within the meaning set forth in Section 2(a)(16) of the Investment Company Act, with a maturity of 185 days or less, or in any open-ended investment company that holds itself out as a money market fund meeting the conditions of Rule 2a-7 of the Investment Company Act, as determined by the Company, until the earlier of: (i) the consummation of a Business Combination or (ii) the distribution of the funds in the Trust Account to the Company’s stockholders, as described below.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6" w:name="page167"/>
    <w:bookmarkEnd w:id="166"/>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$10.10 per Public Share, plus any pro rata interest earned on the funds held in the Trust Account and not previously released to the Company to pay its tax obligations). The Public Shares subject to redemption will be recorded at redemption value and classified as temporary equity upon the completion of the Proposed Public Offering in accordance with the Financial Accounting Standards Board’s (“FASB”) Accounting Standards Codification (“ASC”) Topic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 5) and any Public Shares purchased during or after the Proposed Public Offering in favor of approving a Business Combination. Additionally, each public stockholder may elect to redeem their Public Shares irrespective of whether they vote for or against the proposed transaction.</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will have 15 months from the closing of the initial public offering (or up to 18 months from the closing of the initial public offering if we have executed a definitive agreement and filed a proxy statement for an initial business combination within 15 months from the closing of the initial public offering) to consummate an initial business combination. In addition, if the Company anticipates that it may not be able to consummate an initial business combination within 15 months and the Company has not entered into a definitive agreement and filed a proxy statement for an initial business combination by such date (or 18 months if we have executed a definitive agreement and filed a proxy statement for an initial business combination within 15 months from the closing of this offering), the Company’s insiders or their affiliates may, but are not obligated to, extend the period of time to consummate a business combination up to two times by an additional three months each time (for a total of up to 21 months to complete a business combination). If the Company is unable to consummate an initial business combination within the above time period, the Company will distribute the aggregate amount then on deposit in the trust account, pro rata to the Company’s public stockholders, by way of the redemption of their shares and thereafter cease all operations except for the purposes of winding up of the Company’s affairs. In such event, the warrants will expire and be worthless.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7" w:name="page168"/>
    <w:bookmarkEnd w:id="167"/>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stockholders have agreed to waive their redemption rights with respect to any shares they own in connection with the consummation of the initial business combination, including their founder shares and public shares that they purchase during or after the offering, if any. In addition, the initial stockholders have agreed to waive their rights to liquidating distributions with respect to their founder shares if the Company fails to consummate an initial business combination within 21 months (assuming both of the three-month extensions were executed) from the closing of this offering. However, if the initial stockholders acquire public shares in or after the initial public offering, they will be entitled to receive liquidating distributions with respect to such public shares if the Company fails to consummate an initial business combination within the required time period.</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order to protect the amounts held in the Trust Account, the Sponsor has agreed to be liable to the Company if and to the extent any claims by a third party (other than the Company’s independent registered accounting firm) for services rendered or products sold to the Company, or a prospective target business with which the Company has discussed entering into a transaction agreement, reduce the amount of funds in the Trust Account to below</w:t>
      </w:r>
    </w:p>
    <w:p>
      <w:pPr>
        <w:spacing w:after="0" w:line="2" w:lineRule="exact"/>
        <w:rPr>
          <w:sz w:val="20"/>
          <w:szCs w:val="20"/>
          <w:color w:val="auto"/>
        </w:rPr>
      </w:pPr>
    </w:p>
    <w:p>
      <w:pPr>
        <w:jc w:val="both"/>
        <w:ind w:firstLine="8"/>
        <w:spacing w:after="0" w:line="251" w:lineRule="auto"/>
        <w:tabs>
          <w:tab w:leader="none" w:pos="257" w:val="left"/>
        </w:tabs>
        <w:numPr>
          <w:ilvl w:val="0"/>
          <w:numId w:val="80"/>
        </w:numPr>
        <w:rPr>
          <w:rFonts w:ascii="Arial" w:cs="Arial" w:eastAsia="Arial" w:hAnsi="Arial"/>
          <w:sz w:val="18"/>
          <w:szCs w:val="18"/>
          <w:color w:val="auto"/>
        </w:rPr>
      </w:pPr>
      <w:r>
        <w:rPr>
          <w:rFonts w:ascii="Arial" w:cs="Arial" w:eastAsia="Arial" w:hAnsi="Arial"/>
          <w:sz w:val="18"/>
          <w:szCs w:val="18"/>
          <w:color w:val="auto"/>
        </w:rPr>
        <w:t>$10.10 per Public Share or (2) the actual amount per Public Share held in the Trust Account as of the date of the liquidation of the Trust Account due to reductions in the value of the trust assets, in each case net of the interest which may be withdrawn to pay the Company’s taxes,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Proposed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8" w:name="page169"/>
    <w:bookmarkEnd w:id="168"/>
    <w:p>
      <w:pPr>
        <w:ind w:left="376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Company does not have sufficient liquidity to meet its anticipated obligations over the next year from the issuance of these financial statements. In connection with the Company’s assessment of going concern considerations in accordance with FASB’s Accounting Standards Update (“ASU”) 2014-15, </w:t>
      </w:r>
      <w:r>
        <w:rPr>
          <w:rFonts w:ascii="Arial" w:cs="Arial" w:eastAsia="Arial" w:hAnsi="Arial"/>
          <w:sz w:val="16"/>
          <w:szCs w:val="16"/>
          <w:i w:val="1"/>
          <w:iCs w:val="1"/>
          <w:color w:val="auto"/>
        </w:rPr>
        <w:t>Disclosures of Uncertainties about an Entity’s Ability to Continue as a Going Concern</w:t>
      </w:r>
      <w:r>
        <w:rPr>
          <w:rFonts w:ascii="Arial" w:cs="Arial" w:eastAsia="Arial" w:hAnsi="Arial"/>
          <w:sz w:val="16"/>
          <w:szCs w:val="16"/>
          <w:color w:val="auto"/>
        </w:rPr>
        <w:t>, management has determined that the Company has access to funds</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Sponsor, and the Sponsor has the financial wherewithal to fund the Company, that are sufficient to fund the working capital needs of the Company until the earlier of the consummation of the Proposed Public Offering or one year from the issuance of these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9" w:name="page170"/>
    <w:bookmarkEnd w:id="169"/>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31, 2021 and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Deferred offering costs consist of legal, accounting and other expenses incurred through the balance sheet date that are directly related to the Proposed Public Offering. The offering costs directly attributable to the issuance of an equity contract to be classified in equity are recorded as a reduction in equity at the time of the Proposed Public Offering. Offering costs for equity contracts that are classified as assets and liabilities are expensed at the time of the Proposed Public Offering. Should the Proposed Public Offering prove to be unsuccessful, all deferred costs, as well as additional expenses incurred, will be charged to operations. The Company had $77,118 and $0 of deferred offering costs at March 31, 2021 and December 31, 2020,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 Deferred tax assets were deemed to be de minimis as of March 31, 2021 and December 31, 2020.</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0" w:name="page171"/>
    <w:bookmarkEnd w:id="170"/>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provision for income taxes was deemed to be de minimis for the period from June 23, 2020 (inception) through December 31, 2020, and for the three months ended March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loss per share of common stock is computed by dividing net loss by the weighted average number of common shares outstanding during the period, excluding shares of common stock subject to forfeiture. Weighted average shares were reduced for the effect of an aggregate of 375,000 shares of common stock that are subject to forfeiture if the over-allotment option is not exercised by the underwriter (see Note 5). At March 31, 2021 and December 31, 2020, the Company did not have any dilutive securities and other contracts that could, potentially, be exercised or converted into common stock and then share in the earnings of the Company. As a result, diluted loss per common share is the same as basic loss per common share for the periods presented.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of a cash account in a financial institution which, at times may exceed the Federal Depository Insurance Corporation coverage limit of $250,000. At March 31, 2021 and December 31, 2020, the Company had not experienced losses on this account and management believes the Company is not exposed to significant risks on such account.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fair value of the Company’s assets and liabilities, which qualify as financial instruments under FASB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approximates the carrying amounts represented in the accompanying balance sheet, primarily due to their short-term nature.</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 Inputs to the fair value measurement are unobservable inputs, such as estimates, assumptions, and valuation techniques when little or no market data exists for the assets or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Liabilities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Company accounts for warrants as either equity-classified or liability-classified instruments based on an assessment of the warrant’s specific terms and applicable authoritative guidance in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(“ASC 480”) and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statements of operations.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Company will account for the Private Placement Warrants issued concurrently in connection with the Initial Public Offering in accordance with Accounting Standards Codification (“ASC”) 815-40, </w:t>
      </w:r>
      <w:r>
        <w:rPr>
          <w:rFonts w:ascii="Arial" w:cs="Arial" w:eastAsia="Arial" w:hAnsi="Arial"/>
          <w:sz w:val="16"/>
          <w:szCs w:val="16"/>
          <w:i w:val="1"/>
          <w:iCs w:val="1"/>
          <w:color w:val="auto"/>
        </w:rPr>
        <w:t>Derivatives and Hedging—Contracts in Entity’s Own Equity</w:t>
      </w:r>
      <w:r>
        <w:rPr>
          <w:rFonts w:ascii="Arial" w:cs="Arial" w:eastAsia="Arial" w:hAnsi="Arial"/>
          <w:sz w:val="16"/>
          <w:szCs w:val="16"/>
          <w:color w:val="auto"/>
        </w:rPr>
        <w:t xml:space="preserve"> (“ASC 815”), under which the Private Placement Warrants will not meet the criteria for equity classification and must be recorded as liabilities. As the Private Placement Warrants meet the definition of a derivative as contemplated in ASC 815, the Private Placement Warrants will be measured at fair value at inception and at each reporting date in accordance with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with changes in fair value recognized in the statements of operations in the period of change.</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Public Warrants are not precluded from equity classification, and will be accounted for as such on the date of issuance, and each balance sheet date thereafter.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ectPr>
          <w:pgSz w:w="11900" w:h="16864" w:orient="portrait"/>
          <w:cols w:equalWidth="0" w:num="1">
            <w:col w:w="11240"/>
          </w:cols>
          <w:pgMar w:left="320" w:top="688" w:right="339" w:bottom="0" w:gutter="0" w:footer="0" w:header="0"/>
        </w:sectPr>
      </w:pPr>
    </w:p>
    <w:bookmarkStart w:id="171" w:name="page172"/>
    <w:bookmarkEnd w:id="171"/>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PROPOSED PUBLIC OFFERING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Proposed Public Offering, the Company will offer for sale up to 10,000,000 Units (or 11,500,000 Units if the underwriters’ over-allotment option is exercised in full) at a purchase price of $10.00 per Unit. Each Unit will consist of one share of common stock, $0.0001 par value, and one-half of one redeemable warrant (“Public Warrant”). Each whole Public Warrant will entitle the holder to purchase one share of common stock at an exercise price of $11.50 per whole share (see Note 7).</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2" w:name="page173"/>
    <w:bookmarkEnd w:id="172"/>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Chardan NexTech 2 Warrant Holdings LLC has agreed to purchase an aggregate of 4,200,000 (or up to 4,385,185 depending on the extent to which the underwriters’ over-allotment option is exercised) Private Warrants at a price of $0.81 per Private Warrant, for an aggregate purchase price of $3,402,000, (or up to $3,552,000 if the underwrites) in a private placement that will occur simultaneously with the closing of the Proposed Public Offering. Each of the Private Warrants is exercisable to purchase one share of common stock at a price of $11.50 per share, subject to adjustment (see Note 7). The proceeds from the sale of the Private Warrants will be added to the net proceeds from the Proposed Public Offering to be held in the Trust Account. If the Company does not complete a Business Combination within the Combination Period, the proceeds from the sale of the Private Warrants will be used to fund the redemption of the Public Shares (subject to the requirements of applicable law) and the Private Warrants will expire worthless. The Company classifies the outstanding Private Placement Warrants as warrant liabilities on the Balance Sheet in accordance with the guidance contained in ASC 815-40.</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warrant liability will be initially measured at fair value upon the closing of the Initial Public Offering and subsequently re-measured at each reporting period using a Monte Carlo Simulation Pricing model.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23, 2020, the Company issued 1,000,000 shares of common stock for an aggregate price of $25,000 (the “Founder Shares”). On March 4, 2021, the Company effected a 2.875-for-1 stock split of its issued and outstanding shares of Common Stock, resulting in an aggregate of 2,875,000 shares of Common Stock issued and outstanding (see Note 8). Shares and the associated amounts have been retroactively restated in these financial statements to reflect the stock split. The Founder Shares include an aggregate of up to 375,000 shares of common stock subject to forfeiture by the Sponsor to the extent that the underwriters’ over-allotment is not exercised in full or in part, so that the initial stockholders will collectively own, on an as-converted basis, 20% of the Company’s issued and outstanding shares after the Proposed Public Offering (assuming the Sponsor does not purchase any Public Shares in the Proposed Public Offering).</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With certain limited exceptions, 50% of the Founder Shares will not be transferred, assigned, sold or released from escrow until the earlier of (i) six months after the date of the consummation of a Business Combination or (ii) the date on which the closing price of the Company’s shares of common stock equals or exceeds $12.50 per share (as adjusted for stock splits 6 months after the date of the consummation of a Business Combination, or earlier,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23, 2020, the Sponsor agreed to loan the Company an aggregate of up to $250,000 to cover expenses related to the Proposed Public Offering pursuant to a promissory note (the “Promissory Note”). The Promissory note is non-interest bearing and payable on the earlier of (i) June 30, 2021 or (ii) the consummation of the Proposed Public Offering. As of March 31, 2021 and December 31, 2020, there were $125,000 and $0 of borrowings outstanding under the Promissory Note,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3" w:name="page174"/>
    <w:bookmarkEnd w:id="173"/>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Support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intends to enter into an agreement to the Sponsor, a total of $10,000 per month for office space, administrative, and shared personnel support services. Upon the completion of an initial Business Combination, the Company will cease paying these monthly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March 31, 2021 and December 31, 2020, the Company had no working capital loans outstanding.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and Stockholder Rights Agreement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holders of the Founder Shares and Private Warrants (and any shares of common stock issuable upon the exercise of the Private Warrants) will be entitled to registration rights pursuant to an agreement to be signed prior to or on the effective date of the Proposed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grant the underwriter a 45-day option to purchase up to 1,500,000 additional Units to cover over-allotments at the Proposed Public Offering price, less the underwriting discounts and commissions.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underwriters will be entitled to a cash underwriting discount and qualified independent underwriter fees in the aggregate of $500,000.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4" w:name="page175"/>
    <w:bookmarkEnd w:id="174"/>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Proposed Public Offering. As a result, Chardan Capital Markets, LLC will not be entitled to such fee unless the Company consummates the initial Business Combination.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WARRANTS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March 31, 2021 and December 31, 2020, there are no warrants outstanding. Each whole Public Warrant will entitle the holder to purchase one share of common stock at an exercise price of $11.50 per whole share. The Sponsor, Chardan NexTech Investments 2 LLC, has agreed to purchase an aggregate of 4,200,000 (or up to 4,385,185 depending on the extent to which the underwriters’ over-allotment option is exercised) Private Warrants at a price of $0.81 per Private Warrant, for an aggregate purchase price of $3,402,000 (or up to $3,552,000 depending on the extent to which the underwriters’ over-allotment option is exercised), in a private placement that will occur simultaneously with the closing of the Proposed Public Offering. Each of the Private Warrants is exercisable to purchase one share of common stock at a price of $11.50 per share, subject to adjustment. The proceeds from the sale of the Private Warrants will be added to the net proceeds from the Proposed Public Offering to be held in the Trust Account. If the Company does not complete a Business Combination within the Combination Period, the proceeds from the sale of the Private Warrants will be used to fund the redemption of the Public Shares (and the Private Warrants will expire worthless). The Warrants provide for a cashless exercise which the Company’s management determined to be a net settlement feature with no obligation to settle in cash. The net shares issued in a cashless exercise are based on the fair value of the Company’s common stock at the time the Warrants are exercised.</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Warrant shall, when countersigned by the Warrant Agent, entitle the Registered Holder to purchase from the Company the number of shares of Common Stock at $11.50 per share. The Public Warrants may only be exercised for a whole number of Warrant Shares by a Registered Holder. No fractional shares will be issued.</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Warrant may be exercised only during the period (“Exercise Period”)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provided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Section 6 of this Warrant Agreement (“Expiration Date”). Except with respect to the right to receive the Redemption Price, each Warrant not exercised on or before the Expiration Date shall become void, and all rights thereunder and all rights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10 days to Registered Holders of such extension and that such extension shall be identical in duration among all of the then outstanding Warrants.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5" w:name="page176"/>
    <w:bookmarkEnd w:id="175"/>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not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All (and not less than all) of the outstanding Warrants may be redeemed, in whole and not in part, at the option of the Company, at any time from and after the Warrants become exercisable, and prior to their expiration, at the office of the Warrant Agent, at the price of $.01 per Warrant (“Redemption Price”); provided that the last sales price of the Common Stock has been equal to or greater than $16.00 per share (subject to adjustment for splits, dividends, recapitalizations and other similar events) (the “Redemption Trigger Price”), for any ten (10)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For avoidance of doubt, if and when the warrants become redeemable by the Company, the Company may exercise its redemption right, even if it is unable to register or qualify the Warrant Shares for sale under all applicable state securities laws.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will account for the 4,200,000 (or up to 4,385,185 depending on the extent to which the underwriters’ over-allotment option is exercised) private placement warrants to be issued in connection with the Proposed Public Offering (assuming the underwriters’ over-allotment option is not exercised) in accordance with the guidance contained in ASC 815-40. Such guidance provides that because the private placement warrants do not meet the criteria for equity treatment thereunder, each private placement warrant must be recorded as a liability.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Public Warrants are not precluded from equity classification. Equity-classified contracts are initially measured at fair value (or allocated value).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Subsequent changes in fair value are not recognized as long as the contracts continue to be classified in equity.</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accounting treatment of derivative financial instruments requires that the Company record the private placement warrants as derivative liabilities at fair value upon the closing of the Proposed Public Offering. This liability is subject to re-measurement at each balance sheet date. With each such re-measurement, the warrant liability will be adjusted to its current fair value, with the change in fair value recognized in the Company’s statement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 The Company is authorized to issue 5,000,000 shares of common stock with a par value of $0.0001 per share. On March 31, 2021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there were 2,875,000 shares of common stock issued and outstanding. Of the 2,875,000 shares of common stock outstanding, up to 375,000 shares are subject to forfeiture to the Company by the Sponsor for no consideration to the extent that the underwriters’ over-allotment option is not exercised in full or in part, so that the initial stockholders will collectively own 20% of the Company’s issued and outstanding common stock after a planned public offering.</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intends to file an Amended and Restated Certificate of Incorporation prior to the closing date of the Proposed Public Offering such that the Company will be authorized to issue 50,000,000 shares of common stock with a par value of $0.0001 per share and 1,000,000 shares of preferred stock with a par value of $0.0001.</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dates up to June 4, 2021, the date that the financial statements were available to be issued. Based on this review, other than as described below, the Company did not identify any subsequent events that would have required adjustment or disclosure in the financial statements.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4, 2021, the Company effected a 2.875-for-1 stock split, resulting in 2,875,000 shares of common stock outstanding (see Note 5). All share and per-share amounts have been retroactively restated to reflect the stock split.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12, 2021, the Staff of the SEC issued a statement with respect to the accounting for warrants issued by special purchase acquisition companies. In light of this statement, the Company has determined that the fair value of the private placement warrants should be classified as a warrant liability on the Company’s balance sheet as of the closing of the Proposed Offering that will be filed on Form 8-K. Subsequent changes to the fair value of the warrants will be recorded in the Company’s statement of operations.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May and June 2021, our sponsor transferred 20,000 Founder Shares to each of Messrs. Biele, Boyle, Hardamon, Thakrar and Thomson and Ms. Jardins, for an aggregate of 120,000 Founder Shares transferred.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Subsequent to December 31, 2020, the Company borrowed $125,000 under the Promissory Note.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p>
      <w:pPr>
        <w:jc w:val="center"/>
        <w:ind w:right="19"/>
        <w:spacing w:after="0"/>
        <w:rPr>
          <w:sz w:val="20"/>
          <w:szCs w:val="20"/>
          <w:color w:val="auto"/>
        </w:rPr>
      </w:pPr>
      <w:r>
        <w:rPr>
          <w:rFonts w:ascii="Arial" w:cs="Arial" w:eastAsia="Arial" w:hAnsi="Arial"/>
          <w:sz w:val="18"/>
          <w:szCs w:val="18"/>
          <w:b w:val="1"/>
          <w:bCs w:val="1"/>
          <w:color w:val="auto"/>
        </w:rPr>
        <w:t>$100,000,000</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Chardan NexTech Acquisition 2 Corp.</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10,000,000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188595</wp:posOffset>
            </wp:positionV>
            <wp:extent cx="17830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188595</wp:posOffset>
            </wp:positionV>
            <wp:extent cx="17830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Chardan</w:t>
      </w:r>
    </w:p>
    <w:p>
      <w:pPr>
        <w:spacing w:after="0" w:line="207" w:lineRule="exact"/>
        <w:rPr>
          <w:sz w:val="20"/>
          <w:szCs w:val="20"/>
          <w:color w:val="auto"/>
        </w:rPr>
      </w:pPr>
    </w:p>
    <w:p>
      <w:pPr>
        <w:jc w:val="right"/>
        <w:ind w:right="1979"/>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Initial Trustees’ fee</w:t>
            </w:r>
          </w:p>
        </w:tc>
        <w:tc>
          <w:tcPr>
            <w:tcW w:w="33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SEC Registration Fee</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19,761</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27,669</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40,000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and filing fees (excluding deferred fees)</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r>
      <w:tr>
        <w:trPr>
          <w:trHeight w:val="202"/>
        </w:trPr>
        <w:tc>
          <w:tcPr>
            <w:tcW w:w="6940" w:type="dxa"/>
            <w:vAlign w:val="bottom"/>
          </w:tcPr>
          <w:p>
            <w:pPr>
              <w:spacing w:after="0" w:line="201" w:lineRule="exact"/>
              <w:rPr>
                <w:sz w:val="20"/>
                <w:szCs w:val="20"/>
                <w:color w:val="auto"/>
              </w:rPr>
            </w:pPr>
            <w:r>
              <w:rPr>
                <w:rFonts w:ascii="Arial" w:cs="Arial" w:eastAsia="Arial" w:hAnsi="Arial"/>
                <w:sz w:val="18"/>
                <w:szCs w:val="18"/>
                <w:color w:val="auto"/>
              </w:rPr>
              <w:t>Transfer agent</w:t>
            </w:r>
          </w:p>
        </w:tc>
        <w:tc>
          <w:tcPr>
            <w:tcW w:w="2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35,000</w:t>
            </w:r>
          </w:p>
        </w:tc>
      </w:tr>
      <w:tr>
        <w:trPr>
          <w:trHeight w:val="244"/>
        </w:trPr>
        <w:tc>
          <w:tcPr>
            <w:tcW w:w="6940" w:type="dxa"/>
            <w:vAlign w:val="bottom"/>
          </w:tcPr>
          <w:p>
            <w:pPr>
              <w:spacing w:after="0"/>
              <w:rPr>
                <w:sz w:val="20"/>
                <w:szCs w:val="20"/>
                <w:color w:val="auto"/>
              </w:rPr>
            </w:pPr>
            <w:r>
              <w:rPr>
                <w:rFonts w:ascii="Arial" w:cs="Arial" w:eastAsia="Arial" w:hAnsi="Arial"/>
                <w:sz w:val="18"/>
                <w:szCs w:val="18"/>
                <w:color w:val="auto"/>
              </w:rPr>
              <w:t>Miscellaneous</w:t>
            </w:r>
          </w:p>
        </w:tc>
        <w:tc>
          <w:tcPr>
            <w:tcW w:w="2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96,570</w:t>
            </w:r>
          </w:p>
        </w:tc>
      </w:tr>
      <w:tr>
        <w:trPr>
          <w:trHeight w:val="223"/>
        </w:trPr>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9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certificate of incorporation provides that all directors, officers, employees and agents of the registrant shall be entitled to be indemnified by us to the fullest extent permitted by Section 145 of the Delaware General Corporation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145 of the Delaware General Corporation Law concerning indemnification of officers, directors, employees and agents is set forth below.</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225" w:lineRule="exact"/>
        <w:rPr>
          <w:sz w:val="20"/>
          <w:szCs w:val="20"/>
          <w:color w:val="auto"/>
        </w:rPr>
      </w:pPr>
    </w:p>
    <w:p>
      <w:pPr>
        <w:jc w:val="both"/>
        <w:ind w:left="980" w:hanging="324"/>
        <w:spacing w:after="0" w:line="287" w:lineRule="auto"/>
        <w:tabs>
          <w:tab w:leader="none" w:pos="9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jc w:val="both"/>
        <w:ind w:left="324" w:hanging="324"/>
        <w:spacing w:after="0" w:line="288" w:lineRule="auto"/>
        <w:tabs>
          <w:tab w:leader="none" w:pos="324" w:val="left"/>
        </w:tabs>
        <w:numPr>
          <w:ilvl w:val="0"/>
          <w:numId w:val="82"/>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8" w:lineRule="exact"/>
        <w:rPr>
          <w:rFonts w:ascii="Arial" w:cs="Arial" w:eastAsia="Arial" w:hAnsi="Arial"/>
          <w:sz w:val="16"/>
          <w:szCs w:val="16"/>
          <w:color w:val="auto"/>
        </w:rPr>
      </w:pPr>
    </w:p>
    <w:p>
      <w:pPr>
        <w:jc w:val="both"/>
        <w:ind w:left="324" w:hanging="324"/>
        <w:spacing w:after="0" w:line="311" w:lineRule="auto"/>
        <w:tabs>
          <w:tab w:leader="none" w:pos="324" w:val="left"/>
        </w:tabs>
        <w:numPr>
          <w:ilvl w:val="0"/>
          <w:numId w:val="82"/>
        </w:numPr>
        <w:rPr>
          <w:rFonts w:ascii="Arial" w:cs="Arial" w:eastAsia="Arial" w:hAnsi="Arial"/>
          <w:sz w:val="16"/>
          <w:szCs w:val="16"/>
          <w:color w:val="auto"/>
        </w:rPr>
      </w:pPr>
      <w:r>
        <w:rPr>
          <w:rFonts w:ascii="Arial" w:cs="Arial" w:eastAsia="Arial" w:hAnsi="Arial"/>
          <w:sz w:val="16"/>
          <w:szCs w:val="16"/>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48" w:lineRule="exact"/>
        <w:rPr>
          <w:rFonts w:ascii="Arial" w:cs="Arial" w:eastAsia="Arial" w:hAnsi="Arial"/>
          <w:sz w:val="16"/>
          <w:szCs w:val="16"/>
          <w:color w:val="auto"/>
        </w:rPr>
      </w:pPr>
    </w:p>
    <w:p>
      <w:pPr>
        <w:jc w:val="both"/>
        <w:ind w:left="324" w:hanging="324"/>
        <w:spacing w:after="0" w:line="272" w:lineRule="auto"/>
        <w:tabs>
          <w:tab w:leader="none" w:pos="324"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77" w:lineRule="exact"/>
        <w:rPr>
          <w:rFonts w:ascii="Arial" w:cs="Arial" w:eastAsia="Arial" w:hAnsi="Arial"/>
          <w:sz w:val="17"/>
          <w:szCs w:val="17"/>
          <w:color w:val="auto"/>
        </w:rPr>
      </w:pPr>
    </w:p>
    <w:p>
      <w:pPr>
        <w:jc w:val="both"/>
        <w:ind w:left="324" w:hanging="324"/>
        <w:spacing w:after="0" w:line="296" w:lineRule="auto"/>
        <w:tabs>
          <w:tab w:leader="none" w:pos="324" w:val="left"/>
        </w:tabs>
        <w:numPr>
          <w:ilvl w:val="0"/>
          <w:numId w:val="82"/>
        </w:numPr>
        <w:rPr>
          <w:rFonts w:ascii="Arial" w:cs="Arial" w:eastAsia="Arial" w:hAnsi="Arial"/>
          <w:sz w:val="16"/>
          <w:szCs w:val="16"/>
          <w:color w:val="auto"/>
        </w:rPr>
      </w:pPr>
      <w:r>
        <w:rPr>
          <w:rFonts w:ascii="Arial" w:cs="Arial" w:eastAsia="Arial" w:hAnsi="Arial"/>
          <w:sz w:val="16"/>
          <w:szCs w:val="16"/>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61" w:lineRule="exact"/>
        <w:rPr>
          <w:rFonts w:ascii="Arial" w:cs="Arial" w:eastAsia="Arial" w:hAnsi="Arial"/>
          <w:sz w:val="16"/>
          <w:szCs w:val="16"/>
          <w:color w:val="auto"/>
        </w:rPr>
      </w:pPr>
    </w:p>
    <w:p>
      <w:pPr>
        <w:jc w:val="both"/>
        <w:ind w:left="324" w:hanging="324"/>
        <w:spacing w:after="0" w:line="271" w:lineRule="auto"/>
        <w:tabs>
          <w:tab w:leader="none" w:pos="324"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78" w:lineRule="exact"/>
        <w:rPr>
          <w:rFonts w:ascii="Arial" w:cs="Arial" w:eastAsia="Arial" w:hAnsi="Arial"/>
          <w:sz w:val="17"/>
          <w:szCs w:val="17"/>
          <w:color w:val="auto"/>
        </w:rPr>
      </w:pPr>
    </w:p>
    <w:p>
      <w:pPr>
        <w:jc w:val="both"/>
        <w:ind w:left="324" w:hanging="324"/>
        <w:spacing w:after="0" w:line="257" w:lineRule="auto"/>
        <w:tabs>
          <w:tab w:leader="none" w:pos="324"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265430</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80" w:name="page181"/>
    <w:bookmarkEnd w:id="180"/>
    <w:p>
      <w:pPr>
        <w:jc w:val="both"/>
        <w:ind w:left="980" w:hanging="324"/>
        <w:spacing w:after="0" w:line="254"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94" w:lineRule="exact"/>
        <w:rPr>
          <w:rFonts w:ascii="Arial" w:cs="Arial" w:eastAsia="Arial" w:hAnsi="Arial"/>
          <w:sz w:val="18"/>
          <w:szCs w:val="18"/>
          <w:color w:val="auto"/>
        </w:rPr>
      </w:pPr>
    </w:p>
    <w:p>
      <w:pPr>
        <w:jc w:val="both"/>
        <w:ind w:left="980" w:hanging="324"/>
        <w:spacing w:after="0" w:line="293" w:lineRule="auto"/>
        <w:tabs>
          <w:tab w:leader="none" w:pos="9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64"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83"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the Company has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accordance with Section 102(b)(7) of the DGCL, our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unless they violated their duty of loyalty to the Company or its stockholders, acted in bad faith, knowingly or intentionally violated the law, authorized unlawful payments of dividends, unlawful stock purchases or unlawful redemptions, or derived improper personal benefit from their actions as directors. The effect of this provision of our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8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the DGCL is amended to authorize corporate action further eliminating or limiting the liability of directors, then, in accordance with our certificate of incorporation, the liability of our directors to us or our stockholders will be eliminated or limited to the fullest extent authorized by the DGCL, as so amended. Any repeal or amendment of provisions of our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1" w:name="page182"/>
    <w:bookmarkEnd w:id="181"/>
    <w:p>
      <w:pPr>
        <w:jc w:val="both"/>
        <w:ind w:firstLine="648"/>
        <w:spacing w:after="0" w:line="271" w:lineRule="auto"/>
        <w:rPr>
          <w:sz w:val="20"/>
          <w:szCs w:val="20"/>
          <w:color w:val="auto"/>
        </w:rPr>
      </w:pPr>
      <w:r>
        <w:rPr>
          <w:rFonts w:ascii="Arial" w:cs="Arial" w:eastAsia="Arial" w:hAnsi="Arial"/>
          <w:sz w:val="17"/>
          <w:szCs w:val="17"/>
          <w:color w:val="auto"/>
        </w:rPr>
        <w:t>Our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certificate of incorporation will be indemnified by us in connection with a proceeding initiated by such person only if such proceeding was authorized by our board of directors, except for proceedings to enforce rights to indemnification.</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right to indemnification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certificate of incorporation or otherwise.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certificate of incorporation will also permit us, to the extent and in the manner authorized or permitted by law, to indemnify and to advance expenses to persons other that those specifically covered by our certificate of incorporation.</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set forth in our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2" w:name="page183"/>
    <w:bookmarkEnd w:id="182"/>
    <w:p>
      <w:pPr>
        <w:jc w:val="both"/>
        <w:ind w:firstLine="648"/>
        <w:spacing w:after="0" w:line="263" w:lineRule="auto"/>
        <w:rPr>
          <w:sz w:val="20"/>
          <w:szCs w:val="20"/>
          <w:color w:val="auto"/>
        </w:rPr>
      </w:pPr>
      <w:r>
        <w:rPr>
          <w:rFonts w:ascii="Arial" w:cs="Arial" w:eastAsia="Arial" w:hAnsi="Arial"/>
          <w:sz w:val="18"/>
          <w:szCs w:val="18"/>
          <w:color w:val="auto"/>
        </w:rPr>
        <w:t>We will enter into indemnity agreements with each of our officers and directors a form of which is filed as Exhibit 10.5 to this Registration Statement. These agreements will require us to indemnify these individuals to the fullest extent permitted under Delaware law and to advance expenses incurred as a result of any proceeding against them as to which they could be indemnified.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Underwriting Agreement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Such shares include an aggregate of up to 375,000 founder shares that are subject to forfeiture to the extent that the underwriters’ over-allotment option is not exercised in full or in part. Because these offers and sales were made to a single purchaser in a transaction not involving a public offering, the shares were issued in reliance on the exemption from registration contained in Section 4(a)(2) of the Securities Act.</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Chardan NexTech 2 Warrant Holdings LLC, an affiliate of our sponsor, has committed to purchase from us an aggregate of 4,200,000 warrants (or up to 4,385,185 warrants depending on the extent to which the underwriters’ over-allotment option is exercised) at a price of $0.81 per warrant ($3,402,000 (or up to $3,552,000 depending on the extent to which the underwriters’ over-allotment option is exercised)), with each warrant exercisable for one share of common stock at an exercise price of $11.50 per share. These purchases will take place on a private placement basis simultaneously with the consummation of this offering. Because this offer and sale is being made to a single purchaser, the sale does not involve a public offering and is being made in reliance on the exemption from registration contained in Section 4(a)(2) of the Securities Act.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following exhibits are filed as part of this registration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8"/>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gridSpan w:val="33"/>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420" w:type="dxa"/>
            <w:vAlign w:val="bottom"/>
            <w:tcBorders>
              <w:top w:val="single" w:sz="8" w:color="auto"/>
              <w:bottom w:val="single" w:sz="8" w:color="0000EE"/>
            </w:tcBorders>
            <w:gridSpan w:val="4"/>
            <w:shd w:val="clear" w:color="auto" w:fill="CCEEFF"/>
          </w:tcPr>
          <w:p>
            <w:pPr>
              <w:spacing w:after="0" w:line="169" w:lineRule="exact"/>
              <w:rPr>
                <w:rFonts w:ascii="Arial" w:cs="Arial" w:eastAsia="Arial" w:hAnsi="Arial"/>
                <w:sz w:val="18"/>
                <w:szCs w:val="18"/>
                <w:color w:val="0000EE"/>
              </w:rPr>
            </w:pPr>
            <w:hyperlink w:anchor="page188">
              <w:r>
                <w:rPr>
                  <w:rFonts w:ascii="Arial" w:cs="Arial" w:eastAsia="Arial" w:hAnsi="Arial"/>
                  <w:sz w:val="18"/>
                  <w:szCs w:val="18"/>
                  <w:color w:val="0000EE"/>
                </w:rPr>
                <w:t>1.</w:t>
              </w:r>
              <w:r>
                <w:rPr>
                  <w:rFonts w:ascii="Arial" w:cs="Arial" w:eastAsia="Arial" w:hAnsi="Arial"/>
                  <w:sz w:val="18"/>
                  <w:szCs w:val="18"/>
                  <w:u w:val="single" w:color="auto"/>
                  <w:color w:val="0000EE"/>
                </w:rPr>
                <w:t>1**</w:t>
              </w:r>
            </w:hyperlink>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500" w:type="dxa"/>
            <w:vAlign w:val="bottom"/>
            <w:tcBorders>
              <w:top w:val="single" w:sz="8" w:color="auto"/>
              <w:bottom w:val="single" w:sz="8" w:color="0000EE"/>
            </w:tcBorders>
            <w:gridSpan w:val="14"/>
            <w:shd w:val="clear" w:color="auto" w:fill="CCEEFF"/>
          </w:tcPr>
          <w:p>
            <w:pPr>
              <w:ind w:left="20"/>
              <w:spacing w:after="0" w:line="169" w:lineRule="exact"/>
              <w:rPr>
                <w:rFonts w:ascii="Arial" w:cs="Arial" w:eastAsia="Arial" w:hAnsi="Arial"/>
                <w:sz w:val="18"/>
                <w:szCs w:val="18"/>
                <w:color w:val="0000EE"/>
                <w:w w:val="92"/>
              </w:rPr>
            </w:pPr>
            <w:hyperlink w:anchor="page188">
              <w:r>
                <w:rPr>
                  <w:rFonts w:ascii="Arial" w:cs="Arial" w:eastAsia="Arial" w:hAnsi="Arial"/>
                  <w:sz w:val="18"/>
                  <w:szCs w:val="18"/>
                  <w:color w:val="0000EE"/>
                  <w:w w:val="92"/>
                </w:rPr>
                <w:t>Form of Underwriting Agreement.</w:t>
              </w:r>
            </w:hyperlink>
          </w:p>
        </w:tc>
        <w:tc>
          <w:tcPr>
            <w:tcW w:w="7500" w:type="dxa"/>
            <w:vAlign w:val="bottom"/>
            <w:tcBorders>
              <w:top w:val="single" w:sz="8" w:color="auto"/>
              <w:bottom w:val="single" w:sz="8" w:color="CCEEFF"/>
            </w:tcBorders>
            <w:gridSpan w:val="19"/>
            <w:shd w:val="clear" w:color="auto" w:fill="CCEEFF"/>
          </w:tcPr>
          <w:p>
            <w:pPr>
              <w:spacing w:after="0"/>
              <w:rPr>
                <w:sz w:val="16"/>
                <w:szCs w:val="16"/>
                <w:color w:val="auto"/>
              </w:rPr>
            </w:pPr>
          </w:p>
        </w:tc>
      </w:tr>
      <w:tr>
        <w:trPr>
          <w:trHeight w:val="175"/>
        </w:trPr>
        <w:tc>
          <w:tcPr>
            <w:tcW w:w="360" w:type="dxa"/>
            <w:vAlign w:val="bottom"/>
            <w:gridSpan w:val="3"/>
          </w:tcPr>
          <w:p>
            <w:pPr>
              <w:spacing w:after="0" w:line="176" w:lineRule="exact"/>
              <w:rPr>
                <w:rFonts w:ascii="Arial" w:cs="Arial" w:eastAsia="Arial" w:hAnsi="Arial"/>
                <w:sz w:val="18"/>
                <w:szCs w:val="18"/>
                <w:color w:val="0000EE"/>
              </w:rPr>
            </w:pPr>
            <w:hyperlink r:id="rId211">
              <w:r>
                <w:rPr>
                  <w:rFonts w:ascii="Arial" w:cs="Arial" w:eastAsia="Arial" w:hAnsi="Arial"/>
                  <w:sz w:val="18"/>
                  <w:szCs w:val="18"/>
                  <w:color w:val="0000EE"/>
                </w:rPr>
                <w:t>1.</w:t>
              </w:r>
              <w:r>
                <w:rPr>
                  <w:rFonts w:ascii="Arial" w:cs="Arial" w:eastAsia="Arial" w:hAnsi="Arial"/>
                  <w:sz w:val="18"/>
                  <w:szCs w:val="18"/>
                  <w:u w:val="single" w:color="auto"/>
                  <w:color w:val="0000EE"/>
                </w:rPr>
                <w:t>2*</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3"/>
          </w:tcPr>
          <w:p>
            <w:pPr>
              <w:ind w:left="20"/>
              <w:spacing w:after="0" w:line="176" w:lineRule="exact"/>
              <w:rPr>
                <w:rFonts w:ascii="Arial" w:cs="Arial" w:eastAsia="Arial" w:hAnsi="Arial"/>
                <w:sz w:val="18"/>
                <w:szCs w:val="18"/>
                <w:color w:val="0000EE"/>
              </w:rPr>
            </w:pPr>
            <w:hyperlink r:id="rId211">
              <w:r>
                <w:rPr>
                  <w:rFonts w:ascii="Arial" w:cs="Arial" w:eastAsia="Arial" w:hAnsi="Arial"/>
                  <w:sz w:val="18"/>
                  <w:szCs w:val="18"/>
                  <w:color w:val="0000EE"/>
                </w:rPr>
                <w:t>Form of Business Combination Marketing Agreement by and between the Registrant and Chardan Capital Markets LLC.</w:t>
              </w:r>
            </w:hyperlink>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360" w:type="dxa"/>
            <w:vAlign w:val="bottom"/>
            <w:gridSpan w:val="3"/>
            <w:shd w:val="clear" w:color="auto" w:fill="CCEEFF"/>
          </w:tcPr>
          <w:p>
            <w:pPr>
              <w:spacing w:after="0" w:line="176" w:lineRule="exact"/>
              <w:rPr>
                <w:rFonts w:ascii="Arial" w:cs="Arial" w:eastAsia="Arial" w:hAnsi="Arial"/>
                <w:sz w:val="18"/>
                <w:szCs w:val="18"/>
                <w:color w:val="0000EE"/>
              </w:rPr>
            </w:pPr>
            <w:hyperlink r:id="rId212">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3"/>
            <w:shd w:val="clear" w:color="auto" w:fill="CCEEFF"/>
          </w:tcPr>
          <w:p>
            <w:pPr>
              <w:ind w:left="20"/>
              <w:spacing w:after="0" w:line="176" w:lineRule="exact"/>
              <w:rPr>
                <w:rFonts w:ascii="Arial" w:cs="Arial" w:eastAsia="Arial" w:hAnsi="Arial"/>
                <w:sz w:val="18"/>
                <w:szCs w:val="18"/>
                <w:color w:val="0000EE"/>
              </w:rPr>
            </w:pPr>
            <w:hyperlink r:id="rId212">
              <w:r>
                <w:rPr>
                  <w:rFonts w:ascii="Arial" w:cs="Arial" w:eastAsia="Arial" w:hAnsi="Arial"/>
                  <w:sz w:val="18"/>
                  <w:szCs w:val="18"/>
                  <w:color w:val="0000EE"/>
                </w:rPr>
                <w:t>Certificate of Incorporation.</w:t>
              </w:r>
            </w:hyperlink>
          </w:p>
        </w:tc>
      </w:tr>
      <w:tr>
        <w:trPr>
          <w:trHeight w:val="20"/>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60" w:type="dxa"/>
            <w:vAlign w:val="bottom"/>
            <w:gridSpan w:val="3"/>
          </w:tcPr>
          <w:p>
            <w:pPr>
              <w:spacing w:after="0" w:line="176" w:lineRule="exact"/>
              <w:rPr>
                <w:rFonts w:ascii="Arial" w:cs="Arial" w:eastAsia="Arial" w:hAnsi="Arial"/>
                <w:sz w:val="18"/>
                <w:szCs w:val="18"/>
                <w:color w:val="0000EE"/>
              </w:rPr>
            </w:pPr>
            <w:hyperlink r:id="rId213">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3"/>
          </w:tcPr>
          <w:p>
            <w:pPr>
              <w:ind w:left="20"/>
              <w:spacing w:after="0" w:line="176" w:lineRule="exact"/>
              <w:rPr>
                <w:rFonts w:ascii="Arial" w:cs="Arial" w:eastAsia="Arial" w:hAnsi="Arial"/>
                <w:sz w:val="18"/>
                <w:szCs w:val="18"/>
                <w:color w:val="0000EE"/>
              </w:rPr>
            </w:pPr>
            <w:hyperlink r:id="rId213">
              <w:r>
                <w:rPr>
                  <w:rFonts w:ascii="Arial" w:cs="Arial" w:eastAsia="Arial" w:hAnsi="Arial"/>
                  <w:sz w:val="18"/>
                  <w:szCs w:val="18"/>
                  <w:color w:val="0000EE"/>
                </w:rPr>
                <w:t>Certificate of Amendment to the Certificate of Incorporation.</w:t>
              </w:r>
            </w:hyperlink>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360" w:type="dxa"/>
            <w:vAlign w:val="bottom"/>
            <w:gridSpan w:val="3"/>
            <w:shd w:val="clear" w:color="auto" w:fill="CCEEFF"/>
          </w:tcPr>
          <w:p>
            <w:pPr>
              <w:spacing w:after="0" w:line="176" w:lineRule="exact"/>
              <w:rPr>
                <w:rFonts w:ascii="Arial" w:cs="Arial" w:eastAsia="Arial" w:hAnsi="Arial"/>
                <w:sz w:val="18"/>
                <w:szCs w:val="18"/>
                <w:color w:val="0000EE"/>
              </w:rPr>
            </w:pPr>
            <w:hyperlink r:id="rId214">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3"/>
            <w:shd w:val="clear" w:color="auto" w:fill="CCEEFF"/>
          </w:tcPr>
          <w:p>
            <w:pPr>
              <w:ind w:left="20"/>
              <w:spacing w:after="0" w:line="176" w:lineRule="exact"/>
              <w:rPr>
                <w:rFonts w:ascii="Arial" w:cs="Arial" w:eastAsia="Arial" w:hAnsi="Arial"/>
                <w:sz w:val="18"/>
                <w:szCs w:val="18"/>
                <w:color w:val="0000EE"/>
              </w:rPr>
            </w:pPr>
            <w:hyperlink r:id="rId215">
              <w:r>
                <w:rPr>
                  <w:rFonts w:ascii="Arial" w:cs="Arial" w:eastAsia="Arial" w:hAnsi="Arial"/>
                  <w:sz w:val="18"/>
                  <w:szCs w:val="18"/>
                  <w:color w:val="0000EE"/>
                </w:rPr>
                <w:t>Form of Amended and Restated Certificate of Incorporation.</w:t>
              </w:r>
            </w:hyperlink>
          </w:p>
        </w:tc>
      </w:tr>
      <w:tr>
        <w:trPr>
          <w:trHeight w:val="21"/>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60" w:type="dxa"/>
            <w:vAlign w:val="bottom"/>
            <w:gridSpan w:val="3"/>
          </w:tcPr>
          <w:p>
            <w:pPr>
              <w:spacing w:after="0" w:line="176" w:lineRule="exact"/>
              <w:rPr>
                <w:rFonts w:ascii="Arial" w:cs="Arial" w:eastAsia="Arial" w:hAnsi="Arial"/>
                <w:sz w:val="18"/>
                <w:szCs w:val="18"/>
                <w:color w:val="0000EE"/>
              </w:rPr>
            </w:pPr>
            <w:hyperlink r:id="rId216">
              <w:r>
                <w:rPr>
                  <w:rFonts w:ascii="Arial" w:cs="Arial" w:eastAsia="Arial" w:hAnsi="Arial"/>
                  <w:sz w:val="18"/>
                  <w:szCs w:val="18"/>
                  <w:color w:val="0000EE"/>
                </w:rPr>
                <w:t>3.</w:t>
              </w:r>
              <w:r>
                <w:rPr>
                  <w:rFonts w:ascii="Arial" w:cs="Arial" w:eastAsia="Arial" w:hAnsi="Arial"/>
                  <w:sz w:val="18"/>
                  <w:szCs w:val="18"/>
                  <w:u w:val="single" w:color="auto"/>
                  <w:color w:val="0000EE"/>
                </w:rPr>
                <w:t>4*</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3"/>
          </w:tcPr>
          <w:p>
            <w:pPr>
              <w:ind w:left="20"/>
              <w:spacing w:after="0" w:line="176" w:lineRule="exact"/>
              <w:rPr>
                <w:rFonts w:ascii="Arial" w:cs="Arial" w:eastAsia="Arial" w:hAnsi="Arial"/>
                <w:sz w:val="18"/>
                <w:szCs w:val="18"/>
                <w:color w:val="0000EE"/>
              </w:rPr>
            </w:pPr>
            <w:hyperlink r:id="rId216">
              <w:r>
                <w:rPr>
                  <w:rFonts w:ascii="Arial" w:cs="Arial" w:eastAsia="Arial" w:hAnsi="Arial"/>
                  <w:sz w:val="18"/>
                  <w:szCs w:val="18"/>
                  <w:color w:val="0000EE"/>
                </w:rPr>
                <w:t>Bylaws.</w:t>
              </w:r>
            </w:hyperlink>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5"/>
        </w:trPr>
        <w:tc>
          <w:tcPr>
            <w:tcW w:w="360" w:type="dxa"/>
            <w:vAlign w:val="bottom"/>
            <w:gridSpan w:val="3"/>
            <w:shd w:val="clear" w:color="auto" w:fill="CCEEFF"/>
          </w:tcPr>
          <w:p>
            <w:pPr>
              <w:spacing w:after="0" w:line="176" w:lineRule="exact"/>
              <w:rPr>
                <w:rFonts w:ascii="Arial" w:cs="Arial" w:eastAsia="Arial" w:hAnsi="Arial"/>
                <w:sz w:val="18"/>
                <w:szCs w:val="18"/>
                <w:color w:val="0000EE"/>
              </w:rPr>
            </w:pPr>
            <w:hyperlink r:id="rId217">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3"/>
            <w:shd w:val="clear" w:color="auto" w:fill="CCEEFF"/>
          </w:tcPr>
          <w:p>
            <w:pPr>
              <w:ind w:left="20"/>
              <w:spacing w:after="0" w:line="176" w:lineRule="exact"/>
              <w:rPr>
                <w:rFonts w:ascii="Arial" w:cs="Arial" w:eastAsia="Arial" w:hAnsi="Arial"/>
                <w:sz w:val="18"/>
                <w:szCs w:val="18"/>
                <w:color w:val="0000EE"/>
              </w:rPr>
            </w:pPr>
            <w:hyperlink r:id="rId217">
              <w:r>
                <w:rPr>
                  <w:rFonts w:ascii="Arial" w:cs="Arial" w:eastAsia="Arial" w:hAnsi="Arial"/>
                  <w:sz w:val="18"/>
                  <w:szCs w:val="18"/>
                  <w:color w:val="0000EE"/>
                </w:rPr>
                <w:t>Specimen Unit Certificate.</w:t>
              </w:r>
            </w:hyperlink>
          </w:p>
        </w:tc>
      </w:tr>
      <w:tr>
        <w:trPr>
          <w:trHeight w:val="21"/>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60" w:type="dxa"/>
            <w:vAlign w:val="bottom"/>
            <w:gridSpan w:val="3"/>
          </w:tcPr>
          <w:p>
            <w:pPr>
              <w:spacing w:after="0" w:line="176" w:lineRule="exact"/>
              <w:rPr>
                <w:rFonts w:ascii="Arial" w:cs="Arial" w:eastAsia="Arial" w:hAnsi="Arial"/>
                <w:sz w:val="18"/>
                <w:szCs w:val="18"/>
                <w:color w:val="0000EE"/>
              </w:rPr>
            </w:pPr>
            <w:hyperlink r:id="rId218">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3"/>
          </w:tcPr>
          <w:p>
            <w:pPr>
              <w:ind w:left="20"/>
              <w:spacing w:after="0" w:line="176" w:lineRule="exact"/>
              <w:rPr>
                <w:rFonts w:ascii="Arial" w:cs="Arial" w:eastAsia="Arial" w:hAnsi="Arial"/>
                <w:sz w:val="18"/>
                <w:szCs w:val="18"/>
                <w:color w:val="0000EE"/>
              </w:rPr>
            </w:pPr>
            <w:hyperlink r:id="rId218">
              <w:r>
                <w:rPr>
                  <w:rFonts w:ascii="Arial" w:cs="Arial" w:eastAsia="Arial" w:hAnsi="Arial"/>
                  <w:sz w:val="18"/>
                  <w:szCs w:val="18"/>
                  <w:color w:val="0000EE"/>
                </w:rPr>
                <w:t>Specimen Common Stock Certificate.</w:t>
              </w:r>
            </w:hyperlink>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360" w:type="dxa"/>
            <w:vAlign w:val="bottom"/>
            <w:gridSpan w:val="3"/>
            <w:shd w:val="clear" w:color="auto" w:fill="CCEEFF"/>
          </w:tcPr>
          <w:p>
            <w:pPr>
              <w:spacing w:after="0" w:line="176" w:lineRule="exact"/>
              <w:rPr>
                <w:rFonts w:ascii="Arial" w:cs="Arial" w:eastAsia="Arial" w:hAnsi="Arial"/>
                <w:sz w:val="18"/>
                <w:szCs w:val="18"/>
                <w:color w:val="0000EE"/>
              </w:rPr>
            </w:pPr>
            <w:hyperlink r:id="rId219">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3"/>
            <w:shd w:val="clear" w:color="auto" w:fill="CCEEFF"/>
          </w:tcPr>
          <w:p>
            <w:pPr>
              <w:ind w:left="20"/>
              <w:spacing w:after="0" w:line="176" w:lineRule="exact"/>
              <w:rPr>
                <w:rFonts w:ascii="Arial" w:cs="Arial" w:eastAsia="Arial" w:hAnsi="Arial"/>
                <w:sz w:val="18"/>
                <w:szCs w:val="18"/>
                <w:color w:val="0000EE"/>
              </w:rPr>
            </w:pPr>
            <w:hyperlink r:id="rId219">
              <w:r>
                <w:rPr>
                  <w:rFonts w:ascii="Arial" w:cs="Arial" w:eastAsia="Arial" w:hAnsi="Arial"/>
                  <w:sz w:val="18"/>
                  <w:szCs w:val="18"/>
                  <w:color w:val="0000EE"/>
                </w:rPr>
                <w:t>Specimen Warrant Certificate.</w:t>
              </w:r>
            </w:hyperlink>
          </w:p>
        </w:tc>
      </w:tr>
      <w:tr>
        <w:trPr>
          <w:trHeight w:val="20"/>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00" w:type="dxa"/>
            <w:vAlign w:val="bottom"/>
            <w:gridSpan w:val="6"/>
          </w:tcPr>
          <w:p>
            <w:pPr>
              <w:spacing w:after="0" w:line="176" w:lineRule="exact"/>
              <w:rPr>
                <w:rFonts w:ascii="Arial" w:cs="Arial" w:eastAsia="Arial" w:hAnsi="Arial"/>
                <w:sz w:val="18"/>
                <w:szCs w:val="18"/>
                <w:color w:val="0000EE"/>
              </w:rPr>
            </w:pPr>
            <w:hyperlink w:anchor="page229">
              <w:r>
                <w:rPr>
                  <w:rFonts w:ascii="Arial" w:cs="Arial" w:eastAsia="Arial" w:hAnsi="Arial"/>
                  <w:sz w:val="18"/>
                  <w:szCs w:val="18"/>
                  <w:color w:val="0000EE"/>
                </w:rPr>
                <w:t>4.</w:t>
              </w:r>
              <w:r>
                <w:rPr>
                  <w:rFonts w:ascii="Arial" w:cs="Arial" w:eastAsia="Arial" w:hAnsi="Arial"/>
                  <w:sz w:val="18"/>
                  <w:szCs w:val="18"/>
                  <w:u w:val="single" w:color="auto"/>
                  <w:color w:val="0000EE"/>
                </w:rPr>
                <w:t>4</w:t>
              </w:r>
              <w:r>
                <w:rPr>
                  <w:rFonts w:ascii="Arial" w:cs="Arial" w:eastAsia="Arial" w:hAnsi="Arial"/>
                  <w:sz w:val="18"/>
                  <w:szCs w:val="18"/>
                  <w:color w:val="0000EE"/>
                </w:rPr>
                <w:t xml:space="preserve"> **</w:t>
              </w:r>
            </w:hyperlink>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3"/>
          </w:tcPr>
          <w:p>
            <w:pPr>
              <w:ind w:left="20"/>
              <w:spacing w:after="0" w:line="176" w:lineRule="exact"/>
              <w:rPr>
                <w:rFonts w:ascii="Arial" w:cs="Arial" w:eastAsia="Arial" w:hAnsi="Arial"/>
                <w:sz w:val="18"/>
                <w:szCs w:val="18"/>
                <w:color w:val="0000EE"/>
              </w:rPr>
            </w:pPr>
            <w:hyperlink w:anchor="page229">
              <w:r>
                <w:rPr>
                  <w:rFonts w:ascii="Arial" w:cs="Arial" w:eastAsia="Arial" w:hAnsi="Arial"/>
                  <w:sz w:val="18"/>
                  <w:szCs w:val="18"/>
                  <w:color w:val="0000EE"/>
                </w:rPr>
                <w:t>Form of Warrant Agreement between Continental Stock Transfer &amp; Trust Company and the Registrant.</w:t>
              </w:r>
            </w:hyperlink>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360" w:type="dxa"/>
            <w:vAlign w:val="bottom"/>
            <w:gridSpan w:val="3"/>
            <w:shd w:val="clear" w:color="auto" w:fill="CCEEFF"/>
          </w:tcPr>
          <w:p>
            <w:pPr>
              <w:spacing w:after="0" w:line="176" w:lineRule="exact"/>
              <w:rPr>
                <w:rFonts w:ascii="Arial" w:cs="Arial" w:eastAsia="Arial" w:hAnsi="Arial"/>
                <w:sz w:val="18"/>
                <w:szCs w:val="18"/>
                <w:color w:val="0000EE"/>
                <w:w w:val="91"/>
              </w:rPr>
            </w:pPr>
            <w:hyperlink r:id="rId220">
              <w:r>
                <w:rPr>
                  <w:rFonts w:ascii="Arial" w:cs="Arial" w:eastAsia="Arial" w:hAnsi="Arial"/>
                  <w:sz w:val="18"/>
                  <w:szCs w:val="18"/>
                  <w:color w:val="0000EE"/>
                  <w:w w:val="91"/>
                </w:rPr>
                <w:t>5.</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w:t>
              </w:r>
            </w:hyperlink>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3"/>
            <w:shd w:val="clear" w:color="auto" w:fill="CCEEFF"/>
          </w:tcPr>
          <w:p>
            <w:pPr>
              <w:ind w:left="20"/>
              <w:spacing w:after="0" w:line="176" w:lineRule="exact"/>
              <w:rPr>
                <w:rFonts w:ascii="Arial" w:cs="Arial" w:eastAsia="Arial" w:hAnsi="Arial"/>
                <w:sz w:val="18"/>
                <w:szCs w:val="18"/>
                <w:color w:val="0000EE"/>
              </w:rPr>
            </w:pPr>
            <w:hyperlink r:id="rId220">
              <w:r>
                <w:rPr>
                  <w:rFonts w:ascii="Arial" w:cs="Arial" w:eastAsia="Arial" w:hAnsi="Arial"/>
                  <w:sz w:val="18"/>
                  <w:szCs w:val="18"/>
                  <w:color w:val="0000EE"/>
                </w:rPr>
                <w:t>Form of Opinion of Reed Smith LLP.</w:t>
              </w:r>
            </w:hyperlink>
          </w:p>
        </w:tc>
      </w:tr>
      <w:tr>
        <w:trPr>
          <w:trHeight w:val="21"/>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20" w:type="dxa"/>
            <w:vAlign w:val="bottom"/>
            <w:gridSpan w:val="4"/>
          </w:tcPr>
          <w:p>
            <w:pPr>
              <w:spacing w:after="0" w:line="176" w:lineRule="exact"/>
              <w:rPr>
                <w:rFonts w:ascii="Arial" w:cs="Arial" w:eastAsia="Arial" w:hAnsi="Arial"/>
                <w:sz w:val="18"/>
                <w:szCs w:val="18"/>
                <w:color w:val="0000EE"/>
                <w:w w:val="95"/>
              </w:rPr>
            </w:pPr>
            <w:hyperlink r:id="rId221">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3"/>
          </w:tcPr>
          <w:p>
            <w:pPr>
              <w:ind w:left="20"/>
              <w:spacing w:after="0" w:line="176" w:lineRule="exact"/>
              <w:rPr>
                <w:rFonts w:ascii="Arial" w:cs="Arial" w:eastAsia="Arial" w:hAnsi="Arial"/>
                <w:sz w:val="18"/>
                <w:szCs w:val="18"/>
                <w:color w:val="0000EE"/>
              </w:rPr>
            </w:pPr>
            <w:hyperlink r:id="rId221">
              <w:r>
                <w:rPr>
                  <w:rFonts w:ascii="Arial" w:cs="Arial" w:eastAsia="Arial" w:hAnsi="Arial"/>
                  <w:sz w:val="18"/>
                  <w:szCs w:val="18"/>
                  <w:color w:val="0000EE"/>
                </w:rPr>
                <w:t>Form of Letter Agreement among the Registrant and the Company’s officers, directors and securityholders.</w:t>
              </w:r>
            </w:hyperlink>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5"/>
        </w:trPr>
        <w:tc>
          <w:tcPr>
            <w:tcW w:w="420" w:type="dxa"/>
            <w:vAlign w:val="bottom"/>
            <w:gridSpan w:val="4"/>
            <w:shd w:val="clear" w:color="auto" w:fill="CCEEFF"/>
          </w:tcPr>
          <w:p>
            <w:pPr>
              <w:spacing w:after="0" w:line="176" w:lineRule="exact"/>
              <w:rPr>
                <w:rFonts w:ascii="Arial" w:cs="Arial" w:eastAsia="Arial" w:hAnsi="Arial"/>
                <w:sz w:val="18"/>
                <w:szCs w:val="18"/>
                <w:color w:val="0000EE"/>
                <w:w w:val="95"/>
              </w:rPr>
            </w:pPr>
            <w:hyperlink r:id="rId222">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2*</w:t>
              </w:r>
            </w:hyperlink>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3"/>
            <w:shd w:val="clear" w:color="auto" w:fill="CCEEFF"/>
          </w:tcPr>
          <w:p>
            <w:pPr>
              <w:ind w:left="20"/>
              <w:spacing w:after="0" w:line="176" w:lineRule="exact"/>
              <w:rPr>
                <w:rFonts w:ascii="Arial" w:cs="Arial" w:eastAsia="Arial" w:hAnsi="Arial"/>
                <w:sz w:val="18"/>
                <w:szCs w:val="18"/>
                <w:color w:val="0000EE"/>
                <w:w w:val="99"/>
              </w:rPr>
            </w:pPr>
            <w:hyperlink r:id="rId222">
              <w:r>
                <w:rPr>
                  <w:rFonts w:ascii="Arial" w:cs="Arial" w:eastAsia="Arial" w:hAnsi="Arial"/>
                  <w:sz w:val="18"/>
                  <w:szCs w:val="18"/>
                  <w:color w:val="0000EE"/>
                  <w:w w:val="99"/>
                </w:rPr>
                <w:t>Form of Investment Management Trust Agreement between Continental Stock Transfer &amp; Trust Company and the Registrant.</w:t>
              </w:r>
            </w:hyperlink>
          </w:p>
        </w:tc>
      </w:tr>
      <w:tr>
        <w:trPr>
          <w:trHeight w:val="21"/>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20" w:type="dxa"/>
            <w:vAlign w:val="bottom"/>
            <w:gridSpan w:val="4"/>
          </w:tcPr>
          <w:p>
            <w:pPr>
              <w:spacing w:after="0" w:line="176" w:lineRule="exact"/>
              <w:rPr>
                <w:rFonts w:ascii="Arial" w:cs="Arial" w:eastAsia="Arial" w:hAnsi="Arial"/>
                <w:sz w:val="18"/>
                <w:szCs w:val="18"/>
                <w:color w:val="0000EE"/>
                <w:w w:val="95"/>
              </w:rPr>
            </w:pPr>
            <w:hyperlink r:id="rId223">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3*</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3"/>
          </w:tcPr>
          <w:p>
            <w:pPr>
              <w:ind w:left="20"/>
              <w:spacing w:after="0" w:line="176" w:lineRule="exact"/>
              <w:rPr>
                <w:rFonts w:ascii="Arial" w:cs="Arial" w:eastAsia="Arial" w:hAnsi="Arial"/>
                <w:sz w:val="18"/>
                <w:szCs w:val="18"/>
                <w:color w:val="0000EE"/>
                <w:w w:val="99"/>
              </w:rPr>
            </w:pPr>
            <w:hyperlink r:id="rId223">
              <w:r>
                <w:rPr>
                  <w:rFonts w:ascii="Arial" w:cs="Arial" w:eastAsia="Arial" w:hAnsi="Arial"/>
                  <w:sz w:val="18"/>
                  <w:szCs w:val="18"/>
                  <w:color w:val="0000EE"/>
                  <w:w w:val="99"/>
                </w:rPr>
                <w:t>Form of Escrow Agreement between the Registrant, Continental Stock Transfer &amp; Trust Company and the Initial Stockholders.</w:t>
              </w:r>
            </w:hyperlink>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140" w:type="dxa"/>
            <w:vAlign w:val="bottom"/>
            <w:gridSpan w:val="7"/>
            <w:shd w:val="clear" w:color="auto" w:fill="CCEEFF"/>
          </w:tcPr>
          <w:p>
            <w:pPr>
              <w:spacing w:after="0" w:line="176" w:lineRule="exact"/>
              <w:rPr>
                <w:rFonts w:ascii="Arial" w:cs="Arial" w:eastAsia="Arial" w:hAnsi="Arial"/>
                <w:sz w:val="18"/>
                <w:szCs w:val="18"/>
                <w:color w:val="0000EE"/>
              </w:rPr>
            </w:pPr>
            <w:hyperlink w:anchor="page242">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00" w:type="dxa"/>
            <w:vAlign w:val="bottom"/>
            <w:shd w:val="clear" w:color="auto" w:fill="CCEEFF"/>
          </w:tcPr>
          <w:p>
            <w:pPr>
              <w:spacing w:after="0"/>
              <w:rPr>
                <w:sz w:val="17"/>
                <w:szCs w:val="17"/>
                <w:color w:val="auto"/>
              </w:rPr>
            </w:pPr>
          </w:p>
        </w:tc>
        <w:tc>
          <w:tcPr>
            <w:tcW w:w="10000" w:type="dxa"/>
            <w:vAlign w:val="bottom"/>
            <w:gridSpan w:val="33"/>
            <w:shd w:val="clear" w:color="auto" w:fill="CCEEFF"/>
          </w:tcPr>
          <w:p>
            <w:pPr>
              <w:ind w:left="20"/>
              <w:spacing w:after="0" w:line="176" w:lineRule="exact"/>
              <w:rPr>
                <w:rFonts w:ascii="Arial" w:cs="Arial" w:eastAsia="Arial" w:hAnsi="Arial"/>
                <w:sz w:val="18"/>
                <w:szCs w:val="18"/>
                <w:color w:val="0000EE"/>
              </w:rPr>
            </w:pPr>
            <w:hyperlink w:anchor="page242">
              <w:r>
                <w:rPr>
                  <w:rFonts w:ascii="Arial" w:cs="Arial" w:eastAsia="Arial" w:hAnsi="Arial"/>
                  <w:sz w:val="18"/>
                  <w:szCs w:val="18"/>
                  <w:color w:val="0000EE"/>
                </w:rPr>
                <w:t>Form of Registration Rights Agreement among the Registrant and the Initial Stockholders.</w:t>
              </w:r>
            </w:hyperlink>
          </w:p>
        </w:tc>
      </w:tr>
      <w:tr>
        <w:trPr>
          <w:trHeight w:val="176"/>
        </w:trPr>
        <w:tc>
          <w:tcPr>
            <w:tcW w:w="420" w:type="dxa"/>
            <w:vAlign w:val="bottom"/>
            <w:tcBorders>
              <w:top w:val="single" w:sz="8" w:color="0000EE"/>
            </w:tcBorders>
            <w:gridSpan w:val="4"/>
          </w:tcPr>
          <w:p>
            <w:pPr>
              <w:spacing w:after="0" w:line="176" w:lineRule="exact"/>
              <w:rPr>
                <w:rFonts w:ascii="Arial" w:cs="Arial" w:eastAsia="Arial" w:hAnsi="Arial"/>
                <w:sz w:val="18"/>
                <w:szCs w:val="18"/>
                <w:color w:val="0000EE"/>
                <w:w w:val="95"/>
              </w:rPr>
            </w:pPr>
            <w:hyperlink r:id="rId224">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5*</w:t>
              </w:r>
            </w:hyperlink>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520" w:type="dxa"/>
            <w:vAlign w:val="bottom"/>
            <w:tcBorders>
              <w:top w:val="single" w:sz="8" w:color="0000EE"/>
            </w:tcBorders>
            <w:gridSpan w:val="27"/>
          </w:tcPr>
          <w:p>
            <w:pPr>
              <w:ind w:left="20"/>
              <w:spacing w:after="0" w:line="176" w:lineRule="exact"/>
              <w:rPr>
                <w:rFonts w:ascii="Arial" w:cs="Arial" w:eastAsia="Arial" w:hAnsi="Arial"/>
                <w:sz w:val="18"/>
                <w:szCs w:val="18"/>
                <w:color w:val="0000EE"/>
              </w:rPr>
            </w:pPr>
            <w:hyperlink r:id="rId224">
              <w:r>
                <w:rPr>
                  <w:rFonts w:ascii="Arial" w:cs="Arial" w:eastAsia="Arial" w:hAnsi="Arial"/>
                  <w:sz w:val="18"/>
                  <w:szCs w:val="18"/>
                  <w:color w:val="0000EE"/>
                </w:rPr>
                <w:t>Form of Indemnity Agreement.</w:t>
              </w:r>
            </w:hyperlink>
          </w:p>
        </w:tc>
        <w:tc>
          <w:tcPr>
            <w:tcW w:w="3480" w:type="dxa"/>
            <w:vAlign w:val="bottom"/>
            <w:tcBorders>
              <w:top w:val="single" w:sz="8" w:color="CCEEFF"/>
            </w:tcBorders>
            <w:gridSpan w:val="6"/>
          </w:tcPr>
          <w:p>
            <w:pPr>
              <w:spacing w:after="0"/>
              <w:rPr>
                <w:sz w:val="15"/>
                <w:szCs w:val="15"/>
                <w:color w:val="auto"/>
              </w:rPr>
            </w:pPr>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5"/>
              </w:rPr>
            </w:pPr>
            <w:hyperlink r:id="rId225">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6*</w:t>
              </w:r>
            </w:hyperlink>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60" w:type="dxa"/>
            <w:vAlign w:val="bottom"/>
            <w:tcBorders>
              <w:bottom w:val="single" w:sz="8" w:color="0000EE"/>
            </w:tcBorders>
            <w:gridSpan w:val="26"/>
            <w:shd w:val="clear" w:color="auto" w:fill="CCEEFF"/>
          </w:tcPr>
          <w:p>
            <w:pPr>
              <w:ind w:left="20"/>
              <w:spacing w:after="0" w:line="176" w:lineRule="exact"/>
              <w:rPr>
                <w:rFonts w:ascii="Arial" w:cs="Arial" w:eastAsia="Arial" w:hAnsi="Arial"/>
                <w:sz w:val="18"/>
                <w:szCs w:val="18"/>
                <w:color w:val="0000EE"/>
                <w:w w:val="89"/>
              </w:rPr>
            </w:pPr>
            <w:hyperlink r:id="rId225">
              <w:r>
                <w:rPr>
                  <w:rFonts w:ascii="Arial" w:cs="Arial" w:eastAsia="Arial" w:hAnsi="Arial"/>
                  <w:sz w:val="18"/>
                  <w:szCs w:val="18"/>
                  <w:color w:val="0000EE"/>
                  <w:w w:val="89"/>
                </w:rPr>
                <w:t>Subscription Agreement dated July 23, 2020, by and between the Registrant and Sponsor.</w:t>
              </w:r>
            </w:hyperlink>
          </w:p>
        </w:tc>
        <w:tc>
          <w:tcPr>
            <w:tcW w:w="3540" w:type="dxa"/>
            <w:vAlign w:val="bottom"/>
            <w:tcBorders>
              <w:bottom w:val="single" w:sz="8" w:color="CCEEFF"/>
            </w:tcBorders>
            <w:gridSpan w:val="7"/>
            <w:shd w:val="clear" w:color="auto" w:fill="CCEEFF"/>
          </w:tcPr>
          <w:p>
            <w:pPr>
              <w:spacing w:after="0"/>
              <w:rPr>
                <w:sz w:val="17"/>
                <w:szCs w:val="17"/>
                <w:color w:val="auto"/>
              </w:rPr>
            </w:pPr>
          </w:p>
        </w:tc>
      </w:tr>
      <w:tr>
        <w:trPr>
          <w:trHeight w:val="175"/>
        </w:trPr>
        <w:tc>
          <w:tcPr>
            <w:tcW w:w="420" w:type="dxa"/>
            <w:vAlign w:val="bottom"/>
            <w:gridSpan w:val="4"/>
          </w:tcPr>
          <w:p>
            <w:pPr>
              <w:spacing w:after="0" w:line="176" w:lineRule="exact"/>
              <w:rPr>
                <w:rFonts w:ascii="Arial" w:cs="Arial" w:eastAsia="Arial" w:hAnsi="Arial"/>
                <w:sz w:val="18"/>
                <w:szCs w:val="18"/>
                <w:color w:val="0000EE"/>
                <w:w w:val="95"/>
              </w:rPr>
            </w:pPr>
            <w:hyperlink r:id="rId226">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7*</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3"/>
          </w:tcPr>
          <w:p>
            <w:pPr>
              <w:ind w:left="20"/>
              <w:spacing w:after="0" w:line="176" w:lineRule="exact"/>
              <w:rPr>
                <w:rFonts w:ascii="Arial" w:cs="Arial" w:eastAsia="Arial" w:hAnsi="Arial"/>
                <w:sz w:val="18"/>
                <w:szCs w:val="18"/>
                <w:color w:val="0000EE"/>
              </w:rPr>
            </w:pPr>
            <w:hyperlink r:id="rId226">
              <w:r>
                <w:rPr>
                  <w:rFonts w:ascii="Arial" w:cs="Arial" w:eastAsia="Arial" w:hAnsi="Arial"/>
                  <w:sz w:val="18"/>
                  <w:szCs w:val="18"/>
                  <w:color w:val="0000EE"/>
                </w:rPr>
                <w:t>Promissory Note, dated July 23, 2020, issued to Sponsor.</w:t>
              </w:r>
            </w:hyperlink>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5"/>
              </w:rPr>
            </w:pPr>
            <w:hyperlink r:id="rId227">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8*</w:t>
              </w:r>
            </w:hyperlink>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40" w:type="dxa"/>
            <w:vAlign w:val="bottom"/>
            <w:tcBorders>
              <w:bottom w:val="single" w:sz="8" w:color="0000EE"/>
            </w:tcBorders>
            <w:gridSpan w:val="16"/>
            <w:shd w:val="clear" w:color="auto" w:fill="CCEEFF"/>
          </w:tcPr>
          <w:p>
            <w:pPr>
              <w:ind w:left="20"/>
              <w:spacing w:after="0" w:line="176" w:lineRule="exact"/>
              <w:rPr>
                <w:rFonts w:ascii="Arial" w:cs="Arial" w:eastAsia="Arial" w:hAnsi="Arial"/>
                <w:sz w:val="18"/>
                <w:szCs w:val="18"/>
                <w:color w:val="0000EE"/>
                <w:w w:val="91"/>
              </w:rPr>
            </w:pPr>
            <w:hyperlink r:id="rId227">
              <w:r>
                <w:rPr>
                  <w:rFonts w:ascii="Arial" w:cs="Arial" w:eastAsia="Arial" w:hAnsi="Arial"/>
                  <w:sz w:val="18"/>
                  <w:szCs w:val="18"/>
                  <w:color w:val="0000EE"/>
                  <w:w w:val="91"/>
                </w:rPr>
                <w:t>Administrative Services Agreement.</w:t>
              </w:r>
            </w:hyperlink>
          </w:p>
        </w:tc>
        <w:tc>
          <w:tcPr>
            <w:tcW w:w="7360" w:type="dxa"/>
            <w:vAlign w:val="bottom"/>
            <w:tcBorders>
              <w:bottom w:val="single" w:sz="8" w:color="CCEEFF"/>
            </w:tcBorders>
            <w:gridSpan w:val="17"/>
            <w:shd w:val="clear" w:color="auto" w:fill="CCEEFF"/>
          </w:tcPr>
          <w:p>
            <w:pPr>
              <w:spacing w:after="0"/>
              <w:rPr>
                <w:sz w:val="17"/>
                <w:szCs w:val="17"/>
                <w:color w:val="auto"/>
              </w:rPr>
            </w:pPr>
          </w:p>
        </w:tc>
      </w:tr>
      <w:tr>
        <w:trPr>
          <w:trHeight w:val="176"/>
        </w:trPr>
        <w:tc>
          <w:tcPr>
            <w:tcW w:w="1140" w:type="dxa"/>
            <w:vAlign w:val="bottom"/>
            <w:gridSpan w:val="7"/>
          </w:tcPr>
          <w:p>
            <w:pPr>
              <w:spacing w:after="0" w:line="176" w:lineRule="exact"/>
              <w:rPr>
                <w:rFonts w:ascii="Arial" w:cs="Arial" w:eastAsia="Arial" w:hAnsi="Arial"/>
                <w:sz w:val="18"/>
                <w:szCs w:val="18"/>
                <w:color w:val="0000EE"/>
              </w:rPr>
            </w:pPr>
            <w:hyperlink w:anchor="page256">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100" w:type="dxa"/>
            <w:vAlign w:val="bottom"/>
          </w:tcPr>
          <w:p>
            <w:pPr>
              <w:spacing w:after="0"/>
              <w:rPr>
                <w:sz w:val="15"/>
                <w:szCs w:val="15"/>
                <w:color w:val="auto"/>
              </w:rPr>
            </w:pPr>
          </w:p>
        </w:tc>
        <w:tc>
          <w:tcPr>
            <w:tcW w:w="10000" w:type="dxa"/>
            <w:vAlign w:val="bottom"/>
            <w:gridSpan w:val="33"/>
          </w:tcPr>
          <w:p>
            <w:pPr>
              <w:ind w:left="20"/>
              <w:spacing w:after="0" w:line="176" w:lineRule="exact"/>
              <w:rPr>
                <w:rFonts w:ascii="Arial" w:cs="Arial" w:eastAsia="Arial" w:hAnsi="Arial"/>
                <w:sz w:val="18"/>
                <w:szCs w:val="18"/>
                <w:color w:val="0000EE"/>
              </w:rPr>
            </w:pPr>
            <w:hyperlink w:anchor="page256">
              <w:r>
                <w:rPr>
                  <w:rFonts w:ascii="Arial" w:cs="Arial" w:eastAsia="Arial" w:hAnsi="Arial"/>
                  <w:sz w:val="18"/>
                  <w:szCs w:val="18"/>
                  <w:color w:val="0000EE"/>
                </w:rPr>
                <w:t>Form of Private Placement Warrant Purchase Agreement.</w:t>
              </w:r>
            </w:hyperlink>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6"/>
              </w:rPr>
            </w:pPr>
            <w:hyperlink r:id="rId228">
              <w:r>
                <w:rPr>
                  <w:rFonts w:ascii="Arial" w:cs="Arial" w:eastAsia="Arial" w:hAnsi="Arial"/>
                  <w:sz w:val="18"/>
                  <w:szCs w:val="18"/>
                  <w:color w:val="0000EE"/>
                  <w:w w:val="96"/>
                </w:rPr>
                <w:t>14*</w:t>
              </w:r>
            </w:hyperlink>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0000EE"/>
            </w:tcBorders>
            <w:gridSpan w:val="4"/>
            <w:shd w:val="clear" w:color="auto" w:fill="CCEEFF"/>
          </w:tcPr>
          <w:p>
            <w:pPr>
              <w:ind w:left="20"/>
              <w:spacing w:after="0" w:line="176" w:lineRule="exact"/>
              <w:rPr>
                <w:rFonts w:ascii="Arial" w:cs="Arial" w:eastAsia="Arial" w:hAnsi="Arial"/>
                <w:sz w:val="18"/>
                <w:szCs w:val="18"/>
                <w:color w:val="0000EE"/>
                <w:w w:val="90"/>
              </w:rPr>
            </w:pPr>
            <w:hyperlink r:id="rId228">
              <w:r>
                <w:rPr>
                  <w:rFonts w:ascii="Arial" w:cs="Arial" w:eastAsia="Arial" w:hAnsi="Arial"/>
                  <w:sz w:val="18"/>
                  <w:szCs w:val="18"/>
                  <w:color w:val="0000EE"/>
                  <w:w w:val="90"/>
                </w:rPr>
                <w:t>Form of Code of Ethics.</w:t>
              </w:r>
            </w:hyperlink>
          </w:p>
        </w:tc>
        <w:tc>
          <w:tcPr>
            <w:tcW w:w="8240" w:type="dxa"/>
            <w:vAlign w:val="bottom"/>
            <w:tcBorders>
              <w:bottom w:val="single" w:sz="8" w:color="CCEEFF"/>
            </w:tcBorders>
            <w:gridSpan w:val="29"/>
            <w:shd w:val="clear" w:color="auto" w:fill="CCEEFF"/>
          </w:tcPr>
          <w:p>
            <w:pPr>
              <w:spacing w:after="0"/>
              <w:rPr>
                <w:sz w:val="17"/>
                <w:szCs w:val="17"/>
                <w:color w:val="auto"/>
              </w:rPr>
            </w:pPr>
          </w:p>
        </w:tc>
      </w:tr>
      <w:tr>
        <w:trPr>
          <w:trHeight w:val="176"/>
        </w:trPr>
        <w:tc>
          <w:tcPr>
            <w:tcW w:w="1140" w:type="dxa"/>
            <w:vAlign w:val="bottom"/>
            <w:gridSpan w:val="7"/>
          </w:tcPr>
          <w:p>
            <w:pPr>
              <w:spacing w:after="0" w:line="176" w:lineRule="exact"/>
              <w:rPr>
                <w:rFonts w:ascii="Arial" w:cs="Arial" w:eastAsia="Arial" w:hAnsi="Arial"/>
                <w:sz w:val="18"/>
                <w:szCs w:val="18"/>
                <w:color w:val="0000EE"/>
              </w:rPr>
            </w:pPr>
            <w:hyperlink w:anchor="page259">
              <w:r>
                <w:rPr>
                  <w:rFonts w:ascii="Arial" w:cs="Arial" w:eastAsia="Arial" w:hAnsi="Arial"/>
                  <w:sz w:val="18"/>
                  <w:szCs w:val="18"/>
                  <w:color w:val="0000EE"/>
                </w:rPr>
                <w:t>23.</w:t>
              </w:r>
              <w:r>
                <w:rPr>
                  <w:rFonts w:ascii="Arial" w:cs="Arial" w:eastAsia="Arial" w:hAnsi="Arial"/>
                  <w:sz w:val="18"/>
                  <w:szCs w:val="18"/>
                  <w:u w:val="single" w:color="auto"/>
                  <w:color w:val="0000EE"/>
                </w:rPr>
                <w:t>1**</w:t>
              </w:r>
            </w:hyperlink>
          </w:p>
        </w:tc>
        <w:tc>
          <w:tcPr>
            <w:tcW w:w="100" w:type="dxa"/>
            <w:vAlign w:val="bottom"/>
          </w:tcPr>
          <w:p>
            <w:pPr>
              <w:spacing w:after="0"/>
              <w:rPr>
                <w:sz w:val="15"/>
                <w:szCs w:val="15"/>
                <w:color w:val="auto"/>
              </w:rPr>
            </w:pPr>
          </w:p>
        </w:tc>
        <w:tc>
          <w:tcPr>
            <w:tcW w:w="10000" w:type="dxa"/>
            <w:vAlign w:val="bottom"/>
            <w:gridSpan w:val="33"/>
          </w:tcPr>
          <w:p>
            <w:pPr>
              <w:ind w:left="20"/>
              <w:spacing w:after="0" w:line="176" w:lineRule="exact"/>
              <w:rPr>
                <w:rFonts w:ascii="Arial" w:cs="Arial" w:eastAsia="Arial" w:hAnsi="Arial"/>
                <w:sz w:val="18"/>
                <w:szCs w:val="18"/>
                <w:color w:val="0000EE"/>
              </w:rPr>
            </w:pPr>
            <w:hyperlink w:anchor="page259">
              <w:r>
                <w:rPr>
                  <w:rFonts w:ascii="Arial" w:cs="Arial" w:eastAsia="Arial" w:hAnsi="Arial"/>
                  <w:sz w:val="18"/>
                  <w:szCs w:val="18"/>
                  <w:color w:val="0000EE"/>
                </w:rPr>
                <w:t>Consent of WithumSmith+Brown, PC.</w:t>
              </w:r>
            </w:hyperlink>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5"/>
        </w:trPr>
        <w:tc>
          <w:tcPr>
            <w:tcW w:w="420" w:type="dxa"/>
            <w:vAlign w:val="bottom"/>
            <w:gridSpan w:val="4"/>
            <w:shd w:val="clear" w:color="auto" w:fill="CCEEFF"/>
          </w:tcPr>
          <w:p>
            <w:pPr>
              <w:spacing w:after="0" w:line="176" w:lineRule="exact"/>
              <w:rPr>
                <w:rFonts w:ascii="Arial" w:cs="Arial" w:eastAsia="Arial" w:hAnsi="Arial"/>
                <w:sz w:val="18"/>
                <w:szCs w:val="18"/>
                <w:color w:val="0000EE"/>
                <w:w w:val="95"/>
              </w:rPr>
            </w:pPr>
            <w:hyperlink r:id="rId229">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2*</w:t>
              </w:r>
            </w:hyperlink>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3"/>
            <w:shd w:val="clear" w:color="auto" w:fill="CCEEFF"/>
          </w:tcPr>
          <w:p>
            <w:pPr>
              <w:ind w:left="20"/>
              <w:spacing w:after="0" w:line="176" w:lineRule="exact"/>
              <w:rPr>
                <w:rFonts w:ascii="Arial" w:cs="Arial" w:eastAsia="Arial" w:hAnsi="Arial"/>
                <w:sz w:val="18"/>
                <w:szCs w:val="18"/>
                <w:color w:val="0000EE"/>
              </w:rPr>
            </w:pPr>
            <w:hyperlink r:id="rId229">
              <w:r>
                <w:rPr>
                  <w:rFonts w:ascii="Arial" w:cs="Arial" w:eastAsia="Arial" w:hAnsi="Arial"/>
                  <w:sz w:val="18"/>
                  <w:szCs w:val="18"/>
                  <w:color w:val="0000EE"/>
                </w:rPr>
                <w:t>Consent of Reed Smith LLP (included in Exhibit 5.1).</w:t>
              </w:r>
            </w:hyperlink>
          </w:p>
        </w:tc>
      </w:tr>
      <w:tr>
        <w:trPr>
          <w:trHeight w:val="21"/>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20" w:type="dxa"/>
            <w:vAlign w:val="bottom"/>
            <w:gridSpan w:val="2"/>
          </w:tcPr>
          <w:p>
            <w:pPr>
              <w:spacing w:after="0" w:line="176" w:lineRule="exact"/>
              <w:rPr>
                <w:rFonts w:ascii="Arial" w:cs="Arial" w:eastAsia="Arial" w:hAnsi="Arial"/>
                <w:sz w:val="18"/>
                <w:szCs w:val="18"/>
                <w:color w:val="0000EE"/>
              </w:rPr>
            </w:pPr>
            <w:hyperlink r:id="rId230">
              <w:r>
                <w:rPr>
                  <w:rFonts w:ascii="Arial" w:cs="Arial" w:eastAsia="Arial" w:hAnsi="Arial"/>
                  <w:sz w:val="18"/>
                  <w:szCs w:val="18"/>
                  <w:color w:val="0000EE"/>
                </w:rPr>
                <w:t>24*</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3"/>
          </w:tcPr>
          <w:p>
            <w:pPr>
              <w:ind w:left="20"/>
              <w:spacing w:after="0" w:line="176" w:lineRule="exact"/>
              <w:rPr>
                <w:rFonts w:ascii="Arial" w:cs="Arial" w:eastAsia="Arial" w:hAnsi="Arial"/>
                <w:sz w:val="18"/>
                <w:szCs w:val="18"/>
                <w:color w:val="0000EE"/>
              </w:rPr>
            </w:pPr>
            <w:hyperlink r:id="rId230">
              <w:r>
                <w:rPr>
                  <w:rFonts w:ascii="Arial" w:cs="Arial" w:eastAsia="Arial" w:hAnsi="Arial"/>
                  <w:sz w:val="18"/>
                  <w:szCs w:val="18"/>
                  <w:color w:val="0000EE"/>
                </w:rPr>
                <w:t>Power of Attorney (included on the signature page of the original filing hereof).</w:t>
              </w:r>
            </w:hyperlink>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5"/>
        </w:trPr>
        <w:tc>
          <w:tcPr>
            <w:tcW w:w="420" w:type="dxa"/>
            <w:vAlign w:val="bottom"/>
            <w:gridSpan w:val="4"/>
            <w:shd w:val="clear" w:color="auto" w:fill="CCEEFF"/>
          </w:tcPr>
          <w:p>
            <w:pPr>
              <w:spacing w:after="0" w:line="176" w:lineRule="exact"/>
              <w:rPr>
                <w:rFonts w:ascii="Arial" w:cs="Arial" w:eastAsia="Arial" w:hAnsi="Arial"/>
                <w:sz w:val="18"/>
                <w:szCs w:val="18"/>
                <w:color w:val="0000EE"/>
                <w:w w:val="95"/>
              </w:rPr>
            </w:pPr>
            <w:hyperlink r:id="rId231">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1*</w:t>
              </w:r>
            </w:hyperlink>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3"/>
            <w:shd w:val="clear" w:color="auto" w:fill="CCEEFF"/>
          </w:tcPr>
          <w:p>
            <w:pPr>
              <w:ind w:left="20"/>
              <w:spacing w:after="0" w:line="176" w:lineRule="exact"/>
              <w:rPr>
                <w:rFonts w:ascii="Arial" w:cs="Arial" w:eastAsia="Arial" w:hAnsi="Arial"/>
                <w:sz w:val="18"/>
                <w:szCs w:val="18"/>
                <w:color w:val="0000EE"/>
              </w:rPr>
            </w:pPr>
            <w:hyperlink r:id="rId231">
              <w:r>
                <w:rPr>
                  <w:rFonts w:ascii="Arial" w:cs="Arial" w:eastAsia="Arial" w:hAnsi="Arial"/>
                  <w:sz w:val="18"/>
                  <w:szCs w:val="18"/>
                  <w:color w:val="0000EE"/>
                </w:rPr>
                <w:t>Audit Committee Charter.</w:t>
              </w:r>
            </w:hyperlink>
          </w:p>
        </w:tc>
      </w:tr>
      <w:tr>
        <w:trPr>
          <w:trHeight w:val="20"/>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20" w:type="dxa"/>
            <w:vAlign w:val="bottom"/>
            <w:gridSpan w:val="4"/>
          </w:tcPr>
          <w:p>
            <w:pPr>
              <w:spacing w:after="0" w:line="176" w:lineRule="exact"/>
              <w:rPr>
                <w:rFonts w:ascii="Arial" w:cs="Arial" w:eastAsia="Arial" w:hAnsi="Arial"/>
                <w:sz w:val="18"/>
                <w:szCs w:val="18"/>
                <w:color w:val="0000EE"/>
                <w:w w:val="95"/>
              </w:rPr>
            </w:pPr>
            <w:hyperlink r:id="rId232">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2*</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3"/>
          </w:tcPr>
          <w:p>
            <w:pPr>
              <w:ind w:left="20"/>
              <w:spacing w:after="0" w:line="176" w:lineRule="exact"/>
              <w:rPr>
                <w:rFonts w:ascii="Arial" w:cs="Arial" w:eastAsia="Arial" w:hAnsi="Arial"/>
                <w:sz w:val="18"/>
                <w:szCs w:val="18"/>
                <w:color w:val="0000EE"/>
              </w:rPr>
            </w:pPr>
            <w:hyperlink r:id="rId232">
              <w:r>
                <w:rPr>
                  <w:rFonts w:ascii="Arial" w:cs="Arial" w:eastAsia="Arial" w:hAnsi="Arial"/>
                  <w:sz w:val="18"/>
                  <w:szCs w:val="18"/>
                  <w:color w:val="0000EE"/>
                </w:rPr>
                <w:t>Compensation Committee Charter.</w:t>
              </w:r>
            </w:hyperlink>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420" w:type="dxa"/>
            <w:vAlign w:val="bottom"/>
            <w:gridSpan w:val="4"/>
            <w:shd w:val="clear" w:color="auto" w:fill="CCEEFF"/>
          </w:tcPr>
          <w:p>
            <w:pPr>
              <w:spacing w:after="0" w:line="176" w:lineRule="exact"/>
              <w:rPr>
                <w:rFonts w:ascii="Arial" w:cs="Arial" w:eastAsia="Arial" w:hAnsi="Arial"/>
                <w:sz w:val="18"/>
                <w:szCs w:val="18"/>
                <w:color w:val="0000EE"/>
                <w:w w:val="95"/>
              </w:rPr>
            </w:pPr>
            <w:hyperlink r:id="rId233">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3*</w:t>
              </w:r>
            </w:hyperlink>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33"/>
            <w:shd w:val="clear" w:color="auto" w:fill="CCEEFF"/>
          </w:tcPr>
          <w:p>
            <w:pPr>
              <w:ind w:left="20"/>
              <w:spacing w:after="0" w:line="176" w:lineRule="exact"/>
              <w:rPr>
                <w:rFonts w:ascii="Arial" w:cs="Arial" w:eastAsia="Arial" w:hAnsi="Arial"/>
                <w:sz w:val="18"/>
                <w:szCs w:val="18"/>
                <w:color w:val="0000EE"/>
              </w:rPr>
            </w:pPr>
            <w:hyperlink r:id="rId233">
              <w:r>
                <w:rPr>
                  <w:rFonts w:ascii="Arial" w:cs="Arial" w:eastAsia="Arial" w:hAnsi="Arial"/>
                  <w:sz w:val="18"/>
                  <w:szCs w:val="18"/>
                  <w:color w:val="0000EE"/>
                </w:rPr>
                <w:t>Consent of Jonathan Biele.</w:t>
              </w:r>
            </w:hyperlink>
          </w:p>
        </w:tc>
      </w:tr>
      <w:tr>
        <w:trPr>
          <w:trHeight w:val="175"/>
        </w:trPr>
        <w:tc>
          <w:tcPr>
            <w:tcW w:w="420" w:type="dxa"/>
            <w:vAlign w:val="bottom"/>
            <w:tcBorders>
              <w:top w:val="single" w:sz="8" w:color="0000EE"/>
            </w:tcBorders>
            <w:gridSpan w:val="4"/>
          </w:tcPr>
          <w:p>
            <w:pPr>
              <w:spacing w:after="0" w:line="176" w:lineRule="exact"/>
              <w:rPr>
                <w:rFonts w:ascii="Arial" w:cs="Arial" w:eastAsia="Arial" w:hAnsi="Arial"/>
                <w:sz w:val="18"/>
                <w:szCs w:val="18"/>
                <w:color w:val="0000EE"/>
                <w:w w:val="95"/>
              </w:rPr>
            </w:pPr>
            <w:hyperlink r:id="rId234">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4*</w:t>
              </w:r>
            </w:hyperlink>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940" w:type="dxa"/>
            <w:vAlign w:val="bottom"/>
            <w:tcBorders>
              <w:top w:val="single" w:sz="8" w:color="0000EE"/>
            </w:tcBorders>
            <w:gridSpan w:val="6"/>
          </w:tcPr>
          <w:p>
            <w:pPr>
              <w:ind w:left="20"/>
              <w:spacing w:after="0" w:line="176" w:lineRule="exact"/>
              <w:rPr>
                <w:rFonts w:ascii="Arial" w:cs="Arial" w:eastAsia="Arial" w:hAnsi="Arial"/>
                <w:sz w:val="18"/>
                <w:szCs w:val="18"/>
                <w:color w:val="0000EE"/>
                <w:w w:val="99"/>
              </w:rPr>
            </w:pPr>
            <w:hyperlink r:id="rId234">
              <w:r>
                <w:rPr>
                  <w:rFonts w:ascii="Arial" w:cs="Arial" w:eastAsia="Arial" w:hAnsi="Arial"/>
                  <w:sz w:val="18"/>
                  <w:szCs w:val="18"/>
                  <w:color w:val="0000EE"/>
                  <w:w w:val="99"/>
                </w:rPr>
                <w:t>Consent of Perry Boyle.</w:t>
              </w:r>
            </w:hyperlink>
          </w:p>
        </w:tc>
        <w:tc>
          <w:tcPr>
            <w:tcW w:w="8060" w:type="dxa"/>
            <w:vAlign w:val="bottom"/>
            <w:tcBorders>
              <w:top w:val="single" w:sz="8" w:color="CCEEFF"/>
            </w:tcBorders>
            <w:gridSpan w:val="27"/>
          </w:tcPr>
          <w:p>
            <w:pPr>
              <w:spacing w:after="0"/>
              <w:rPr>
                <w:sz w:val="15"/>
                <w:szCs w:val="15"/>
                <w:color w:val="auto"/>
              </w:rPr>
            </w:pPr>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420" w:type="dxa"/>
            <w:vAlign w:val="bottom"/>
            <w:gridSpan w:val="4"/>
            <w:shd w:val="clear" w:color="auto" w:fill="CCEEFF"/>
          </w:tcPr>
          <w:p>
            <w:pPr>
              <w:spacing w:after="0" w:line="176" w:lineRule="exact"/>
              <w:rPr>
                <w:rFonts w:ascii="Arial" w:cs="Arial" w:eastAsia="Arial" w:hAnsi="Arial"/>
                <w:sz w:val="18"/>
                <w:szCs w:val="18"/>
                <w:color w:val="0000EE"/>
                <w:w w:val="95"/>
              </w:rPr>
            </w:pPr>
            <w:hyperlink r:id="rId235">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5*</w:t>
              </w:r>
            </w:hyperlink>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33"/>
            <w:shd w:val="clear" w:color="auto" w:fill="CCEEFF"/>
          </w:tcPr>
          <w:p>
            <w:pPr>
              <w:ind w:left="20"/>
              <w:spacing w:after="0" w:line="176" w:lineRule="exact"/>
              <w:rPr>
                <w:rFonts w:ascii="Arial" w:cs="Arial" w:eastAsia="Arial" w:hAnsi="Arial"/>
                <w:sz w:val="18"/>
                <w:szCs w:val="18"/>
                <w:color w:val="0000EE"/>
              </w:rPr>
            </w:pPr>
            <w:hyperlink r:id="rId235">
              <w:r>
                <w:rPr>
                  <w:rFonts w:ascii="Arial" w:cs="Arial" w:eastAsia="Arial" w:hAnsi="Arial"/>
                  <w:sz w:val="18"/>
                  <w:szCs w:val="18"/>
                  <w:color w:val="0000EE"/>
                </w:rPr>
                <w:t>Consent of Roderick Hardamon.</w:t>
              </w:r>
            </w:hyperlink>
          </w:p>
        </w:tc>
      </w:tr>
      <w:tr>
        <w:trPr>
          <w:trHeight w:val="175"/>
        </w:trPr>
        <w:tc>
          <w:tcPr>
            <w:tcW w:w="420" w:type="dxa"/>
            <w:vAlign w:val="bottom"/>
            <w:tcBorders>
              <w:top w:val="single" w:sz="8" w:color="0000EE"/>
            </w:tcBorders>
            <w:gridSpan w:val="4"/>
          </w:tcPr>
          <w:p>
            <w:pPr>
              <w:spacing w:after="0" w:line="176" w:lineRule="exact"/>
              <w:rPr>
                <w:rFonts w:ascii="Arial" w:cs="Arial" w:eastAsia="Arial" w:hAnsi="Arial"/>
                <w:sz w:val="18"/>
                <w:szCs w:val="18"/>
                <w:color w:val="0000EE"/>
                <w:w w:val="95"/>
              </w:rPr>
            </w:pPr>
            <w:hyperlink r:id="rId236">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6*</w:t>
              </w:r>
            </w:hyperlink>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340" w:type="dxa"/>
            <w:vAlign w:val="bottom"/>
            <w:tcBorders>
              <w:top w:val="single" w:sz="8" w:color="0000EE"/>
            </w:tcBorders>
            <w:gridSpan w:val="13"/>
          </w:tcPr>
          <w:p>
            <w:pPr>
              <w:ind w:left="20"/>
              <w:spacing w:after="0" w:line="176" w:lineRule="exact"/>
              <w:rPr>
                <w:rFonts w:ascii="Arial" w:cs="Arial" w:eastAsia="Arial" w:hAnsi="Arial"/>
                <w:sz w:val="18"/>
                <w:szCs w:val="18"/>
                <w:color w:val="0000EE"/>
                <w:w w:val="99"/>
              </w:rPr>
            </w:pPr>
            <w:hyperlink r:id="rId236">
              <w:r>
                <w:rPr>
                  <w:rFonts w:ascii="Arial" w:cs="Arial" w:eastAsia="Arial" w:hAnsi="Arial"/>
                  <w:sz w:val="18"/>
                  <w:szCs w:val="18"/>
                  <w:color w:val="0000EE"/>
                  <w:w w:val="99"/>
                </w:rPr>
                <w:t>Consent of Jory Des Jardins.</w:t>
              </w:r>
            </w:hyperlink>
          </w:p>
        </w:tc>
        <w:tc>
          <w:tcPr>
            <w:tcW w:w="7660" w:type="dxa"/>
            <w:vAlign w:val="bottom"/>
            <w:tcBorders>
              <w:top w:val="single" w:sz="8" w:color="CCEEFF"/>
            </w:tcBorders>
            <w:gridSpan w:val="20"/>
          </w:tcPr>
          <w:p>
            <w:pPr>
              <w:spacing w:after="0"/>
              <w:rPr>
                <w:sz w:val="15"/>
                <w:szCs w:val="15"/>
                <w:color w:val="auto"/>
              </w:rPr>
            </w:pPr>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5"/>
              </w:rPr>
            </w:pPr>
            <w:hyperlink r:id="rId237">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7*</w:t>
              </w:r>
            </w:hyperlink>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0000EE"/>
            </w:tcBorders>
            <w:gridSpan w:val="8"/>
            <w:shd w:val="clear" w:color="auto" w:fill="CCEEFF"/>
          </w:tcPr>
          <w:p>
            <w:pPr>
              <w:ind w:left="20"/>
              <w:spacing w:after="0" w:line="176" w:lineRule="exact"/>
              <w:rPr>
                <w:rFonts w:ascii="Arial" w:cs="Arial" w:eastAsia="Arial" w:hAnsi="Arial"/>
                <w:sz w:val="18"/>
                <w:szCs w:val="18"/>
                <w:color w:val="0000EE"/>
                <w:w w:val="88"/>
              </w:rPr>
            </w:pPr>
            <w:hyperlink r:id="rId237">
              <w:r>
                <w:rPr>
                  <w:rFonts w:ascii="Arial" w:cs="Arial" w:eastAsia="Arial" w:hAnsi="Arial"/>
                  <w:sz w:val="18"/>
                  <w:szCs w:val="18"/>
                  <w:color w:val="0000EE"/>
                  <w:w w:val="88"/>
                </w:rPr>
                <w:t>Consent of Todd Thomson.</w:t>
              </w:r>
            </w:hyperlink>
          </w:p>
        </w:tc>
        <w:tc>
          <w:tcPr>
            <w:tcW w:w="8020" w:type="dxa"/>
            <w:vAlign w:val="bottom"/>
            <w:tcBorders>
              <w:bottom w:val="single" w:sz="8" w:color="CCEEFF"/>
            </w:tcBorders>
            <w:gridSpan w:val="25"/>
            <w:shd w:val="clear" w:color="auto" w:fill="CCEEFF"/>
          </w:tcPr>
          <w:p>
            <w:pPr>
              <w:spacing w:after="0"/>
              <w:rPr>
                <w:sz w:val="17"/>
                <w:szCs w:val="17"/>
                <w:color w:val="auto"/>
              </w:rPr>
            </w:pPr>
          </w:p>
        </w:tc>
      </w:tr>
      <w:tr>
        <w:trPr>
          <w:trHeight w:val="176"/>
        </w:trPr>
        <w:tc>
          <w:tcPr>
            <w:tcW w:w="420" w:type="dxa"/>
            <w:vAlign w:val="bottom"/>
            <w:gridSpan w:val="4"/>
          </w:tcPr>
          <w:p>
            <w:pPr>
              <w:spacing w:after="0" w:line="176" w:lineRule="exact"/>
              <w:rPr>
                <w:rFonts w:ascii="Arial" w:cs="Arial" w:eastAsia="Arial" w:hAnsi="Arial"/>
                <w:sz w:val="18"/>
                <w:szCs w:val="18"/>
                <w:color w:val="0000EE"/>
                <w:w w:val="95"/>
              </w:rPr>
            </w:pPr>
            <w:hyperlink r:id="rId238">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8*</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3"/>
          </w:tcPr>
          <w:p>
            <w:pPr>
              <w:ind w:left="20"/>
              <w:spacing w:after="0" w:line="176" w:lineRule="exact"/>
              <w:rPr>
                <w:rFonts w:ascii="Arial" w:cs="Arial" w:eastAsia="Arial" w:hAnsi="Arial"/>
                <w:sz w:val="18"/>
                <w:szCs w:val="18"/>
                <w:color w:val="0000EE"/>
              </w:rPr>
            </w:pPr>
            <w:hyperlink r:id="rId238">
              <w:r>
                <w:rPr>
                  <w:rFonts w:ascii="Arial" w:cs="Arial" w:eastAsia="Arial" w:hAnsi="Arial"/>
                  <w:sz w:val="18"/>
                  <w:szCs w:val="18"/>
                  <w:color w:val="0000EE"/>
                </w:rPr>
                <w:t>Consent of Hitesh Thakrar.</w:t>
              </w:r>
            </w:hyperlink>
          </w:p>
        </w:tc>
      </w:tr>
      <w:tr>
        <w:trPr>
          <w:trHeight w:val="290"/>
        </w:trPr>
        <w:tc>
          <w:tcPr>
            <w:tcW w:w="2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69" w:lineRule="exact"/>
        <w:rPr>
          <w:sz w:val="20"/>
          <w:szCs w:val="20"/>
          <w:color w:val="auto"/>
        </w:rPr>
      </w:pPr>
    </w:p>
    <w:p>
      <w:pPr>
        <w:ind w:left="340" w:right="9400" w:hanging="8"/>
        <w:spacing w:after="0" w:line="623" w:lineRule="auto"/>
        <w:tabs>
          <w:tab w:leader="none" w:pos="664" w:val="left"/>
        </w:tabs>
        <w:numPr>
          <w:ilvl w:val="0"/>
          <w:numId w:val="84"/>
        </w:numPr>
        <w:rPr>
          <w:rFonts w:ascii="Arial" w:cs="Arial" w:eastAsia="Arial" w:hAnsi="Arial"/>
          <w:sz w:val="16"/>
          <w:szCs w:val="16"/>
          <w:color w:val="auto"/>
        </w:rPr>
      </w:pPr>
      <w:r>
        <w:rPr>
          <w:rFonts w:ascii="Arial" w:cs="Arial" w:eastAsia="Arial" w:hAnsi="Arial"/>
          <w:sz w:val="16"/>
          <w:szCs w:val="16"/>
          <w:color w:val="auto"/>
        </w:rPr>
        <w:t>Previously filed.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ind w:left="6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Financial Statements</w:t>
      </w:r>
      <w:r>
        <w:rPr>
          <w:rFonts w:ascii="Arial" w:cs="Arial" w:eastAsia="Arial" w:hAnsi="Arial"/>
          <w:sz w:val="18"/>
          <w:szCs w:val="18"/>
          <w:color w:val="auto"/>
        </w:rPr>
        <w:t>. See page F-1 for an index to the financial statements and schedules included in the registration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980" w:hanging="324"/>
        <w:spacing w:after="0" w:line="342" w:lineRule="auto"/>
        <w:tabs>
          <w:tab w:leader="none" w:pos="9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 to permit prompt delivery to each purchaser.</w:t>
      </w:r>
    </w:p>
    <w:p>
      <w:pPr>
        <w:spacing w:after="0" w:line="123" w:lineRule="exact"/>
        <w:rPr>
          <w:rFonts w:ascii="Arial" w:cs="Arial" w:eastAsia="Arial" w:hAnsi="Arial"/>
          <w:sz w:val="16"/>
          <w:szCs w:val="16"/>
          <w:color w:val="auto"/>
        </w:rPr>
      </w:pPr>
    </w:p>
    <w:p>
      <w:pPr>
        <w:jc w:val="both"/>
        <w:ind w:left="980" w:hanging="324"/>
        <w:spacing w:after="0" w:line="271" w:lineRule="auto"/>
        <w:tabs>
          <w:tab w:leader="none" w:pos="9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rFonts w:ascii="Arial" w:cs="Arial" w:eastAsia="Arial" w:hAnsi="Arial"/>
          <w:sz w:val="17"/>
          <w:szCs w:val="17"/>
          <w:color w:val="auto"/>
        </w:rPr>
      </w:pPr>
    </w:p>
    <w:p>
      <w:pPr>
        <w:ind w:left="980" w:hanging="324"/>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jc w:val="both"/>
        <w:ind w:left="1620" w:hanging="316"/>
        <w:spacing w:after="0" w:line="259" w:lineRule="auto"/>
        <w:tabs>
          <w:tab w:leader="none" w:pos="1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6" w:lineRule="exact"/>
        <w:rPr>
          <w:rFonts w:ascii="Arial" w:cs="Arial" w:eastAsia="Arial" w:hAnsi="Arial"/>
          <w:sz w:val="18"/>
          <w:szCs w:val="18"/>
          <w:color w:val="auto"/>
        </w:rPr>
      </w:pPr>
    </w:p>
    <w:p>
      <w:pPr>
        <w:jc w:val="both"/>
        <w:ind w:left="1620" w:hanging="316"/>
        <w:spacing w:after="0" w:line="263" w:lineRule="auto"/>
        <w:tabs>
          <w:tab w:leader="none" w:pos="1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jc w:val="both"/>
        <w:ind w:left="1620" w:hanging="316"/>
        <w:spacing w:after="0" w:line="290" w:lineRule="auto"/>
        <w:tabs>
          <w:tab w:leader="none" w:pos="1620" w:val="left"/>
        </w:tabs>
        <w:numPr>
          <w:ilvl w:val="1"/>
          <w:numId w:val="85"/>
        </w:numPr>
        <w:rPr>
          <w:rFonts w:ascii="Arial" w:cs="Arial" w:eastAsia="Arial" w:hAnsi="Arial"/>
          <w:sz w:val="16"/>
          <w:szCs w:val="16"/>
          <w:color w:val="auto"/>
        </w:rPr>
      </w:pPr>
      <w:r>
        <w:rPr>
          <w:rFonts w:ascii="Arial" w:cs="Arial" w:eastAsia="Arial" w:hAnsi="Arial"/>
          <w:sz w:val="16"/>
          <w:szCs w:val="16"/>
          <w:color w:val="auto"/>
        </w:rPr>
        <w:t>For the purpose of determining liability under the Securities Act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5" w:lineRule="exact"/>
        <w:rPr>
          <w:rFonts w:ascii="Arial" w:cs="Arial" w:eastAsia="Arial" w:hAnsi="Arial"/>
          <w:sz w:val="16"/>
          <w:szCs w:val="16"/>
          <w:color w:val="auto"/>
        </w:rPr>
      </w:pPr>
    </w:p>
    <w:p>
      <w:pPr>
        <w:jc w:val="both"/>
        <w:ind w:left="1620" w:hanging="316"/>
        <w:spacing w:after="0" w:line="275" w:lineRule="auto"/>
        <w:tabs>
          <w:tab w:leader="none" w:pos="1620" w:val="left"/>
        </w:tabs>
        <w:numPr>
          <w:ilvl w:val="1"/>
          <w:numId w:val="85"/>
        </w:numPr>
        <w:rPr>
          <w:rFonts w:ascii="Arial" w:cs="Arial" w:eastAsia="Arial" w:hAnsi="Arial"/>
          <w:sz w:val="17"/>
          <w:szCs w:val="17"/>
          <w:color w:val="auto"/>
        </w:rPr>
      </w:pPr>
      <w:r>
        <w:rPr>
          <w:rFonts w:ascii="Arial" w:cs="Arial" w:eastAsia="Arial" w:hAnsi="Arial"/>
          <w:sz w:val="17"/>
          <w:szCs w:val="17"/>
          <w:color w:val="auto"/>
        </w:rPr>
        <w:t>For the purpose of determining liability of a registrant under the Securities Act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6" w:lineRule="exact"/>
        <w:rPr>
          <w:rFonts w:ascii="Arial" w:cs="Arial" w:eastAsia="Arial" w:hAnsi="Arial"/>
          <w:sz w:val="17"/>
          <w:szCs w:val="17"/>
          <w:color w:val="auto"/>
        </w:rPr>
      </w:pPr>
    </w:p>
    <w:p>
      <w:pPr>
        <w:ind w:left="2280" w:hanging="328"/>
        <w:spacing w:after="0" w:line="277" w:lineRule="auto"/>
        <w:tabs>
          <w:tab w:leader="none" w:pos="2280" w:val="left"/>
        </w:tabs>
        <w:numPr>
          <w:ilvl w:val="2"/>
          <w:numId w:val="85"/>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2280" w:hanging="328"/>
        <w:spacing w:after="0" w:line="277" w:lineRule="auto"/>
        <w:tabs>
          <w:tab w:leader="none" w:pos="2280" w:val="left"/>
        </w:tabs>
        <w:numPr>
          <w:ilvl w:val="2"/>
          <w:numId w:val="8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5" w:name="page186"/>
    <w:bookmarkEnd w:id="185"/>
    <w:p>
      <w:pPr>
        <w:ind w:left="1160" w:hanging="328"/>
        <w:spacing w:after="0" w:line="277" w:lineRule="auto"/>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160" w:hanging="328"/>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New York, State of New York, on the 23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of July, 2021.</w:t>
      </w:r>
    </w:p>
    <w:p>
      <w:pPr>
        <w:spacing w:after="0" w:line="34"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ind w:left="55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5520"/>
        <w:spacing w:after="0"/>
        <w:tabs>
          <w:tab w:leader="none" w:pos="6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20"/>
                <w:szCs w:val="20"/>
                <w:color w:val="auto"/>
              </w:rPr>
            </w:pPr>
          </w:p>
        </w:tc>
        <w:tc>
          <w:tcPr>
            <w:tcW w:w="3560" w:type="dxa"/>
            <w:vAlign w:val="bottom"/>
            <w:gridSpan w:val="2"/>
          </w:tcPr>
          <w:p>
            <w:pPr>
              <w:ind w:left="1420"/>
              <w:spacing w:after="0"/>
              <w:rPr>
                <w:sz w:val="20"/>
                <w:szCs w:val="20"/>
                <w:color w:val="auto"/>
              </w:rPr>
            </w:pPr>
            <w:r>
              <w:rPr>
                <w:rFonts w:ascii="Arial" w:cs="Arial" w:eastAsia="Arial" w:hAnsi="Arial"/>
                <w:sz w:val="18"/>
                <w:szCs w:val="18"/>
                <w:b w:val="1"/>
                <w:bCs w:val="1"/>
                <w:color w:val="auto"/>
              </w:rPr>
              <w:t>Position</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195"/>
        </w:trPr>
        <w:tc>
          <w:tcPr>
            <w:tcW w:w="39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 President,</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July 23, 2021</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Secretary, Treasurer and Director</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Jonas Grossman</w:t>
            </w:r>
          </w:p>
        </w:tc>
        <w:tc>
          <w:tcPr>
            <w:tcW w:w="140" w:type="dxa"/>
            <w:vAlign w:val="bottom"/>
          </w:tcPr>
          <w:p>
            <w:pPr>
              <w:spacing w:after="0"/>
              <w:rPr>
                <w:sz w:val="20"/>
                <w:szCs w:val="20"/>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940" w:type="dxa"/>
            <w:vAlign w:val="bottom"/>
          </w:tcPr>
          <w:p>
            <w:pPr>
              <w:ind w:left="20"/>
              <w:spacing w:after="0"/>
              <w:rPr>
                <w:sz w:val="20"/>
                <w:szCs w:val="20"/>
                <w:color w:val="auto"/>
              </w:rPr>
            </w:pPr>
            <w:r>
              <w:rPr>
                <w:rFonts w:ascii="Arial" w:cs="Arial" w:eastAsia="Arial" w:hAnsi="Arial"/>
                <w:sz w:val="18"/>
                <w:szCs w:val="18"/>
                <w:color w:val="auto"/>
              </w:rPr>
              <w:t>Jonas Grossman</w:t>
            </w:r>
          </w:p>
        </w:tc>
        <w:tc>
          <w:tcPr>
            <w:tcW w:w="140" w:type="dxa"/>
            <w:vAlign w:val="bottom"/>
          </w:tcPr>
          <w:p>
            <w:pPr>
              <w:spacing w:after="0"/>
              <w:rPr>
                <w:sz w:val="19"/>
                <w:szCs w:val="19"/>
                <w:color w:val="auto"/>
              </w:rPr>
            </w:pPr>
          </w:p>
        </w:tc>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Chief Financial Officer</w:t>
            </w:r>
          </w:p>
        </w:tc>
        <w:tc>
          <w:tcPr>
            <w:tcW w:w="3600" w:type="dxa"/>
            <w:vAlign w:val="bottom"/>
            <w:vMerge w:val="restart"/>
          </w:tcPr>
          <w:p>
            <w:pPr>
              <w:jc w:val="center"/>
              <w:spacing w:after="0"/>
              <w:rPr>
                <w:sz w:val="20"/>
                <w:szCs w:val="20"/>
                <w:color w:val="auto"/>
              </w:rPr>
            </w:pPr>
            <w:r>
              <w:rPr>
                <w:rFonts w:ascii="Arial" w:cs="Arial" w:eastAsia="Arial" w:hAnsi="Arial"/>
                <w:sz w:val="18"/>
                <w:szCs w:val="18"/>
                <w:color w:val="auto"/>
                <w:w w:val="91"/>
              </w:rPr>
              <w:t>July 23, 2021</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60" w:type="dxa"/>
            <w:vAlign w:val="bottom"/>
            <w:gridSpan w:val="2"/>
            <w:vMerge w:val="continue"/>
          </w:tcPr>
          <w:p>
            <w:pPr>
              <w:spacing w:after="0"/>
              <w:rPr>
                <w:sz w:val="16"/>
                <w:szCs w:val="16"/>
                <w:color w:val="auto"/>
              </w:rPr>
            </w:pP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Alex Weil</w:t>
            </w:r>
          </w:p>
        </w:tc>
        <w:tc>
          <w:tcPr>
            <w:tcW w:w="140" w:type="dxa"/>
            <w:vAlign w:val="bottom"/>
          </w:tcPr>
          <w:p>
            <w:pPr>
              <w:spacing w:after="0"/>
              <w:rPr>
                <w:sz w:val="20"/>
                <w:szCs w:val="20"/>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940" w:type="dxa"/>
            <w:vAlign w:val="bottom"/>
          </w:tcPr>
          <w:p>
            <w:pPr>
              <w:ind w:left="20"/>
              <w:spacing w:after="0"/>
              <w:rPr>
                <w:sz w:val="20"/>
                <w:szCs w:val="20"/>
                <w:color w:val="auto"/>
              </w:rPr>
            </w:pPr>
            <w:r>
              <w:rPr>
                <w:rFonts w:ascii="Arial" w:cs="Arial" w:eastAsia="Arial" w:hAnsi="Arial"/>
                <w:sz w:val="18"/>
                <w:szCs w:val="18"/>
                <w:color w:val="auto"/>
              </w:rPr>
              <w:t>Alex Weil</w:t>
            </w:r>
          </w:p>
        </w:tc>
        <w:tc>
          <w:tcPr>
            <w:tcW w:w="1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10,000,000 Units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Suite 2100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Representative of the Underwriters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undersigned, Chardan NexTech Acquisition 2 Corp., a Delaware corporation (“</w:t>
      </w:r>
      <w:r>
        <w:rPr>
          <w:rFonts w:ascii="Arial" w:cs="Arial" w:eastAsia="Arial" w:hAnsi="Arial"/>
          <w:sz w:val="18"/>
          <w:szCs w:val="18"/>
          <w:b w:val="1"/>
          <w:bCs w:val="1"/>
          <w:color w:val="auto"/>
        </w:rPr>
        <w:t>Company</w:t>
      </w:r>
      <w:r>
        <w:rPr>
          <w:rFonts w:ascii="Arial" w:cs="Arial" w:eastAsia="Arial" w:hAnsi="Arial"/>
          <w:sz w:val="18"/>
          <w:szCs w:val="18"/>
          <w:color w:val="auto"/>
        </w:rPr>
        <w:t>”), hereby confirms its agreement with Chardan Capital Markets, LLC (hereinafter referred to as “you”, “</w:t>
      </w:r>
      <w:r>
        <w:rPr>
          <w:rFonts w:ascii="Arial" w:cs="Arial" w:eastAsia="Arial" w:hAnsi="Arial"/>
          <w:sz w:val="18"/>
          <w:szCs w:val="18"/>
          <w:b w:val="1"/>
          <w:bCs w:val="1"/>
          <w:color w:val="auto"/>
        </w:rPr>
        <w:t>Chardan</w:t>
      </w:r>
      <w:r>
        <w:rPr>
          <w:rFonts w:ascii="Arial" w:cs="Arial" w:eastAsia="Arial" w:hAnsi="Arial"/>
          <w:sz w:val="18"/>
          <w:szCs w:val="18"/>
          <w:color w:val="auto"/>
        </w:rPr>
        <w:t>”, or as the “</w:t>
      </w:r>
      <w:r>
        <w:rPr>
          <w:rFonts w:ascii="Arial" w:cs="Arial" w:eastAsia="Arial" w:hAnsi="Arial"/>
          <w:sz w:val="18"/>
          <w:szCs w:val="18"/>
          <w:b w:val="1"/>
          <w:bCs w:val="1"/>
          <w:color w:val="auto"/>
        </w:rPr>
        <w:t>Representative</w:t>
      </w:r>
      <w:r>
        <w:rPr>
          <w:rFonts w:ascii="Arial" w:cs="Arial" w:eastAsia="Arial" w:hAnsi="Arial"/>
          <w:sz w:val="18"/>
          <w:szCs w:val="18"/>
          <w:color w:val="auto"/>
        </w:rPr>
        <w:t xml:space="preserve">”) and with the other underwriters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for which you are acting as representative (the Representative and the other Underwriters being collectively referred to herein as the “</w:t>
      </w:r>
      <w:r>
        <w:rPr>
          <w:rFonts w:ascii="Arial" w:cs="Arial" w:eastAsia="Arial" w:hAnsi="Arial"/>
          <w:sz w:val="18"/>
          <w:szCs w:val="18"/>
          <w:b w:val="1"/>
          <w:bCs w:val="1"/>
          <w:color w:val="auto"/>
        </w:rPr>
        <w:t>Underwriters</w:t>
      </w:r>
      <w:r>
        <w:rPr>
          <w:rFonts w:ascii="Arial" w:cs="Arial" w:eastAsia="Arial" w:hAnsi="Arial"/>
          <w:sz w:val="18"/>
          <w:szCs w:val="18"/>
          <w:color w:val="auto"/>
        </w:rPr>
        <w:t>” or, individually, an “</w:t>
      </w:r>
      <w:r>
        <w:rPr>
          <w:rFonts w:ascii="Arial" w:cs="Arial" w:eastAsia="Arial" w:hAnsi="Arial"/>
          <w:sz w:val="18"/>
          <w:szCs w:val="18"/>
          <w:b w:val="1"/>
          <w:bCs w:val="1"/>
          <w:color w:val="auto"/>
        </w:rPr>
        <w:t>Underwriter</w:t>
      </w:r>
      <w:r>
        <w:rPr>
          <w:rFonts w:ascii="Arial" w:cs="Arial" w:eastAsia="Arial" w:hAnsi="Arial"/>
          <w:sz w:val="18"/>
          <w:szCs w:val="18"/>
          <w:color w:val="auto"/>
        </w:rPr>
        <w:t>”), as follows:</w:t>
      </w:r>
    </w:p>
    <w:p>
      <w:pPr>
        <w:spacing w:after="0" w:line="180" w:lineRule="exact"/>
        <w:rPr>
          <w:sz w:val="20"/>
          <w:szCs w:val="20"/>
          <w:color w:val="auto"/>
        </w:rPr>
      </w:pPr>
    </w:p>
    <w:p>
      <w:pPr>
        <w:ind w:left="960" w:hanging="952"/>
        <w:spacing w:after="0"/>
        <w:tabs>
          <w:tab w:leader="none" w:pos="9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Purchase and Sale of Securities</w:t>
      </w:r>
      <w:r>
        <w:rPr>
          <w:rFonts w:ascii="Arial" w:cs="Arial" w:eastAsia="Arial" w:hAnsi="Arial"/>
          <w:sz w:val="18"/>
          <w:szCs w:val="18"/>
          <w:color w:val="auto"/>
        </w:rPr>
        <w:t>.</w:t>
      </w:r>
    </w:p>
    <w:p>
      <w:pPr>
        <w:spacing w:after="0" w:line="22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Firm Securities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i w:val="1"/>
          <w:iCs w:val="1"/>
          <w:color w:val="auto"/>
        </w:rPr>
        <w:t>1.1.1 Purchase of Firm Units</w:t>
      </w:r>
      <w:r>
        <w:rPr>
          <w:rFonts w:ascii="Arial" w:cs="Arial" w:eastAsia="Arial" w:hAnsi="Arial"/>
          <w:sz w:val="16"/>
          <w:szCs w:val="16"/>
          <w:color w:val="auto"/>
        </w:rPr>
        <w:t>. On the basis of the representations and warranties herein contained, but subject to the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set forth herein, the Company agrees to issue and sell, severally and not jointly, to the several Underwriters, an aggregate of 10,000,000 units (the “</w:t>
      </w:r>
      <w:r>
        <w:rPr>
          <w:rFonts w:ascii="Arial" w:cs="Arial" w:eastAsia="Arial" w:hAnsi="Arial"/>
          <w:sz w:val="16"/>
          <w:szCs w:val="16"/>
          <w:b w:val="1"/>
          <w:bCs w:val="1"/>
          <w:color w:val="auto"/>
        </w:rPr>
        <w:t>Firm Units</w:t>
      </w:r>
      <w:r>
        <w:rPr>
          <w:rFonts w:ascii="Arial" w:cs="Arial" w:eastAsia="Arial" w:hAnsi="Arial"/>
          <w:sz w:val="16"/>
          <w:szCs w:val="16"/>
          <w:color w:val="auto"/>
        </w:rPr>
        <w:t xml:space="preserve">”) of the Company at a purchase price (net of discounts and commissions) of $9.995 per Firm Unit. The Underwriters, severally and not jointly, agree to purchase from the Company the number of Firm Units set forth opposite their respective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attached hereto and made a part hereof at a purchase price (net of discounts and commissions) of $9.995 per Firm Unit. The Firm Units (and the Option Units (as hereinafter defined), if any) are to be offered initially to the public (the “</w:t>
      </w:r>
      <w:r>
        <w:rPr>
          <w:rFonts w:ascii="Arial" w:cs="Arial" w:eastAsia="Arial" w:hAnsi="Arial"/>
          <w:sz w:val="16"/>
          <w:szCs w:val="16"/>
          <w:b w:val="1"/>
          <w:bCs w:val="1"/>
          <w:color w:val="auto"/>
        </w:rPr>
        <w:t>Offering</w:t>
      </w:r>
      <w:r>
        <w:rPr>
          <w:rFonts w:ascii="Arial" w:cs="Arial" w:eastAsia="Arial" w:hAnsi="Arial"/>
          <w:sz w:val="16"/>
          <w:szCs w:val="16"/>
          <w:color w:val="auto"/>
        </w:rPr>
        <w:t>”) at the offering price of $10.00 per Firm Unit, it being understood that the offering price is not in excess of the price recommended by the QIU (as hereinafter defined). Each Firm Unit consists of one (1) share of the Company’s common stock,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and one-half of one (1) redeemable warrant (the “</w:t>
      </w:r>
      <w:r>
        <w:rPr>
          <w:rFonts w:ascii="Arial" w:cs="Arial" w:eastAsia="Arial" w:hAnsi="Arial"/>
          <w:sz w:val="16"/>
          <w:szCs w:val="16"/>
          <w:b w:val="1"/>
          <w:bCs w:val="1"/>
          <w:color w:val="auto"/>
        </w:rPr>
        <w:t>Warrant(s)</w:t>
      </w:r>
      <w:r>
        <w:rPr>
          <w:rFonts w:ascii="Arial" w:cs="Arial" w:eastAsia="Arial" w:hAnsi="Arial"/>
          <w:sz w:val="16"/>
          <w:szCs w:val="16"/>
          <w:color w:val="auto"/>
        </w:rPr>
        <w:t>”), each whole Warrant entitling the holder thereof to purchase one share of Common Stock. The shares of Common Stock and the Warrants included in the Firm Units will not be separately</w:t>
      </w:r>
    </w:p>
    <w:p>
      <w:pPr>
        <w:spacing w:after="0" w:line="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transferable until the earlier of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that the Registration Statement (as defined below) becomes effective (the “</w:t>
      </w:r>
      <w:r>
        <w:rPr>
          <w:rFonts w:ascii="Arial" w:cs="Arial" w:eastAsia="Arial" w:hAnsi="Arial"/>
          <w:sz w:val="17"/>
          <w:szCs w:val="17"/>
          <w:b w:val="1"/>
          <w:bCs w:val="1"/>
          <w:color w:val="auto"/>
        </w:rPr>
        <w:t>Effective Date</w:t>
      </w:r>
      <w:r>
        <w:rPr>
          <w:rFonts w:ascii="Arial" w:cs="Arial" w:eastAsia="Arial" w:hAnsi="Arial"/>
          <w:sz w:val="17"/>
          <w:szCs w:val="17"/>
          <w:color w:val="auto"/>
        </w:rPr>
        <w:t>”) or the announcement by the Company of the Representative’s decision to allow earlier trading, subject, however, to the Company filing a Current Report on Form 8-K (“</w:t>
      </w:r>
      <w:r>
        <w:rPr>
          <w:rFonts w:ascii="Arial" w:cs="Arial" w:eastAsia="Arial" w:hAnsi="Arial"/>
          <w:sz w:val="17"/>
          <w:szCs w:val="17"/>
          <w:b w:val="1"/>
          <w:bCs w:val="1"/>
          <w:color w:val="auto"/>
        </w:rPr>
        <w:t>Form 8-K</w:t>
      </w:r>
      <w:r>
        <w:rPr>
          <w:rFonts w:ascii="Arial" w:cs="Arial" w:eastAsia="Arial" w:hAnsi="Arial"/>
          <w:sz w:val="17"/>
          <w:szCs w:val="17"/>
          <w:color w:val="auto"/>
        </w:rPr>
        <w:t>”) with the Commission (as defined below) containing an audited balanced sheet reflecting the Company’s receipt of the gross proceeds of the Offering and issuing a press release announcing when such separate trading will begin.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8" w:name="page189"/>
    <w:bookmarkEnd w:id="188"/>
    <w:p>
      <w:pPr>
        <w:jc w:val="both"/>
        <w:ind w:firstLine="1296"/>
        <w:spacing w:after="0" w:line="286" w:lineRule="auto"/>
        <w:rPr>
          <w:sz w:val="20"/>
          <w:szCs w:val="20"/>
          <w:color w:val="auto"/>
        </w:rPr>
      </w:pPr>
      <w:r>
        <w:rPr>
          <w:rFonts w:ascii="Arial" w:cs="Arial" w:eastAsia="Arial" w:hAnsi="Arial"/>
          <w:sz w:val="16"/>
          <w:szCs w:val="16"/>
          <w:color w:val="auto"/>
        </w:rPr>
        <w:t>In no event will the Company allow separate trading until (i) the preparation of an audited balance sheet of the Company reflecting receipt by the Company of the proceeds of the Offering and the filing of such audited balance sheet with the Commission (as defined below) on a Form 8-K or similar form by the Company which includes such balance sheet and (ii) the issuance of a press release announcing when such separate trading shall begin. Each whole Warrant entitles the holder to purchase one share of Common Stock at a price of $11.50 per share during the period commencing thirty</w:t>
      </w:r>
    </w:p>
    <w:p>
      <w:pPr>
        <w:spacing w:after="0" w:line="1" w:lineRule="exact"/>
        <w:rPr>
          <w:sz w:val="20"/>
          <w:szCs w:val="20"/>
          <w:color w:val="auto"/>
        </w:rPr>
      </w:pPr>
    </w:p>
    <w:p>
      <w:pPr>
        <w:jc w:val="both"/>
        <w:ind w:firstLine="8"/>
        <w:spacing w:after="0" w:line="269" w:lineRule="auto"/>
        <w:tabs>
          <w:tab w:leader="none" w:pos="364" w:val="left"/>
        </w:tabs>
        <w:numPr>
          <w:ilvl w:val="0"/>
          <w:numId w:val="88"/>
        </w:numPr>
        <w:rPr>
          <w:rFonts w:ascii="Arial" w:cs="Arial" w:eastAsia="Arial" w:hAnsi="Arial"/>
          <w:sz w:val="17"/>
          <w:szCs w:val="17"/>
          <w:color w:val="auto"/>
        </w:rPr>
      </w:pPr>
      <w:r>
        <w:rPr>
          <w:rFonts w:ascii="Arial" w:cs="Arial" w:eastAsia="Arial" w:hAnsi="Arial"/>
          <w:sz w:val="17"/>
          <w:szCs w:val="17"/>
          <w:color w:val="auto"/>
        </w:rPr>
        <w:t>days after the closing of a Business Combination (as defined below) and terminating on the fifth (5th) anniversary of the Effective Date. As used herein, the term “</w:t>
      </w:r>
      <w:r>
        <w:rPr>
          <w:rFonts w:ascii="Arial" w:cs="Arial" w:eastAsia="Arial" w:hAnsi="Arial"/>
          <w:sz w:val="17"/>
          <w:szCs w:val="17"/>
          <w:b w:val="1"/>
          <w:bCs w:val="1"/>
          <w:color w:val="auto"/>
        </w:rPr>
        <w:t>Business Combination</w:t>
      </w:r>
      <w:r>
        <w:rPr>
          <w:rFonts w:ascii="Arial" w:cs="Arial" w:eastAsia="Arial" w:hAnsi="Arial"/>
          <w:sz w:val="17"/>
          <w:szCs w:val="17"/>
          <w:color w:val="auto"/>
        </w:rPr>
        <w:t>” shall mean any merger, share exchange, asset acquisition, stock purchase, recapitalization, reorganization or other similar business combination with one or more businesses or entities by the Company. The Company has the right to redeem the Warrants, upon not less than thirty (30) days written notice at a price of $0.01 per Warrant at any time after the Warrants become exercisable; so long as the last sales price of the Common Stock has been at least $16.00 per share for any twenty (20) trading days within a thirty (30) trading day period ending on the third (3rd) Business Day prior to the day on which notice is given. As used herein, the term “</w:t>
      </w:r>
      <w:r>
        <w:rPr>
          <w:rFonts w:ascii="Arial" w:cs="Arial" w:eastAsia="Arial" w:hAnsi="Arial"/>
          <w:sz w:val="17"/>
          <w:szCs w:val="17"/>
          <w:b w:val="1"/>
          <w:bCs w:val="1"/>
          <w:color w:val="auto"/>
        </w:rPr>
        <w:t>Business D</w:t>
      </w:r>
      <w:r>
        <w:rPr>
          <w:rFonts w:ascii="Arial" w:cs="Arial" w:eastAsia="Arial" w:hAnsi="Arial"/>
          <w:sz w:val="17"/>
          <w:szCs w:val="17"/>
          <w:color w:val="auto"/>
        </w:rPr>
        <w:t>ay” shall mean any day other than a Saturday, Sunday or any day on which national banks in New York, New York are not open for business.</w:t>
      </w:r>
    </w:p>
    <w:p>
      <w:pPr>
        <w:spacing w:after="0" w:line="180" w:lineRule="exact"/>
        <w:rPr>
          <w:sz w:val="20"/>
          <w:szCs w:val="20"/>
          <w:color w:val="auto"/>
        </w:rPr>
      </w:pPr>
    </w:p>
    <w:p>
      <w:pPr>
        <w:ind w:left="1300"/>
        <w:spacing w:after="0"/>
        <w:tabs>
          <w:tab w:leader="none" w:pos="20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i w:val="1"/>
          <w:iCs w:val="1"/>
          <w:color w:val="auto"/>
        </w:rPr>
        <w:t>Payment and Delivery. Delivery and payment for the Firm Units shall be made at 10:00 A.M., New York time, on the second</w:t>
      </w:r>
    </w:p>
    <w:p>
      <w:pPr>
        <w:spacing w:after="0" w:line="2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i w:val="1"/>
          <w:iCs w:val="1"/>
          <w:color w:val="auto"/>
        </w:rPr>
        <w:t>(2</w:t>
      </w:r>
      <w:r>
        <w:rPr>
          <w:rFonts w:ascii="Arial" w:cs="Arial" w:eastAsia="Arial" w:hAnsi="Arial"/>
          <w:sz w:val="26"/>
          <w:szCs w:val="26"/>
          <w:i w:val="1"/>
          <w:iCs w:val="1"/>
          <w:color w:val="auto"/>
          <w:vertAlign w:val="superscript"/>
        </w:rPr>
        <w:t>nd</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Day following the Effective Date of the Registration Statement (or the third (3</w:t>
      </w:r>
      <w:r>
        <w:rPr>
          <w:rFonts w:ascii="Arial" w:cs="Arial" w:eastAsia="Arial" w:hAnsi="Arial"/>
          <w:sz w:val="26"/>
          <w:szCs w:val="26"/>
          <w:color w:val="auto"/>
          <w:vertAlign w:val="superscript"/>
        </w:rPr>
        <w:t>rd</w:t>
      </w:r>
      <w:r>
        <w:rPr>
          <w:rFonts w:ascii="Arial" w:cs="Arial" w:eastAsia="Arial" w:hAnsi="Arial"/>
          <w:sz w:val="16"/>
          <w:szCs w:val="16"/>
          <w:color w:val="auto"/>
        </w:rPr>
        <w:t>) Business Day following the Effective Date, if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is declared effective on or after 4:00 p.m.) or at such earlier time as shall be agreed upon by the Representative and the Company at the offices of the Representative or at such other place as shall be agreed upon by the Representative and the Company. The closing of the public offering contemplated by this Agreement is referred to herein as the “</w:t>
      </w:r>
      <w:r>
        <w:rPr>
          <w:rFonts w:ascii="Arial" w:cs="Arial" w:eastAsia="Arial" w:hAnsi="Arial"/>
          <w:sz w:val="16"/>
          <w:szCs w:val="16"/>
          <w:b w:val="1"/>
          <w:bCs w:val="1"/>
          <w:color w:val="auto"/>
        </w:rPr>
        <w:t>Closing</w:t>
      </w:r>
      <w:r>
        <w:rPr>
          <w:rFonts w:ascii="Arial" w:cs="Arial" w:eastAsia="Arial" w:hAnsi="Arial"/>
          <w:sz w:val="16"/>
          <w:szCs w:val="16"/>
          <w:color w:val="auto"/>
        </w:rPr>
        <w:t>” and the hour and date of delivery and payment for the Firm Units is referred to herein as the “</w:t>
      </w:r>
      <w:r>
        <w:rPr>
          <w:rFonts w:ascii="Arial" w:cs="Arial" w:eastAsia="Arial" w:hAnsi="Arial"/>
          <w:sz w:val="16"/>
          <w:szCs w:val="16"/>
          <w:b w:val="1"/>
          <w:bCs w:val="1"/>
          <w:color w:val="auto"/>
        </w:rPr>
        <w:t>Closing Date</w:t>
      </w:r>
      <w:r>
        <w:rPr>
          <w:rFonts w:ascii="Arial" w:cs="Arial" w:eastAsia="Arial" w:hAnsi="Arial"/>
          <w:sz w:val="16"/>
          <w:szCs w:val="16"/>
          <w:color w:val="auto"/>
        </w:rPr>
        <w:t>.” Payment for the Firm Units shall be made on the Closing Date at the Representative’s election by wire transfer in Federal (same day) funds or by certified or bank cashier’s check(s) in New York Clearing House funds. $101,000,000 ($116,150,000 if the Over-allotment Option (as defined in Section 1.2) is exercised in full), or $10.10 per Unit, of the proceeds received by the Company for the Firm Units and from the Private Placement (as defined in Section 1.4) shall be deposited in the trust account established by the Company for the benefit of the public stockholders as described in the Registration Statement (the “</w:t>
      </w:r>
      <w:r>
        <w:rPr>
          <w:rFonts w:ascii="Arial" w:cs="Arial" w:eastAsia="Arial" w:hAnsi="Arial"/>
          <w:sz w:val="16"/>
          <w:szCs w:val="16"/>
          <w:b w:val="1"/>
          <w:bCs w:val="1"/>
          <w:color w:val="auto"/>
        </w:rPr>
        <w:t>Trust Account</w:t>
      </w:r>
      <w:r>
        <w:rPr>
          <w:rFonts w:ascii="Arial" w:cs="Arial" w:eastAsia="Arial" w:hAnsi="Arial"/>
          <w:sz w:val="16"/>
          <w:szCs w:val="16"/>
          <w:color w:val="auto"/>
        </w:rPr>
        <w:t>”) pursuant to the terms of an investment management trust agreement (the “</w:t>
      </w:r>
      <w:r>
        <w:rPr>
          <w:rFonts w:ascii="Arial" w:cs="Arial" w:eastAsia="Arial" w:hAnsi="Arial"/>
          <w:sz w:val="16"/>
          <w:szCs w:val="16"/>
          <w:b w:val="1"/>
          <w:bCs w:val="1"/>
          <w:color w:val="auto"/>
        </w:rPr>
        <w:t>Trust</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by and between the Company and Continental Stock Transfer &amp; Trust Company. The proceeds (less commissions, expense allowance and</w:t>
      </w:r>
      <w:r>
        <w:rPr>
          <w:rFonts w:ascii="Arial" w:cs="Arial" w:eastAsia="Arial" w:hAnsi="Arial"/>
          <w:sz w:val="16"/>
          <w:szCs w:val="16"/>
          <w:b w:val="1"/>
          <w:bCs w:val="1"/>
          <w:color w:val="auto"/>
        </w:rPr>
        <w:t xml:space="preserve"> </w:t>
      </w:r>
      <w:r>
        <w:rPr>
          <w:rFonts w:ascii="Arial" w:cs="Arial" w:eastAsia="Arial" w:hAnsi="Arial"/>
          <w:sz w:val="16"/>
          <w:szCs w:val="16"/>
          <w:color w:val="auto"/>
        </w:rPr>
        <w:t>actual expense payments or other fees payable pursuant to this Agreement) shall be paid to the order of the Company upon delivery to the Representative of certificates (in form and substance satisfactory to the Underwriters) representing the Firm Units (or through the facilities of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for the account of the Underwriters. The Firm Units shall be registered in such name or names and in such authorized denominations as the Representative may request in writing at least two (2) Business Days prior to the Closing Date. The Company will permit the Representative to examine and package the Firm Units for delivery, at least one (1) full Business Day prior to the Closing Date. The Company shall not be obligated to sell or deliver the Firm Units except upon tender of payment by the Representative for all the Firm Units.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9" w:name="page190"/>
    <w:bookmarkEnd w:id="189"/>
    <w:p>
      <w:pPr>
        <w:ind w:left="660"/>
        <w:spacing w:after="0"/>
        <w:tabs>
          <w:tab w:leader="none" w:pos="1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Over-Allotment Option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Option Units</w:t>
      </w:r>
      <w:r>
        <w:rPr>
          <w:rFonts w:ascii="Arial" w:cs="Arial" w:eastAsia="Arial" w:hAnsi="Arial"/>
          <w:sz w:val="18"/>
          <w:szCs w:val="18"/>
          <w:color w:val="auto"/>
        </w:rPr>
        <w:t>. For the purpose of covering any over-allotments in connection with the distribution and sale of the Firm Units, the Underwriters are hereby granted, severally and not jointly, an option to purchase up to an additional 1,500,000 units from the Company (the “</w:t>
      </w:r>
      <w:r>
        <w:rPr>
          <w:rFonts w:ascii="Arial" w:cs="Arial" w:eastAsia="Arial" w:hAnsi="Arial"/>
          <w:sz w:val="18"/>
          <w:szCs w:val="18"/>
          <w:b w:val="1"/>
          <w:bCs w:val="1"/>
          <w:color w:val="auto"/>
        </w:rPr>
        <w:t>Over-allotment Option</w:t>
      </w:r>
      <w:r>
        <w:rPr>
          <w:rFonts w:ascii="Arial" w:cs="Arial" w:eastAsia="Arial" w:hAnsi="Arial"/>
          <w:sz w:val="18"/>
          <w:szCs w:val="18"/>
          <w:color w:val="auto"/>
        </w:rPr>
        <w:t>”). Such additional 1,500,000 units shall be identical in all respects to the Firm Units and are hereinafter referred to as “</w:t>
      </w:r>
      <w:r>
        <w:rPr>
          <w:rFonts w:ascii="Arial" w:cs="Arial" w:eastAsia="Arial" w:hAnsi="Arial"/>
          <w:sz w:val="18"/>
          <w:szCs w:val="18"/>
          <w:b w:val="1"/>
          <w:bCs w:val="1"/>
          <w:color w:val="auto"/>
        </w:rPr>
        <w:t>Option Units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Firm Units and the Option Units are hereinafter collectively referred to as the “</w:t>
      </w:r>
      <w:r>
        <w:rPr>
          <w:rFonts w:ascii="Arial" w:cs="Arial" w:eastAsia="Arial" w:hAnsi="Arial"/>
          <w:sz w:val="18"/>
          <w:szCs w:val="18"/>
          <w:b w:val="1"/>
          <w:bCs w:val="1"/>
          <w:color w:val="auto"/>
        </w:rPr>
        <w:t>Units</w:t>
      </w:r>
      <w:r>
        <w:rPr>
          <w:rFonts w:ascii="Arial" w:cs="Arial" w:eastAsia="Arial" w:hAnsi="Arial"/>
          <w:sz w:val="18"/>
          <w:szCs w:val="18"/>
          <w:color w:val="auto"/>
        </w:rPr>
        <w:t>,” and the Units, the shares of Common Stock and Warrants included in the Units and the shares of Common Stock issuable upon exercise of such Warrants are hereinafter referred to collectively as the “</w:t>
      </w:r>
      <w:r>
        <w:rPr>
          <w:rFonts w:ascii="Arial" w:cs="Arial" w:eastAsia="Arial" w:hAnsi="Arial"/>
          <w:sz w:val="18"/>
          <w:szCs w:val="18"/>
          <w:b w:val="1"/>
          <w:b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The purchase price to be paid for the Option Units will be $10.00 per Option Unit. The Option Units are to be offered initially to the public at</w:t>
      </w:r>
      <w:r>
        <w:rPr>
          <w:rFonts w:ascii="Arial" w:cs="Arial" w:eastAsia="Arial" w:hAnsi="Arial"/>
          <w:sz w:val="18"/>
          <w:szCs w:val="18"/>
          <w:b w:val="1"/>
          <w:bCs w:val="1"/>
          <w:color w:val="auto"/>
        </w:rPr>
        <w:t xml:space="preserve"> </w:t>
      </w:r>
      <w:r>
        <w:rPr>
          <w:rFonts w:ascii="Arial" w:cs="Arial" w:eastAsia="Arial" w:hAnsi="Arial"/>
          <w:sz w:val="18"/>
          <w:szCs w:val="18"/>
          <w:color w:val="auto"/>
        </w:rPr>
        <w:t>the offering price of $10.00 per Option Unit.</w:t>
      </w:r>
    </w:p>
    <w:p>
      <w:pPr>
        <w:spacing w:after="0" w:line="19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i w:val="1"/>
          <w:iCs w:val="1"/>
          <w:color w:val="auto"/>
        </w:rPr>
        <w:t>Exercise of Option</w:t>
      </w:r>
      <w:r>
        <w:rPr>
          <w:rFonts w:ascii="Arial" w:cs="Arial" w:eastAsia="Arial" w:hAnsi="Arial"/>
          <w:sz w:val="17"/>
          <w:szCs w:val="17"/>
          <w:color w:val="auto"/>
        </w:rPr>
        <w:t xml:space="preserve">. The Over-allotment Option granted pursuant to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hereof may be exercised by the Representative as to all (at any time) or any part (from time to time) of the Option Units within forty-five (45) days after the Effective Date. The Underwriters will not be under any obligation to purchase any Option Units prior to the exercise of the Over-allotment Option. The Over-allotment Option granted hereby may be exercised by the giving of oral notice to the Company from the Representative, which must be confirmed in writing by overnight mail, facsimile transmission or e-mail transmission setting forth the number of Option Units to be purchased and the date and time for delivery of and payment for the Option Units, which will not be later than five (5) Business Days after the date of the notice or such other time as shall be agreed upon by the Company and the Representative, at the offices of the Representative or at such other place or in such other manner as shall be agreed upon by the Company and the Representative. If such delivery and payment for the Option Units does not occur on the Closing Date, the date and time of the closing for such Option Units will be as set forth in the notice (hereinafter the “</w:t>
      </w:r>
      <w:r>
        <w:rPr>
          <w:rFonts w:ascii="Arial" w:cs="Arial" w:eastAsia="Arial" w:hAnsi="Arial"/>
          <w:sz w:val="17"/>
          <w:szCs w:val="17"/>
          <w:b w:val="1"/>
          <w:bCs w:val="1"/>
          <w:color w:val="auto"/>
        </w:rPr>
        <w:t>Option Closing Date</w:t>
      </w:r>
      <w:r>
        <w:rPr>
          <w:rFonts w:ascii="Arial" w:cs="Arial" w:eastAsia="Arial" w:hAnsi="Arial"/>
          <w:sz w:val="17"/>
          <w:szCs w:val="17"/>
          <w:color w:val="auto"/>
        </w:rPr>
        <w:t>”). Upon exercise of the Over-allotment Option, the Company will become obligated to convey to the Underwriters, and, subject to the terms and conditions set forth herein, the Underwriters will become obligated to purchase, the number of Option Units specified in such notice.</w:t>
      </w:r>
    </w:p>
    <w:p>
      <w:pPr>
        <w:spacing w:after="0" w:line="18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i w:val="1"/>
          <w:iCs w:val="1"/>
          <w:color w:val="auto"/>
        </w:rPr>
        <w:t>Payment and Delivery</w:t>
      </w:r>
      <w:r>
        <w:rPr>
          <w:rFonts w:ascii="Arial" w:cs="Arial" w:eastAsia="Arial" w:hAnsi="Arial"/>
          <w:sz w:val="18"/>
          <w:szCs w:val="18"/>
          <w:color w:val="auto"/>
        </w:rPr>
        <w:t>. Delivery and payment for the Option Units shall be made at 10:00 AM, New York time, on the Option Closing Date or at such earlier time as shall be agreed upon by the Representative and the Company at the offices of the Representative or at such other place as shall be agreed upon by the Representative and the Company. Payment for the Option Units shall be made at the Representative’s election by wire transfer in Federal (same day) funds or by certified or bank cashier’s check(s) in New York Clearing House funds, by deposit of the sum of $10.10 per Option Unit in the Trust Account pursuant to the Trust Agreement upon delivery to the Representative of certificates (in form and substance satisfactory to the Underwriters) representing the Option Units (or through the facilities of DTC) for the account of the Underwriters. The Option Units shall be registered in such name or names and in such authorized denominations as the Representative may request not less than two (2) Business Days prior to the Closing Date or the Option Closing Date, as the case may be, and will be made available to the Representative for inspection, checking and packaging at the aforesaid office of the Company’s transfer agent or correspondent not less than one (1) full Business Day prior to such Closing Date or Option Closing 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0" w:name="page191"/>
    <w:bookmarkEnd w:id="190"/>
    <w:tbl>
      <w:tblPr>
        <w:tblLayout w:type="fixed"/>
        <w:tblInd w:w="660" w:type="dxa"/>
        <w:tblCellMar>
          <w:top w:w="0" w:type="dxa"/>
          <w:left w:w="0" w:type="dxa"/>
          <w:bottom w:w="0" w:type="dxa"/>
          <w:right w:w="0" w:type="dxa"/>
        </w:tblCellMar>
      </w:tblPr>
      <w:tr>
        <w:trPr>
          <w:trHeight w:val="207"/>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1.3</w:t>
            </w:r>
          </w:p>
        </w:tc>
        <w:tc>
          <w:tcPr>
            <w:tcW w:w="9720" w:type="dxa"/>
            <w:vAlign w:val="bottom"/>
            <w:gridSpan w:val="2"/>
          </w:tcPr>
          <w:p>
            <w:pPr>
              <w:spacing w:after="0"/>
              <w:rPr>
                <w:sz w:val="20"/>
                <w:szCs w:val="20"/>
                <w:color w:val="auto"/>
              </w:rPr>
            </w:pPr>
            <w:r>
              <w:rPr>
                <w:rFonts w:ascii="Arial" w:cs="Arial" w:eastAsia="Arial" w:hAnsi="Arial"/>
                <w:sz w:val="18"/>
                <w:szCs w:val="18"/>
                <w:color w:val="auto"/>
              </w:rPr>
              <w:t>[Reserved.]</w:t>
            </w:r>
          </w:p>
        </w:tc>
      </w:tr>
      <w:tr>
        <w:trPr>
          <w:trHeight w:val="20"/>
        </w:trPr>
        <w:tc>
          <w:tcPr>
            <w:tcW w:w="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r>
      <w:tr>
        <w:trPr>
          <w:trHeight w:val="453"/>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1.4</w:t>
            </w:r>
          </w:p>
        </w:tc>
        <w:tc>
          <w:tcPr>
            <w:tcW w:w="9720" w:type="dxa"/>
            <w:vAlign w:val="bottom"/>
            <w:gridSpan w:val="2"/>
          </w:tcPr>
          <w:p>
            <w:pPr>
              <w:spacing w:after="0"/>
              <w:rPr>
                <w:sz w:val="20"/>
                <w:szCs w:val="20"/>
                <w:color w:val="auto"/>
              </w:rPr>
            </w:pPr>
            <w:r>
              <w:rPr>
                <w:rFonts w:ascii="Arial" w:cs="Arial" w:eastAsia="Arial" w:hAnsi="Arial"/>
                <w:sz w:val="18"/>
                <w:szCs w:val="18"/>
                <w:color w:val="auto"/>
                <w:w w:val="91"/>
              </w:rPr>
              <w:t>Private Placement. Simultaneously with the Closing, Chardan NexTech 2 Warrant Holdings LLC ("Holdings") shall purchase from the</w:t>
            </w:r>
          </w:p>
        </w:tc>
      </w:tr>
    </w:tbl>
    <w:p>
      <w:pPr>
        <w:jc w:val="both"/>
        <w:spacing w:after="0" w:line="266" w:lineRule="auto"/>
        <w:rPr>
          <w:sz w:val="20"/>
          <w:szCs w:val="20"/>
          <w:color w:val="auto"/>
        </w:rPr>
      </w:pPr>
      <w:r>
        <w:rPr>
          <w:rFonts w:ascii="Arial" w:cs="Arial" w:eastAsia="Arial" w:hAnsi="Arial"/>
          <w:sz w:val="17"/>
          <w:szCs w:val="17"/>
          <w:color w:val="auto"/>
        </w:rPr>
        <w:t>Company, pursuant to the Subscription Agreement (as defined in Section 2.24.2 hereof) an aggregate of 4,200,000 warrants (or up to 4,385,185 warrants depending on the extent to which the underwriters’ over-allotment option is exercised) (the “</w:t>
      </w:r>
      <w:r>
        <w:rPr>
          <w:rFonts w:ascii="Arial" w:cs="Arial" w:eastAsia="Arial" w:hAnsi="Arial"/>
          <w:sz w:val="17"/>
          <w:szCs w:val="17"/>
          <w:b w:val="1"/>
          <w:bCs w:val="1"/>
          <w:color w:val="auto"/>
        </w:rPr>
        <w:t>Placement Warrants</w:t>
      </w:r>
      <w:r>
        <w:rPr>
          <w:rFonts w:ascii="Arial" w:cs="Arial" w:eastAsia="Arial" w:hAnsi="Arial"/>
          <w:sz w:val="17"/>
          <w:szCs w:val="17"/>
          <w:color w:val="auto"/>
        </w:rPr>
        <w:t>”) at a purchase price of $0.81 per Placement Warrant in a private placement (the “</w:t>
      </w:r>
      <w:r>
        <w:rPr>
          <w:rFonts w:ascii="Arial" w:cs="Arial" w:eastAsia="Arial" w:hAnsi="Arial"/>
          <w:sz w:val="17"/>
          <w:szCs w:val="17"/>
          <w:b w:val="1"/>
          <w:bCs w:val="1"/>
          <w:color w:val="auto"/>
        </w:rPr>
        <w:t>Private Placement</w:t>
      </w:r>
      <w:r>
        <w:rPr>
          <w:rFonts w:ascii="Arial" w:cs="Arial" w:eastAsia="Arial" w:hAnsi="Arial"/>
          <w:sz w:val="17"/>
          <w:szCs w:val="17"/>
          <w:color w:val="auto"/>
        </w:rPr>
        <w:t>”). The Placement Warrants and the shares of Common Stock underlying the Placement Warrants are hereinafter referred to collectively as the “</w:t>
      </w:r>
      <w:r>
        <w:rPr>
          <w:rFonts w:ascii="Arial" w:cs="Arial" w:eastAsia="Arial" w:hAnsi="Arial"/>
          <w:sz w:val="17"/>
          <w:szCs w:val="17"/>
          <w:b w:val="1"/>
          <w:bCs w:val="1"/>
          <w:color w:val="auto"/>
        </w:rPr>
        <w:t>Placement Securities</w:t>
      </w:r>
      <w:r>
        <w:rPr>
          <w:rFonts w:ascii="Arial" w:cs="Arial" w:eastAsia="Arial" w:hAnsi="Arial"/>
          <w:sz w:val="17"/>
          <w:szCs w:val="17"/>
          <w:color w:val="auto"/>
        </w:rPr>
        <w:t>,” and the Public Securities and the Placement Securities are hereinafter referred to collectively as the “</w:t>
      </w:r>
      <w:r>
        <w:rPr>
          <w:rFonts w:ascii="Arial" w:cs="Arial" w:eastAsia="Arial" w:hAnsi="Arial"/>
          <w:sz w:val="17"/>
          <w:szCs w:val="17"/>
          <w:b w:val="1"/>
          <w:bCs w:val="1"/>
          <w:color w:val="auto"/>
        </w:rPr>
        <w:t>Securities</w:t>
      </w:r>
      <w:r>
        <w:rPr>
          <w:rFonts w:ascii="Arial" w:cs="Arial" w:eastAsia="Arial" w:hAnsi="Arial"/>
          <w:sz w:val="17"/>
          <w:szCs w:val="17"/>
          <w:color w:val="auto"/>
        </w:rPr>
        <w:t>.” Each Placement Warrant shall be identical to the Warrants sold in the Offering except that the Placement Warrants (a) shall be non-redeemable by the Company, (b) may not, subject to certain limited exceptions, be transferred, assigned or sold by the initial purchaser until thirty (30) days after the completion of the Company’s initial business combination and (c) may be exercised for cash or on a cashless basis, as described in the Prospectus, in each case so long as the Placement Warrants continue to be held by the initial purchasers of the Placement Warrants or their permitted transferees (as described in the Subscription Agreements and the Warrant Agreement (as defined in Section 2.22 hereof)). There will be no placement agent in the Private Placement and no party shall be entitled to a placement fee or expense allowance from the sale of the Placement Securities. Pursuant to Rule 5110(g)(1) of FINRA’s (as defined below) Rules, the Placement Warrants are subject to a lock-up for a period of 180 days immediately following the Effective Date of the Registration Statement or the commencement of sales in the Offering and, for that 180 day period following the Effective Date, may not be sold, transferred, assigned, pledged or hypothecated, or be subject of any hedging, short sale, derivative or put or call transaction that would result in the economic disposition of the securities. Pursuant to Rule 5110(g)(8) of FINRA’s Rules, Chardan Capital Markets, LLC and its related persons may not, with respect to the Placement Warrants (and the shares that are issuable upon exercise of the Placement Warrants) purchased by Holdings, (i) have more than one demand registration right at the Company’s expense, (ii) exercise their demand registration rights more than five (5) years from the effective date of the Registration Statement, and (iii) exercise their “piggy-back” registration rights more than seven (7) years from the effective date of the Registration Statement, as long as Chardan Capital Markets, LLC or any of its related persons are beneficial owners of Placement Warrants.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Qualified Independent Underwriter</w:t>
      </w:r>
      <w:r>
        <w:rPr>
          <w:rFonts w:ascii="Arial" w:cs="Arial" w:eastAsia="Arial" w:hAnsi="Arial"/>
          <w:sz w:val="18"/>
          <w:szCs w:val="18"/>
          <w:color w:val="auto"/>
        </w:rPr>
        <w:t>. The Company hereby confirms its engagement of [●] (“</w:t>
      </w:r>
      <w:r>
        <w:rPr>
          <w:rFonts w:ascii="Arial" w:cs="Arial" w:eastAsia="Arial" w:hAnsi="Arial"/>
          <w:sz w:val="18"/>
          <w:szCs w:val="18"/>
          <w:b w:val="1"/>
          <w:bCs w:val="1"/>
          <w:color w:val="auto"/>
        </w:rPr>
        <w:t>[●]</w:t>
      </w:r>
      <w:r>
        <w:rPr>
          <w:rFonts w:ascii="Arial" w:cs="Arial" w:eastAsia="Arial" w:hAnsi="Arial"/>
          <w:sz w:val="18"/>
          <w:szCs w:val="18"/>
          <w:color w:val="auto"/>
        </w:rPr>
        <w:t>”) as, and [●] hereby confirms its agreement with the Company to render services as, the “qualified independent underwriter,” within the meaning of Rule 5121 of the Financial Industry Regulatory Authority, Inc. (“</w:t>
      </w:r>
      <w:r>
        <w:rPr>
          <w:rFonts w:ascii="Arial" w:cs="Arial" w:eastAsia="Arial" w:hAnsi="Arial"/>
          <w:sz w:val="18"/>
          <w:szCs w:val="18"/>
          <w:b w:val="1"/>
          <w:bCs w:val="1"/>
          <w:color w:val="auto"/>
        </w:rPr>
        <w:t>FINRA</w:t>
      </w:r>
      <w:r>
        <w:rPr>
          <w:rFonts w:ascii="Arial" w:cs="Arial" w:eastAsia="Arial" w:hAnsi="Arial"/>
          <w:sz w:val="18"/>
          <w:szCs w:val="18"/>
          <w:color w:val="auto"/>
        </w:rPr>
        <w:t>”) with respect to the offering and sale of the Public Securities. [●], solely in its capacity as the qualified independent underwriter and not otherwise, is referred to herein as the “</w:t>
      </w:r>
      <w:r>
        <w:rPr>
          <w:rFonts w:ascii="Arial" w:cs="Arial" w:eastAsia="Arial" w:hAnsi="Arial"/>
          <w:sz w:val="18"/>
          <w:szCs w:val="18"/>
          <w:b w:val="1"/>
          <w:bCs w:val="1"/>
          <w:color w:val="auto"/>
        </w:rPr>
        <w:t>QIU</w:t>
      </w:r>
      <w:r>
        <w:rPr>
          <w:rFonts w:ascii="Arial" w:cs="Arial" w:eastAsia="Arial" w:hAnsi="Arial"/>
          <w:sz w:val="18"/>
          <w:szCs w:val="18"/>
          <w:color w:val="auto"/>
        </w:rPr>
        <w:t>.” As compensation for services rendered, on the Closing Date, the Company shall pay to the QIU, by wire transfer of immediately available funds on the Closing Date, a fee of $[100,000] from the total underwriting discount. [●] hereby consents to the reference to it as set forth under the heading “Underwriting (Conflicts of Interest)” in the Preliminary Prospectus and the Prospectus (as defined herein) and any amendment or supplement thereto.</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1" w:name="page192"/>
    <w:bookmarkEnd w:id="191"/>
    <w:p>
      <w:pPr>
        <w:ind w:left="960" w:hanging="952"/>
        <w:spacing w:after="0"/>
        <w:tabs>
          <w:tab w:leader="none" w:pos="960"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 of the Company</w:t>
      </w:r>
      <w:r>
        <w:rPr>
          <w:rFonts w:ascii="Arial" w:cs="Arial" w:eastAsia="Arial" w:hAnsi="Arial"/>
          <w:sz w:val="17"/>
          <w:szCs w:val="17"/>
          <w:color w:val="auto"/>
        </w:rPr>
        <w:t>. The Company represents and warrants to the Underwriters and the QIU as follows:</w:t>
      </w:r>
    </w:p>
    <w:p>
      <w:pPr>
        <w:spacing w:after="0" w:line="24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Filing of Registration Statement</w:t>
      </w:r>
      <w:r>
        <w:rPr>
          <w:rFonts w:ascii="Arial" w:cs="Arial" w:eastAsia="Arial" w:hAnsi="Arial"/>
          <w:sz w:val="16"/>
          <w:szCs w:val="16"/>
          <w:color w:val="auto"/>
        </w:rPr>
        <w:t>.</w:t>
      </w:r>
    </w:p>
    <w:p>
      <w:pPr>
        <w:spacing w:after="0" w:line="221"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i w:val="1"/>
          <w:iCs w:val="1"/>
          <w:color w:val="auto"/>
        </w:rPr>
        <w:t>Pursuant to the Act</w:t>
      </w:r>
      <w:r>
        <w:rPr>
          <w:rFonts w:ascii="Arial" w:cs="Arial" w:eastAsia="Arial" w:hAnsi="Arial"/>
          <w:sz w:val="16"/>
          <w:szCs w:val="16"/>
          <w:color w:val="auto"/>
        </w:rPr>
        <w:t>. 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and an amendment or amendments thereto, on Form S-1 (File No. 333-254010), including any related preliminary prospectus (the “</w:t>
      </w:r>
      <w:r>
        <w:rPr>
          <w:rFonts w:ascii="Arial" w:cs="Arial" w:eastAsia="Arial" w:hAnsi="Arial"/>
          <w:sz w:val="16"/>
          <w:szCs w:val="16"/>
          <w:b w:val="1"/>
          <w:bCs w:val="1"/>
          <w:color w:val="auto"/>
        </w:rPr>
        <w:t>Preliminary</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including any prospectus that is included in the Registration Statement immediately prior to the effectiveness of the Registration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registration of the Public Securities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which registration statement and amendment or amendments have been prepared by the Company in conformity in all material respects with the requirements of the Act, and the rules and regulations (the “</w:t>
      </w:r>
      <w:r>
        <w:rPr>
          <w:rFonts w:ascii="Arial" w:cs="Arial" w:eastAsia="Arial" w:hAnsi="Arial"/>
          <w:sz w:val="16"/>
          <w:szCs w:val="16"/>
          <w:b w:val="1"/>
          <w:bCs w:val="1"/>
          <w:color w:val="auto"/>
        </w:rPr>
        <w:t>Regulations</w:t>
      </w:r>
      <w:r>
        <w:rPr>
          <w:rFonts w:ascii="Arial" w:cs="Arial" w:eastAsia="Arial" w:hAnsi="Arial"/>
          <w:sz w:val="16"/>
          <w:szCs w:val="16"/>
          <w:color w:val="auto"/>
        </w:rPr>
        <w:t>”) of the Commission under the Act. The conditions for use of Form S-1 to register the Offering under the Act, as set forth in the General Instructions to such Form, have been satisfied in all material respects. Except as the context may otherwise require, such registration statement, as amended, on file with the Commission at the time the registration statement becomes effective (including the prospectus, financial statements, schedules, exhibits and all other documents filed as a part thereof or incorporated therein and all information deemed to be a part thereof as of such time pursuant to Rule 430A of the Regulations), is hereinafter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form of the final prospectus dated the Effective Date included in the Registration Statement (or, if applicable, the form of final prospectus containing information permitted to be omitted at the time of effectiveness by Rule 430A of the Regulations filed with the Commission pursuant to Rule 424 of the Regulations), is hereinafter called the “</w:t>
      </w:r>
      <w:r>
        <w:rPr>
          <w:rFonts w:ascii="Arial" w:cs="Arial" w:eastAsia="Arial" w:hAnsi="Arial"/>
          <w:sz w:val="16"/>
          <w:szCs w:val="16"/>
          <w:b w:val="1"/>
          <w:bCs w:val="1"/>
          <w:color w:val="auto"/>
        </w:rPr>
        <w:t>Prospectus</w:t>
      </w:r>
      <w:r>
        <w:rPr>
          <w:rFonts w:ascii="Arial" w:cs="Arial" w:eastAsia="Arial" w:hAnsi="Arial"/>
          <w:sz w:val="16"/>
          <w:szCs w:val="16"/>
          <w:color w:val="auto"/>
        </w:rPr>
        <w:t>.” For purposes of this Agreement, “</w:t>
      </w:r>
      <w:r>
        <w:rPr>
          <w:rFonts w:ascii="Arial" w:cs="Arial" w:eastAsia="Arial" w:hAnsi="Arial"/>
          <w:sz w:val="16"/>
          <w:szCs w:val="16"/>
          <w:b w:val="1"/>
          <w:bCs w:val="1"/>
          <w:color w:val="auto"/>
        </w:rPr>
        <w:t>Time of Sale</w:t>
      </w:r>
      <w:r>
        <w:rPr>
          <w:rFonts w:ascii="Arial" w:cs="Arial" w:eastAsia="Arial" w:hAnsi="Arial"/>
          <w:sz w:val="16"/>
          <w:szCs w:val="16"/>
          <w:color w:val="auto"/>
        </w:rPr>
        <w:t>”, as used in the Act, means [●] p.m., New York City time, on the date of this Agreement. If the Company has filed, or is required pursuant to the terms hereof to file, a registration statement pursuant to Rule 462(b) under the Securities Act registering the Public Securities (a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then, unless otherwise specified, any reference herein to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be deemed to include such Rule 462(b) Registration Statement. Other than a Rule 462(b) Registration Statement, which, if filed, becomes effective upon filing, no other document with respect to the Registration Statement has heretofore been filed with the Commission. All of the Public Securities have been registered under the Act pursuant to the Registration Statement or, if any Rule 462(b) Registration Statement is filed, will be duly registered under the Securities Act with the filing of such Rule 462(b) Registration Statement. The Registration Statement has been declared effective by the Commission on the date hereof. If, subsequent to the date of this Agreement, the Company or the Representative has determined that at the Time of Sale the Prospectus included an untrue statement of a material fact or omitted a statement of material fact necessary to make the statements therein, in light of the circumstances under which they were made, not misleading, and have agreed to provide an opportunity to purchasers of the Units to terminate their old purchase contracts and enter into new purchase contracts, the Prospectus will be deemed to include any additional information available to purchasers at the time of entry into the first such new purchase contract.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jc w:val="both"/>
        <w:ind w:firstLine="1296"/>
        <w:spacing w:after="0" w:line="259" w:lineRule="auto"/>
        <w:rPr>
          <w:sz w:val="20"/>
          <w:szCs w:val="20"/>
          <w:color w:val="auto"/>
        </w:rPr>
      </w:pPr>
      <w:r>
        <w:rPr>
          <w:rFonts w:ascii="Arial" w:cs="Arial" w:eastAsia="Arial" w:hAnsi="Arial"/>
          <w:sz w:val="18"/>
          <w:szCs w:val="18"/>
          <w:i w:val="1"/>
          <w:iCs w:val="1"/>
          <w:color w:val="auto"/>
        </w:rPr>
        <w:t>2.1.2 Pursuant to the Exchange Act</w:t>
      </w:r>
      <w:r>
        <w:rPr>
          <w:rFonts w:ascii="Arial" w:cs="Arial" w:eastAsia="Arial" w:hAnsi="Arial"/>
          <w:sz w:val="18"/>
          <w:szCs w:val="18"/>
          <w:color w:val="auto"/>
        </w:rPr>
        <w:t>. The Company has filed with the Commission a Form 8-A (Registration No. 001-[●]),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registration under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of the Units, the Common Stock and the Warrants. The registration of the Units, Common Stock and Warrants under the Exchange Act will be declared effective by the Commission on or prior to the Effective Date.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No Stop Orders, Etc</w:t>
      </w:r>
      <w:r>
        <w:rPr>
          <w:rFonts w:ascii="Arial" w:cs="Arial" w:eastAsia="Arial" w:hAnsi="Arial"/>
          <w:sz w:val="18"/>
          <w:szCs w:val="18"/>
          <w:color w:val="auto"/>
        </w:rPr>
        <w:t>. Neither the Commission nor, to the best of the Company’s knowledge, any state regulatory authority has issued any order or threatened to issue any order preventing or suspending the use of any Preliminary Prospectus or has instituted or, to the best of the Company’s knowledge, threatened to institute any proceedings with respect to such an order.</w:t>
      </w:r>
    </w:p>
    <w:p>
      <w:pPr>
        <w:spacing w:after="0" w:line="18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Disclosures in Registration Statement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i w:val="1"/>
          <w:iCs w:val="1"/>
          <w:color w:val="auto"/>
        </w:rPr>
        <w:t>10b-5 Representation</w:t>
      </w:r>
      <w:r>
        <w:rPr>
          <w:rFonts w:ascii="Arial" w:cs="Arial" w:eastAsia="Arial" w:hAnsi="Arial"/>
          <w:sz w:val="16"/>
          <w:szCs w:val="16"/>
          <w:color w:val="auto"/>
        </w:rPr>
        <w:t xml:space="preserve">. At the time the Registration Statement became effective, upon the filing or first use (within the meaning of the Regulations) of the Prospectus and at the Closing Date and the Option Closing Date, if any, the Registration Statement and the Prospectus contained or will contain all material statements that are required to be stated therein in accordance with the Act and the Regulations, and did or will in all material respects conform to the requirements of the Act and the Regulations. Neither the Registration Statement nor any Preliminary Prospectus or the Prospectus, nor any amendment or supplement thereto, on their respective dates, did or will contain any untrue statement of a material fact or omit to state any material fact required to be stated therein or necessary to make the statements therein (in the case of the Preliminary Prospectus and the Prospectus, in light of the circumstances under which they were made), not misleading. When any Preliminary Prospectus was first filed with the Commission (whether filed as part of the Registration Statement for the registration of the Public Securities or any amendment thereto or pursuant to Rule 424(a) of the Regulations) or first used (within the meaning of the Regulations) and when any amendment thereof or supplement thereto was first filed with the Commission or first used (within the meaning of the Regulations), such Preliminary Prospectus and any amendments thereof and supplements thereto complied or will have been corrected in the Prospectus to comply in all material respects with the applicable provisions of the Act and the Regulations and did not and will not contain an untrue statement of a material fact or omit to state any material fact required to be stated therein or necessary in order to make the statements therein, in light of the circumstances under which they were made, not misleading. The representation and warranty made in this </w:t>
      </w:r>
      <w:r>
        <w:rPr>
          <w:rFonts w:ascii="Arial" w:cs="Arial" w:eastAsia="Arial" w:hAnsi="Arial"/>
          <w:sz w:val="16"/>
          <w:szCs w:val="16"/>
          <w:u w:val="single" w:color="auto"/>
          <w:color w:val="auto"/>
        </w:rPr>
        <w:t>Section 2.3.1</w:t>
      </w:r>
      <w:r>
        <w:rPr>
          <w:rFonts w:ascii="Arial" w:cs="Arial" w:eastAsia="Arial" w:hAnsi="Arial"/>
          <w:sz w:val="16"/>
          <w:szCs w:val="16"/>
          <w:color w:val="auto"/>
        </w:rPr>
        <w:t xml:space="preserve"> does not apply to statements made or statements omitted in reliance upon and in conformity with written information furnished to the Company with respect to the Underwriters by the Representative expressly for use in the Registration Statement or Prospectus or any amendment thereof or supplement thereto. It is understood that the following identified statements set forth in the Prospectus under the heading “Underwriting” constitute, for the purposes of this Agreement, information furnished by the Representative with respect to the Underwriters: (i) the table of underwriters in the first paragraph of “Underwriting”, (ii) the first paragraph of the Underwriting subsection “Pricing of this Offering,” (iii) the Underwriting subsection “Regulatory Restrictions on Purchase of Securities” and (iv) the Underwriting subsection “Resale Restrictions.”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3" w:name="page194"/>
    <w:bookmarkEnd w:id="193"/>
    <w:p>
      <w:pPr>
        <w:jc w:val="both"/>
        <w:ind w:firstLine="1296"/>
        <w:spacing w:after="0" w:line="285"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i w:val="1"/>
          <w:iCs w:val="1"/>
          <w:color w:val="auto"/>
        </w:rPr>
        <w:t>Disclosure of Agreements</w:t>
      </w:r>
      <w:r>
        <w:rPr>
          <w:rFonts w:ascii="Arial" w:cs="Arial" w:eastAsia="Arial" w:hAnsi="Arial"/>
          <w:sz w:val="16"/>
          <w:szCs w:val="16"/>
          <w:color w:val="auto"/>
        </w:rPr>
        <w:t>. The agreements and documents described in the Registration Statement, the Preliminary Prospectus and the Prospectus conform to the descriptions thereof contained therein and there are no agreements or other documents required to be described in the Registration Statement, the Preliminary Prospectus or the Prospectus or to be filed with the Commission as exhibits to the Registration Statement, that have not been so described or filed. Each agreement or other instrument (however characterized or described) to which the Company is a party or by which its property or business is or may be bound or affected and (i) that is referred to in the Registration Statement, Preliminary Prospectus or the Prospectus or attached as an exhibit thereto, or (ii) is material to the Company’s business, has been duly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and none of such agreements or instruments has been assigned by the Company, and neither the Company nor, to the Company’s knowledge, any other party is in breach or default thereunder and, to the Company’s knowledge, no event has occurred that, with the lapse of time or the giving of notice, or both, would constitute a breach or default thereunder. To the Company’s knowledge, performance by the Company of the material provisions of such agreements or instruments will not result in a material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17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i w:val="1"/>
          <w:iCs w:val="1"/>
          <w:color w:val="auto"/>
        </w:rPr>
        <w:t>Prior Securities Transactions</w:t>
      </w:r>
      <w:r>
        <w:rPr>
          <w:rFonts w:ascii="Arial" w:cs="Arial" w:eastAsia="Arial" w:hAnsi="Arial"/>
          <w:sz w:val="18"/>
          <w:szCs w:val="18"/>
          <w:color w:val="auto"/>
        </w:rPr>
        <w:t>. No securities of the Company have been sold by the Company or by or on behalf of, or for the benefit of, any person or persons controlling, controlled by, or under common control with the Company since the date of the Company’s formation, except as disclosed in the Registration Statement.</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i w:val="1"/>
          <w:iCs w:val="1"/>
          <w:color w:val="auto"/>
        </w:rPr>
        <w:t>Regulations</w:t>
      </w:r>
      <w:r>
        <w:rPr>
          <w:rFonts w:ascii="Arial" w:cs="Arial" w:eastAsia="Arial" w:hAnsi="Arial"/>
          <w:sz w:val="18"/>
          <w:szCs w:val="18"/>
          <w:color w:val="auto"/>
        </w:rPr>
        <w:t>. The disclosures in the Registration Statement, the Preliminary Prospectus and the Prospectus concerning the effects of Federal, state and local regulation on the Company’s business as currently contemplated fairly summarize, to the best of the Company’s knowledge, such effects and do not omit to state a material fact necessary to make the statements therein, in light of the circumstances in which they were made, not misleading.</w:t>
      </w:r>
    </w:p>
    <w:p>
      <w:pPr>
        <w:spacing w:after="0" w:line="18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Changes After Dates in Registration Statement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i w:val="1"/>
          <w:iCs w:val="1"/>
          <w:color w:val="auto"/>
        </w:rPr>
        <w:t>No Material Adverse Change</w:t>
      </w:r>
      <w:r>
        <w:rPr>
          <w:rFonts w:ascii="Arial" w:cs="Arial" w:eastAsia="Arial" w:hAnsi="Arial"/>
          <w:sz w:val="18"/>
          <w:szCs w:val="18"/>
          <w:color w:val="auto"/>
        </w:rPr>
        <w:t>. Except as contemplated in the Prospectus or specifically stated therein, since the respective dates as of which information is given in the Registration Statement, any Preliminary Prospectus and/or the Prospectus: (i) there has been no material adverse change in the condition, financial or otherwise, or business prospects of the Company; (ii) there have been no material transactions entered into by the Company, other than as contemplated pursuant to this Agreement; (iii) no member of the Company’s board of directors or management has resigned from any position with the Company and (iv) no event or occurrence has taken place which materially impairs, or would likely materially impair, with the passage of time, the ability of the members of the Company’s board of directors or management to act in their capacities with the Company as described in the Registration Statement and the Prospectus.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4" w:name="page195"/>
    <w:bookmarkEnd w:id="194"/>
    <w:p>
      <w:pPr>
        <w:jc w:val="both"/>
        <w:ind w:firstLine="1296"/>
        <w:spacing w:after="0" w:line="259" w:lineRule="auto"/>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i w:val="1"/>
          <w:iCs w:val="1"/>
          <w:color w:val="auto"/>
        </w:rPr>
        <w:t>Recent Securities Transactions, Etc</w:t>
      </w:r>
      <w:r>
        <w:rPr>
          <w:rFonts w:ascii="Arial" w:cs="Arial" w:eastAsia="Arial" w:hAnsi="Arial"/>
          <w:sz w:val="18"/>
          <w:szCs w:val="18"/>
          <w:color w:val="auto"/>
        </w:rPr>
        <w:t>. Except as contemplated in the Prospectus, subsequent to the respective dates as of which information is given in the Registration Statement and the Prospectus, and except as may otherwise be indicated or contemplated herein or therein, the Company has not: (i) issued any securities or incurred any liability or obligation, direct or contingent, for borrowed money; or (ii) declared or paid any dividend or made any other distribution on or in respect to its capital stock.</w:t>
      </w:r>
    </w:p>
    <w:p>
      <w:pPr>
        <w:spacing w:after="0" w:line="1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Independent Accountants</w:t>
      </w:r>
      <w:r>
        <w:rPr>
          <w:rFonts w:ascii="Arial" w:cs="Arial" w:eastAsia="Arial" w:hAnsi="Arial"/>
          <w:sz w:val="17"/>
          <w:szCs w:val="17"/>
          <w:color w:val="auto"/>
        </w:rPr>
        <w:t>. To the best of the Company’s knowledge, WithumSmith+Brown, PC (“</w:t>
      </w:r>
      <w:r>
        <w:rPr>
          <w:rFonts w:ascii="Arial" w:cs="Arial" w:eastAsia="Arial" w:hAnsi="Arial"/>
          <w:sz w:val="17"/>
          <w:szCs w:val="17"/>
          <w:b w:val="1"/>
          <w:bCs w:val="1"/>
          <w:color w:val="auto"/>
        </w:rPr>
        <w:t>Withum</w:t>
      </w:r>
      <w:r>
        <w:rPr>
          <w:rFonts w:ascii="Arial" w:cs="Arial" w:eastAsia="Arial" w:hAnsi="Arial"/>
          <w:sz w:val="17"/>
          <w:szCs w:val="17"/>
          <w:color w:val="auto"/>
        </w:rPr>
        <w:t>”), whose report is filed with the Commission as part of the Registration Statement and included in the Registration Statement, the Preliminary Prospectus and the Prospectus, are independent accountants as required by the Act and the Regulations and the Public Company Accounting Oversight Board (including the rules and regulations promulgated by such entity, the “</w:t>
      </w:r>
      <w:r>
        <w:rPr>
          <w:rFonts w:ascii="Arial" w:cs="Arial" w:eastAsia="Arial" w:hAnsi="Arial"/>
          <w:sz w:val="17"/>
          <w:szCs w:val="17"/>
          <w:b w:val="1"/>
          <w:bCs w:val="1"/>
          <w:color w:val="auto"/>
        </w:rPr>
        <w:t>PCAOB</w:t>
      </w:r>
      <w:r>
        <w:rPr>
          <w:rFonts w:ascii="Arial" w:cs="Arial" w:eastAsia="Arial" w:hAnsi="Arial"/>
          <w:sz w:val="17"/>
          <w:szCs w:val="17"/>
          <w:color w:val="auto"/>
        </w:rPr>
        <w:t>”). To the best of the Company’s knowledge, Withum is duly registered and in good standing with the PCAOB. Withum has not, during the periods covered by the financial statements included in the Registration Statement and the Prospectus, provided to the Company any non-audit services, as such term is used in Section 10A(g) of the Exchange Act.</w:t>
      </w:r>
    </w:p>
    <w:p>
      <w:pPr>
        <w:spacing w:after="0" w:line="17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Financial Statements; Statistical Data</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2.6.1 </w:t>
      </w:r>
      <w:r>
        <w:rPr>
          <w:rFonts w:ascii="Arial" w:cs="Arial" w:eastAsia="Arial" w:hAnsi="Arial"/>
          <w:sz w:val="16"/>
          <w:szCs w:val="16"/>
          <w:i w:val="1"/>
          <w:iCs w:val="1"/>
          <w:color w:val="auto"/>
        </w:rPr>
        <w:t>Financial Statements</w:t>
      </w:r>
      <w:r>
        <w:rPr>
          <w:rFonts w:ascii="Arial" w:cs="Arial" w:eastAsia="Arial" w:hAnsi="Arial"/>
          <w:sz w:val="16"/>
          <w:szCs w:val="16"/>
          <w:color w:val="auto"/>
        </w:rPr>
        <w:t>. The financial statements, including the notes thereto and supporting schedules included in the Registration Statement, the Preliminary Prospectus and the Prospectus fairly present the financial position and the results of operations of the Company at the dates and for the periods to which they apply; and such financial statements have been prepared in conformity with generally accepted accounting principles, consistently applied throughout the periods involved; and the supporting schedules included in the Registration Statement present fairly the information required to be stated therein. To the best of the Company’s knowledge, no other financial statements or supporting schedules are required to be included or incorporated by reference in the Registration Statement, the Preliminary Prospectus or the Prospectus. The Registration Statement, the Preliminary Prospectus and the Prospectus disclose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To the best of the Company’s knowledge, there are no pro forma or as adjusted financial statements which are required to be included in the Registration Statement and the Prospectus in accordance with Regulation S-X which have not been included as so required.</w:t>
      </w:r>
    </w:p>
    <w:p>
      <w:pPr>
        <w:spacing w:after="0" w:line="17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i w:val="1"/>
          <w:iCs w:val="1"/>
          <w:color w:val="auto"/>
        </w:rPr>
        <w:t>Statistical Data</w:t>
      </w:r>
      <w:r>
        <w:rPr>
          <w:rFonts w:ascii="Arial" w:cs="Arial" w:eastAsia="Arial" w:hAnsi="Arial"/>
          <w:sz w:val="18"/>
          <w:szCs w:val="18"/>
          <w:color w:val="auto"/>
        </w:rPr>
        <w:t>. The statistical, industry-related and market-related data included in the Registration Statement, the Preliminary Prospectus and the Prospectus, if any, are based on or derived from sources which the Company reasonably and in good faith believes are reliable and accurate, and such data agree with the sources from which they are derived.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5" w:name="page196"/>
    <w:bookmarkEnd w:id="195"/>
    <w:p>
      <w:pPr>
        <w:jc w:val="both"/>
        <w:ind w:firstLine="648"/>
        <w:spacing w:after="0" w:line="271"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Authorized Capital; Options, Etc</w:t>
      </w:r>
      <w:r>
        <w:rPr>
          <w:rFonts w:ascii="Arial" w:cs="Arial" w:eastAsia="Arial" w:hAnsi="Arial"/>
          <w:sz w:val="17"/>
          <w:szCs w:val="17"/>
          <w:color w:val="auto"/>
        </w:rPr>
        <w:t>. The Company had at the date or dates indicated in the Registration Statement, the Preliminary Prospectus and the Prospectus, as the case may be, duly authorized, issued and outstanding capitalization as set forth in the Registration Statement, the Preliminary Prospectus and the Prospectus. Based on the assumptions stated in the Registration Statement, the Preliminary Prospectus and the Prospectus, the Company will have on the Closing Date the adjusted stock capitalization set forth therein. Except as set forth in, or contemplated by, the Registration Statement, the Preliminary Prospectus and the Prospectus, on the Effective Date of the Prospectus and on the Closing Date and the Option Closing Date, if any, there will be no options, warrants, or other rights to purchase or otherwise acquire any authorized, but unissued shares of Common Stock of the Company or any security convertible into shares of Common Stock of the Company, or any contracts or commitments to issue or sell shares of Common Stock or any such options, warrants, rights or convertible securities.</w:t>
      </w:r>
    </w:p>
    <w:p>
      <w:pPr>
        <w:spacing w:after="0" w:line="17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Valid Issuance of Securities, Etc</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2.8.1 </w:t>
      </w:r>
      <w:r>
        <w:rPr>
          <w:rFonts w:ascii="Arial" w:cs="Arial" w:eastAsia="Arial" w:hAnsi="Arial"/>
          <w:sz w:val="16"/>
          <w:szCs w:val="16"/>
          <w:i w:val="1"/>
          <w:iCs w:val="1"/>
          <w:color w:val="auto"/>
        </w:rPr>
        <w:t>Outstanding Securities</w:t>
      </w:r>
      <w:r>
        <w:rPr>
          <w:rFonts w:ascii="Arial" w:cs="Arial" w:eastAsia="Arial" w:hAnsi="Arial"/>
          <w:sz w:val="16"/>
          <w:szCs w:val="16"/>
          <w:color w:val="auto"/>
        </w:rPr>
        <w:t>. All issued and outstanding securities of the Company (including, without limitation, the Placement Securities) have been duly authorized and validly issued and are fully paid and non-assessable; the holders thereof have no rights of rescission with respect thereto, and are not subject to personal liability by reason of being such holders; and none of such securities were issued in violation of the preemptive rights of any holders of any security of the Company or similar contractual rights granted by the Company. The Securities conform in all material respects to all statements relating thereto contained in the Registration Statement, the Preliminary Prospectus and the Prospectus. Subject to the disclosure contained in the Registration Statement, the Preliminary Prospectus and the Prospectus with respect to the Placement Securities, the offers and sales of the outstanding shares of Common Stock were at all relevant times either registered under the Act and the applicable state securities or Blue Sky laws or, based in part on the representations and warranties of the purchasers of such shares, exempt from such registration requirements.</w:t>
      </w:r>
    </w:p>
    <w:p>
      <w:pPr>
        <w:spacing w:after="0" w:line="16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2.8.2 </w:t>
      </w:r>
      <w:r>
        <w:rPr>
          <w:rFonts w:ascii="Arial" w:cs="Arial" w:eastAsia="Arial" w:hAnsi="Arial"/>
          <w:sz w:val="18"/>
          <w:szCs w:val="18"/>
          <w:i w:val="1"/>
          <w:iCs w:val="1"/>
          <w:color w:val="auto"/>
        </w:rPr>
        <w:t>Securities Sold</w:t>
      </w:r>
      <w:r>
        <w:rPr>
          <w:rFonts w:ascii="Arial" w:cs="Arial" w:eastAsia="Arial" w:hAnsi="Arial"/>
          <w:sz w:val="18"/>
          <w:szCs w:val="18"/>
          <w:color w:val="auto"/>
        </w:rPr>
        <w:t>. The Securities have been duly authorized and reserved for issuance and when issued and paid for, will be validly issued, fully paid and non-assessable; the holders thereof are not and will not be subject to personal liability by reason of being such holders; the Securities are not and will not be subject to the preemptive rights of any holders of any security of the Company or similar contractual rights granted by the Company; and all corporate actions required to be taken for the authorization, issuance and sale of the Securities have been duly and validly taken. The Securities conform in all material respects to all statements with respect thereto contained in the Registration Statement, the Preliminary Prospectus and the Prospectus, as the case may be.</w:t>
      </w:r>
    </w:p>
    <w:p>
      <w:pPr>
        <w:spacing w:after="0" w:line="19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2.8.3 </w:t>
      </w:r>
      <w:r>
        <w:rPr>
          <w:rFonts w:ascii="Arial" w:cs="Arial" w:eastAsia="Arial" w:hAnsi="Arial"/>
          <w:sz w:val="16"/>
          <w:szCs w:val="16"/>
          <w:i w:val="1"/>
          <w:iCs w:val="1"/>
          <w:color w:val="auto"/>
        </w:rPr>
        <w:t>Placement Securities</w:t>
      </w:r>
      <w:r>
        <w:rPr>
          <w:rFonts w:ascii="Arial" w:cs="Arial" w:eastAsia="Arial" w:hAnsi="Arial"/>
          <w:sz w:val="16"/>
          <w:szCs w:val="16"/>
          <w:color w:val="auto"/>
        </w:rPr>
        <w:t>. The Placement Securities have been duly authorized and reserved for issuance and when issued and paid for, will be validly issued, fully paid and non-assessable; the Placement Securities are not and will not be subject to the preemptive rights of any holders of any security of the Company or similar contractual rights granted by the Company; and all corporate actions required to be taken for the authorization, issuance and sale of the Placement Securities have been duly and validly taken. When issued, the Placement Warrants will constitute valid and binding obligations of the Company to issue and sell, upon exercise thereof and payment of the exercise price therefor, the number and type of securities of the Company called for thereby in accordance with the terms thereof, and such Placement Warrants are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federal and state securities laws; and (iii) that the remedy of specific performance and injunctive and other forms of equitable relief may be subject to the equitable defenses and to the discretion of the court before which any proceeding therefor may be brought. The shares of Common Stock underlying the Placement Warrants have been reserved for issuance upon the exercise of the Placement Warrants and, when issued in accordance with the terms of the Placement Warrants, will be duly and validly authorized, validly issued, fully paid and non-assessable, and the holders thereof are not and will not be subject to personal liability by reason of being such holders.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6" w:name="page197"/>
    <w:bookmarkEnd w:id="196"/>
    <w:p>
      <w:pPr>
        <w:jc w:val="both"/>
        <w:ind w:firstLine="1296"/>
        <w:spacing w:after="0" w:line="259" w:lineRule="auto"/>
        <w:rPr>
          <w:sz w:val="20"/>
          <w:szCs w:val="20"/>
          <w:color w:val="auto"/>
        </w:rPr>
      </w:pPr>
      <w:r>
        <w:rPr>
          <w:rFonts w:ascii="Arial" w:cs="Arial" w:eastAsia="Arial" w:hAnsi="Arial"/>
          <w:sz w:val="18"/>
          <w:szCs w:val="18"/>
          <w:color w:val="auto"/>
        </w:rPr>
        <w:t xml:space="preserve">2.8.4 </w:t>
      </w:r>
      <w:r>
        <w:rPr>
          <w:rFonts w:ascii="Arial" w:cs="Arial" w:eastAsia="Arial" w:hAnsi="Arial"/>
          <w:sz w:val="18"/>
          <w:szCs w:val="18"/>
          <w:i w:val="1"/>
          <w:iCs w:val="1"/>
          <w:color w:val="auto"/>
        </w:rPr>
        <w:t>No Integration</w:t>
      </w:r>
      <w:r>
        <w:rPr>
          <w:rFonts w:ascii="Arial" w:cs="Arial" w:eastAsia="Arial" w:hAnsi="Arial"/>
          <w:sz w:val="18"/>
          <w:szCs w:val="18"/>
          <w:color w:val="auto"/>
        </w:rPr>
        <w:t>. Subject to the disclosure contained in the Registration Statement, the Preliminary Prospectus and/or the Prospectus with respect to the Placement Securities, neither the Company nor any of its affiliates has, prior to the date hereof, made any offer or sale of any securities which are required to be “integrated” pursuant to the Act or the Regulations with the offer and sale of the Public Securities pursuant to the Registration Statement.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Registration Rights of Third Parties</w:t>
      </w:r>
      <w:r>
        <w:rPr>
          <w:rFonts w:ascii="Arial" w:cs="Arial" w:eastAsia="Arial" w:hAnsi="Arial"/>
          <w:sz w:val="18"/>
          <w:szCs w:val="18"/>
          <w:color w:val="auto"/>
        </w:rPr>
        <w:t>. Except as set forth in the Registration Statement, the Preliminary Prospectus or the Prospectus, no holders of any securities of the Company or any rights exercisable for or convertible or exchangeable into securities of the Company have the right to require the Company to register any such securities of the Company under the Act or to include any such securities in a registration statement to be filed by the Company.</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Validity and Binding Effect of Agreements</w:t>
      </w:r>
      <w:r>
        <w:rPr>
          <w:rFonts w:ascii="Arial" w:cs="Arial" w:eastAsia="Arial" w:hAnsi="Arial"/>
          <w:sz w:val="16"/>
          <w:szCs w:val="16"/>
          <w:color w:val="auto"/>
        </w:rPr>
        <w:t xml:space="preserve">. This Agreement, the Warrant Agreement (as defined in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hereof), the Trust Agreement, the Services Agreement (as defined in </w:t>
      </w:r>
      <w:r>
        <w:rPr>
          <w:rFonts w:ascii="Arial" w:cs="Arial" w:eastAsia="Arial" w:hAnsi="Arial"/>
          <w:sz w:val="16"/>
          <w:szCs w:val="16"/>
          <w:u w:val="single" w:color="auto"/>
          <w:color w:val="auto"/>
        </w:rPr>
        <w:t>Section 3.5.2</w:t>
      </w:r>
      <w:r>
        <w:rPr>
          <w:rFonts w:ascii="Arial" w:cs="Arial" w:eastAsia="Arial" w:hAnsi="Arial"/>
          <w:sz w:val="16"/>
          <w:szCs w:val="16"/>
          <w:color w:val="auto"/>
        </w:rPr>
        <w:t xml:space="preserve"> hereof), the Subscription Agreements (as defined in </w:t>
      </w:r>
      <w:r>
        <w:rPr>
          <w:rFonts w:ascii="Arial" w:cs="Arial" w:eastAsia="Arial" w:hAnsi="Arial"/>
          <w:sz w:val="16"/>
          <w:szCs w:val="16"/>
          <w:u w:val="single" w:color="auto"/>
          <w:color w:val="auto"/>
        </w:rPr>
        <w:t>Section 2.24.2</w:t>
      </w:r>
      <w:r>
        <w:rPr>
          <w:rFonts w:ascii="Arial" w:cs="Arial" w:eastAsia="Arial" w:hAnsi="Arial"/>
          <w:sz w:val="16"/>
          <w:szCs w:val="16"/>
          <w:color w:val="auto"/>
        </w:rPr>
        <w:t xml:space="preserve"> hereof), the Registration Rights Agreement (as defined in </w:t>
      </w:r>
      <w:r>
        <w:rPr>
          <w:rFonts w:ascii="Arial" w:cs="Arial" w:eastAsia="Arial" w:hAnsi="Arial"/>
          <w:sz w:val="16"/>
          <w:szCs w:val="16"/>
          <w:u w:val="single" w:color="auto"/>
          <w:color w:val="auto"/>
        </w:rPr>
        <w:t>Section 2.24.3</w:t>
      </w:r>
      <w:r>
        <w:rPr>
          <w:rFonts w:ascii="Arial" w:cs="Arial" w:eastAsia="Arial" w:hAnsi="Arial"/>
          <w:sz w:val="16"/>
          <w:szCs w:val="16"/>
          <w:color w:val="auto"/>
        </w:rPr>
        <w:t xml:space="preserve"> hereof), the Business Combination Marketing Agreement (as defined in Section 2.33) and the Escrow Agreement (as defined in </w:t>
      </w:r>
      <w:r>
        <w:rPr>
          <w:rFonts w:ascii="Arial" w:cs="Arial" w:eastAsia="Arial" w:hAnsi="Arial"/>
          <w:sz w:val="16"/>
          <w:szCs w:val="16"/>
          <w:u w:val="single" w:color="auto"/>
          <w:color w:val="auto"/>
        </w:rPr>
        <w:t>Section 2.24.4</w:t>
      </w:r>
      <w:r>
        <w:rPr>
          <w:rFonts w:ascii="Arial" w:cs="Arial" w:eastAsia="Arial" w:hAnsi="Arial"/>
          <w:sz w:val="16"/>
          <w:szCs w:val="16"/>
          <w:color w:val="auto"/>
        </w:rPr>
        <w:t xml:space="preserve"> hereof) have been duly and validly authorized by the Company and constitute valid and binding agreements of the Company,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No Conflicts, Etc</w:t>
      </w:r>
      <w:r>
        <w:rPr>
          <w:rFonts w:ascii="Arial" w:cs="Arial" w:eastAsia="Arial" w:hAnsi="Arial"/>
          <w:sz w:val="17"/>
          <w:szCs w:val="17"/>
          <w:color w:val="auto"/>
        </w:rPr>
        <w:t>. The execution, delivery, and performance by the Company of this Agreement, the Warrant Agreement, the Business Combination Marketing Agreement, the Trust Agreement, the Services Agreement, the Subscription Agreements, the Registration Rights Agreement and the Escrow Agreement, the consummation by the Company of the transactions herein and therein contemplated and the compliance by the Company with the terms hereof and thereof do not and will not, with or without the giving of notice or the lapse of time or both: (i) result in a material breach of, or conflict with any of the terms and provisions of, or constitute a material default under, or result in the creation, modification, termination or imposition of any material lien, charge or encumbrance upon any property or assets of the Company pursuant to the terms of any agreement or instrument to which the Company is a party; (ii) result in any violation of the provisions of the amended and restated certificate of incorporation of the Company; or (iii) violate any existing applicable law, rule, regulation, judgment, order or decree of any governmental agency or court, domestic or foreign, having jurisdiction over the Company or any of its properties or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7" w:name="page198"/>
    <w:bookmarkEnd w:id="197"/>
    <w:p>
      <w:pPr>
        <w:jc w:val="both"/>
        <w:ind w:firstLine="648"/>
        <w:spacing w:after="0" w:line="272"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No Defaults; Violations</w:t>
      </w:r>
      <w:r>
        <w:rPr>
          <w:rFonts w:ascii="Arial" w:cs="Arial" w:eastAsia="Arial" w:hAnsi="Arial"/>
          <w:sz w:val="17"/>
          <w:szCs w:val="17"/>
          <w:color w:val="auto"/>
        </w:rPr>
        <w:t>. No material default exists in the due performance and observance of any term, covenant or condition of any material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The Company is not in violation of any material agreement, license, permit, applicable law, rule, regulation, judgment or decree of any governmental agency or court, domestic or foreign, having jurisdiction over the Company or any of its properties or businesses, except for such violations which would not reasonably be expected to have a material adverse effect on the Company. The Company is not in violation of any term or provision of its amended and restated certificate of incorporation.</w:t>
      </w:r>
    </w:p>
    <w:p>
      <w:pPr>
        <w:spacing w:after="0" w:line="17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u w:val="single" w:color="auto"/>
          <w:color w:val="auto"/>
        </w:rPr>
        <w:t>Corporate Power; Licenses; Consents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2.13.1 </w:t>
      </w:r>
      <w:r>
        <w:rPr>
          <w:rFonts w:ascii="Arial" w:cs="Arial" w:eastAsia="Arial" w:hAnsi="Arial"/>
          <w:sz w:val="16"/>
          <w:szCs w:val="16"/>
          <w:i w:val="1"/>
          <w:iCs w:val="1"/>
          <w:color w:val="auto"/>
        </w:rPr>
        <w:t>Conduct of Business</w:t>
      </w:r>
      <w:r>
        <w:rPr>
          <w:rFonts w:ascii="Arial" w:cs="Arial" w:eastAsia="Arial" w:hAnsi="Arial"/>
          <w:sz w:val="16"/>
          <w:szCs w:val="16"/>
          <w:color w:val="auto"/>
        </w:rPr>
        <w:t>. The Company has all requisite corporate power and authority, and has all necessary authorizations, approvals, orders, licenses, certificates and permits of and from all governmental regulatory officials and bodies that it needs as of the date hereof to conduct its business for the purposes described in the Registration Statement, the Preliminary Prospectus and the Prospectus. The disclosures in the Registration Statement and the Prospectus concerning the effects of federal, state and local regulation on the Offering and the Company’s business purpose as currently contemplated are correct in all material respects and do not omit to state a material fact required to be stated therein or necessary in order to make the statements therein (with respect to the Prospectus, in light of the circumstances under which they were made), not misleading. Since its formation, the Company has conducted no business and has incurred no liabilities other than in connection with and in furtherance of the Offering.</w:t>
      </w:r>
    </w:p>
    <w:p>
      <w:pPr>
        <w:spacing w:after="0" w:line="16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2.13.2 </w:t>
      </w:r>
      <w:r>
        <w:rPr>
          <w:rFonts w:ascii="Arial" w:cs="Arial" w:eastAsia="Arial" w:hAnsi="Arial"/>
          <w:sz w:val="18"/>
          <w:szCs w:val="18"/>
          <w:i w:val="1"/>
          <w:iCs w:val="1"/>
          <w:color w:val="auto"/>
        </w:rPr>
        <w:t>Transactions Contemplated Herein</w:t>
      </w:r>
      <w:r>
        <w:rPr>
          <w:rFonts w:ascii="Arial" w:cs="Arial" w:eastAsia="Arial" w:hAnsi="Arial"/>
          <w:sz w:val="18"/>
          <w:szCs w:val="18"/>
          <w:color w:val="auto"/>
        </w:rPr>
        <w:t>. The Company has all corporate power and authority to enter into this Agreement and to carry out the provisions and conditions hereof, and all consents, authorizations, approvals and orders required in connection therewith have been obtained. No consent, authorization or order of, and no filing with, any court, government agency or other body is required for the valid issuance, sale and delivery of the Securities and the consummation of the transactions and agreements contemplated by this Agreement, the Warrant Agreement, the Trust Agreement, the Services Agreement, the Subscription Agreements, the Business Combination Marketing Agreement and the Registration Rights Agreement and the Escrow Agreement and as contemplated by the Prospectus, except with respect to applicable federal and state securities laws and the rules and regulations promulgated by FINRA.</w:t>
      </w:r>
    </w:p>
    <w:p>
      <w:pPr>
        <w:spacing w:after="0" w:line="19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D&amp;O Questionnaires</w:t>
      </w:r>
      <w:r>
        <w:rPr>
          <w:rFonts w:ascii="Arial" w:cs="Arial" w:eastAsia="Arial" w:hAnsi="Arial"/>
          <w:sz w:val="17"/>
          <w:szCs w:val="17"/>
          <w:color w:val="auto"/>
        </w:rPr>
        <w:t>. To the Company’s knowledge, all information contained in the questionnaires (the “</w:t>
      </w:r>
      <w:r>
        <w:rPr>
          <w:rFonts w:ascii="Arial" w:cs="Arial" w:eastAsia="Arial" w:hAnsi="Arial"/>
          <w:sz w:val="17"/>
          <w:szCs w:val="17"/>
          <w:b w:val="1"/>
          <w:bCs w:val="1"/>
          <w:color w:val="auto"/>
        </w:rPr>
        <w:t>Questionnaires</w:t>
      </w:r>
      <w:r>
        <w:rPr>
          <w:rFonts w:ascii="Arial" w:cs="Arial" w:eastAsia="Arial" w:hAnsi="Arial"/>
          <w:sz w:val="17"/>
          <w:szCs w:val="17"/>
          <w:color w:val="auto"/>
        </w:rPr>
        <w:t>”) completed by the Company’s stockholders immediately prior to the Offering (the “</w:t>
      </w:r>
      <w:r>
        <w:rPr>
          <w:rFonts w:ascii="Arial" w:cs="Arial" w:eastAsia="Arial" w:hAnsi="Arial"/>
          <w:sz w:val="17"/>
          <w:szCs w:val="17"/>
          <w:b w:val="1"/>
          <w:bCs w:val="1"/>
          <w:color w:val="auto"/>
        </w:rPr>
        <w:t>Initial Stockholders</w:t>
      </w:r>
      <w:r>
        <w:rPr>
          <w:rFonts w:ascii="Arial" w:cs="Arial" w:eastAsia="Arial" w:hAnsi="Arial"/>
          <w:sz w:val="17"/>
          <w:szCs w:val="17"/>
          <w:color w:val="auto"/>
        </w:rPr>
        <w:t>”) and each of the Company’s officers and directors and provided to the Underwriters is true and correct and the Company has not become aware of any information which would cause the information disclosed in the questionnaires completed by the Initial Shareholders and each officer or director, to become inaccurate and incorrect.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8" w:name="page199"/>
    <w:bookmarkEnd w:id="198"/>
    <w:p>
      <w:pPr>
        <w:jc w:val="both"/>
        <w:ind w:firstLine="648"/>
        <w:spacing w:after="0" w:line="311"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Litigation; Governmental Proceedings</w:t>
      </w:r>
      <w:r>
        <w:rPr>
          <w:rFonts w:ascii="Arial" w:cs="Arial" w:eastAsia="Arial" w:hAnsi="Arial"/>
          <w:sz w:val="16"/>
          <w:szCs w:val="16"/>
          <w:color w:val="auto"/>
        </w:rPr>
        <w:t>. There is no action, suit, proceeding, inquiry, arbitration, investigation, litigation or governmental proceeding pending or, to the best of the Company’s knowledge, threatened against, or involving the Company or, to the best of the Company’s knowledge, the Initial Shareholders, which has not been disclosed in the Registration Statement, the Questionnaires, the Preliminary Prospectus and the Prospectus.</w:t>
      </w:r>
    </w:p>
    <w:p>
      <w:pPr>
        <w:spacing w:after="0" w:line="1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Good Standing</w:t>
      </w:r>
      <w:r>
        <w:rPr>
          <w:rFonts w:ascii="Arial" w:cs="Arial" w:eastAsia="Arial" w:hAnsi="Arial"/>
          <w:sz w:val="17"/>
          <w:szCs w:val="17"/>
          <w:color w:val="auto"/>
        </w:rPr>
        <w:t>. The Company has been duly organized, is validly existing and is in good standing under the laws of Delaware and is duly qualified to do business and is in good standing as a foreign corporation in each jurisdiction in which its ownership or lease of property or the conduct of business requires such qualification, except where the failure to qualify would not have a material adverse effect on the Company.</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No Contemplation of a Business Combination</w:t>
      </w:r>
      <w:r>
        <w:rPr>
          <w:rFonts w:ascii="Arial" w:cs="Arial" w:eastAsia="Arial" w:hAnsi="Arial"/>
          <w:sz w:val="18"/>
          <w:szCs w:val="18"/>
          <w:color w:val="auto"/>
        </w:rPr>
        <w:t>. Prior to the date hereof, neither the Company, its officers and directors nor the Initial Shareholders had, and as of the Closing, the Company and such officers and directors and Initial Shareholders will not have had: (i) any specific Business Combination under consideration or contemplation; or (ii) any substantive interactions or discussions with any target business regarding a possible Business Combination.</w:t>
      </w:r>
    </w:p>
    <w:p>
      <w:pPr>
        <w:spacing w:after="0" w:line="18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u w:val="single" w:color="auto"/>
          <w:color w:val="auto"/>
        </w:rPr>
        <w:t>Transactions Affecting Disclosure to FINRA</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2.18.1 Except as described in the Preliminary Prospectus and/or the Prospectus, there are no claims, payments, arrangements, agreements or understandings relating to the payment of a finder’s, consulting or origination fee by the Company or the Initial Shareholders with respect to the sale of the Securities hereunder or any other arrangements, agreements or understandings of the Company or, to the Company’s knowledge, the Initial Shareholders that may affect the Underwriters’ compensation, as determined by FINRA.</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2.18.2 Except as described in the Preliminary Prospectus and/or the Prospectus,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to any FINRA member; or (iii) to any person or entity that has any direct or indirect affiliation or association with any FINRA member, within the twelve (12) months prior to the Effective Date, other than payments to the Representative.</w:t>
      </w:r>
    </w:p>
    <w:p>
      <w:pPr>
        <w:spacing w:after="0" w:line="18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2.18.3 Except as described in the Preliminary Prospectus and/or the Prospectus, no officer, director, or beneficial owner of any class of the Company’s securities (whether debt or equity, registered or unregistered, regardless of the time acquired or the source from which derived) (any such individual or entity, a “</w:t>
      </w:r>
      <w:r>
        <w:rPr>
          <w:rFonts w:ascii="Arial" w:cs="Arial" w:eastAsia="Arial" w:hAnsi="Arial"/>
          <w:sz w:val="17"/>
          <w:szCs w:val="17"/>
          <w:b w:val="1"/>
          <w:bCs w:val="1"/>
          <w:color w:val="auto"/>
        </w:rPr>
        <w:t>Company Affiliate</w:t>
      </w:r>
      <w:r>
        <w:rPr>
          <w:rFonts w:ascii="Arial" w:cs="Arial" w:eastAsia="Arial" w:hAnsi="Arial"/>
          <w:sz w:val="17"/>
          <w:szCs w:val="17"/>
          <w:color w:val="auto"/>
        </w:rPr>
        <w:t>”) is a member, a person associated, or affiliated with a member of FINRA.</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9" w:name="page200"/>
    <w:bookmarkEnd w:id="199"/>
    <w:p>
      <w:pPr>
        <w:jc w:val="both"/>
        <w:ind w:firstLine="1296"/>
        <w:spacing w:after="0" w:line="277" w:lineRule="auto"/>
        <w:rPr>
          <w:sz w:val="20"/>
          <w:szCs w:val="20"/>
          <w:color w:val="auto"/>
        </w:rPr>
      </w:pPr>
      <w:r>
        <w:rPr>
          <w:rFonts w:ascii="Arial" w:cs="Arial" w:eastAsia="Arial" w:hAnsi="Arial"/>
          <w:sz w:val="18"/>
          <w:szCs w:val="18"/>
          <w:color w:val="auto"/>
        </w:rPr>
        <w:t>2.18.4 Except as described in the Preliminary Prospectus and/or the Prospectus, no Company Affiliate is an owner of stock or other securities of any member of FINRA (other than securities purchased on the open market).</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2.18.5</w:t>
      </w:r>
      <w:r>
        <w:rPr>
          <w:sz w:val="20"/>
          <w:szCs w:val="20"/>
          <w:color w:val="auto"/>
        </w:rPr>
        <w:tab/>
      </w:r>
      <w:r>
        <w:rPr>
          <w:rFonts w:ascii="Arial" w:cs="Arial" w:eastAsia="Arial" w:hAnsi="Arial"/>
          <w:sz w:val="16"/>
          <w:szCs w:val="16"/>
          <w:color w:val="auto"/>
        </w:rPr>
        <w:t>No Company Affiliate has made a subordinated loan to any member of FINRA.</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2.18.6 No proceeds from the sale of the Public Securities (excluding underwriting compensation) or the Placement Securities will be paid to any FINRA member, or any persons associated or affiliated with a member of FINRA, except as specifically authorized herein and in the Subscription Agreements.</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2.18.7 The Company has not issued any warrants or other securities, or granted any options, directly or indirectly to anyone who is a potential underwriter in the Offering or a related person (as defined by FINRA rules) of such an underwriter within the 180-day period prior to the initial filing date of the Registration Statement.</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2.18.8 Except as described in the Preliminary Prospectus and/or the Prospectus, no person to whom securities of the Company have been privately issued within the 180-day period prior to the initial filing date of the Registration Statement has any relationship or affiliation or association with any member of FINRA.</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2.18.9 Except as described in the Preliminary Prospectus and/or the Prospectus, no FINRA member intending to participate in the Offering has a conflict of interest with the Company. For this purpose, a “conflict of interest” exists when a member of FINRA and its associated persons, parent or affiliates in the aggregate beneficially own 10% or more of the Company’s outstanding subordinated debt or common equity, or 10% or more of the Company’s preferred equity. “Members participating in the Offering” include managing agents, syndicate group members and all dealers which are members of FINRA.</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2.18.10 Except with respect to the Representative in connection with the Offering, the Company has not entered into any agreement or arrangement (including, without limitation, any consulting agreement or any other type of agreement) during the 180-day period prior to the initial filing date of the Registration Statement, which arrangement or agreement provides for the receipt of any item of value and/or the transfer of any warrants, options, or other securities from the Company to a FINRA member, any person associated with a member (as defined by FINRA rules), any potential underwriters in the Offering and any related persons.</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Neither the Company nor the Initial Shareholders or any other person acting on behalf of the Company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 (ii) if not given in the past, might have had a material adverse effect on the assets, business or operations of the Company as reflected in any of the financial statements contained in the Registration Statement, the Preliminary Prospectus and/or the Prospectus; or (iii) if not continued in the future, might adversely affect the assets, business, operations or prospects of the Company. The Company’s internal accounting controls and procedures are sufficient to cause the Company to comply with the Foreign Corrupt Practices Act of 1977, as amended.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0" w:name="page201"/>
    <w:bookmarkEnd w:id="200"/>
    <w:p>
      <w:pPr>
        <w:jc w:val="both"/>
        <w:ind w:firstLine="648"/>
        <w:spacing w:after="0" w:line="259" w:lineRule="auto"/>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Patriot Act</w:t>
      </w:r>
      <w:r>
        <w:rPr>
          <w:rFonts w:ascii="Arial" w:cs="Arial" w:eastAsia="Arial" w:hAnsi="Arial"/>
          <w:sz w:val="18"/>
          <w:szCs w:val="18"/>
          <w:color w:val="auto"/>
        </w:rPr>
        <w:t>. Neither the Company nor, to the Company’s knowledge, any officer, director or Initial Shareholder has violated: (i) the Bank Secrecy Act, as amended; (ii) the Money Laundering Control Act of 1986, as amended; or (iii) the Uniting and Strengthening of America by Providing Appropriate Tools Required to Intercept and Obstruct Terrorism (USA PATRIOT ACT) Act of 2001, and/or the rules and regulations promulgated under any such law, or any successor law.</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Officers’ Certificate</w:t>
      </w:r>
      <w:r>
        <w:rPr>
          <w:rFonts w:ascii="Arial" w:cs="Arial" w:eastAsia="Arial" w:hAnsi="Arial"/>
          <w:sz w:val="16"/>
          <w:szCs w:val="16"/>
          <w:color w:val="auto"/>
        </w:rPr>
        <w:t>. Any certificate signed by any duly authorized officer of the Company and delivered to the Representative or to the Representative’s counsel shall be deemed a representation and warranty by the Company to the Underwriters and the QIU as to the matters covered thereby.</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Warrant Agreement</w:t>
      </w:r>
      <w:r>
        <w:rPr>
          <w:rFonts w:ascii="Arial" w:cs="Arial" w:eastAsia="Arial" w:hAnsi="Arial"/>
          <w:sz w:val="16"/>
          <w:szCs w:val="16"/>
          <w:color w:val="auto"/>
        </w:rPr>
        <w:t>. The Company has entered into a warrant agreement with respect to the Warrants and the Placement Warrants with Continental Stock Transfer &amp; Trust Company, substantially in the form filed as an exhibit to the Registration Statement (the “</w:t>
      </w:r>
      <w:r>
        <w:rPr>
          <w:rFonts w:ascii="Arial" w:cs="Arial" w:eastAsia="Arial" w:hAnsi="Arial"/>
          <w:sz w:val="16"/>
          <w:szCs w:val="16"/>
          <w:b w:val="1"/>
          <w:bCs w:val="1"/>
          <w:color w:val="auto"/>
        </w:rPr>
        <w:t>Warrant Agreement</w:t>
      </w:r>
      <w:r>
        <w:rPr>
          <w:rFonts w:ascii="Arial" w:cs="Arial" w:eastAsia="Arial" w:hAnsi="Arial"/>
          <w:sz w:val="16"/>
          <w:szCs w:val="16"/>
          <w:color w:val="auto"/>
        </w:rPr>
        <w:t>”).</w:t>
      </w:r>
    </w:p>
    <w:p>
      <w:pPr>
        <w:spacing w:after="0" w:line="12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u w:val="single" w:color="auto"/>
          <w:color w:val="auto"/>
        </w:rPr>
        <w:t>Agreements with Officers, Directors and Initial Shareholders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2.24.1 </w:t>
      </w:r>
      <w:r>
        <w:rPr>
          <w:rFonts w:ascii="Arial" w:cs="Arial" w:eastAsia="Arial" w:hAnsi="Arial"/>
          <w:sz w:val="18"/>
          <w:szCs w:val="18"/>
          <w:i w:val="1"/>
          <w:iCs w:val="1"/>
          <w:color w:val="auto"/>
        </w:rPr>
        <w:t>Insider Letters</w:t>
      </w:r>
      <w:r>
        <w:rPr>
          <w:rFonts w:ascii="Arial" w:cs="Arial" w:eastAsia="Arial" w:hAnsi="Arial"/>
          <w:sz w:val="18"/>
          <w:szCs w:val="18"/>
          <w:color w:val="auto"/>
        </w:rPr>
        <w:t>. The Company has caused to be duly executed legally binding and enforceable agreements (except: (i) as such enforceability may be limited by bankruptcy, insolvency, reorganization or similar laws affecting creditors’ rights generally; (ii) as enforceability of any indemnification, contribution or non-compete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 annexed as exhibits to the Registration Statement (the “</w:t>
      </w:r>
      <w:r>
        <w:rPr>
          <w:rFonts w:ascii="Arial" w:cs="Arial" w:eastAsia="Arial" w:hAnsi="Arial"/>
          <w:sz w:val="18"/>
          <w:szCs w:val="18"/>
          <w:b w:val="1"/>
          <w:bCs w:val="1"/>
          <w:color w:val="auto"/>
        </w:rPr>
        <w:t>Insider Letter</w:t>
      </w:r>
      <w:r>
        <w:rPr>
          <w:rFonts w:ascii="Arial" w:cs="Arial" w:eastAsia="Arial" w:hAnsi="Arial"/>
          <w:sz w:val="18"/>
          <w:szCs w:val="18"/>
          <w:color w:val="auto"/>
        </w:rPr>
        <w:t>”), pursuant to which each of the officers, directors and Initial Shareholders of the Company agree to certain matters.</w:t>
      </w:r>
    </w:p>
    <w:p>
      <w:pPr>
        <w:spacing w:after="0" w:line="19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2.24.2 </w:t>
      </w:r>
      <w:r>
        <w:rPr>
          <w:rFonts w:ascii="Arial" w:cs="Arial" w:eastAsia="Arial" w:hAnsi="Arial"/>
          <w:sz w:val="18"/>
          <w:szCs w:val="18"/>
          <w:i w:val="1"/>
          <w:iCs w:val="1"/>
          <w:color w:val="auto"/>
        </w:rPr>
        <w:t>Subscription Agreements</w:t>
      </w:r>
      <w:r>
        <w:rPr>
          <w:rFonts w:ascii="Arial" w:cs="Arial" w:eastAsia="Arial" w:hAnsi="Arial"/>
          <w:sz w:val="18"/>
          <w:szCs w:val="18"/>
          <w:color w:val="auto"/>
        </w:rPr>
        <w:t>. Holdings has executed and delivered an agreement, the form of which is attached as an exhibit to the Registration Statement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 pursuant to which Holdings, among other things, will purchase an aggregate of 4,200,000 (or up to 4,385,185 depending on the extent to which the underwriters’ over-allotment option is exercised) Placement Warrants in the Private Placement. Pursuant to the Subscription Agreement, all of the proceeds from the sale of the Placement Warrants will be deposited by the Company in the Trust Account in accordance with the terms of the Trust Agreement prior to the Closing.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jc w:val="both"/>
        <w:ind w:firstLine="1296"/>
        <w:spacing w:after="0" w:line="259" w:lineRule="auto"/>
        <w:rPr>
          <w:sz w:val="20"/>
          <w:szCs w:val="20"/>
          <w:color w:val="auto"/>
        </w:rPr>
      </w:pPr>
      <w:r>
        <w:rPr>
          <w:rFonts w:ascii="Arial" w:cs="Arial" w:eastAsia="Arial" w:hAnsi="Arial"/>
          <w:sz w:val="18"/>
          <w:szCs w:val="18"/>
          <w:color w:val="auto"/>
        </w:rPr>
        <w:t xml:space="preserve">2.24.3 </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The Company and the Initial Shareholders have entered into a registration rights agreement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substantially in the form annexed as an exhibit to the Registration Statement, whereby the parties will be entitled to certain registration rights with respect to their securities, as set forth in such Registration Rights Agreement and described more fully in the Registration Statement.</w:t>
      </w:r>
    </w:p>
    <w:p>
      <w:pPr>
        <w:spacing w:after="0" w:line="183"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2.24.4 </w:t>
      </w:r>
      <w:r>
        <w:rPr>
          <w:rFonts w:ascii="Arial" w:cs="Arial" w:eastAsia="Arial" w:hAnsi="Arial"/>
          <w:sz w:val="18"/>
          <w:szCs w:val="18"/>
          <w:i w:val="1"/>
          <w:iCs w:val="1"/>
          <w:color w:val="auto"/>
        </w:rPr>
        <w:t>Escrow Agreement</w:t>
      </w:r>
      <w:r>
        <w:rPr>
          <w:rFonts w:ascii="Arial" w:cs="Arial" w:eastAsia="Arial" w:hAnsi="Arial"/>
          <w:sz w:val="18"/>
          <w:szCs w:val="18"/>
          <w:color w:val="auto"/>
        </w:rPr>
        <w:t>. The Company has caused the Initial Shareholders to enter into an escrow agreement (the “</w:t>
      </w:r>
      <w:r>
        <w:rPr>
          <w:rFonts w:ascii="Arial" w:cs="Arial" w:eastAsia="Arial" w:hAnsi="Arial"/>
          <w:sz w:val="18"/>
          <w:szCs w:val="18"/>
          <w:b w:val="1"/>
          <w:bCs w:val="1"/>
          <w:color w:val="auto"/>
        </w:rPr>
        <w:t>Escrow</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with Continental Stock Transfer &amp; Trust Company substantially in the form filed as an exhibit to the Registration Statement, whereby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owned by the Initial Shareholders will be held in escrow during the period in which they are subject to the transfer restrictions as set forth in the Prospectus. During such escrow period, the Initial Shareholders shall be prohibited from selling or otherwise transferring such shares (except as otherwise set forth in the Escrow Agreement) but will retain the right to vote any such shares of Common Stock. To the Company’s knowledge, the Escrow Agreement is enforceable against each of the Initial Shareholders and will not, with or without the giving of notice or the lapse of time or both, result in a breach of, or conflict with any of the terms and provisions of, or constitute a default under, any agreement or instrument to which any of the Initial Shareholders is a party.</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Investment Management Trust Agreement</w:t>
      </w:r>
      <w:r>
        <w:rPr>
          <w:rFonts w:ascii="Arial" w:cs="Arial" w:eastAsia="Arial" w:hAnsi="Arial"/>
          <w:sz w:val="18"/>
          <w:szCs w:val="18"/>
          <w:color w:val="auto"/>
        </w:rPr>
        <w:t>. The Company has entered into the Trust Agreement with respect to certain proceeds of the Offering and the Private Placement substantially in the form filed as an exhibit to the Registration Statement.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u w:val="single" w:color="auto"/>
          <w:color w:val="auto"/>
        </w:rPr>
        <w:t>Covenants Not to Compete</w:t>
      </w:r>
      <w:r>
        <w:rPr>
          <w:rFonts w:ascii="Arial" w:cs="Arial" w:eastAsia="Arial" w:hAnsi="Arial"/>
          <w:sz w:val="18"/>
          <w:szCs w:val="18"/>
          <w:color w:val="auto"/>
        </w:rPr>
        <w:t>. To the Company’s knowledge, the officers and directors of the Company are not subject to any non-competition agreement or non-solicitation agreement with any employer or prior employer which could materially affect its ability to be an employee, officer or director of the Company.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u w:val="single" w:color="auto"/>
          <w:color w:val="auto"/>
        </w:rPr>
        <w:t>Investments</w:t>
      </w:r>
      <w:r>
        <w:rPr>
          <w:rFonts w:ascii="Arial" w:cs="Arial" w:eastAsia="Arial" w:hAnsi="Arial"/>
          <w:sz w:val="18"/>
          <w:szCs w:val="18"/>
          <w:color w:val="auto"/>
        </w:rPr>
        <w:t>. No more than 45% of the “value” (as defined in Section 2(a)(41) of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 of the Company’s total assets consist of, and no more than 45% of the Company’s net income after taxes is derived from, securities other than “Government Securities” (as defined in Section 2(a)(16) of the Investment Company Act).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u w:val="single" w:color="auto"/>
          <w:color w:val="auto"/>
        </w:rPr>
        <w:t>Subsidiaries</w:t>
      </w:r>
      <w:r>
        <w:rPr>
          <w:rFonts w:ascii="Arial" w:cs="Arial" w:eastAsia="Arial" w:hAnsi="Arial"/>
          <w:sz w:val="18"/>
          <w:szCs w:val="18"/>
          <w:color w:val="auto"/>
        </w:rPr>
        <w:t>. The Company does not own an interest in any corporation, partnership, limited liability company, joint venture, trust or other business entity.</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No relationship, direct or indirect, exists between or among any of the Company or any Company Affiliate, on the one hand, and any director, officer, shareholder, customer or supplier of the Company or any Company Affiliate, on the other hand, which is required by the Act, the Exchange Act or the Regulations to be described in the Registration Statement, the Preliminary Prospectus and/or the Prospectus which is not so described and described as required. There are no outstanding loans, advances (except normal advances for business expenses in the ordinary course of business) or guarantees of indebtedness by the Company to or for the benefit of any of the officers or directors of the Company or any of their respective family members, except as disclosed in the Registration Statement, the Preliminary Prospectus and/or the Prospectus. The Company has not extended or maintained credit, arranged for the extension of credit, or renewed an extension of credit, in the form of a personal loan to or for any director or officer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2" w:name="page203"/>
    <w:bookmarkEnd w:id="202"/>
    <w:p>
      <w:pPr>
        <w:jc w:val="both"/>
        <w:ind w:firstLine="648"/>
        <w:spacing w:after="0" w:line="259" w:lineRule="auto"/>
        <w:rPr>
          <w:sz w:val="20"/>
          <w:szCs w:val="20"/>
          <w:color w:val="auto"/>
        </w:rPr>
      </w:pPr>
      <w:r>
        <w:rPr>
          <w:rFonts w:ascii="Arial" w:cs="Arial" w:eastAsia="Arial" w:hAnsi="Arial"/>
          <w:sz w:val="18"/>
          <w:szCs w:val="18"/>
          <w:color w:val="auto"/>
        </w:rPr>
        <w:t xml:space="preserve">2.30 </w:t>
      </w:r>
      <w:r>
        <w:rPr>
          <w:rFonts w:ascii="Arial" w:cs="Arial" w:eastAsia="Arial" w:hAnsi="Arial"/>
          <w:sz w:val="18"/>
          <w:szCs w:val="18"/>
          <w:u w:val="single" w:color="auto"/>
          <w:color w:val="auto"/>
        </w:rPr>
        <w:t>No Influence</w:t>
      </w:r>
      <w:r>
        <w:rPr>
          <w:rFonts w:ascii="Arial" w:cs="Arial" w:eastAsia="Arial" w:hAnsi="Arial"/>
          <w:sz w:val="18"/>
          <w:szCs w:val="18"/>
          <w:color w:val="auto"/>
        </w:rPr>
        <w:t>. The Company has not offered, or caused the Underwriters to offer, the Firm Units to any person or entity with the intention of unlawfully influencing: (i) a customer or supplier of the Company or any Company Affiliate to alter the customer’s or supplier’s level or type of business with the Company or such affiliate; or (ii) a journalist or publication to write or publish favorable information about the Company or any such affiliate.</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Trading of the Public Securities on the Nasdaq Capital Market</w:t>
      </w:r>
      <w:r>
        <w:rPr>
          <w:rFonts w:ascii="Arial" w:cs="Arial" w:eastAsia="Arial" w:hAnsi="Arial"/>
          <w:sz w:val="16"/>
          <w:szCs w:val="16"/>
          <w:color w:val="auto"/>
        </w:rPr>
        <w:t>. As of the Effective Date and the Closing Date, the Public Securities will have been authorized for listing on the Nasdaq Capital Market and no proceedings have been instituted or threatened which would effect, and no event or circumstance has occurred as of the Effective Date which is reasonably likely to effect, the listing of the Public Securities on the Nasdaq Capital Market.</w:t>
      </w:r>
    </w:p>
    <w:p>
      <w:pPr>
        <w:spacing w:after="0" w:line="14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Definition of “Knowledge”</w:t>
      </w:r>
      <w:r>
        <w:rPr>
          <w:rFonts w:ascii="Arial" w:cs="Arial" w:eastAsia="Arial" w:hAnsi="Arial"/>
          <w:sz w:val="18"/>
          <w:szCs w:val="18"/>
          <w:color w:val="auto"/>
        </w:rPr>
        <w:t>. As used in this Agreement, the term “</w:t>
      </w:r>
      <w:r>
        <w:rPr>
          <w:rFonts w:ascii="Arial" w:cs="Arial" w:eastAsia="Arial" w:hAnsi="Arial"/>
          <w:sz w:val="18"/>
          <w:szCs w:val="18"/>
          <w:b w:val="1"/>
          <w:bCs w:val="1"/>
          <w:color w:val="auto"/>
        </w:rPr>
        <w:t>knowledge of the Company</w:t>
      </w:r>
      <w:r>
        <w:rPr>
          <w:rFonts w:ascii="Arial" w:cs="Arial" w:eastAsia="Arial" w:hAnsi="Arial"/>
          <w:sz w:val="18"/>
          <w:szCs w:val="18"/>
          <w:color w:val="auto"/>
        </w:rPr>
        <w:t>” (or similar language) shall mean the knowledge of the officers and directors of the Company who are named in the Prospectus, with the assumption that such officers and directors shall have made reasonable and diligent inquiry of the matters presented.</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The Business Combination Marketing Agreement</w:t>
      </w:r>
      <w:r>
        <w:rPr>
          <w:rFonts w:ascii="Arial" w:cs="Arial" w:eastAsia="Arial" w:hAnsi="Arial"/>
          <w:sz w:val="18"/>
          <w:szCs w:val="18"/>
          <w:color w:val="auto"/>
        </w:rPr>
        <w:t>. The Company has entered into a business combination marketing agreement with Chardan Capital Markets, LLC substantially in the form filed as an exhibit to the Registration Statement (the “</w:t>
      </w:r>
      <w:r>
        <w:rPr>
          <w:rFonts w:ascii="Arial" w:cs="Arial" w:eastAsia="Arial" w:hAnsi="Arial"/>
          <w:sz w:val="18"/>
          <w:szCs w:val="18"/>
          <w:b w:val="1"/>
          <w:bCs w:val="1"/>
          <w:color w:val="auto"/>
        </w:rPr>
        <w:t>Business Combination Marketing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ind w:left="960" w:hanging="952"/>
        <w:spacing w:after="0"/>
        <w:tabs>
          <w:tab w:leader="none" w:pos="9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Company</w:t>
      </w:r>
      <w:r>
        <w:rPr>
          <w:rFonts w:ascii="Arial" w:cs="Arial" w:eastAsia="Arial" w:hAnsi="Arial"/>
          <w:sz w:val="18"/>
          <w:szCs w:val="18"/>
          <w:color w:val="auto"/>
        </w:rPr>
        <w:t>. The Company covenants and agrees as follows: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Amendments to Registration Statement</w:t>
      </w:r>
      <w:r>
        <w:rPr>
          <w:rFonts w:ascii="Arial" w:cs="Arial" w:eastAsia="Arial" w:hAnsi="Arial"/>
          <w:sz w:val="18"/>
          <w:szCs w:val="18"/>
          <w:color w:val="auto"/>
        </w:rPr>
        <w:t>. The Company will deliver to the Representative, prior to filing, any amendment or supplement to the Registration Statement or Prospectus proposed to be filed after the Effective Date and will not file any such amendment or supplement to which the Representative shall reasonably object in writing.</w:t>
      </w:r>
    </w:p>
    <w:p>
      <w:pPr>
        <w:spacing w:after="0" w:line="18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Federal Securities Laws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i w:val="1"/>
          <w:iCs w:val="1"/>
          <w:color w:val="auto"/>
        </w:rPr>
        <w:t>Compliance</w:t>
      </w:r>
      <w:r>
        <w:rPr>
          <w:rFonts w:ascii="Arial" w:cs="Arial" w:eastAsia="Arial" w:hAnsi="Arial"/>
          <w:sz w:val="16"/>
          <w:szCs w:val="16"/>
          <w:color w:val="auto"/>
        </w:rPr>
        <w:t xml:space="preserve">. During the time when a Prospectus is required to be delivered under the Act, the Company will use all reasonable efforts to comply with all requirements imposed upon it by the Act, the Regulations and the Exchange Act and by the regulations under the Exchange Act, as from time to time in force, so far as necessary to permit the continuance of sales of or dealings in the Public Securities in accordance with the provisions hereof and the Prospectus. If at any time when a Prospectus relating to the Public Securities is required to be delivered under the Act, any event shall have occurred as a result of which, in the opinion of counsel for the Company or counsel for the Underwriters, the Prospectus, as then amended or supplemented, includes an untrue statement of a material fact or omits to state any material fact required to be stated therein or necessary to make the statements therein, in light of the circumstances under which they were made, not misleading, or if it is necessary during such period to amend the Registration Statement or amend or supplement the Prospectus to comply with the Act, the Company will notify the Representative promptly and prepare and file with the Commission, subject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hereof, an appropriate amendment to the Registration Statement or amendment or supplement to the Prospectus (at the expense of the Company) so as to correct such statement or omission or effect such compliance.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3" w:name="page204"/>
    <w:bookmarkEnd w:id="203"/>
    <w:p>
      <w:pPr>
        <w:jc w:val="both"/>
        <w:ind w:firstLine="1296"/>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i w:val="1"/>
          <w:iCs w:val="1"/>
          <w:color w:val="auto"/>
        </w:rPr>
        <w:t>Filing of Final Prospectus</w:t>
      </w:r>
      <w:r>
        <w:rPr>
          <w:rFonts w:ascii="Arial" w:cs="Arial" w:eastAsia="Arial" w:hAnsi="Arial"/>
          <w:sz w:val="18"/>
          <w:szCs w:val="18"/>
          <w:color w:val="auto"/>
        </w:rPr>
        <w:t>. The Company will file the Prospectus (in form and substance satisfactory to the Representative) with the Commission pursuant to the requirements of Rule 424 of the Regulations.</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i w:val="1"/>
          <w:iCs w:val="1"/>
          <w:color w:val="auto"/>
        </w:rPr>
        <w:t>Exchange Act Registration</w:t>
      </w:r>
      <w:r>
        <w:rPr>
          <w:rFonts w:ascii="Arial" w:cs="Arial" w:eastAsia="Arial" w:hAnsi="Arial"/>
          <w:sz w:val="18"/>
          <w:szCs w:val="18"/>
          <w:color w:val="auto"/>
        </w:rPr>
        <w:t>. For a period of five (5) years from the Effective Date, or until such earlier time upon which the Company is required to be liquidated, the Company will use its best efforts to maintain the registration of the Units, Common Stock and Warrants (until the Business Combination) under the provisions of the Exchange Act. The Company will not deregister the Units, Common Stock or Warrants prior to the Business Combination without the prior written consent of the Representative.</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i w:val="1"/>
          <w:iCs w:val="1"/>
          <w:color w:val="auto"/>
        </w:rPr>
        <w:t>Sarbanes-Oxley Compliance</w:t>
      </w:r>
      <w:r>
        <w:rPr>
          <w:rFonts w:ascii="Arial" w:cs="Arial" w:eastAsia="Arial" w:hAnsi="Arial"/>
          <w:sz w:val="18"/>
          <w:szCs w:val="18"/>
          <w:color w:val="auto"/>
        </w:rPr>
        <w:t>. As soon as it is legally required to do so, the Company shall take all actions necessary to obtain and thereafter maintain material compliance with each applicable provision of the Sarbanes-Oxley Act of 2002, as amended, and the rules and regulations promulgated thereunder and related or similar rules and regulations promulgated by any other governmental or self-regulatory entity or agency with jurisdiction over the Company.</w:t>
      </w:r>
    </w:p>
    <w:p>
      <w:pPr>
        <w:spacing w:after="0" w:line="187"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i w:val="1"/>
          <w:iCs w:val="1"/>
          <w:color w:val="auto"/>
        </w:rPr>
        <w:t>Blue Sky Filing</w:t>
      </w:r>
      <w:r>
        <w:rPr>
          <w:rFonts w:ascii="Arial" w:cs="Arial" w:eastAsia="Arial" w:hAnsi="Arial"/>
          <w:sz w:val="17"/>
          <w:szCs w:val="17"/>
          <w:color w:val="auto"/>
        </w:rPr>
        <w:t xml:space="preserve">. Unless the Public Securities are listed on the Nasdaq Capital Market or another national securities exchange, the Company, at its expense, will endeavor in good faith, in cooperation with the Representative, at or prior to the time the Registration Statement becomes effective, to qualify the Public Securities for offering and sale under the securities laws of such jurisdictions as the Representative may reasonably designate,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qualification shall be required in any jurisdiction where, as a result thereof, the Company would be subject to service of general process or to taxation as a foreign corporation doing business in such jurisdiction. In each jurisdiction where such qualification shall be effected, the Company will, unless the Representative agrees that such action is not at the time necessary or advisable, use all reasonable efforts to file and make such statements or reports at such times as are or may be required by the laws of such jurisdiction.</w:t>
      </w:r>
    </w:p>
    <w:p>
      <w:pPr>
        <w:spacing w:after="0" w:line="17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i w:val="1"/>
          <w:iCs w:val="1"/>
          <w:color w:val="auto"/>
        </w:rPr>
        <w:t>Delivery to Underwriters of Prospectuses</w:t>
      </w:r>
      <w:r>
        <w:rPr>
          <w:rFonts w:ascii="Arial" w:cs="Arial" w:eastAsia="Arial" w:hAnsi="Arial"/>
          <w:sz w:val="18"/>
          <w:szCs w:val="18"/>
          <w:color w:val="auto"/>
        </w:rPr>
        <w:t>. The Company will deliver to each of the several Underwriters, without charge, from time to time during the period when the Prospectus is required to be delivered under the Act or the Exchange Act such number of copies of each Preliminary Prospectus and Prospectus and all amendments and supplements to such documents as such Underwriters may reasonably request and, as soon as the Registration Statement or any amendment or supplement thereto becomes effective, deliver to the Representative two original executed Registration Statements, including exhibits, and all post-effective amendments thereto and copies of all exhibits filed therewith or incorporated therein by reference and all original executed consents of certified experts.</w:t>
      </w:r>
    </w:p>
    <w:p>
      <w:pPr>
        <w:spacing w:after="0" w:line="19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u w:val="single" w:color="auto"/>
          <w:color w:val="auto"/>
        </w:rPr>
        <w:t>Effectiveness and Events Requiring Notice to the Representative</w:t>
      </w:r>
      <w:r>
        <w:rPr>
          <w:rFonts w:ascii="Arial" w:cs="Arial" w:eastAsia="Arial" w:hAnsi="Arial"/>
          <w:sz w:val="17"/>
          <w:szCs w:val="17"/>
          <w:color w:val="auto"/>
        </w:rPr>
        <w:t>. The Company will use all reasonable efforts to cause the</w:t>
      </w:r>
    </w:p>
    <w:p>
      <w:pPr>
        <w:spacing w:after="0" w:line="2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Registration Statement to remain effective and will notify the Representative immediately and confirm the notice in writing: (i) of the effectiveness of the Registration Statement and any amendment thereto; (ii) of the issuance by the Commission of any stop order suspending the effectiveness of the Registration Statement, or any post-effective amendment thereto or preventing or suspending the use of any Preliminary Prospectus or the Prospectus or of the initiation, or the threatening, of any proceeding for that purpose; (iii) of the issuance by any state securities commission of any proceedings for the suspension of the qualification of the Public Securities for offering or sale in any jurisdiction or of the initiation, or the threatening, of any proceeding for that purpose; (iv) of the mailing and delivery to the Commission for filing of any amendment or supplement to the Registration Statement or Prospectus;</w:t>
      </w:r>
    </w:p>
    <w:p>
      <w:pPr>
        <w:spacing w:after="0" w:line="4" w:lineRule="exact"/>
        <w:rPr>
          <w:sz w:val="20"/>
          <w:szCs w:val="20"/>
          <w:color w:val="auto"/>
        </w:rPr>
      </w:pPr>
    </w:p>
    <w:p>
      <w:pPr>
        <w:jc w:val="both"/>
        <w:ind w:firstLine="8"/>
        <w:spacing w:after="0" w:line="270" w:lineRule="auto"/>
        <w:tabs>
          <w:tab w:leader="none" w:pos="255"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of the receipt of any comments or request for any additional information from the Commission; and (vi) of the happening of any event during the period described in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hereof that, in the judgment of the Company, makes any statement of a material fact made in the Registration Statement, the Preliminary Prospectus and/or the Prospectus untrue or that requires the making of any changes in the Registration Statement, the Preliminary Prospectus and/or the Prospectus in order to make the statements therein, (with respect to the Prospectus, in light of the circumstances under which they were made), not misleading. If the Commission or any state securities commission shall enter a stop order or suspend such qualification at any time, the Company will make every reasonable effort to obtain promptly the lifting of such order.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4" w:name="page205"/>
    <w:bookmarkEnd w:id="204"/>
    <w:p>
      <w:pPr>
        <w:jc w:val="both"/>
        <w:ind w:firstLine="648"/>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Review of Financial Statements</w:t>
      </w:r>
      <w:r>
        <w:rPr>
          <w:rFonts w:ascii="Arial" w:cs="Arial" w:eastAsia="Arial" w:hAnsi="Arial"/>
          <w:sz w:val="18"/>
          <w:szCs w:val="18"/>
          <w:color w:val="auto"/>
        </w:rPr>
        <w:t>. Until the earlier of five (5) years from the Effective Date, or until such earlier date upon which the Company is required to be liquidated, the Company, at its expense, shall cause its regularly engaged independent certified public accountants to review (but not audit) the Company’s financial statements for each of the first three fiscal quarters prior to the announcement or filing of quarterly financial information, if any.</w:t>
      </w:r>
    </w:p>
    <w:p>
      <w:pPr>
        <w:spacing w:after="0" w:line="18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Affiliated Transactions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3.5.1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will not consummate a Business Combination with any entity which is affiliated with the Initial Shareholders or an officer or director of the Company unless the Company obtains an opinion from an independent investment banking firm or another independent firm that commonly renders valuation opinions stating the Business Combination is fair to the Company’s shareholders from a financial perspective.</w:t>
      </w:r>
    </w:p>
    <w:p>
      <w:pPr>
        <w:spacing w:after="0" w:line="187"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6"/>
          <w:szCs w:val="16"/>
          <w:i w:val="1"/>
          <w:iCs w:val="1"/>
          <w:color w:val="auto"/>
        </w:rPr>
        <w:t xml:space="preserve">Administrative Services. </w:t>
      </w:r>
      <w:r>
        <w:rPr>
          <w:rFonts w:ascii="Arial" w:cs="Arial" w:eastAsia="Arial" w:hAnsi="Arial"/>
          <w:sz w:val="16"/>
          <w:szCs w:val="16"/>
          <w:color w:val="auto"/>
        </w:rPr>
        <w:t>The Company has entered into an administrative services agreement (the “Services Agreement”) with</w:t>
      </w:r>
    </w:p>
    <w:p>
      <w:pPr>
        <w:spacing w:after="0" w:line="23" w:lineRule="exact"/>
        <w:rPr>
          <w:sz w:val="20"/>
          <w:szCs w:val="20"/>
          <w:color w:val="auto"/>
        </w:rPr>
      </w:pPr>
    </w:p>
    <w:p>
      <w:pPr>
        <w:jc w:val="both"/>
        <w:ind w:firstLine="8"/>
        <w:spacing w:after="0" w:line="255" w:lineRule="auto"/>
        <w:tabs>
          <w:tab w:leader="none" w:pos="334"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the form filed as an exhibit to the Registration Statement pursuant to which the Company has made and will continue to make available to the Company general and administrative services including office space and utilities for the Company’s use for $10,000 per month until the consummation of a Business Combination.</w:t>
      </w:r>
    </w:p>
    <w:p>
      <w:pPr>
        <w:spacing w:after="0" w:line="190"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3.5.3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Except (a) as set forth in the Registration Statement, the Preliminary Prospectus or the Prospectus or (b) as set forth in this </w:t>
      </w:r>
      <w:r>
        <w:rPr>
          <w:rFonts w:ascii="Arial" w:cs="Arial" w:eastAsia="Arial" w:hAnsi="Arial"/>
          <w:sz w:val="16"/>
          <w:szCs w:val="16"/>
          <w:u w:val="single" w:color="auto"/>
          <w:color w:val="auto"/>
        </w:rPr>
        <w:t>Section 3.5</w:t>
      </w:r>
      <w:r>
        <w:rPr>
          <w:rFonts w:ascii="Arial" w:cs="Arial" w:eastAsia="Arial" w:hAnsi="Arial"/>
          <w:sz w:val="16"/>
          <w:szCs w:val="16"/>
          <w:color w:val="auto"/>
        </w:rPr>
        <w:t>,, the Company shall not pay any officer, director or Initial Shareholder, or any of their affiliates, any fees or compensation from the Company, for services rendered to the Company prior to, or in connection with, the Offering or the consummation of a Business Combination.</w:t>
      </w:r>
    </w:p>
    <w:p>
      <w:pPr>
        <w:spacing w:after="0" w:line="14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Secondary Market Trading</w:t>
      </w:r>
      <w:r>
        <w:rPr>
          <w:rFonts w:ascii="Arial" w:cs="Arial" w:eastAsia="Arial" w:hAnsi="Arial"/>
          <w:sz w:val="16"/>
          <w:szCs w:val="16"/>
          <w:color w:val="auto"/>
        </w:rPr>
        <w:t xml:space="preserve">. In the event the Public Securities are not listed on the Nasdaq Capital Market or another national securities exchange, the Company will (i) apply to be included in Mergent, Inc. Manual for a period of five (5) years from the consummation of a Business Combination, (ii) take such commercially reasonable steps as may be necessary to obtain a secondary market trading exemption for the Company’s securities in such jurisdictions and (iii) take such other action as may be reasonably requested by the Representative to obtain a secondary market trading exemption in such other states as may be requested by the Representative;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qualification shall be required in any jurisdiction where, as a result thereof, the Company would be subject to service of general process or to taxation as a foreign entity doing business in such jurisdiction.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5" w:name="page206"/>
    <w:bookmarkEnd w:id="205"/>
    <w:p>
      <w:pPr>
        <w:jc w:val="both"/>
        <w:ind w:firstLine="648"/>
        <w:spacing w:after="0" w:line="263"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Financial Public Relations Firm</w:t>
      </w:r>
      <w:r>
        <w:rPr>
          <w:rFonts w:ascii="Arial" w:cs="Arial" w:eastAsia="Arial" w:hAnsi="Arial"/>
          <w:sz w:val="18"/>
          <w:szCs w:val="18"/>
          <w:color w:val="auto"/>
        </w:rPr>
        <w:t>. Promptly after the execution of a definitive agreement for a Business Combination, the Company shall retain a financial public relations firm reasonably acceptable to the Representative for a term to be agreed upon by the Company and the Representative.</w:t>
      </w:r>
    </w:p>
    <w:p>
      <w:pPr>
        <w:spacing w:after="0" w:line="18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5"/>
          <w:szCs w:val="15"/>
          <w:u w:val="single" w:color="auto"/>
          <w:color w:val="auto"/>
        </w:rPr>
        <w:t>Reports to the Representative</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3.8.1 </w:t>
      </w:r>
      <w:r>
        <w:rPr>
          <w:rFonts w:ascii="Arial" w:cs="Arial" w:eastAsia="Arial" w:hAnsi="Arial"/>
          <w:sz w:val="18"/>
          <w:szCs w:val="18"/>
          <w:i w:val="1"/>
          <w:iCs w:val="1"/>
          <w:color w:val="auto"/>
        </w:rPr>
        <w:t>Periodic Reports, Etc</w:t>
      </w:r>
      <w:r>
        <w:rPr>
          <w:rFonts w:ascii="Arial" w:cs="Arial" w:eastAsia="Arial" w:hAnsi="Arial"/>
          <w:sz w:val="18"/>
          <w:szCs w:val="18"/>
          <w:color w:val="auto"/>
        </w:rPr>
        <w:t xml:space="preserve">. For a period of five (5) years from the Effective Date or until such earlier time upon which the Company is dissolved, the Company will furnish to the Representative and its counsel copies of such financial statements and other periodic and special reports as the Company from time to time furnishes generally to holders of any class of its securities, and promptly furnish to the Representative: (i) a copy of each periodic report the Company shall be required to file with the Commission; (ii) a copy of every press release and every news item and article with respect to the Company or its affairs which was released by the Company; (iii) a copy of each Form 8-K or Schedules 13D, 13G, 14D-1 or 13E-4 received or prepared by the Company; (iv) five (5) copies of each Registration Statement; and (v) such additional documents and information with respect to the Company and the affairs of any future subsidiaries of the Company as the Representative may from time to time reasonably request;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Representative shall sign, if requested by the Company, a Regulation FD compliant confidentiality agreement which is reasonably acceptable to the Representative and its counsel in connection with the Representative’s receipt of such information. Documents filed with the Commission pursuant to its Electronic Data Gathering, Analysis and Retrieval System (“</w:t>
      </w:r>
      <w:r>
        <w:rPr>
          <w:rFonts w:ascii="Arial" w:cs="Arial" w:eastAsia="Arial" w:hAnsi="Arial"/>
          <w:sz w:val="18"/>
          <w:szCs w:val="18"/>
          <w:b w:val="1"/>
          <w:bCs w:val="1"/>
          <w:color w:val="auto"/>
        </w:rPr>
        <w:t>EDGAR</w:t>
      </w:r>
      <w:r>
        <w:rPr>
          <w:rFonts w:ascii="Arial" w:cs="Arial" w:eastAsia="Arial" w:hAnsi="Arial"/>
          <w:sz w:val="18"/>
          <w:szCs w:val="18"/>
          <w:color w:val="auto"/>
        </w:rPr>
        <w:t>”) shall be deemed to have been delivered to the Representative pursuant to this section.</w:t>
      </w:r>
    </w:p>
    <w:p>
      <w:pPr>
        <w:spacing w:after="0" w:line="192"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3.8.2 </w:t>
      </w:r>
      <w:r>
        <w:rPr>
          <w:rFonts w:ascii="Arial" w:cs="Arial" w:eastAsia="Arial" w:hAnsi="Arial"/>
          <w:sz w:val="18"/>
          <w:szCs w:val="18"/>
          <w:i w:val="1"/>
          <w:iCs w:val="1"/>
          <w:color w:val="auto"/>
        </w:rPr>
        <w:t>Transfer Sheets</w:t>
      </w:r>
      <w:r>
        <w:rPr>
          <w:rFonts w:ascii="Arial" w:cs="Arial" w:eastAsia="Arial" w:hAnsi="Arial"/>
          <w:sz w:val="18"/>
          <w:szCs w:val="18"/>
          <w:color w:val="auto"/>
        </w:rPr>
        <w:t>. For a period of five (5) years following the Effective Date or until such earlier time upon which the Company is dissolved, the Company shall retain a transfer and warrant agent acceptable to the Representative (the “</w:t>
      </w:r>
      <w:r>
        <w:rPr>
          <w:rFonts w:ascii="Arial" w:cs="Arial" w:eastAsia="Arial" w:hAnsi="Arial"/>
          <w:sz w:val="18"/>
          <w:szCs w:val="18"/>
          <w:b w:val="1"/>
          <w:bCs w:val="1"/>
          <w:color w:val="auto"/>
        </w:rPr>
        <w:t>Transfer Agent</w:t>
      </w:r>
      <w:r>
        <w:rPr>
          <w:rFonts w:ascii="Arial" w:cs="Arial" w:eastAsia="Arial" w:hAnsi="Arial"/>
          <w:sz w:val="18"/>
          <w:szCs w:val="18"/>
          <w:color w:val="auto"/>
        </w:rPr>
        <w:t>”). In the event the Public Securities are not listed on the Nasdaq Capital Market or another national securities exchange, the Company will furnish to the Underwriters at the Company’s sole cost and expense such transfer sheets of the Company’s securities as the Representative may request, including the daily and monthly consolidated transfer sheets of the Transfer Agent and DTC. Continental Stock Transfer &amp; Trust Company is an acceptable Transfer Agent to the Representative.</w:t>
      </w:r>
    </w:p>
    <w:p>
      <w:pPr>
        <w:spacing w:after="0" w:line="19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3.8.3 </w:t>
      </w:r>
      <w:r>
        <w:rPr>
          <w:rFonts w:ascii="Arial" w:cs="Arial" w:eastAsia="Arial" w:hAnsi="Arial"/>
          <w:sz w:val="17"/>
          <w:szCs w:val="17"/>
          <w:i w:val="1"/>
          <w:iCs w:val="1"/>
          <w:color w:val="auto"/>
        </w:rPr>
        <w:t>Trading Reports</w:t>
      </w:r>
      <w:r>
        <w:rPr>
          <w:rFonts w:ascii="Arial" w:cs="Arial" w:eastAsia="Arial" w:hAnsi="Arial"/>
          <w:sz w:val="17"/>
          <w:szCs w:val="17"/>
          <w:color w:val="auto"/>
        </w:rPr>
        <w:t>. If the Public Securities are quoted on the OTC Bulletin Board (or any successor trading market) or a market operated by the OTC Market Group Inc. (or similar publisher of quotations), then during such time the Company shall provide to the Representative, at its expense, such reports published by the OTC Bulletin Board or the OTC Market Group Inc. relating to price trading of the Public Securities, as the Representative shall reasonably request. In addition to the requirements of the preceding sentence, if the Public Securities are not listed on the Nasdaq Capital Market or such other national securities exchange for a period of two (2) years from the Closing Date, the Company, at its expense, shall provide Chardan a subscription to the Company’s weekly Depository Transfer Company Security Position Reports.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6" w:name="page207"/>
    <w:bookmarkEnd w:id="206"/>
    <w:p>
      <w:pPr>
        <w:jc w:val="both"/>
        <w:ind w:right="20" w:firstLine="648"/>
        <w:spacing w:after="0" w:line="308"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Disqualification of Form S-1</w:t>
      </w:r>
      <w:r>
        <w:rPr>
          <w:rFonts w:ascii="Arial" w:cs="Arial" w:eastAsia="Arial" w:hAnsi="Arial"/>
          <w:sz w:val="17"/>
          <w:szCs w:val="17"/>
          <w:color w:val="auto"/>
        </w:rPr>
        <w:t>. For a period equal to seven (7) years from the date hereof, the Company will not take any action or actions which may prevent or disqualify the Company’s use of Form S-1 (or other appropriate form) for the registration of the Warrants under the Act.</w:t>
      </w:r>
    </w:p>
    <w:p>
      <w:pPr>
        <w:spacing w:after="0" w:line="14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Payment of Expenses</w:t>
      </w:r>
      <w:r>
        <w:rPr>
          <w:rFonts w:ascii="Arial" w:cs="Arial" w:eastAsia="Arial" w:hAnsi="Arial"/>
          <w:sz w:val="16"/>
          <w:szCs w:val="16"/>
          <w:color w:val="auto"/>
        </w:rPr>
        <w:t xml:space="preserve">. The Company hereby agrees to pay on each of the Closing Date and the Option Closing Date, if any, to the extent not paid at the Closing Date, all expenses incident to the performance of the obligations of the Company under this Agreement, including, but not limited to: (i) the Company’s legal and accounting fees and disbursements; (ii) the costs of preparing, printing, mailing (including the payment of postage with respect to such mailing) and delivering the Registration Statement, the Preliminary Prospectus and final Prospectus contained therein and amendments thereto, post-effective amendments and supplements thereto, this Agreement and related documents, including the cost of all copies thereof and any amendments thereof or supplements thereto supplied to the Underwriters in quantities as may be required by the Underwriters; (iii) the printing, engraving, issuance and delivery of the Units and the shares of Common Stock and Warrants included in the Units, including any transfer or other taxes payable thereon; (iv) if the Public Securities are not listed on the Nasdaq Capital Market or such other national securities exchange, the qualification of the Public Securities under state or foreign securities or Blue Sky laws specified by Representative, including the costs of printing and mailing the “Preliminary Blue Sky Memorandum,” and all amendments and supplements thereto, and fees and disbursements for counsel of Representative’s choice retained for such purpose; (v) filing fees (including SEC filing fees), costs and expenses (including third party expenses and disbursements) incurred in registering the Offering; (vi) filing fees incurred in registering the Offering with FINRA; (vii) fees and disbursements of the registrar and transfer and rights and warrant agent; (viii) the Company’s expenses associated with “due diligence” meetings arranged by the Representative (none of which will be received or paid on behalf of an “underwriter and related person” as such term is defined in Rule 5110 of FINRA’s Rules); (ix) all costs and expenses associated with “road show” marketing and “due diligence” trips for the Company’s management to meet with prospective investors, including without limitation, all travel, food and lodging expenses associated with such trips; (x) the preparation of leather bound volumes and lucite cube mementos in such quantities as the Underwriter may reasonably request and (xi) all other reasonable costs and expenses incident to the performance of its obligations hereunder which are not otherwise specifically provided for in this </w:t>
      </w:r>
      <w:r>
        <w:rPr>
          <w:rFonts w:ascii="Arial" w:cs="Arial" w:eastAsia="Arial" w:hAnsi="Arial"/>
          <w:sz w:val="16"/>
          <w:szCs w:val="16"/>
          <w:u w:val="single" w:color="auto"/>
          <w:color w:val="auto"/>
        </w:rPr>
        <w:t>Section 3.10</w:t>
      </w:r>
      <w:r>
        <w:rPr>
          <w:rFonts w:ascii="Arial" w:cs="Arial" w:eastAsia="Arial" w:hAnsi="Arial"/>
          <w:sz w:val="16"/>
          <w:szCs w:val="16"/>
          <w:color w:val="auto"/>
        </w:rPr>
        <w:t xml:space="preserve"> that the Underwriters have notified the Company about on or prior to the Closing Date.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Application of Net Proceeds</w:t>
      </w:r>
      <w:r>
        <w:rPr>
          <w:rFonts w:ascii="Arial" w:cs="Arial" w:eastAsia="Arial" w:hAnsi="Arial"/>
          <w:sz w:val="18"/>
          <w:szCs w:val="18"/>
          <w:color w:val="auto"/>
        </w:rPr>
        <w:t>. The Company will apply the net proceeds from the Offering received by it in a manner consistent with the application described under the caption “Use of Proceeds” in the Prospectus.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Delivery of Earnings Statements to Security Holders</w:t>
      </w:r>
      <w:r>
        <w:rPr>
          <w:rFonts w:ascii="Arial" w:cs="Arial" w:eastAsia="Arial" w:hAnsi="Arial"/>
          <w:sz w:val="16"/>
          <w:szCs w:val="16"/>
          <w:color w:val="auto"/>
        </w:rPr>
        <w:t>. The Company will make generally available to its security holders as soon as practicable, but not later than the first day of the fifteenth (15th) full calendar month following the Effective Date, an earnings statement (which need not be certified by independent public or independent certified public accountants unless required by the Act or the Regulations, but which shall satisfy the provisions of Rule 158(a) under Section 11(a) of the Act) covering a period of at least twelve (12) consecutive months beginning after the Effective Date.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7" w:name="page208"/>
    <w:bookmarkEnd w:id="207"/>
    <w:p>
      <w:pPr>
        <w:ind w:left="660"/>
        <w:spacing w:after="0"/>
        <w:tabs>
          <w:tab w:leader="none" w:pos="140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u w:val="single" w:color="auto"/>
          <w:color w:val="auto"/>
        </w:rPr>
        <w:t>Notice to FINRA</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3.13.1 </w:t>
      </w:r>
      <w:r>
        <w:rPr>
          <w:rFonts w:ascii="Arial" w:cs="Arial" w:eastAsia="Arial" w:hAnsi="Arial"/>
          <w:sz w:val="18"/>
          <w:szCs w:val="18"/>
          <w:i w:val="1"/>
          <w:iCs w:val="1"/>
          <w:color w:val="auto"/>
        </w:rPr>
        <w:t>Business Combination</w:t>
      </w:r>
      <w:r>
        <w:rPr>
          <w:rFonts w:ascii="Arial" w:cs="Arial" w:eastAsia="Arial" w:hAnsi="Arial"/>
          <w:sz w:val="18"/>
          <w:szCs w:val="18"/>
          <w:color w:val="auto"/>
        </w:rPr>
        <w:t>. In the event any person or entity (regardless of any FINRA affiliation or association) is engaged to assist the Company in its search for a merger candidate or to provide any other merger and acquisition services, the Company will provide the following to FINRA and the Representative prior to the consummation of the Business Combination: (i) complete details of all services and copies of agreements governing such services; and (ii) justification as to why the person or entity providing the merger and acquisition services should not be considered an “underwriter and related person” (as such term is defined in Rule 5110 of FINRA’s Rules) with respect to the Offering. The Company also agrees that proper disclosure of such arrangement or potential arrangement will be made in any proxy or tender offer statement which the Company files in connection with the Business Combination.</w:t>
      </w:r>
    </w:p>
    <w:p>
      <w:pPr>
        <w:spacing w:after="0" w:line="19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3.13.2 </w:t>
      </w:r>
      <w:r>
        <w:rPr>
          <w:rFonts w:ascii="Arial" w:cs="Arial" w:eastAsia="Arial" w:hAnsi="Arial"/>
          <w:sz w:val="18"/>
          <w:szCs w:val="18"/>
          <w:i w:val="1"/>
          <w:iCs w:val="1"/>
          <w:color w:val="auto"/>
        </w:rPr>
        <w:t>Broker/Dealer</w:t>
      </w:r>
      <w:r>
        <w:rPr>
          <w:rFonts w:ascii="Arial" w:cs="Arial" w:eastAsia="Arial" w:hAnsi="Arial"/>
          <w:sz w:val="18"/>
          <w:szCs w:val="18"/>
          <w:color w:val="auto"/>
        </w:rPr>
        <w:t>. In the event the Company intends to register as a broker/dealer, merge with or acquire a registered broker/dealer, or otherwise become a member of FINRA, it shall promptly notify FINRA.</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Stabilization</w:t>
      </w:r>
      <w:r>
        <w:rPr>
          <w:rFonts w:ascii="Arial" w:cs="Arial" w:eastAsia="Arial" w:hAnsi="Arial"/>
          <w:sz w:val="18"/>
          <w:szCs w:val="18"/>
          <w:color w:val="auto"/>
        </w:rPr>
        <w:t>. Neither the Company, nor, to its knowledge, any of its employees, directors or stockholders (without the consent of the Representative) has taken or will take, directly or indirectly, any action designed to or that has constituted or that might reasonably be expected to cause or result in, under the Exchange Act, or otherwise, stabilization or manipulation of the price of any security of the Company to facilitate the sale or resale of the Units.</w:t>
      </w:r>
    </w:p>
    <w:p>
      <w:pPr>
        <w:spacing w:after="0" w:line="187"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u w:val="single" w:color="auto"/>
          <w:color w:val="auto"/>
        </w:rPr>
        <w:t>Internal Controls</w:t>
      </w:r>
      <w:r>
        <w:rPr>
          <w:rFonts w:ascii="Arial" w:cs="Arial" w:eastAsia="Arial" w:hAnsi="Arial"/>
          <w:sz w:val="16"/>
          <w:szCs w:val="16"/>
          <w:color w:val="auto"/>
        </w:rPr>
        <w:t>. The Company will maintain a system of internal accounting controls sufficient to provide reasonable assurances that:</w:t>
      </w:r>
    </w:p>
    <w:p>
      <w:pPr>
        <w:spacing w:after="0" w:line="23" w:lineRule="exact"/>
        <w:rPr>
          <w:sz w:val="20"/>
          <w:szCs w:val="20"/>
          <w:color w:val="auto"/>
        </w:rPr>
      </w:pPr>
    </w:p>
    <w:p>
      <w:pPr>
        <w:jc w:val="both"/>
        <w:ind w:firstLine="8"/>
        <w:spacing w:after="0" w:line="273" w:lineRule="auto"/>
        <w:tabs>
          <w:tab w:leader="none" w:pos="238" w:val="left"/>
        </w:tabs>
        <w:numPr>
          <w:ilvl w:val="0"/>
          <w:numId w:val="93"/>
        </w:numPr>
        <w:rPr>
          <w:rFonts w:ascii="Arial" w:cs="Arial" w:eastAsia="Arial" w:hAnsi="Arial"/>
          <w:sz w:val="17"/>
          <w:szCs w:val="17"/>
          <w:color w:val="auto"/>
        </w:rPr>
      </w:pPr>
      <w:r>
        <w:rPr>
          <w:rFonts w:ascii="Arial" w:cs="Arial" w:eastAsia="Arial" w:hAnsi="Arial"/>
          <w:sz w:val="17"/>
          <w:szCs w:val="17"/>
          <w:color w:val="auto"/>
        </w:rPr>
        <w:t>transactions are executed in accordance with management’s general or specific authorization; (ii) transactions are recorded as necessary in order to permit preparation of financial statements in accordance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Accountants</w:t>
      </w:r>
      <w:r>
        <w:rPr>
          <w:rFonts w:ascii="Arial" w:cs="Arial" w:eastAsia="Arial" w:hAnsi="Arial"/>
          <w:sz w:val="18"/>
          <w:szCs w:val="18"/>
          <w:color w:val="auto"/>
        </w:rPr>
        <w:t>. For a period of five (5) years from the Effective Date or until such earlier time upon which the Company is required to be liquidated, the Company shall retain Withum or other independent public accountants reasonably acceptable to the Representative.</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3.17 </w:t>
      </w:r>
      <w:r>
        <w:rPr>
          <w:rFonts w:ascii="Arial" w:cs="Arial" w:eastAsia="Arial" w:hAnsi="Arial"/>
          <w:sz w:val="16"/>
          <w:szCs w:val="16"/>
          <w:u w:val="single" w:color="auto"/>
          <w:color w:val="auto"/>
        </w:rPr>
        <w:t>Form 8-K</w:t>
      </w:r>
      <w:r>
        <w:rPr>
          <w:rFonts w:ascii="Arial" w:cs="Arial" w:eastAsia="Arial" w:hAnsi="Arial"/>
          <w:sz w:val="16"/>
          <w:szCs w:val="16"/>
          <w:color w:val="auto"/>
        </w:rPr>
        <w:t>. The Company shall, on the date hereof, retain its independent public accountants to audit the financial statements of the Company as of the Closing Date (the “</w:t>
      </w:r>
      <w:r>
        <w:rPr>
          <w:rFonts w:ascii="Arial" w:cs="Arial" w:eastAsia="Arial" w:hAnsi="Arial"/>
          <w:sz w:val="16"/>
          <w:szCs w:val="16"/>
          <w:b w:val="1"/>
          <w:bCs w:val="1"/>
          <w:color w:val="auto"/>
        </w:rPr>
        <w:t>Audited Financial Statements</w:t>
      </w:r>
      <w:r>
        <w:rPr>
          <w:rFonts w:ascii="Arial" w:cs="Arial" w:eastAsia="Arial" w:hAnsi="Arial"/>
          <w:sz w:val="16"/>
          <w:szCs w:val="16"/>
          <w:color w:val="auto"/>
        </w:rPr>
        <w:t>”) reflecting the receipt by the Company of the proceeds of the Offering and the Private Placement, as well as the proceeds from the exercise of the Over-Allotment if such exercise has occurred on the date of the Prospectus. Within four</w:t>
      </w:r>
    </w:p>
    <w:p>
      <w:pPr>
        <w:spacing w:after="0" w:line="2" w:lineRule="exact"/>
        <w:rPr>
          <w:sz w:val="20"/>
          <w:szCs w:val="20"/>
          <w:color w:val="auto"/>
        </w:rPr>
      </w:pPr>
    </w:p>
    <w:p>
      <w:pPr>
        <w:ind w:firstLine="8"/>
        <w:spacing w:after="0" w:line="260" w:lineRule="auto"/>
        <w:tabs>
          <w:tab w:leader="none" w:pos="257" w:val="left"/>
        </w:tabs>
        <w:numPr>
          <w:ilvl w:val="0"/>
          <w:numId w:val="94"/>
        </w:numPr>
        <w:rPr>
          <w:rFonts w:ascii="Arial" w:cs="Arial" w:eastAsia="Arial" w:hAnsi="Arial"/>
          <w:sz w:val="18"/>
          <w:szCs w:val="18"/>
          <w:color w:val="auto"/>
        </w:rPr>
      </w:pPr>
      <w:r>
        <w:rPr>
          <w:rFonts w:ascii="Arial" w:cs="Arial" w:eastAsia="Arial" w:hAnsi="Arial"/>
          <w:sz w:val="18"/>
          <w:szCs w:val="18"/>
          <w:color w:val="auto"/>
        </w:rPr>
        <w:t>Business Days of the Closing Date, the Company will file a Current Report on Form 8-K with the Commission, which Report shall contain the Audited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8" w:name="page209"/>
    <w:bookmarkEnd w:id="208"/>
    <w:p>
      <w:pPr>
        <w:jc w:val="both"/>
        <w:ind w:right="20" w:firstLine="648"/>
        <w:spacing w:after="0" w:line="277"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FINRA</w:t>
      </w:r>
      <w:r>
        <w:rPr>
          <w:rFonts w:ascii="Arial" w:cs="Arial" w:eastAsia="Arial" w:hAnsi="Arial"/>
          <w:sz w:val="18"/>
          <w:szCs w:val="18"/>
          <w:color w:val="auto"/>
        </w:rPr>
        <w:t>. The Company shall advise FINRA if it is aware that any 5% or greater stockholder of the Company becomes an affiliate or associated person of a FINRA member participating in the distribution of the Company’s Public Securities.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Corporate Proceedings</w:t>
      </w:r>
      <w:r>
        <w:rPr>
          <w:rFonts w:ascii="Arial" w:cs="Arial" w:eastAsia="Arial" w:hAnsi="Arial"/>
          <w:sz w:val="18"/>
          <w:szCs w:val="18"/>
          <w:color w:val="auto"/>
        </w:rPr>
        <w:t>. All corporate proceedings and other legal matters necessary to carry out the provisions of this Agreement and the transactions contemplated hereby shall have been done to the reasonable satisfaction to counsel for the Underwriters.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3.20 </w:t>
      </w:r>
      <w:r>
        <w:rPr>
          <w:rFonts w:ascii="Arial" w:cs="Arial" w:eastAsia="Arial" w:hAnsi="Arial"/>
          <w:sz w:val="17"/>
          <w:szCs w:val="17"/>
          <w:u w:val="single" w:color="auto"/>
          <w:color w:val="auto"/>
        </w:rPr>
        <w:t>Investment Company</w:t>
      </w:r>
      <w:r>
        <w:rPr>
          <w:rFonts w:ascii="Arial" w:cs="Arial" w:eastAsia="Arial" w:hAnsi="Arial"/>
          <w:sz w:val="17"/>
          <w:szCs w:val="17"/>
          <w:color w:val="auto"/>
        </w:rPr>
        <w:t>. The Company shall cause the proceeds of the Offering to be held in the Trust Account to be invested only in “government securities” with specific maturity dates or in money market funds meeting certain conditions under Rule 2a-7 promulgated under the Investment Company Act as set forth in the Trust Agreement and disclosed in the Prospectus. The Company will otherwise conduct its business in a manner so that it will not become subject to the Investment Company Act. Furthermore, once the Company consummates a Business Combination, it will be engaged in a business other than that of investing, reinvesting, owning, holding or trading securities.</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Business Combination Announcement</w:t>
      </w:r>
      <w:r>
        <w:rPr>
          <w:rFonts w:ascii="Arial" w:cs="Arial" w:eastAsia="Arial" w:hAnsi="Arial"/>
          <w:sz w:val="18"/>
          <w:szCs w:val="18"/>
          <w:color w:val="auto"/>
        </w:rPr>
        <w:t>. Within four (4) Business Days following the consummation by the Company of a Business Combination, the Company shall cause an announcement (“</w:t>
      </w:r>
      <w:r>
        <w:rPr>
          <w:rFonts w:ascii="Arial" w:cs="Arial" w:eastAsia="Arial" w:hAnsi="Arial"/>
          <w:sz w:val="18"/>
          <w:szCs w:val="18"/>
          <w:b w:val="1"/>
          <w:bCs w:val="1"/>
          <w:color w:val="auto"/>
        </w:rPr>
        <w:t>Business Combination Announcement</w:t>
      </w:r>
      <w:r>
        <w:rPr>
          <w:rFonts w:ascii="Arial" w:cs="Arial" w:eastAsia="Arial" w:hAnsi="Arial"/>
          <w:sz w:val="18"/>
          <w:szCs w:val="18"/>
          <w:color w:val="auto"/>
        </w:rPr>
        <w:t>”) to be issued by a press release service announcing the consummation of the Business Combination and indicating that the Representative was one of the co-managing underwriters in the Offering and also indicating the name and location of any other financial advisors engaged by the Company as a merger and acquisitions advisor. The Company shall supply the Representative with a draft of the Business Combination Announcement and provide the Representative with a reasonable advance opportunity to comment thereon. The Company will not issue the Business Combination Announcement without the final approval of the Representative, which approval will not be unreasonably withheld.</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Press Releases</w:t>
      </w:r>
      <w:r>
        <w:rPr>
          <w:rFonts w:ascii="Arial" w:cs="Arial" w:eastAsia="Arial" w:hAnsi="Arial"/>
          <w:sz w:val="18"/>
          <w:szCs w:val="18"/>
          <w:color w:val="auto"/>
        </w:rPr>
        <w:t>. The Company agrees that it will not issue press releases or engage in any other publicity, without Chardan’s prior written consent (not to be unreasonably withheld), for a period of twenty-five (25) days after the Effective Date.</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3.23 </w:t>
      </w:r>
      <w:r>
        <w:rPr>
          <w:rFonts w:ascii="Arial" w:cs="Arial" w:eastAsia="Arial" w:hAnsi="Arial"/>
          <w:sz w:val="17"/>
          <w:szCs w:val="17"/>
          <w:u w:val="single" w:color="auto"/>
          <w:color w:val="auto"/>
        </w:rPr>
        <w:t>Electronic Prospectus</w:t>
      </w:r>
      <w:r>
        <w:rPr>
          <w:rFonts w:ascii="Arial" w:cs="Arial" w:eastAsia="Arial" w:hAnsi="Arial"/>
          <w:sz w:val="17"/>
          <w:szCs w:val="17"/>
          <w:color w:val="auto"/>
        </w:rPr>
        <w:t>. The Company shall cause to be prepared and delivered to the Representative, at its expense, within one (1) Business Day from the Effective Date, an Electronic Prospectus to be used by the Underwriters in connection with the Offering. As used herein, the term “</w:t>
      </w:r>
      <w:r>
        <w:rPr>
          <w:rFonts w:ascii="Arial" w:cs="Arial" w:eastAsia="Arial" w:hAnsi="Arial"/>
          <w:sz w:val="17"/>
          <w:szCs w:val="17"/>
          <w:b w:val="1"/>
          <w:bCs w:val="1"/>
          <w:color w:val="auto"/>
        </w:rPr>
        <w:t>Electronic Prospectus</w:t>
      </w:r>
      <w:r>
        <w:rPr>
          <w:rFonts w:ascii="Arial" w:cs="Arial" w:eastAsia="Arial" w:hAnsi="Arial"/>
          <w:sz w:val="17"/>
          <w:szCs w:val="17"/>
          <w:color w:val="auto"/>
        </w:rPr>
        <w:t>” means a form of prospectus, and any amendment or supplement thereto, that meets each of the following conditions: (i) it shall be encoded in an electronic format, satisfactory to the Representative, that may be transmitted electronically by the other Underwriters to offerees and purchasers of the Units for at least the period during which a Prospectus relating to the Units is required to be delivered under the Act; (ii) it shall disclose the same information as the paper prospectus and prospectus filed pursuant to EDGAR,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 that will allow recipients thereof to store and have continuously ready access to the prospectus at any future time, without charge to such recipients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within the period when a prospectus relating to the Units is required to be delivered under the Securities Act, the Company shall transmit or cause to be transmitted promptly, without charge, a paper copy of the Prospectus.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9" w:name="page210"/>
    <w:bookmarkEnd w:id="209"/>
    <w:p>
      <w:pPr>
        <w:jc w:val="both"/>
        <w:ind w:right="20" w:firstLine="648"/>
        <w:spacing w:after="0" w:line="277"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will reserve and keep available that maximum number of its authorized but unissued securities which are issuable upon exercise of the Warrants and the Placement Warrants outstanding from time to time.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u w:val="single" w:color="auto"/>
          <w:color w:val="auto"/>
        </w:rPr>
        <w:t>Private Placement Proceeds</w:t>
      </w:r>
      <w:r>
        <w:rPr>
          <w:rFonts w:ascii="Arial" w:cs="Arial" w:eastAsia="Arial" w:hAnsi="Arial"/>
          <w:sz w:val="18"/>
          <w:szCs w:val="18"/>
          <w:color w:val="auto"/>
        </w:rPr>
        <w:t>. Immediately upon establishment of the Trust Account and prior to the Closing, the Company shall deposit all of the proceeds from the Private Placement in the Trust Account and shall provide the Representative with evidence of the same.</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6"/>
          <w:szCs w:val="16"/>
          <w:u w:val="single" w:color="auto"/>
          <w:color w:val="auto"/>
        </w:rPr>
        <w:t>No Amendment to Charter</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3.26.1 Prior to the closing of a Business Combination, the Company covenants and agrees it will not seek to amend or modify its amended and restated certificate of incorporation without the prior approval of its Board of Directors and the affirmative vote of at least a majority of the voting power of the outstanding shares of Common Stock.</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3.26.2 The Company acknowledges that the purchasers of the Firm Units and Option Units in this Offering shall be deemed to be third party beneficiaries of this </w:t>
      </w:r>
      <w:r>
        <w:rPr>
          <w:rFonts w:ascii="Arial" w:cs="Arial" w:eastAsia="Arial" w:hAnsi="Arial"/>
          <w:sz w:val="18"/>
          <w:szCs w:val="18"/>
          <w:u w:val="single" w:color="auto"/>
          <w:color w:val="auto"/>
        </w:rPr>
        <w:t>Section 3.26</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3.26.3 The Representative and the Company specifically agree that this </w:t>
      </w:r>
      <w:r>
        <w:rPr>
          <w:rFonts w:ascii="Arial" w:cs="Arial" w:eastAsia="Arial" w:hAnsi="Arial"/>
          <w:sz w:val="18"/>
          <w:szCs w:val="18"/>
          <w:u w:val="single" w:color="auto"/>
          <w:color w:val="auto"/>
        </w:rPr>
        <w:t>Section 3.26</w:t>
      </w:r>
      <w:r>
        <w:rPr>
          <w:rFonts w:ascii="Arial" w:cs="Arial" w:eastAsia="Arial" w:hAnsi="Arial"/>
          <w:sz w:val="18"/>
          <w:szCs w:val="18"/>
          <w:color w:val="auto"/>
        </w:rPr>
        <w:t xml:space="preserve"> shall not be modified or amended in any way without the approval of at least a majority of the voting power of the outstanding shares of Common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u w:val="single" w:color="auto"/>
          <w:color w:val="auto"/>
        </w:rPr>
        <w:t>Financial Printer</w:t>
      </w:r>
      <w:r>
        <w:rPr>
          <w:rFonts w:ascii="Arial" w:cs="Arial" w:eastAsia="Arial" w:hAnsi="Arial"/>
          <w:sz w:val="18"/>
          <w:szCs w:val="18"/>
          <w:color w:val="auto"/>
        </w:rPr>
        <w:t>. The Company shall retain a financial printer, reasonably acceptable to the Representative, for the purpose of facilitating the Company’s EDGAR filings and the printing of the Preliminary Prospectus and Prospectus.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3.28 </w:t>
      </w:r>
      <w:r>
        <w:rPr>
          <w:rFonts w:ascii="Arial" w:cs="Arial" w:eastAsia="Arial" w:hAnsi="Arial"/>
          <w:sz w:val="18"/>
          <w:szCs w:val="18"/>
          <w:u w:val="single" w:color="auto"/>
          <w:color w:val="auto"/>
        </w:rPr>
        <w:t>Listing on the Nasdaq Capital Market</w:t>
      </w:r>
      <w:r>
        <w:rPr>
          <w:rFonts w:ascii="Arial" w:cs="Arial" w:eastAsia="Arial" w:hAnsi="Arial"/>
          <w:sz w:val="18"/>
          <w:szCs w:val="18"/>
          <w:color w:val="auto"/>
        </w:rPr>
        <w:t>. The Company will use commercially reasonable efforts to maintain the listing of the Public Securities on the Nasdaq Capital Market or another national securities exchange until the earlier of five (5) years from the Effective Date or until the Public Securities are no longer registered under the Exchange Act.</w:t>
      </w:r>
    </w:p>
    <w:p>
      <w:pPr>
        <w:spacing w:after="0" w:line="180" w:lineRule="exact"/>
        <w:rPr>
          <w:sz w:val="20"/>
          <w:szCs w:val="20"/>
          <w:color w:val="auto"/>
        </w:rPr>
      </w:pPr>
    </w:p>
    <w:p>
      <w:pPr>
        <w:jc w:val="both"/>
        <w:ind w:firstLine="8"/>
        <w:spacing w:after="0" w:line="281" w:lineRule="auto"/>
        <w:tabs>
          <w:tab w:leader="none" w:pos="1106" w:val="left"/>
        </w:tabs>
        <w:numPr>
          <w:ilvl w:val="0"/>
          <w:numId w:val="95"/>
        </w:numPr>
        <w:rPr>
          <w:rFonts w:ascii="Arial" w:cs="Arial" w:eastAsia="Arial" w:hAnsi="Arial"/>
          <w:sz w:val="17"/>
          <w:szCs w:val="17"/>
          <w:b w:val="1"/>
          <w:bCs w:val="1"/>
          <w:color w:val="auto"/>
        </w:rPr>
      </w:pPr>
      <w:r>
        <w:rPr>
          <w:rFonts w:ascii="Arial" w:cs="Arial" w:eastAsia="Arial" w:hAnsi="Arial"/>
          <w:sz w:val="17"/>
          <w:szCs w:val="17"/>
          <w:b w:val="1"/>
          <w:bCs w:val="1"/>
          <w:color w:val="auto"/>
        </w:rPr>
        <w:t>Conditions of Underwriters’ Obligations</w:t>
      </w:r>
      <w:r>
        <w:rPr>
          <w:rFonts w:ascii="Arial" w:cs="Arial" w:eastAsia="Arial" w:hAnsi="Arial"/>
          <w:sz w:val="17"/>
          <w:szCs w:val="17"/>
          <w:color w:val="auto"/>
        </w:rPr>
        <w:t>. The obligations of the QIU and the several Underwriters to purchase and pay for the Units, as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herein, shall be subject to the continuing accuracy of the representations and warranties of the Company as of the date hereof and as of each of the Closing Date and the Option Closing Date, if any, to the accuracy of the statements of officers of the Company made pursuant to the provisions hereof and to the performance by the Company of its obligations hereunder and to the following conditions: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0" w:name="page211"/>
    <w:bookmarkEnd w:id="210"/>
    <w:p>
      <w:pPr>
        <w:ind w:left="660"/>
        <w:spacing w:after="0"/>
        <w:tabs>
          <w:tab w:leader="none" w:pos="15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Regulatory Matters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i w:val="1"/>
          <w:iCs w:val="1"/>
          <w:color w:val="auto"/>
        </w:rPr>
        <w:t>Effectiveness of Registration Statement</w:t>
      </w:r>
      <w:r>
        <w:rPr>
          <w:rFonts w:ascii="Arial" w:cs="Arial" w:eastAsia="Arial" w:hAnsi="Arial"/>
          <w:sz w:val="17"/>
          <w:szCs w:val="17"/>
          <w:color w:val="auto"/>
        </w:rPr>
        <w:t>. The Registration Statement shall have become effective not later than 5:00 P.M., New York time, on the date of this Agreement or such later date and time as shall be consented to in writing by the Representative, and, at each of the Closing Date and the Option Closing Date, no stop order suspending the effectiveness of the Registration Statement shall have been issued and no proceedings for the purpose shall have been instituted or shall be pending or contemplated by the Commission and any request on the part of the Commission for additional information shall have been complied with to the reasonable satisfaction of Greenberg Traurig, LLP.</w:t>
      </w:r>
    </w:p>
    <w:p>
      <w:pPr>
        <w:spacing w:after="0" w:line="17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i w:val="1"/>
          <w:iCs w:val="1"/>
          <w:color w:val="auto"/>
        </w:rPr>
        <w:t>FINRA Clearance</w:t>
      </w:r>
      <w:r>
        <w:rPr>
          <w:rFonts w:ascii="Arial" w:cs="Arial" w:eastAsia="Arial" w:hAnsi="Arial"/>
          <w:sz w:val="18"/>
          <w:szCs w:val="18"/>
          <w:color w:val="auto"/>
        </w:rPr>
        <w:t>. By the Effective Date, the Representative shall have received clearance from FINRA as to the amount of compensation allowable or payable to the Underwriters as described in the Registration Statement.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i w:val="1"/>
          <w:iCs w:val="1"/>
          <w:color w:val="auto"/>
        </w:rPr>
        <w:t>No Commission Stop Order</w:t>
      </w:r>
      <w:r>
        <w:rPr>
          <w:rFonts w:ascii="Arial" w:cs="Arial" w:eastAsia="Arial" w:hAnsi="Arial"/>
          <w:sz w:val="18"/>
          <w:szCs w:val="18"/>
          <w:color w:val="auto"/>
        </w:rPr>
        <w:t>. At each of the Closing Date and the Option Closing Date, the Commission has not issued any order or threatened to issue any order preventing or suspending the use of any Preliminary Prospectus or the Prospectus or any part thereof, and has not instituted or threatened to institute any proceedings with respect to such an order.</w:t>
      </w:r>
    </w:p>
    <w:p>
      <w:pPr>
        <w:spacing w:after="0" w:line="184"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i w:val="1"/>
          <w:iCs w:val="1"/>
          <w:color w:val="auto"/>
        </w:rPr>
        <w:t>No Blue Sky Stop Orders</w:t>
      </w:r>
      <w:r>
        <w:rPr>
          <w:rFonts w:ascii="Arial" w:cs="Arial" w:eastAsia="Arial" w:hAnsi="Arial"/>
          <w:sz w:val="18"/>
          <w:szCs w:val="18"/>
          <w:color w:val="auto"/>
        </w:rPr>
        <w:t xml:space="preserve">. No order suspending the sale of the Units in any jurisdiction designated by the Representative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hereof, if any, shall have been issued on either the Closing Date or the Option Closing Date, and no proceedings for that purpose shall have been instituted or shall be contemplated.</w:t>
      </w:r>
    </w:p>
    <w:p>
      <w:pPr>
        <w:spacing w:after="0" w:line="184"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i w:val="1"/>
          <w:iCs w:val="1"/>
          <w:color w:val="auto"/>
        </w:rPr>
        <w:t>The Nasdaq Capital Market</w:t>
      </w:r>
      <w:r>
        <w:rPr>
          <w:rFonts w:ascii="Arial" w:cs="Arial" w:eastAsia="Arial" w:hAnsi="Arial"/>
          <w:sz w:val="16"/>
          <w:szCs w:val="16"/>
          <w:color w:val="auto"/>
        </w:rPr>
        <w:t>. By the Effective Date, the Securities shall have been approved for trading on the Nasdaq Capital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Market.</w:t>
      </w:r>
    </w:p>
    <w:p>
      <w:pPr>
        <w:spacing w:after="0" w:line="21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Company Counsel Matters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i w:val="1"/>
          <w:iCs w:val="1"/>
          <w:color w:val="auto"/>
        </w:rPr>
        <w:t>Closing Date Opinion of Counsel</w:t>
      </w:r>
      <w:r>
        <w:rPr>
          <w:rFonts w:ascii="Arial" w:cs="Arial" w:eastAsia="Arial" w:hAnsi="Arial"/>
          <w:sz w:val="16"/>
          <w:szCs w:val="16"/>
          <w:color w:val="auto"/>
        </w:rPr>
        <w:t>. On the Closing Date, the Representative shall have received the favorable opinion of Reed Smith LLP (“</w:t>
      </w:r>
      <w:r>
        <w:rPr>
          <w:rFonts w:ascii="Arial" w:cs="Arial" w:eastAsia="Arial" w:hAnsi="Arial"/>
          <w:sz w:val="16"/>
          <w:szCs w:val="16"/>
          <w:b w:val="1"/>
          <w:bCs w:val="1"/>
          <w:color w:val="auto"/>
        </w:rPr>
        <w:t>Reed Smith</w:t>
      </w:r>
      <w:r>
        <w:rPr>
          <w:rFonts w:ascii="Arial" w:cs="Arial" w:eastAsia="Arial" w:hAnsi="Arial"/>
          <w:sz w:val="16"/>
          <w:szCs w:val="16"/>
          <w:color w:val="auto"/>
        </w:rPr>
        <w:t>”), counsel to the Company, dated the Closing Date, addressed to the Representative and the other Underwriters and in form and substance reasonably satisfactory to the Representative. The opinion of counsel shall further include a statement to the effect that such counsel has participated in conferences with officers and other representatives of the Company, representatives of the independent public accountants for the Company and representatives of the Underwriters at which the contents of the Registration Statement, final Preliminary Prospectus, the Prospectus and related matters were discussed and although such counsel is not passing upon and does not assume any responsibility for the accuracy, completeness or fairness of the statements contained in the Registration Statement, final Preliminary Prospectus and the Prospectus (except as otherwise set forth in such opinion), no facts have come to the attention of such counsel which lead them to believe that either the Registration Statement, final Preliminary Prospectus or the Prospectus or any amendment or supplement thereto, as of the date of such opinion contained any untrue statement of a material fact or omitted to state a material fact required to be stated therein or necessary to make the statements therein, in light of the circumstances under which they were made, not misleading (it being understood that such counsel need express no opinion with respect to the financial statements and related notes and schedules and other financial and statistical data included in the Registration Statement, final Preliminary Prospectus or the Prospectus or matters relating to the sale of securities in any jurisdiction outside the U.S.). The opinion of counsel shall state that such counsel is not opining as to the Placement Securities with respect to any rights to rescind or the effect any exercise of such rights will have on any other securities of the Company or on the Offering.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1" w:name="page212"/>
    <w:bookmarkEnd w:id="211"/>
    <w:p>
      <w:pPr>
        <w:jc w:val="both"/>
        <w:ind w:firstLine="1296"/>
        <w:spacing w:after="0" w:line="311"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i w:val="1"/>
          <w:iCs w:val="1"/>
          <w:color w:val="auto"/>
        </w:rPr>
        <w:t>Option Closing Date Opinion of Counsel</w:t>
      </w:r>
      <w:r>
        <w:rPr>
          <w:rFonts w:ascii="Arial" w:cs="Arial" w:eastAsia="Arial" w:hAnsi="Arial"/>
          <w:sz w:val="16"/>
          <w:szCs w:val="16"/>
          <w:color w:val="auto"/>
        </w:rPr>
        <w:t>. On each Option Closing Date, if any, the Representative shall have received the favorable opinion of Reed Smith, dated each Option Closing Date, addressed to the Representative and in form and substance reasonably satisfactory to counsel to the Representative, confirming as of each Option Closing Date, the statements made by Reed Smith in its opinion delivered on the Closing Date.</w:t>
      </w:r>
    </w:p>
    <w:p>
      <w:pPr>
        <w:spacing w:after="0" w:line="149"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4.2.3 </w:t>
      </w:r>
      <w:r>
        <w:rPr>
          <w:rFonts w:ascii="Arial" w:cs="Arial" w:eastAsia="Arial" w:hAnsi="Arial"/>
          <w:sz w:val="17"/>
          <w:szCs w:val="17"/>
          <w:i w:val="1"/>
          <w:iCs w:val="1"/>
          <w:color w:val="auto"/>
        </w:rPr>
        <w:t>Reliance</w:t>
      </w:r>
      <w:r>
        <w:rPr>
          <w:rFonts w:ascii="Arial" w:cs="Arial" w:eastAsia="Arial" w:hAnsi="Arial"/>
          <w:sz w:val="17"/>
          <w:szCs w:val="17"/>
          <w:color w:val="auto"/>
        </w:rPr>
        <w:t xml:space="preserve">. In rendering such opinion, such counsel may rely: (i) as to matters involving the application of laws other than the laws of the United States and jurisdictions in which they are admitted, to the extent such counsel deems proper and to the extent specified in such opinion, if at all, upon an opinion or opinions (in form and substance reasonably satisfactory to the Representative) of other counsel reasonably acceptable to the Representative, familiar with the applicable laws; and (ii) as to matters of fact, to the extent they deem proper, on certificates or other written statements of officers of the Company and officers of departments of various jurisdictions having custody of documents respecting the corporate existence or good standing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copies of any such statements or certificates shall be delivered to the Underwriters’ counsel if requested. The opinion of counsel for the Company and any opinion relied upon by such counsel for the Company shall include a statement to the effect that it may be relied upon by counsel for the Underwriters in its opinion delivered to the Underwriters.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Cold Comfort Letter</w:t>
      </w:r>
      <w:r>
        <w:rPr>
          <w:rFonts w:ascii="Arial" w:cs="Arial" w:eastAsia="Arial" w:hAnsi="Arial"/>
          <w:sz w:val="18"/>
          <w:szCs w:val="18"/>
          <w:color w:val="auto"/>
        </w:rPr>
        <w:t xml:space="preserve">. At the time this Agreement is executed, and at each of the Closing Date and the Option Closing Date, if any, the Representative shall have received a letter, addressed to the Representative and in form and substance satisfactory in all respects (including the nature of the changes or decreases, if any, referred to in </w:t>
      </w:r>
      <w:r>
        <w:rPr>
          <w:rFonts w:ascii="Arial" w:cs="Arial" w:eastAsia="Arial" w:hAnsi="Arial"/>
          <w:sz w:val="18"/>
          <w:szCs w:val="18"/>
          <w:u w:val="single" w:color="auto"/>
          <w:color w:val="auto"/>
        </w:rPr>
        <w:t>Section 4.3.3</w:t>
      </w:r>
      <w:r>
        <w:rPr>
          <w:rFonts w:ascii="Arial" w:cs="Arial" w:eastAsia="Arial" w:hAnsi="Arial"/>
          <w:sz w:val="18"/>
          <w:szCs w:val="18"/>
          <w:color w:val="auto"/>
        </w:rPr>
        <w:t xml:space="preserve"> below) to the Representative from Withum dated, respectively, as of the date of this Agreement and as of the Closing Date and the Option Closing Date, if any:</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4.3.1 Confirming that they are an independent registered public accounting firm with respect to the Company within the meaning of the Act and the applicable Regulations;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4.3.2 Stating that in their opinion the financial statements of the Company included in the Registration Statement, the Preliminary Prospectus and the Prospectus comply as to form in all material respects with the applicable accounting requirements of the Act and the Regulations thereunder;</w:t>
      </w:r>
    </w:p>
    <w:p>
      <w:pPr>
        <w:spacing w:after="0" w:line="18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4.3.3 Stating that, on the basis of limited procedures which included a reading of the latest available minutes of the stockholders and board of directors and the various committees of the board of directors, consultations with officers and other employees of the Company responsible for financial and accounting matters and other specified procedures and inquiries, nothing has come to their attention which would lead them to believe that:</w:t>
      </w:r>
    </w:p>
    <w:p>
      <w:pPr>
        <w:spacing w:after="0" w:line="2" w:lineRule="exact"/>
        <w:rPr>
          <w:sz w:val="20"/>
          <w:szCs w:val="20"/>
          <w:color w:val="auto"/>
        </w:rPr>
      </w:pPr>
    </w:p>
    <w:p>
      <w:pPr>
        <w:jc w:val="both"/>
        <w:ind w:firstLine="8"/>
        <w:spacing w:after="0" w:line="268" w:lineRule="auto"/>
        <w:tabs>
          <w:tab w:leader="none" w:pos="252" w:val="left"/>
        </w:tabs>
        <w:numPr>
          <w:ilvl w:val="0"/>
          <w:numId w:val="96"/>
        </w:numPr>
        <w:rPr>
          <w:rFonts w:ascii="Arial" w:cs="Arial" w:eastAsia="Arial" w:hAnsi="Arial"/>
          <w:sz w:val="17"/>
          <w:szCs w:val="17"/>
          <w:color w:val="auto"/>
        </w:rPr>
      </w:pPr>
      <w:r>
        <w:rPr>
          <w:rFonts w:ascii="Arial" w:cs="Arial" w:eastAsia="Arial" w:hAnsi="Arial"/>
          <w:sz w:val="17"/>
          <w:szCs w:val="17"/>
          <w:color w:val="auto"/>
        </w:rPr>
        <w:t>at a date not later than five (5) days prior to the Effective Date, Closing Date or Option Closing Date, as the case may be, there was any change in the capital stock or long-term debt of the Company, or any decrease in the stockholders’ equity of the Company as compared with amounts shown in the December 31, 2020 balance sheet included in the Registration Statement, the Preliminary Prospectus and the Prospectus, other than as set forth in or contemplated by the Registration Statement, the Preliminary Prospectus and the Prospectus, or, if there was any decrease, setting forth the amount of such decrease; and (c) during the period from December 31, 2020 (balance sheet date) to a specified date not later than five (5) days prior to the Effective Date, Closing Date or Option Closing Date, as the case may be, there was any decrease in net earnings or net earnings per share of Common Stock, in each case as compared with the Statement of Operations for the period from June 23, 2020 (inception) to December 31, 2020 included in the Registration Statement and the Prospectus, or, if there was any such decrease, setting forth the amount of such decrease;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2" w:name="page213"/>
    <w:bookmarkEnd w:id="212"/>
    <w:p>
      <w:pPr>
        <w:jc w:val="both"/>
        <w:ind w:firstLine="1296"/>
        <w:spacing w:after="0" w:line="255" w:lineRule="auto"/>
        <w:rPr>
          <w:sz w:val="20"/>
          <w:szCs w:val="20"/>
          <w:color w:val="auto"/>
        </w:rPr>
      </w:pPr>
      <w:r>
        <w:rPr>
          <w:rFonts w:ascii="Arial" w:cs="Arial" w:eastAsia="Arial" w:hAnsi="Arial"/>
          <w:sz w:val="18"/>
          <w:szCs w:val="18"/>
          <w:color w:val="auto"/>
        </w:rPr>
        <w:t>4.3.4 Stating they have compared specific dollar amounts, numbers of shares, percentages of earnings, statements and other financial information pertaining to the Company set forth in the Registration Statement, the Preliminary Prospectus and the Prospectus in each case to the extent that such amounts, numbers, percentages, statements and information may be derived from the general accounting records, including work sheets, of the Company and excluding any questions requiring an interpretation by legal counsel, with the results obtained from the application of specified readings, inquiries and other appropriate procedures (which procedures do not constitute an examination in accordance with the standards of the PCAOB) set forth in the letter and found them to be in agreement; and</w:t>
      </w:r>
    </w:p>
    <w:p>
      <w:pPr>
        <w:spacing w:after="0" w:line="192" w:lineRule="exact"/>
        <w:rPr>
          <w:sz w:val="20"/>
          <w:szCs w:val="20"/>
          <w:color w:val="auto"/>
        </w:rPr>
      </w:pPr>
    </w:p>
    <w:p>
      <w:pPr>
        <w:jc w:val="right"/>
        <w:spacing w:after="0"/>
        <w:tabs>
          <w:tab w:leader="none" w:pos="9040" w:val="left"/>
        </w:tabs>
        <w:rPr>
          <w:sz w:val="20"/>
          <w:szCs w:val="20"/>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6"/>
          <w:szCs w:val="16"/>
          <w:color w:val="auto"/>
        </w:rPr>
        <w:t>Statements as to such other matters incident to the transaction contemplated hereby as the Representative may reasonably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request.</w:t>
      </w:r>
    </w:p>
    <w:p>
      <w:pPr>
        <w:spacing w:after="0" w:line="21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Officers’ Certificates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4.4.1 </w:t>
      </w:r>
      <w:r>
        <w:rPr>
          <w:rFonts w:ascii="Arial" w:cs="Arial" w:eastAsia="Arial" w:hAnsi="Arial"/>
          <w:sz w:val="16"/>
          <w:szCs w:val="16"/>
          <w:i w:val="1"/>
          <w:iCs w:val="1"/>
          <w:color w:val="auto"/>
        </w:rPr>
        <w:t>Officers’ Certificate</w:t>
      </w:r>
      <w:r>
        <w:rPr>
          <w:rFonts w:ascii="Arial" w:cs="Arial" w:eastAsia="Arial" w:hAnsi="Arial"/>
          <w:sz w:val="16"/>
          <w:szCs w:val="16"/>
          <w:color w:val="auto"/>
        </w:rPr>
        <w:t xml:space="preserve">. At each of the Closing Date and the Option Closing Date, if any, the Representative shall have received a certificate of the Company signed by the Chief Executive Officer or the President and the Secretary or Assistant Secretary of the Company, dated the Closing Date or the Option Closing Date, as the case may be, respectively, to the effect that the Company has performed all covenants and complied with all conditions required by this Agreement to be performed or complied with by the Company prior to and as of the Closing Date, or the Option Closing Date, as the case may be, and that the conditions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have been satisfied as of such date and that, as of Closing Date and the Option Closing Date, as the case may be, the representations and warranties of the Company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 are true and correct. In addition, the Representative will have received such other and further certificates of officers of the Company as the Representative may reasonably request.</w:t>
      </w:r>
    </w:p>
    <w:p>
      <w:pPr>
        <w:spacing w:after="0" w:line="166"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4.4.2 </w:t>
      </w:r>
      <w:r>
        <w:rPr>
          <w:rFonts w:ascii="Arial" w:cs="Arial" w:eastAsia="Arial" w:hAnsi="Arial"/>
          <w:sz w:val="16"/>
          <w:szCs w:val="16"/>
          <w:i w:val="1"/>
          <w:iCs w:val="1"/>
          <w:color w:val="auto"/>
        </w:rPr>
        <w:t>Secretary’s Certificate</w:t>
      </w:r>
      <w:r>
        <w:rPr>
          <w:rFonts w:ascii="Arial" w:cs="Arial" w:eastAsia="Arial" w:hAnsi="Arial"/>
          <w:sz w:val="16"/>
          <w:szCs w:val="16"/>
          <w:color w:val="auto"/>
        </w:rPr>
        <w:t>. At each of the Closing Date and the Option Closing Date, if any, the Representative shall have received a certificate of the Company signed by the Secretary or Assistant Secretary of the Company, dated the Closing Date or the Option Closing Date, as the case may be, certifying: (i) that the amended and restated certificate of incorporation of the Company are true and complete, have not been modified and are in full force and effect; (ii) that the resolutions relating to the Offering are in full force and effect and have not been modified; (iii) all correspondence between the Company or its counsel and the Commission; (iv) all correspondence between the Company or its counsel and the Nasdaq Stock Market; and (v) as to the incumbency of the officers of the Company. The documents referred to in such certificate shall be attached to such certificate.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3" w:name="page214"/>
    <w:bookmarkEnd w:id="213"/>
    <w:p>
      <w:pPr>
        <w:jc w:val="both"/>
        <w:ind w:firstLine="648"/>
        <w:spacing w:after="0" w:line="28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No Material Changes</w:t>
      </w:r>
      <w:r>
        <w:rPr>
          <w:rFonts w:ascii="Arial" w:cs="Arial" w:eastAsia="Arial" w:hAnsi="Arial"/>
          <w:sz w:val="16"/>
          <w:szCs w:val="16"/>
          <w:color w:val="auto"/>
        </w:rPr>
        <w:t>. Prior to and on each of the Closing Date and the Option Closing Date, if any: (i) there shall have been no material adverse change or development that is likely to result in a material adverse change in the condition or prospects or the business activities, financial or otherwise, of the Company from the latest dates as of which such condition is set forth in the Registration Statement and Prospectus; (ii) no action, suit or proceeding, at law or in equity, shall have been pending or threatened against the Company or the Initial Shareholders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the Preliminary Prospectus and Prospectus; (iii) no stop order shall have been issued under the Act and no proceedings therefor shall have been initiated or threatened by the Commission; and (iv) the Registration Statement, the Preliminary Prospectus and the Prospectus and any amendments or supplements thereto shall contain all material statements which are required to be stated therein in accordance with the Act and the Regulations and shall conform in all material respects to the requirements of the Act and the Regulations, and neither the Registration Statement, the Preliminary Prospectus nor the Prospectus nor any amendment or supplement thereto shall contain any untrue statement of a material fact or omit to state any material fact required to be stated therein or necessary to make the statements therein (in the case of the Prospectus, in light of the circumstances under which they were made), not misleading.</w:t>
      </w:r>
    </w:p>
    <w:p>
      <w:pPr>
        <w:spacing w:after="0" w:line="16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Delivery of Agreements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4.6.1 </w:t>
      </w:r>
      <w:r>
        <w:rPr>
          <w:rFonts w:ascii="Arial" w:cs="Arial" w:eastAsia="Arial" w:hAnsi="Arial"/>
          <w:sz w:val="18"/>
          <w:szCs w:val="18"/>
          <w:i w:val="1"/>
          <w:iCs w:val="1"/>
          <w:color w:val="auto"/>
        </w:rPr>
        <w:t>Effective Date Deliveries</w:t>
      </w:r>
      <w:r>
        <w:rPr>
          <w:rFonts w:ascii="Arial" w:cs="Arial" w:eastAsia="Arial" w:hAnsi="Arial"/>
          <w:sz w:val="18"/>
          <w:szCs w:val="18"/>
          <w:color w:val="auto"/>
        </w:rPr>
        <w:t>. On the Effective Date, the Company shall have delivered to the Representative executed copies of the Trust Agreement, the Warrant Agreement, the Business Combination Marketing Agreement, all of the Insider Letters, the Subscription Agreements, the Registration Rights Agreement and the Escrow Agreement.</w:t>
      </w:r>
    </w:p>
    <w:p>
      <w:pPr>
        <w:spacing w:after="0" w:line="180" w:lineRule="exact"/>
        <w:rPr>
          <w:sz w:val="20"/>
          <w:szCs w:val="20"/>
          <w:color w:val="auto"/>
        </w:rPr>
      </w:pPr>
    </w:p>
    <w:p>
      <w:pPr>
        <w:ind w:left="960" w:hanging="952"/>
        <w:spacing w:after="0"/>
        <w:tabs>
          <w:tab w:leader="none" w:pos="9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22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Indemnification of Underwriters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i w:val="1"/>
          <w:iCs w:val="1"/>
          <w:color w:val="auto"/>
        </w:rPr>
        <w:t>General</w:t>
      </w:r>
      <w:r>
        <w:rPr>
          <w:rFonts w:ascii="Arial" w:cs="Arial" w:eastAsia="Arial" w:hAnsi="Arial"/>
          <w:sz w:val="16"/>
          <w:szCs w:val="16"/>
          <w:color w:val="auto"/>
        </w:rPr>
        <w:t>. Subject to the conditions set forth below, the Company agrees to indemnify and hold harmless each of the Underwriters and each dealer selected by the Representative that participates in the offer and sale of the Units (each a “</w:t>
      </w:r>
      <w:r>
        <w:rPr>
          <w:rFonts w:ascii="Arial" w:cs="Arial" w:eastAsia="Arial" w:hAnsi="Arial"/>
          <w:sz w:val="16"/>
          <w:szCs w:val="16"/>
          <w:b w:val="1"/>
          <w:bCs w:val="1"/>
          <w:color w:val="auto"/>
        </w:rPr>
        <w:t>Selected Dealer</w:t>
      </w:r>
      <w:r>
        <w:rPr>
          <w:rFonts w:ascii="Arial" w:cs="Arial" w:eastAsia="Arial" w:hAnsi="Arial"/>
          <w:sz w:val="16"/>
          <w:szCs w:val="16"/>
          <w:color w:val="auto"/>
        </w:rPr>
        <w:t>”) and each of their respective directors, officers and employees and each person, if any, who controls any such Underwriter (“</w:t>
      </w:r>
      <w:r>
        <w:rPr>
          <w:rFonts w:ascii="Arial" w:cs="Arial" w:eastAsia="Arial" w:hAnsi="Arial"/>
          <w:sz w:val="16"/>
          <w:szCs w:val="16"/>
          <w:b w:val="1"/>
          <w:bCs w:val="1"/>
          <w:color w:val="auto"/>
        </w:rPr>
        <w:t>Controlling Person</w:t>
      </w:r>
      <w:r>
        <w:rPr>
          <w:rFonts w:ascii="Arial" w:cs="Arial" w:eastAsia="Arial" w:hAnsi="Arial"/>
          <w:sz w:val="16"/>
          <w:szCs w:val="16"/>
          <w:color w:val="auto"/>
        </w:rPr>
        <w:t xml:space="preserve">”) within the meaning of Section 15 of the Act or Section 20(a) of the Exchange Act, against any and all loss, liability, claim, damage and expense whatsoever (including but not limited to any and all legal or other expenses reasonably incurred in investigating, preparing or defending against any litigation, commenced or threatened, or any claim whatsoever, whether arising out of any action between any of the Underwriters and the Company or between any of the Underwriters and any third party or otherwise) to which they or any of them may become subject under the Act, the Exchange Act or any other federal, state or local statute, law, rule, regulation or ordinance or at common law or otherwise or under the laws, rules and regulation of foreign countries, arising out of or based upon any untrue statement or alleged untrue statement of a material fact contained in: (i) any Preliminary Prospectus, the Registration Statement, or the Prospectus (as from time to time each may be amended and supplemented); or (ii) any application or other document or written communication (in this </w:t>
      </w:r>
      <w:r>
        <w:rPr>
          <w:rFonts w:ascii="Arial" w:cs="Arial" w:eastAsia="Arial" w:hAnsi="Arial"/>
          <w:sz w:val="16"/>
          <w:szCs w:val="16"/>
          <w:u w:val="single" w:color="auto"/>
          <w:color w:val="auto"/>
        </w:rPr>
        <w:t>Section 5</w:t>
      </w:r>
      <w:r>
        <w:rPr>
          <w:rFonts w:ascii="Arial" w:cs="Arial" w:eastAsia="Arial" w:hAnsi="Arial"/>
          <w:sz w:val="16"/>
          <w:szCs w:val="16"/>
          <w:color w:val="auto"/>
        </w:rPr>
        <w:t>, collectively called “</w:t>
      </w:r>
      <w:r>
        <w:rPr>
          <w:rFonts w:ascii="Arial" w:cs="Arial" w:eastAsia="Arial" w:hAnsi="Arial"/>
          <w:sz w:val="16"/>
          <w:szCs w:val="16"/>
          <w:b w:val="1"/>
          <w:bCs w:val="1"/>
          <w:color w:val="auto"/>
        </w:rPr>
        <w:t>Application</w:t>
      </w:r>
      <w:r>
        <w:rPr>
          <w:rFonts w:ascii="Arial" w:cs="Arial" w:eastAsia="Arial" w:hAnsi="Arial"/>
          <w:sz w:val="16"/>
          <w:szCs w:val="16"/>
          <w:color w:val="auto"/>
        </w:rPr>
        <w:t xml:space="preserve">”) executed by the Company or based upon written information furnished by the Company in any jurisdiction in order to qualify the Units under the securities laws thereof or filed with the Commission, any state securities commission or agency, the Nasdaq Stock Market or any securities exchange;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written information furnished to the Company with respect to an Underwriter by or on behalf of such Underwriter expressly for use in any Preliminary Prospectus, the Registration Statement, or the Prospectus, or any amendment or supplement thereof. With respect to any untrue statement or omission or alleged untrue statement or omission made in the Preliminary Prospectus, the indemnity agreement contained in this paragraph shall not inure to the benefit of any Underwriter to the extent that any loss, liability, claim, damage or expense of such Underwriter results from the fact that a copy of the Prospectus was not given or sent to the person asserting any such loss, liability, claim or damage at or prior to the written confirmation of sale of the Securities to such person as required by the Act and the Regulations, and if the untrue statement or omission has been corrected in the Prospectus, unless such failure to deliver the Prospectus was a result of non-compliance by the Company with its obligations under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hereof. The Company agrees to promptly notify the Representative of the commencement of any litigation or proceedings against the Company or any of its officers, directors or Controlling Persons in connection with the issue and sale of the Securities or in connection with the Preliminary Prospectus, the Registration Statement, or the Prospectus.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4" w:name="page215"/>
    <w:bookmarkEnd w:id="214"/>
    <w:p>
      <w:pPr>
        <w:jc w:val="both"/>
        <w:ind w:firstLine="1296"/>
        <w:spacing w:after="0" w:line="269"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i w:val="1"/>
          <w:iCs w:val="1"/>
          <w:color w:val="auto"/>
        </w:rPr>
        <w:t>Indemnification of the QIU</w:t>
      </w:r>
      <w:r>
        <w:rPr>
          <w:rFonts w:ascii="Arial" w:cs="Arial" w:eastAsia="Arial" w:hAnsi="Arial"/>
          <w:sz w:val="17"/>
          <w:szCs w:val="17"/>
          <w:color w:val="auto"/>
        </w:rPr>
        <w:t xml:space="preserve">. Without limitation of and in addition to its obligations under the other paragraphs of this </w:t>
      </w:r>
      <w:r>
        <w:rPr>
          <w:rFonts w:ascii="Arial" w:cs="Arial" w:eastAsia="Arial" w:hAnsi="Arial"/>
          <w:sz w:val="17"/>
          <w:szCs w:val="17"/>
          <w:u w:val="single" w:color="auto"/>
          <w:color w:val="auto"/>
        </w:rPr>
        <w:t>Section 5</w:t>
      </w:r>
      <w:r>
        <w:rPr>
          <w:rFonts w:ascii="Arial" w:cs="Arial" w:eastAsia="Arial" w:hAnsi="Arial"/>
          <w:sz w:val="17"/>
          <w:szCs w:val="17"/>
          <w:color w:val="auto"/>
        </w:rPr>
        <w:t>, the Company agrees to indemnify, defend and hold harmless the QIU, its directors, officers, employees and each Controlling Person of the QIU, if any, and the successors and assigns of all of the foregoing persons, from and against any loss, damage, expense, liability or claim (including the reasonable cost of investigation) which, jointly or severally, the QIU or any such person may incur, insofar as such loss, damage, expense, liability or claim arises out of or is based upon the QIU’s acting as a “qualified independent underwriter” (within the meaning of FINRA Rule 5121) in connection with the offering contemplated by this Agreement, and the Company agrees to advance and reimburse each such indemnified party, as incurred, for any legal or other expenses reasonably incurred by it in connection with investigating or defending any such loss, damage, expense, liability or claim; provided, however, that the Company will not be liable in any such case to the extent that any such loss, claim, damage, liability or action arises out of or is based upon an untrue statement or alleged untrue statement or omission or alleged omission made in reliance upon and in conformity with written information furnished to the Company by the QIU specifically for use in the Registration Statement or Prospectus.</w:t>
      </w:r>
    </w:p>
    <w:p>
      <w:pPr>
        <w:spacing w:after="0" w:line="18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i w:val="1"/>
          <w:iCs w:val="1"/>
          <w:color w:val="auto"/>
        </w:rPr>
        <w:t>Procedure</w:t>
      </w:r>
      <w:r>
        <w:rPr>
          <w:rFonts w:ascii="Arial" w:cs="Arial" w:eastAsia="Arial" w:hAnsi="Arial"/>
          <w:sz w:val="16"/>
          <w:szCs w:val="16"/>
          <w:color w:val="auto"/>
        </w:rPr>
        <w:t xml:space="preserve">. If any action is brought against an Underwriter, the QIU or a Controlling Person in respect of which indemnity may be sought against the Company pursuant to </w:t>
      </w:r>
      <w:r>
        <w:rPr>
          <w:rFonts w:ascii="Arial" w:cs="Arial" w:eastAsia="Arial" w:hAnsi="Arial"/>
          <w:sz w:val="16"/>
          <w:szCs w:val="16"/>
          <w:u w:val="single" w:color="auto"/>
          <w:color w:val="auto"/>
        </w:rPr>
        <w:t>Section 5.1.1</w:t>
      </w:r>
      <w:r>
        <w:rPr>
          <w:rFonts w:ascii="Arial" w:cs="Arial" w:eastAsia="Arial" w:hAnsi="Arial"/>
          <w:sz w:val="16"/>
          <w:szCs w:val="16"/>
          <w:color w:val="auto"/>
        </w:rPr>
        <w:t>, such Underwriter or the QIU shall promptly notify the Company in writing of the institution of such action and the Company shall assume the defense of such action, including the employment and fees of counsel (subject to the reasonable approval of such Underwriter or the QIU) and payment of actual expenses. Such Underwriter, the QIU or Controlling Person shall have the right to employ its or their own counsel in any such case, but the fees and expenses of such counsel shall be at the expense of such Underwriter, the QIU or such Controlling Person unless: (i) the employment of such counsel at the expense of the Company shall have been authorized in writing by the Company in connection with the defense of such action within reasonable time under the circumstances; (ii) the Company shall not have employed counsel to have charge of the defense of such action; or (iii) such indemnified party or parties shall have reasonably concluded that there may be defenses available to it or them which are different from or additional to those available to the Company, or another conflict of interest or conflict as to legal representation exists (in which case the Company shall not have the right to direct the defense of such action on behalf of the indemnified party or parties), in any of which events the reasonable fees and expenses of not more than one additional firm of attorneys selected by the Underwriter, the QIU and/or Controlling Person shall be borne by the Company. Notwithstanding anything to the contrary contained herein, if the Underwriter, the QIU or Controlling Person shall assume the defense of such action as provided above, the Company shall have the right to approve the terms of any settlement of such action which approval shall not be unreasonably withheld.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5" w:name="page216"/>
    <w:bookmarkEnd w:id="215"/>
    <w:p>
      <w:pPr>
        <w:jc w:val="both"/>
        <w:ind w:firstLine="648"/>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Indemnification of the Company</w:t>
      </w:r>
      <w:r>
        <w:rPr>
          <w:rFonts w:ascii="Arial" w:cs="Arial" w:eastAsia="Arial" w:hAnsi="Arial"/>
          <w:sz w:val="17"/>
          <w:szCs w:val="17"/>
          <w:color w:val="auto"/>
        </w:rPr>
        <w:t xml:space="preserve">. Each Underwriter, severally and not jointly, agrees to indemnify and hold harmless the Company, its directors, officers and employees and agents who control the Company within the meaning of Section 15 of the Act or Section 20 of the Exchange Act against any and all loss, liability, claim, damage and expense described in the foregoing indemnity from the Company to the several Underwriters, as incurred, but only with respect to untrue statements or omissions, or alleged untrue statements or omissions made in any Preliminary Prospectus, the Registration Statement, or the Prospectus, or any amendment or supplement thereto, or in any Application, in reliance upon, and in strict conformity with, written information furnished to the Company with respect to such Underwriter by or on behalf of the Underwriter expressly for use in such Preliminary Prospectus, the Registration Statement, or the Prospectus, or any amendment or supplement thereto or in any such Application, which furnished written information, it is expressly agreed, consists solely of the information described in the last sentence of </w:t>
      </w:r>
      <w:r>
        <w:rPr>
          <w:rFonts w:ascii="Arial" w:cs="Arial" w:eastAsia="Arial" w:hAnsi="Arial"/>
          <w:sz w:val="17"/>
          <w:szCs w:val="17"/>
          <w:u w:val="single" w:color="auto"/>
          <w:color w:val="auto"/>
        </w:rPr>
        <w:t>Section 2.3.1</w:t>
      </w:r>
      <w:r>
        <w:rPr>
          <w:rFonts w:ascii="Arial" w:cs="Arial" w:eastAsia="Arial" w:hAnsi="Arial"/>
          <w:sz w:val="17"/>
          <w:szCs w:val="17"/>
          <w:color w:val="auto"/>
        </w:rPr>
        <w:t xml:space="preserve">. In case any action shall be brought against the Company or any other person so indemnified based on any Preliminary Prospectus, the Registration Statement, or the Prospectus, or any amendment or supplement thereto or any Application, and in respect of which indemnity may be sought against any Underwriter, such Underwriter shall have the rights and duties given to the Company, and the Company and each other person so indemnified shall have the rights and duties given to the several Underwriters by the provisions of </w:t>
      </w:r>
      <w:r>
        <w:rPr>
          <w:rFonts w:ascii="Arial" w:cs="Arial" w:eastAsia="Arial" w:hAnsi="Arial"/>
          <w:sz w:val="17"/>
          <w:szCs w:val="17"/>
          <w:u w:val="single" w:color="auto"/>
          <w:color w:val="auto"/>
        </w:rPr>
        <w:t>Section 5.1.2</w:t>
      </w:r>
      <w:r>
        <w:rPr>
          <w:rFonts w:ascii="Arial" w:cs="Arial" w:eastAsia="Arial" w:hAnsi="Arial"/>
          <w:sz w:val="17"/>
          <w:szCs w:val="17"/>
          <w:color w:val="auto"/>
        </w:rPr>
        <w:t>.</w:t>
      </w:r>
    </w:p>
    <w:p>
      <w:pPr>
        <w:spacing w:after="0" w:line="17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Contribution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i w:val="1"/>
          <w:iCs w:val="1"/>
          <w:color w:val="auto"/>
        </w:rPr>
        <w:t>5.3.1 Contribution Rights</w:t>
      </w:r>
      <w:r>
        <w:rPr>
          <w:rFonts w:ascii="Arial" w:cs="Arial" w:eastAsia="Arial" w:hAnsi="Arial"/>
          <w:sz w:val="16"/>
          <w:szCs w:val="16"/>
          <w:color w:val="auto"/>
        </w:rPr>
        <w:t>. In order to provide for just and equitable contribution under the Act in any case in which: (i) any person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entitled to indemnification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makes a claim for indemnification pursuant hereto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provides for indemnification in such case; or (ii) contribution under the Act, the Exchange Act or otherwise may be required on the part of any such person in circumstances for which indemnification is provided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then, and in each such case, the Company and the Underwriters shall contribute to the aggregate losses, liabilities, claims, damages and expenses of the nature contemplated by said indemnity agreement incurred by the Company and the Underwriters, as incurred, in such proportions that the Underwriters are responsible for that portion represented by the percentage that the underwriting discount appearing on the cover page of the Prospectus bears to the initial offering price appearing thereon and the Company is responsible for the balance;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person guilty of a fraudulent misrepresentation (within the meaning of Section 11(f) of the Act) shall be entitled to contribution from any person who was not guilty of such fraudulent misrepresentation. Notwithstanding the provisions of this </w:t>
      </w:r>
      <w:r>
        <w:rPr>
          <w:rFonts w:ascii="Arial" w:cs="Arial" w:eastAsia="Arial" w:hAnsi="Arial"/>
          <w:sz w:val="16"/>
          <w:szCs w:val="16"/>
          <w:u w:val="single" w:color="auto"/>
          <w:color w:val="auto"/>
        </w:rPr>
        <w:t>Section 5.3.1</w:t>
      </w:r>
      <w:r>
        <w:rPr>
          <w:rFonts w:ascii="Arial" w:cs="Arial" w:eastAsia="Arial" w:hAnsi="Arial"/>
          <w:sz w:val="16"/>
          <w:szCs w:val="16"/>
          <w:color w:val="auto"/>
        </w:rPr>
        <w:t>, no Underwriter shall be required to contribute any amount in excess of the amount by which the total price at which the Public Securities underwritten by it and distributed to the public were offered to the public exceeds the amount of any damages that such Underwriter has otherwise been required to pay in respect of such losses, liabilities, claims, damages and expenses. For purposes of this Section, each director, officer and employee of an Underwriter or the Company, as applicable, and each person, if any, who controls an Underwriter or the Company, as applicable, within the meaning of Section 15 of the Act shall have the same rights to contribution as the Underwriters or the Company, as applicable. The QIU, in its capacity as “qualified independent underwriter” (within the meaning of FINRA Rule 5121), shall in no event be required to contribute any amount in excess of the amount the compensation received by the QIU for acting in such capacity exceeds the amount of any damage which the QIU has otherwise been required to pay by reason of the QIU’s acting in such capacity in connection with the offering contemplated by this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6" w:name="page217"/>
    <w:bookmarkEnd w:id="216"/>
    <w:p>
      <w:pPr>
        <w:jc w:val="both"/>
        <w:ind w:firstLine="1296"/>
        <w:spacing w:after="0" w:line="269" w:lineRule="auto"/>
        <w:rPr>
          <w:sz w:val="20"/>
          <w:szCs w:val="20"/>
          <w:color w:val="auto"/>
        </w:rPr>
      </w:pPr>
      <w:r>
        <w:rPr>
          <w:rFonts w:ascii="Arial" w:cs="Arial" w:eastAsia="Arial" w:hAnsi="Arial"/>
          <w:sz w:val="17"/>
          <w:szCs w:val="17"/>
          <w:i w:val="1"/>
          <w:iCs w:val="1"/>
          <w:color w:val="auto"/>
        </w:rPr>
        <w:t>5.3.2 Contribution Procedure</w:t>
      </w:r>
      <w:r>
        <w:rPr>
          <w:rFonts w:ascii="Arial" w:cs="Arial" w:eastAsia="Arial" w:hAnsi="Arial"/>
          <w:sz w:val="17"/>
          <w:szCs w:val="17"/>
          <w:color w:val="auto"/>
        </w:rPr>
        <w:t>. Within fifteen (15) days after receipt by any party to this Agreement (or its representative) of notice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commencement of any action, suit or proceeding, such party will, if a claim for contribution in respect thereof is to be made against another party (“</w:t>
      </w:r>
      <w:r>
        <w:rPr>
          <w:rFonts w:ascii="Arial" w:cs="Arial" w:eastAsia="Arial" w:hAnsi="Arial"/>
          <w:sz w:val="17"/>
          <w:szCs w:val="17"/>
          <w:b w:val="1"/>
          <w:bCs w:val="1"/>
          <w:color w:val="auto"/>
        </w:rPr>
        <w:t>Contributing Party</w:t>
      </w:r>
      <w:r>
        <w:rPr>
          <w:rFonts w:ascii="Arial" w:cs="Arial" w:eastAsia="Arial" w:hAnsi="Arial"/>
          <w:sz w:val="17"/>
          <w:szCs w:val="17"/>
          <w:color w:val="auto"/>
        </w:rPr>
        <w:t xml:space="preserve">”), notify the Contributing Party of the commencement thereof, but the omission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fifteen (15)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effected by such party seeking contribution on account of any settlement of any claim, action or proceeding effected by such party seeking contribution without the written consent of such Contributing Party. The contribution provisions contained in this Section are intended to supersede, to the extent permitted by law, any right to contribution under the Act, the Exchange Act or otherwise available. The Underwriters’ obligations to contribute pursuant to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are several and not joint.</w:t>
      </w:r>
    </w:p>
    <w:p>
      <w:pPr>
        <w:spacing w:after="0" w:line="178" w:lineRule="exact"/>
        <w:rPr>
          <w:sz w:val="20"/>
          <w:szCs w:val="20"/>
          <w:color w:val="auto"/>
        </w:rPr>
      </w:pPr>
    </w:p>
    <w:p>
      <w:pPr>
        <w:ind w:left="960" w:hanging="952"/>
        <w:spacing w:after="0"/>
        <w:tabs>
          <w:tab w:leader="none" w:pos="9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Default by an Underwriter</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Default Not Exceeding 10% of Firm Units or Option Units</w:t>
      </w:r>
      <w:r>
        <w:rPr>
          <w:rFonts w:ascii="Arial" w:cs="Arial" w:eastAsia="Arial" w:hAnsi="Arial"/>
          <w:sz w:val="18"/>
          <w:szCs w:val="18"/>
          <w:color w:val="auto"/>
        </w:rPr>
        <w:t>. If any Underwriter or Underwriters shall default in its or their obligations to purchase the Firm Units or the Option Units, if the Over-allotment Option is exercised, hereunder, and if the number of the Firm Units or Option Units with respect to which such default relates does not exceed in the aggregate 10% of the number of Firm Units or Option Units that all Underwriters have agreed to purchase hereunder, then such Firm Units or Option Units to which the default relates shall be purchased by the non-defaulting Underwriters in proportion to their respective commitments hereunder.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7" w:name="page218"/>
    <w:bookmarkEnd w:id="217"/>
    <w:p>
      <w:pPr>
        <w:jc w:val="both"/>
        <w:ind w:firstLine="648"/>
        <w:spacing w:after="0" w:line="26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Default Exceeding 10% of Firm Units or Option Units</w:t>
      </w:r>
      <w:r>
        <w:rPr>
          <w:rFonts w:ascii="Arial" w:cs="Arial" w:eastAsia="Arial" w:hAnsi="Arial"/>
          <w:sz w:val="17"/>
          <w:szCs w:val="17"/>
          <w:color w:val="auto"/>
        </w:rPr>
        <w:t xml:space="preserve">. In the event that the default addressed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above relates to more than 10% of the Firm Units or Option Units, the Representative may in its discretion arrange for itself or for another party or parties to purchase such Firm Units or Option Units to which such default relates on the terms contained herein. If, within one (1) Business Day after such default relating to more than 10% of the Firm Units or Option Units, the Representative does not arrange for the purchase of such Firm Units or Option Units, then the Company shall be entitled to a further period of one (1) Business Day within which to procure another party or parties satisfactory to the Company and the Representative to purchase said Firm Units or Option Units on such terms. In the event neither the Company nor the Representative arranges for the purchase of the Firm Units or Option Units to which a default relates as provided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this Agreement may be terminated by the Company without liability on the part of the Company (except as provided in </w:t>
      </w:r>
      <w:r>
        <w:rPr>
          <w:rFonts w:ascii="Arial" w:cs="Arial" w:eastAsia="Arial" w:hAnsi="Arial"/>
          <w:sz w:val="17"/>
          <w:szCs w:val="17"/>
          <w:u w:val="single" w:color="auto"/>
          <w:color w:val="auto"/>
        </w:rPr>
        <w:t>Sections 3.10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w:t>
      </w:r>
      <w:r>
        <w:rPr>
          <w:rFonts w:ascii="Arial" w:cs="Arial" w:eastAsia="Arial" w:hAnsi="Arial"/>
          <w:sz w:val="17"/>
          <w:szCs w:val="17"/>
          <w:color w:val="auto"/>
        </w:rPr>
        <w:t xml:space="preserve"> hereof) or the several Underwriters (except as provided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such default occurs with respect to the Option Units, this Agreement will not terminate as to the Firm Units; and provided further that</w:t>
      </w:r>
      <w:r>
        <w:rPr>
          <w:rFonts w:ascii="Arial" w:cs="Arial" w:eastAsia="Arial" w:hAnsi="Arial"/>
          <w:sz w:val="17"/>
          <w:szCs w:val="17"/>
          <w:i w:val="1"/>
          <w:iCs w:val="1"/>
          <w:color w:val="auto"/>
        </w:rPr>
        <w:t xml:space="preserve"> </w:t>
      </w:r>
      <w:r>
        <w:rPr>
          <w:rFonts w:ascii="Arial" w:cs="Arial" w:eastAsia="Arial" w:hAnsi="Arial"/>
          <w:sz w:val="17"/>
          <w:szCs w:val="17"/>
          <w:color w:val="auto"/>
        </w:rPr>
        <w:t>nothing herein shall relieve a defaulting Underwriter of its liability, if any, to the other several Underwriters and to the Company for damages occasioned by its default hereunder.</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Postponement of Closing Date</w:t>
      </w:r>
      <w:r>
        <w:rPr>
          <w:rFonts w:ascii="Arial" w:cs="Arial" w:eastAsia="Arial" w:hAnsi="Arial"/>
          <w:sz w:val="18"/>
          <w:szCs w:val="18"/>
          <w:color w:val="auto"/>
        </w:rPr>
        <w:t>. In the event the Firm Units or Option Units to which the default relates are to be purchased by the non-defaulting Underwriters, or are to be purchased by another party or parties as aforesaid, the Representative or the Company shall have the right to postpone the Closing Date or Option Closing Date for a reasonable period, but not in any event exceeding five (5) Business Days, in order to effect whatever changes may thereby be made necessary in the Registration Statement, the Preliminary Prospectus and/or the Prospectus, as the case may be, or in any other documents and arrangements, and the Company agrees to file promptly any amendment to, or to supplement, the Registration Statement, the Preliminary Prospectus and/or the Prospectus, as the case may be, that in the opinion of counsel for the Underwriters may thereby be made necessary. The term “</w:t>
      </w:r>
      <w:r>
        <w:rPr>
          <w:rFonts w:ascii="Arial" w:cs="Arial" w:eastAsia="Arial" w:hAnsi="Arial"/>
          <w:sz w:val="18"/>
          <w:szCs w:val="18"/>
          <w:b w:val="1"/>
          <w:bCs w:val="1"/>
          <w:color w:val="auto"/>
        </w:rPr>
        <w:t>Underwriter</w:t>
      </w:r>
      <w:r>
        <w:rPr>
          <w:rFonts w:ascii="Arial" w:cs="Arial" w:eastAsia="Arial" w:hAnsi="Arial"/>
          <w:sz w:val="18"/>
          <w:szCs w:val="18"/>
          <w:color w:val="auto"/>
        </w:rPr>
        <w:t xml:space="preserve">” as used in this Agreement shall include any party substituted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with like effect as if it had originally been a party to this Agreement with respect to such Securities.</w:t>
      </w:r>
    </w:p>
    <w:p>
      <w:pPr>
        <w:spacing w:after="0" w:line="188" w:lineRule="exact"/>
        <w:rPr>
          <w:sz w:val="20"/>
          <w:szCs w:val="20"/>
          <w:color w:val="auto"/>
        </w:rPr>
      </w:pPr>
    </w:p>
    <w:p>
      <w:pPr>
        <w:ind w:left="960" w:hanging="952"/>
        <w:spacing w:after="0"/>
        <w:tabs>
          <w:tab w:leader="none" w:pos="9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Covenants</w:t>
      </w:r>
      <w:r>
        <w:rPr>
          <w:rFonts w:ascii="Arial" w:cs="Arial" w:eastAsia="Arial" w:hAnsi="Arial"/>
          <w:sz w:val="18"/>
          <w:szCs w:val="18"/>
          <w:color w:val="auto"/>
        </w:rPr>
        <w:t>.</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Additional Shares or Options</w:t>
      </w:r>
      <w:r>
        <w:rPr>
          <w:rFonts w:ascii="Arial" w:cs="Arial" w:eastAsia="Arial" w:hAnsi="Arial"/>
          <w:sz w:val="18"/>
          <w:szCs w:val="18"/>
          <w:color w:val="auto"/>
        </w:rPr>
        <w:t>. The Company hereby agrees that until the Company consummates a Business Combination, it shall not issue any shares of Common Stock or any options or other securities convertible into shares of Common Stock, or any class of shares which participate in any manner in the Trust Account or which vote as a class with the Common Stock on a Business Combination.</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7.2 Trust Account Waiver Acknowledgments. The Company hereby agrees that it will not commence its due diligence investigation of any operating business or businesses which the Company seeks to acquire (each, a “</w:t>
      </w:r>
      <w:r>
        <w:rPr>
          <w:rFonts w:ascii="Arial" w:cs="Arial" w:eastAsia="Arial" w:hAnsi="Arial"/>
          <w:sz w:val="16"/>
          <w:szCs w:val="16"/>
          <w:b w:val="1"/>
          <w:bCs w:val="1"/>
          <w:color w:val="auto"/>
        </w:rPr>
        <w:t>Target Business</w:t>
      </w:r>
      <w:r>
        <w:rPr>
          <w:rFonts w:ascii="Arial" w:cs="Arial" w:eastAsia="Arial" w:hAnsi="Arial"/>
          <w:sz w:val="16"/>
          <w:szCs w:val="16"/>
          <w:color w:val="auto"/>
        </w:rPr>
        <w:t>”) unless and until such Target Business acknowledges in writing, whether through a letter of intent, memorandum of understanding or other similar document (and subsequently acknowledges the same in any definitive document replacing any of the foregoing), that: (i) it has read the Prospectus and understands that the Company has established the Trust Account, initially in an amount of $101,000,000 for the benefit of the public stockholders, and that (ii) for and in consideration of the Company agreeing to evaluate such Target Business for purposes of consummating a Business Combination with it, such Target Business agrees that it does not have any right, title, interest or claim of any kind in or to any monies of the Trust Account (“</w:t>
      </w:r>
      <w:r>
        <w:rPr>
          <w:rFonts w:ascii="Arial" w:cs="Arial" w:eastAsia="Arial" w:hAnsi="Arial"/>
          <w:sz w:val="16"/>
          <w:szCs w:val="16"/>
          <w:b w:val="1"/>
          <w:bCs w:val="1"/>
          <w:color w:val="auto"/>
        </w:rPr>
        <w:t>Claim</w:t>
      </w:r>
      <w:r>
        <w:rPr>
          <w:rFonts w:ascii="Arial" w:cs="Arial" w:eastAsia="Arial" w:hAnsi="Arial"/>
          <w:sz w:val="16"/>
          <w:szCs w:val="16"/>
          <w:color w:val="auto"/>
        </w:rPr>
        <w:t>”) and waives any Claim it may have in the future as a result of, or arising out of, any negotiations, contracts or agreements with the Company and will not seek recourse against the Trust Account for any reason whatsoever. The Company further agrees that it will use all reasonable efforts, prior to obtaining the services of any vendor, to obtain a written acknowledgment from such vendor, whether through a letter of intent, memorandum of understanding or other similar document (and subsequently acknowledges the same in any definitive document replacing any of the foregoing), that: (i) such vendor has read the Prospectus and understands that the Company has established the Trust Account, initially in an amount of $101,000,000 for the benefit of the public stockholders, and that (ii) for and in consideration of the Company agreeing to engage the services of the vendor, such vendor agrees that it does not have any Claim and waives any Claim it may have in the future as a result of, or arising out of, any negotiations, contracts or agreements with the Company and will not seek recourse against the Trust Account for any reason whatsoever. The foregoing letters shall substantially be in the form attached hereto as Exhibit A and B, respectively.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8" w:name="page219"/>
    <w:bookmarkEnd w:id="218"/>
    <w:p>
      <w:pPr>
        <w:jc w:val="both"/>
        <w:ind w:firstLine="648"/>
        <w:spacing w:after="0" w:line="311"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Insider Letters</w:t>
      </w:r>
      <w:r>
        <w:rPr>
          <w:rFonts w:ascii="Arial" w:cs="Arial" w:eastAsia="Arial" w:hAnsi="Arial"/>
          <w:sz w:val="16"/>
          <w:szCs w:val="16"/>
          <w:color w:val="auto"/>
        </w:rPr>
        <w:t>. The Company shall not take any action or omit to take any action which would cause a breach of any of the Insider Letters executed among the Initial Shareholders, the officers and directors of the Company, and the Company or the Subscription Agreements and will not allow any amendments to, or waivers of, such Insider Letters or the Subscription Agreements without the prior written consent of the Representative.</w:t>
      </w:r>
    </w:p>
    <w:p>
      <w:pPr>
        <w:spacing w:after="0" w:line="14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xml:space="preserve">. The Company shall not take any action or omit to take any action that would cause the Company to be in breach or violation of its amended and restated certificate of incorporation. Except as provided in </w:t>
      </w:r>
      <w:r>
        <w:rPr>
          <w:rFonts w:ascii="Arial" w:cs="Arial" w:eastAsia="Arial" w:hAnsi="Arial"/>
          <w:sz w:val="16"/>
          <w:szCs w:val="16"/>
          <w:u w:val="single" w:color="auto"/>
          <w:color w:val="auto"/>
        </w:rPr>
        <w:t>Section 3.26</w:t>
      </w:r>
      <w:r>
        <w:rPr>
          <w:rFonts w:ascii="Arial" w:cs="Arial" w:eastAsia="Arial" w:hAnsi="Arial"/>
          <w:sz w:val="16"/>
          <w:szCs w:val="16"/>
          <w:color w:val="auto"/>
        </w:rPr>
        <w:t>, prior to the consummation of a Business Combination, the Company will not amend its amended and restated certificate of incorporation, without the prior written consent of the Representative.</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Tender Offer Documents, Proxy Materials and Other Information</w:t>
      </w:r>
      <w:r>
        <w:rPr>
          <w:rFonts w:ascii="Arial" w:cs="Arial" w:eastAsia="Arial" w:hAnsi="Arial"/>
          <w:sz w:val="18"/>
          <w:szCs w:val="18"/>
          <w:color w:val="auto"/>
        </w:rPr>
        <w:t>. The Company shall provide counsel to the Representative with copies of all tender offer documents or proxy information and all related material filed with the Commission in connection with a Business Combination concurrently with such filing with the Commission. In addition, the Company shall furnish any other State in which the Offering was registered, such information as may be required by such State.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Acquisition/Liquidation Procedure</w:t>
      </w:r>
      <w:r>
        <w:rPr>
          <w:rFonts w:ascii="Arial" w:cs="Arial" w:eastAsia="Arial" w:hAnsi="Arial"/>
          <w:sz w:val="18"/>
          <w:szCs w:val="18"/>
          <w:color w:val="auto"/>
        </w:rPr>
        <w:t>. The Company agrees that it will comply with its amended and restated certificate of incorporation in connection with the consummation of a Business Combination or the failure to consummate a Business Combination within 15 months (or up to 21 months, as applicable) from the Closing Date.</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Rule 419</w:t>
      </w:r>
      <w:r>
        <w:rPr>
          <w:rFonts w:ascii="Arial" w:cs="Arial" w:eastAsia="Arial" w:hAnsi="Arial"/>
          <w:sz w:val="17"/>
          <w:szCs w:val="17"/>
          <w:color w:val="auto"/>
        </w:rPr>
        <w:t>. The Company agrees that it will use its best efforts to prevent the Company from becoming subject to Rule 419 under the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9" w:name="page220"/>
    <w:bookmarkEnd w:id="219"/>
    <w:p>
      <w:pPr>
        <w:jc w:val="both"/>
        <w:ind w:firstLine="648"/>
        <w:spacing w:after="0" w:line="25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Presentation of Potential Target Businesses</w:t>
      </w:r>
      <w:r>
        <w:rPr>
          <w:rFonts w:ascii="Arial" w:cs="Arial" w:eastAsia="Arial" w:hAnsi="Arial"/>
          <w:sz w:val="18"/>
          <w:szCs w:val="18"/>
          <w:color w:val="auto"/>
        </w:rPr>
        <w:t>. The Company shall cause the Company’s officers, directors and Initial Shareholders to agree that, in order to minimize potential conflicts of interest which may arise from multiple affiliations, the Company’s officers, directors and Initial Shareholders will present to the Company for its consideration, prior to presentation to any other person or company, any suitable opportunity to acquire an operating business, until the earlier of the consummation by the Company of a Business Combination or the liquidation of the Company, subject to any pre-existing fiduciary obligations the Initial Shareholders might have.</w:t>
      </w:r>
    </w:p>
    <w:p>
      <w:pPr>
        <w:spacing w:after="0" w:line="184" w:lineRule="exact"/>
        <w:rPr>
          <w:sz w:val="20"/>
          <w:szCs w:val="20"/>
          <w:color w:val="auto"/>
        </w:rPr>
      </w:pPr>
    </w:p>
    <w:p>
      <w:pPr>
        <w:jc w:val="both"/>
        <w:ind w:firstLine="8"/>
        <w:spacing w:after="0" w:line="292" w:lineRule="auto"/>
        <w:tabs>
          <w:tab w:leader="none" w:pos="1309"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Representations and Agreements to Survive Delivery</w:t>
      </w:r>
      <w:r>
        <w:rPr>
          <w:rFonts w:ascii="Arial" w:cs="Arial" w:eastAsia="Arial" w:hAnsi="Arial"/>
          <w:sz w:val="16"/>
          <w:szCs w:val="16"/>
          <w:color w:val="auto"/>
        </w:rPr>
        <w:t>. Except as the context otherwise requires, all representations, warranties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agreements contained in this Agreement shall be deemed to be representations, warranties and agreements at the Closing Date or the Option Closing Date, if any, and such representations, warranties and agreements of the Underwriters and the Company, including the indemnity agreements contained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shall remain operative and in full force and effect regardless of any investigation made by or on behalf of any Underwriter, the Company or any Controlling Person, and shall survive termination of this Agreement or the issuance and delivery of the Units to the several Underwriters until the earlier of the expiration of any applicable statute of limitations and the seventh anniversary of the later of the Closing Date or the Option Closing Date, if any, at which time the representations, warranties and agreements shall terminate and be of no further force and effect.</w:t>
      </w:r>
    </w:p>
    <w:p>
      <w:pPr>
        <w:spacing w:after="0" w:line="161" w:lineRule="exact"/>
        <w:rPr>
          <w:rFonts w:ascii="Arial" w:cs="Arial" w:eastAsia="Arial" w:hAnsi="Arial"/>
          <w:sz w:val="16"/>
          <w:szCs w:val="16"/>
          <w:b w:val="1"/>
          <w:bCs w:val="1"/>
          <w:color w:val="auto"/>
        </w:rPr>
      </w:pPr>
    </w:p>
    <w:p>
      <w:pPr>
        <w:ind w:left="960" w:hanging="952"/>
        <w:spacing w:after="0"/>
        <w:tabs>
          <w:tab w:leader="none" w:pos="9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of This Agreement and Termination Thereof</w:t>
      </w:r>
      <w:r>
        <w:rPr>
          <w:rFonts w:ascii="Arial" w:cs="Arial" w:eastAsia="Arial" w:hAnsi="Arial"/>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jc w:val="right"/>
              <w:ind w:right="7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7"/>
                <w:szCs w:val="17"/>
                <w:color w:val="auto"/>
              </w:rPr>
            </w:pPr>
          </w:p>
        </w:tc>
        <w:tc>
          <w:tcPr>
            <w:tcW w:w="9460" w:type="dxa"/>
            <w:vAlign w:val="bottom"/>
            <w:gridSpan w:val="3"/>
          </w:tcPr>
          <w:p>
            <w:pPr>
              <w:jc w:val="right"/>
              <w:spacing w:after="0"/>
              <w:rPr>
                <w:sz w:val="20"/>
                <w:szCs w:val="20"/>
                <w:color w:val="auto"/>
              </w:rPr>
            </w:pPr>
            <w:r>
              <w:rPr>
                <w:rFonts w:ascii="Arial" w:cs="Arial" w:eastAsia="Arial" w:hAnsi="Arial"/>
                <w:sz w:val="18"/>
                <w:szCs w:val="18"/>
                <w:color w:val="auto"/>
                <w:w w:val="94"/>
              </w:rPr>
              <w:t>Effective Date. This Agreement shall become effective on the Effective Date at the time the Registration Statement is declared</w:t>
            </w:r>
          </w:p>
        </w:tc>
      </w:tr>
      <w:tr>
        <w:trPr>
          <w:trHeight w:val="20"/>
        </w:trPr>
        <w:tc>
          <w:tcPr>
            <w:tcW w:w="178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r>
      <w:tr>
        <w:trPr>
          <w:trHeight w:val="237"/>
        </w:trPr>
        <w:tc>
          <w:tcPr>
            <w:tcW w:w="11240" w:type="dxa"/>
            <w:vAlign w:val="bottom"/>
            <w:gridSpan w:val="5"/>
          </w:tcPr>
          <w:p>
            <w:pPr>
              <w:jc w:val="right"/>
              <w:ind w:right="9120"/>
              <w:spacing w:after="0"/>
              <w:rPr>
                <w:sz w:val="20"/>
                <w:szCs w:val="20"/>
                <w:color w:val="auto"/>
              </w:rPr>
            </w:pPr>
            <w:r>
              <w:rPr>
                <w:rFonts w:ascii="Arial" w:cs="Arial" w:eastAsia="Arial" w:hAnsi="Arial"/>
                <w:sz w:val="18"/>
                <w:szCs w:val="18"/>
                <w:color w:val="auto"/>
                <w:w w:val="91"/>
              </w:rPr>
              <w:t>effective by the Commission.</w:t>
            </w:r>
          </w:p>
        </w:tc>
      </w:tr>
      <w:tr>
        <w:trPr>
          <w:trHeight w:val="392"/>
        </w:trPr>
        <w:tc>
          <w:tcPr>
            <w:tcW w:w="1680" w:type="dxa"/>
            <w:vAlign w:val="bottom"/>
          </w:tcPr>
          <w:p>
            <w:pPr>
              <w:jc w:val="right"/>
              <w:ind w:right="710"/>
              <w:spacing w:after="0"/>
              <w:rPr>
                <w:sz w:val="20"/>
                <w:szCs w:val="20"/>
                <w:color w:val="auto"/>
              </w:rPr>
            </w:pPr>
            <w:r>
              <w:rPr>
                <w:rFonts w:ascii="Arial" w:cs="Arial" w:eastAsia="Arial" w:hAnsi="Arial"/>
                <w:sz w:val="18"/>
                <w:szCs w:val="18"/>
                <w:color w:val="auto"/>
              </w:rPr>
              <w:t>9.2</w:t>
            </w:r>
          </w:p>
        </w:tc>
        <w:tc>
          <w:tcPr>
            <w:tcW w:w="9560" w:type="dxa"/>
            <w:vAlign w:val="bottom"/>
            <w:gridSpan w:val="4"/>
          </w:tcPr>
          <w:p>
            <w:pPr>
              <w:jc w:val="right"/>
              <w:spacing w:after="0"/>
              <w:rPr>
                <w:sz w:val="20"/>
                <w:szCs w:val="20"/>
                <w:color w:val="auto"/>
              </w:rPr>
            </w:pPr>
            <w:r>
              <w:rPr>
                <w:rFonts w:ascii="Arial" w:cs="Arial" w:eastAsia="Arial" w:hAnsi="Arial"/>
                <w:sz w:val="18"/>
                <w:szCs w:val="18"/>
                <w:color w:val="auto"/>
                <w:w w:val="94"/>
              </w:rPr>
              <w:t>Termination. The Representative shall have the right to terminate this Agreement at any time prior to any Closing Date: (i) if any</w:t>
            </w:r>
          </w:p>
        </w:tc>
      </w:tr>
      <w:tr>
        <w:trPr>
          <w:trHeight w:val="20"/>
        </w:trPr>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domestic or international event or act or occurrence has materially disrupted, or in the Representative’s opinion will in the immediate future materially disrupt, general securities markets in the United States; or (ii) if trading on the New York Stock Exchange, the NYSE American, the Nasdaq Stock Market or on the OTC Bulletin Board (or successor trading market) shall have been suspended, or minimum or maximum prices for trading shall have been fixed, or maximum ranges for prices for securities shall have been fixed, or maximum ranges for prices for securities shall have been required on the OTC Bulletin Board or by order of the Commission or any other government authority having jurisdiction; or (iii) if the United States shall have become involved in a war or an initiation or increase in major hostilities, or (iv) if a banking moratorium has been declared by a New York State or federal authority, or (v) if a moratorium on foreign exchange trading has been declared which materially adversely impacts the United States securities markets; or</w:t>
      </w:r>
    </w:p>
    <w:p>
      <w:pPr>
        <w:spacing w:after="0" w:line="2" w:lineRule="exact"/>
        <w:rPr>
          <w:sz w:val="20"/>
          <w:szCs w:val="20"/>
          <w:color w:val="auto"/>
        </w:rPr>
      </w:pPr>
    </w:p>
    <w:p>
      <w:pPr>
        <w:jc w:val="both"/>
        <w:ind w:firstLine="8"/>
        <w:spacing w:after="0" w:line="290" w:lineRule="auto"/>
        <w:tabs>
          <w:tab w:leader="none" w:pos="31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the Company shall have sustained a material loss by fire, flood, accident, hurricane, earthquake, theft, sabotage or other calamity or malicious act which, whether or not such loss shall have been insured, will, in the Representative’s opinion, make it inadvisable to proceed with the delivery of the Units; or (vii) if any of the Company’s representations, warranties or covenants hereunder are breached; or (viii) if the Representative shall have become aware after the date hereof of such a material adverse change in the conditions or prospects of the Company, or such material adverse change in general market conditions, including, without limitation, as a result of terrorist activities after the date hereof, as in the Representative’s judgment would make it impracticable to proceed with the offering, sale and/or delivery of the Units or to enforce contracts made by the Underwriters for the sale of the Units.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0" w:name="page221"/>
    <w:bookmarkEnd w:id="220"/>
    <w:p>
      <w:pPr>
        <w:jc w:val="both"/>
        <w:ind w:firstLine="648"/>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In the event this Agreement shall not be carried out for any reason whatsoever, except as a result of the Representative’s or any Underwriters’ breach or default with respect to any of its material obligations pursuant to this Agreement, within the time specified herein or any extensions thereof pursuant to the terms herein, the obligations of the Company to pay the out-of-pocket expenses actually incurred by the Representative related to the transactions contemplated herein shall be governed by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hereof.</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Notwithstanding any contrary provision contained in this Agreement, any election hereunder or any termination of this Agreement, and whether or not this Agreement is otherwise carried out, the provisions of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not be in any way affected by such election or termination or failure to carry out the terms of this Agreement or any part hereof.</w:t>
      </w:r>
    </w:p>
    <w:p>
      <w:pPr>
        <w:spacing w:after="0" w:line="180" w:lineRule="exact"/>
        <w:rPr>
          <w:sz w:val="20"/>
          <w:szCs w:val="20"/>
          <w:color w:val="auto"/>
        </w:rPr>
      </w:pPr>
    </w:p>
    <w:p>
      <w:pPr>
        <w:ind w:left="860" w:hanging="852"/>
        <w:spacing w:after="0"/>
        <w:tabs>
          <w:tab w:leader="none" w:pos="8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hereunder, except as herein otherwise specifically provided, shall be in writing and shall be mailed, delivered by hand or reputable overnight courier or delivered by facsimile transmission (with printed confirmation of receipt) and confirmed, or by electronic transmission via PDF, and shall be deemed given when so mailed, delivered, or faxed or transmitted (or if mailed, three days after such mailing):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If to the Representative: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State Street, Suite 2100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George Kaufman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gkaufman@chardan.com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(646) 465-9036</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color w:val="auto"/>
        </w:rPr>
        <w:t>Copy to (which copy shall not be deemed to constitute notice to the Representative):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Greenberg Traurig,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1750 Tysons Boulevard, Suite 1000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McLean, Virginia 22102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Jason Simon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simonj@gtlaw.com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(703) 714-8386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Chardan NexTech Acquisition 2 Corp.</w:t>
      </w:r>
    </w:p>
    <w:p>
      <w:pPr>
        <w:ind w:left="660"/>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Jonas Grossman,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jgrossman@chardancm.com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Copy to (which copy shall not be deemed to constitute notice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Ari Edelman,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aedelman@reedsmith.com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(212) 521-5450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QIU:</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the sole purpose of convenience of reference, and shall not in any way limit or affect the meaning or interpretation of any of the terms or provisions of this Agreement.</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only be amended by a written instrument executed by each of the parties hereto.</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other agreements and documents being delivered pursuant to or in connection with this Agreement) constitute the entire agreement of the parties hereto with respect to the subject matter hereof and thereof, and supersede all prior agreements and understandings of the parties, oral and written, with respect to the subject matter hereof.</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Binding Effect</w:t>
      </w:r>
      <w:r>
        <w:rPr>
          <w:rFonts w:ascii="Arial" w:cs="Arial" w:eastAsia="Arial" w:hAnsi="Arial"/>
          <w:sz w:val="18"/>
          <w:szCs w:val="18"/>
          <w:color w:val="auto"/>
        </w:rPr>
        <w:t xml:space="preserve">. This Agreement shall inure solely to the benefit of and shall be binding upon the Representative, the Underwriters, the QIU, the Company and the Controlling Persons, directors and officers referred to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 and their respective successors, legal representatives and assigns, and no other person shall have or be construed to have any legal or equitable right, remedy or claim under or in respect of or by virtue of this Agreement or any provisions herein contained.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2" w:name="page223"/>
    <w:bookmarkEnd w:id="222"/>
    <w:p>
      <w:pPr>
        <w:ind w:left="660"/>
        <w:spacing w:after="0"/>
        <w:tabs>
          <w:tab w:leader="none" w:pos="14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Governing Law, Venue, Etc</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10.6.1 This Agreement shall be governed by and construed and enforced in accordance with the laws of the State of New York, without giving effect to the conflict of laws principles thereof. Each of the Representative and the Company (and any individual signatory hereto): (i) agrees that any legal suit, action or proceeding arising out of or relating to this Agreement and/or the transactions contemplated hereby shall be instituted exclusively in New York Supreme Court, County of New York, or in the United States District Court for the Southern District of New York; (ii) waives any objection which such party may have or hereafter have to the venue of any such suit, action or proceeding; and (iii) irrevocably and exclusively consents to the jurisdiction of the New York Supreme Court, County of New York, and the United States District Court for the Southern District of New York in any such suit, action or proceeding.</w:t>
      </w:r>
    </w:p>
    <w:p>
      <w:pPr>
        <w:spacing w:after="0" w:line="195"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10.6.2 Each of the Representative and the Company (and any individual signatory hereto)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or any such individual mailed by certified mail to the Company’s address shall be deemed in every respect effective service of process upon the Company or any such individual in any such suit, action or proceeding, and service of process upon the Representative mailed by certified mail to the Representative’s addresses shall be deemed in every respect effective service process upon the Representative, in any such suit, action or proceeding.</w:t>
      </w:r>
    </w:p>
    <w:p>
      <w:pPr>
        <w:spacing w:after="0" w:line="16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10.6.3 THE COMPANY (ON BEHALF OF ITSELF AND, TO THE FULLEST EXTENT PERMITTED BY LAW, ON BEHALF OF ITS EQUITY HOLDERS AND CREDITORS) HEREBY WAIVES ANY RIGHT TO A TRIAL BY JURY IN RESPECT OF ANY CLAIM BASED UPON, ARISING OUT OF OR IN CONNECTION WITH THIS AGREEMENT AND THE TRANSACTIONS CONTEMPLATED BY THIS AGREEMENT, THE REGISTRATION STATEMENT AND THE PROSPECTUS.</w:t>
      </w:r>
    </w:p>
    <w:p>
      <w:pPr>
        <w:spacing w:after="0" w:line="187"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10.6.4 The Company agrees that the prevailing party(ies) in any such action shall be entitled to recover from the other party(ies) all of its reasonable attorneys’ fees and expenses relating to such action or proceeding and/or incurred in connection with the preparation therefor.</w:t>
      </w:r>
    </w:p>
    <w:p>
      <w:pPr>
        <w:spacing w:after="0" w:line="14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Execution in Counterparts</w:t>
      </w:r>
      <w:r>
        <w:rPr>
          <w:rFonts w:ascii="Arial" w:cs="Arial" w:eastAsia="Arial" w:hAnsi="Arial"/>
          <w:sz w:val="17"/>
          <w:szCs w:val="17"/>
          <w:color w:val="auto"/>
        </w:rPr>
        <w:t>. This Agreement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Delivery of a signed counterpart of this Agreement by fax or email/.pdf transmission shall constitute valid and sufficient delivery thereof.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3" w:name="page224"/>
    <w:bookmarkEnd w:id="223"/>
    <w:p>
      <w:pPr>
        <w:jc w:val="both"/>
        <w:ind w:firstLine="648"/>
        <w:spacing w:after="0" w:line="255"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Waiver, Etc</w:t>
      </w:r>
      <w:r>
        <w:rPr>
          <w:rFonts w:ascii="Arial" w:cs="Arial" w:eastAsia="Arial" w:hAnsi="Arial"/>
          <w:sz w:val="18"/>
          <w:szCs w:val="18"/>
          <w:color w:val="auto"/>
        </w:rPr>
        <w:t>. The failure of any of the parties hereto to at any time enforce any of the provisions of this Agreement shall not be deemed or construed to be a waiver of any such provision, nor to in any way effect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No Fiduciary Relationship</w:t>
      </w:r>
      <w:r>
        <w:rPr>
          <w:rFonts w:ascii="Arial" w:cs="Arial" w:eastAsia="Arial" w:hAnsi="Arial"/>
          <w:sz w:val="16"/>
          <w:szCs w:val="16"/>
          <w:color w:val="auto"/>
        </w:rPr>
        <w:t>. The Company hereby acknowledges that the Underwriters are acting solely as underwriters, and the QIU is acting solely as a “qualified independent underwriter” within the meaning of FINRA Rule 5121, in connection with the Offering. The Company further acknowledges that the Underwriters and the QIU are acting pursuant to a contractual relationship created solely by this Agreement entered into on an arm’s length basis and in no event do the parties intend that the Underwriters or the QIU act or be responsible as a fiduciary to the Company, its management, stockholders, creditors or any other person in connection with any activity that the Underwriters or the QIU may undertake or have undertaken in furtherance of the Offering, either before or after the date hereof. The Underwriters and the QIU hereby expressly disclaim any fiduciary or similar obligations to the Company, either in connection with the transactions contemplated by this Agreement or any matters leading up to such transactions, and the Company hereby confirms its understanding and agreement to that effect. The Company, the Underwriters and the QIU agree that they are each responsible for making their own independent judgments with respect to any such transactions, and that any opinions or views expressed by the Underwriters or the QIU to the Company regarding such transactions, including but not limited to any opinions or views with respect to the price or market for the Company’s securities, do not constitute advice or recommendations to the Company. The Company hereby waives and releases, to the fullest extent permitted by law, any claims that the Company may have against the Underwriters or the QIU with respect to any breach or alleged breach of any fiduciary or similar duty to the Company in connection with the transactions contemplated by this Agreement or any matters leading up to such transactions.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4" w:name="page225"/>
    <w:bookmarkEnd w:id="224"/>
    <w:p>
      <w:pPr>
        <w:spacing w:after="0" w:line="277" w:lineRule="auto"/>
        <w:rPr>
          <w:sz w:val="20"/>
          <w:szCs w:val="20"/>
          <w:color w:val="auto"/>
        </w:rPr>
      </w:pPr>
      <w:r>
        <w:rPr>
          <w:rFonts w:ascii="Arial" w:cs="Arial" w:eastAsia="Arial" w:hAnsi="Arial"/>
          <w:sz w:val="18"/>
          <w:szCs w:val="18"/>
          <w:color w:val="auto"/>
        </w:rPr>
        <w:t>If the foregoing correctly sets forth the understanding among the Underwriters, the QIU and the Company, please so indicate in the space provided below for that purpose, whereupon this letter shall constitute a binding agreement between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on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Qualified Independent Underwriter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of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t>SCHEDULE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Number of Firm</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Units to be</w:t>
      </w:r>
    </w:p>
    <w:p>
      <w:pPr>
        <w:spacing w:after="0" w:line="9" w:lineRule="exact"/>
        <w:rPr>
          <w:sz w:val="20"/>
          <w:szCs w:val="20"/>
          <w:color w:val="auto"/>
        </w:rPr>
      </w:pPr>
    </w:p>
    <w:p>
      <w:pPr>
        <w:spacing w:after="0"/>
        <w:tabs>
          <w:tab w:leader="none" w:pos="10120" w:val="left"/>
        </w:tabs>
        <w:rPr>
          <w:sz w:val="20"/>
          <w:szCs w:val="20"/>
          <w:color w:val="auto"/>
        </w:rPr>
      </w:pPr>
      <w:r>
        <w:rPr>
          <w:rFonts w:ascii="Arial" w:cs="Arial" w:eastAsia="Arial" w:hAnsi="Arial"/>
          <w:sz w:val="18"/>
          <w:szCs w:val="18"/>
          <w:color w:val="auto"/>
        </w:rPr>
        <w:t>Underwriter</w:t>
      </w:r>
      <w:r>
        <w:rPr>
          <w:sz w:val="20"/>
          <w:szCs w:val="20"/>
          <w:color w:val="auto"/>
        </w:rPr>
        <w:tab/>
      </w:r>
      <w:r>
        <w:rPr>
          <w:rFonts w:ascii="Arial" w:cs="Arial" w:eastAsia="Arial" w:hAnsi="Arial"/>
          <w:sz w:val="18"/>
          <w:szCs w:val="18"/>
          <w:color w:val="auto"/>
        </w:rPr>
        <w:t>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Chardan Capital Markets, LLC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10,000,000</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Target Business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Jonas Grossman,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 is made to the Final Prospectus of Chardan NexTech Acquisition 2 Corp. (the “Company”), dated [●], 2021 (the “Prospectus”). Capitalized terms used and not otherwise defined herein shall have the meanings assigned to them in the Prospectus.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read the Prospectus and understand that the Company has established a “trust account”, initially in an amount of at least $</w:t>
      </w:r>
      <w:r>
        <w:rPr>
          <w:rFonts w:ascii="Arial" w:cs="Arial" w:eastAsia="Arial" w:hAnsi="Arial"/>
          <w:sz w:val="18"/>
          <w:szCs w:val="18"/>
          <w:u w:val="single" w:color="auto"/>
          <w:color w:val="auto"/>
        </w:rPr>
        <w:t>101,000,000</w:t>
      </w:r>
      <w:r>
        <w:rPr>
          <w:rFonts w:ascii="Arial" w:cs="Arial" w:eastAsia="Arial" w:hAnsi="Arial"/>
          <w:sz w:val="18"/>
          <w:szCs w:val="18"/>
          <w:color w:val="auto"/>
        </w:rPr>
        <w:t xml:space="preserve"> for the benefit of the “public shareholders” and the underwriters of the Company’s initial public offering (the “Underwriters”) and that, except for interest earned on the trust account that may be released to the Company to pay any taxes it incurs, proceeds in the trust account will not be released until (a) the consummation of a Business Combination, or (b) the dissolution and liquidation of the Company if it is unable to consummate a Business Combination within the allotted time.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and in consideration of the Company agreeing to evaluate the undersigned for purposes of consummating a business combination or other form of acquisition with it, the undersigned hereby agrees that it does not have any right, title, interest or claim of any kind in or to any monies in the trust account (the “Claim”) and hereby waives any Claim it may have in the future as a result of, or arising out of, any negotiations, contracts or agreements with the Company and will not seek recourse against the trust account for any reason whatsoever.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Print Name of Target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 of Target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Vendor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Jonas Grossman,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 is made to the Final Prospectus of Chardan NexTech Acquisition 2 Corp. (the “Company”), dated [●], 2021 (the “Prospectus”). Capitalized terms used and not otherwise defined herein shall have the meanings assigned to them in the Prospectus.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read the Prospectus and understand that the Company has established a “trust account”, initially in an amount of at least $101,000,000 for the benefit of the “public shareholders” and the underwriters of the Company’s initial public offering (the “Underwriters”) and that, except for interest earned on the trust account that may be released to the Company to pay any taxes it incurs, proceeds in the trust account will not be released until (a) the consummation of a Business Combination, or (b) the dissolution and liquidation of the Company if it is unable to consummate a Business Combination within the allotted time.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and in consideration of the Company agreeing to use the products or services of the undersigned, the undersigned hereby agrees that it does not have any right, title, interest or claim of any kind in or to any monies in the trust account (the “Claim”) and hereby waives any Claim it may have in the future as a result of, or arising out of, any negotiations, contracts or agreements with the Company and will not seek recourse against the trust account for any reason whatsoever.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Print Name of Vendor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 of Vendor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AGREEMENT</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This Warrant Agreement (“</w:t>
      </w:r>
      <w:r>
        <w:rPr>
          <w:rFonts w:ascii="Arial" w:cs="Arial" w:eastAsia="Arial" w:hAnsi="Arial"/>
          <w:sz w:val="18"/>
          <w:szCs w:val="18"/>
          <w:b w:val="1"/>
          <w:bCs w:val="1"/>
          <w:color w:val="auto"/>
        </w:rPr>
        <w:t>Warrant Agreement</w:t>
      </w:r>
      <w:r>
        <w:rPr>
          <w:rFonts w:ascii="Arial" w:cs="Arial" w:eastAsia="Arial" w:hAnsi="Arial"/>
          <w:sz w:val="18"/>
          <w:szCs w:val="18"/>
          <w:color w:val="auto"/>
        </w:rPr>
        <w:t>”) is made as of [●], 2021, by and between Chardan NexTech Acquisition 2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Continental Stock Transfer &amp; Trust Company (the “</w:t>
      </w:r>
      <w:r>
        <w:rPr>
          <w:rFonts w:ascii="Arial" w:cs="Arial" w:eastAsia="Arial" w:hAnsi="Arial"/>
          <w:sz w:val="18"/>
          <w:szCs w:val="18"/>
          <w:b w:val="1"/>
          <w:bCs w:val="1"/>
          <w:color w:val="auto"/>
        </w:rPr>
        <w:t>Warrant Agent</w:t>
      </w:r>
      <w:r>
        <w:rPr>
          <w:rFonts w:ascii="Arial" w:cs="Arial" w:eastAsia="Arial" w:hAnsi="Arial"/>
          <w:sz w:val="18"/>
          <w:szCs w:val="18"/>
          <w:color w:val="auto"/>
        </w:rPr>
        <w:t>”).</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WHEREAS, the Company is engaged in a public offering (the “</w:t>
      </w:r>
      <w:r>
        <w:rPr>
          <w:rFonts w:ascii="Arial" w:cs="Arial" w:eastAsia="Arial" w:hAnsi="Arial"/>
          <w:sz w:val="18"/>
          <w:szCs w:val="18"/>
          <w:b w:val="1"/>
          <w:bCs w:val="1"/>
          <w:color w:val="auto"/>
        </w:rPr>
        <w:t>Public Offering</w:t>
      </w:r>
      <w:r>
        <w:rPr>
          <w:rFonts w:ascii="Arial" w:cs="Arial" w:eastAsia="Arial" w:hAnsi="Arial"/>
          <w:sz w:val="18"/>
          <w:szCs w:val="18"/>
          <w:color w:val="auto"/>
        </w:rPr>
        <w:t>”) of 10,000,000 units (the “</w:t>
      </w:r>
      <w:r>
        <w:rPr>
          <w:rFonts w:ascii="Arial" w:cs="Arial" w:eastAsia="Arial" w:hAnsi="Arial"/>
          <w:sz w:val="18"/>
          <w:szCs w:val="18"/>
          <w:b w:val="1"/>
          <w:bCs w:val="1"/>
          <w:color w:val="auto"/>
        </w:rPr>
        <w:t>Units</w:t>
      </w:r>
      <w:r>
        <w:rPr>
          <w:rFonts w:ascii="Arial" w:cs="Arial" w:eastAsia="Arial" w:hAnsi="Arial"/>
          <w:sz w:val="18"/>
          <w:szCs w:val="18"/>
          <w:color w:val="auto"/>
        </w:rPr>
        <w:t>”) of the Company (and up to 1,500,000 additional Units if the underwriters’ over-allotment option is exercised in full), each Unit consisting of one share of common stock, par value $0.0001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and one-half of one warrant (each whole warrant a “</w:t>
      </w:r>
      <w:r>
        <w:rPr>
          <w:rFonts w:ascii="Arial" w:cs="Arial" w:eastAsia="Arial" w:hAnsi="Arial"/>
          <w:sz w:val="18"/>
          <w:szCs w:val="18"/>
          <w:b w:val="1"/>
          <w:bCs w:val="1"/>
          <w:color w:val="auto"/>
        </w:rPr>
        <w:t>Public Warrant</w:t>
      </w:r>
      <w:r>
        <w:rPr>
          <w:rFonts w:ascii="Arial" w:cs="Arial" w:eastAsia="Arial" w:hAnsi="Arial"/>
          <w:sz w:val="18"/>
          <w:szCs w:val="18"/>
          <w:color w:val="auto"/>
        </w:rPr>
        <w:t>”), each Public Warrant entitling its holder to purchase one share of Common Stock (the “</w:t>
      </w:r>
      <w:r>
        <w:rPr>
          <w:rFonts w:ascii="Arial" w:cs="Arial" w:eastAsia="Arial" w:hAnsi="Arial"/>
          <w:sz w:val="18"/>
          <w:szCs w:val="18"/>
          <w:b w:val="1"/>
          <w:bCs w:val="1"/>
          <w:color w:val="auto"/>
        </w:rPr>
        <w:t>Public Warrant Shares</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WHEREAS, the Company has received a binding commitment from Chardan NexTech 2 Warrant Holdings LLC, to purchase 4,200,000 private placement warrants (or up to 4,385,185 private warrants depending on the extent to which the underwriters’ over-allotment option is exercised) pursuant the Subscription Agreement, dated as of [●], 2021, and in connection therewith, will issue and deliver up to 4,200,000 private placement warrants (or up to 4,385,185 private warrants depending on the extent to which the underwriters’ over-allotment option is exercised) (the “</w:t>
      </w:r>
      <w:r>
        <w:rPr>
          <w:rFonts w:ascii="Arial" w:cs="Arial" w:eastAsia="Arial" w:hAnsi="Arial"/>
          <w:sz w:val="16"/>
          <w:szCs w:val="16"/>
          <w:b w:val="1"/>
          <w:bCs w:val="1"/>
          <w:color w:val="auto"/>
        </w:rPr>
        <w:t>Private Warrants</w:t>
      </w:r>
      <w:r>
        <w:rPr>
          <w:rFonts w:ascii="Arial" w:cs="Arial" w:eastAsia="Arial" w:hAnsi="Arial"/>
          <w:sz w:val="16"/>
          <w:szCs w:val="16"/>
          <w:color w:val="auto"/>
        </w:rPr>
        <w:t>”), each whole Private Warrant entitling its holder to purchase one share of Common Stock (together with the Public Warrant Shares, the “</w:t>
      </w:r>
      <w:r>
        <w:rPr>
          <w:rFonts w:ascii="Arial" w:cs="Arial" w:eastAsia="Arial" w:hAnsi="Arial"/>
          <w:sz w:val="16"/>
          <w:szCs w:val="16"/>
          <w:b w:val="1"/>
          <w:bCs w:val="1"/>
          <w:color w:val="auto"/>
        </w:rPr>
        <w:t>Warrant Shares</w:t>
      </w:r>
      <w:r>
        <w:rPr>
          <w:rFonts w:ascii="Arial" w:cs="Arial" w:eastAsia="Arial" w:hAnsi="Arial"/>
          <w:sz w:val="16"/>
          <w:szCs w:val="16"/>
          <w:color w:val="auto"/>
        </w:rPr>
        <w:t>”);</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WHEREAS, the Company may issue additional warrants to purchase shares of Common Stock hereunder from time to time (the “</w:t>
      </w:r>
      <w:r>
        <w:rPr>
          <w:rFonts w:ascii="Arial" w:cs="Arial" w:eastAsia="Arial" w:hAnsi="Arial"/>
          <w:sz w:val="18"/>
          <w:szCs w:val="18"/>
          <w:b w:val="1"/>
          <w:bCs w:val="1"/>
          <w:color w:val="auto"/>
        </w:rPr>
        <w:t>Additional</w:t>
      </w:r>
      <w:r>
        <w:rPr>
          <w:rFonts w:ascii="Arial" w:cs="Arial" w:eastAsia="Arial" w:hAnsi="Arial"/>
          <w:sz w:val="18"/>
          <w:szCs w:val="18"/>
          <w:color w:val="auto"/>
        </w:rPr>
        <w:t xml:space="preserve"> Warrants”, and together with the Public Warrants and Private Warrants, the “Warrants”), which shall have the same terms and be in the same form as the Private Warrants;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WHEREAS, the Company has filed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 Registration Statement on Form S-1, No. 333-254010, as amended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for the registration,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of, among other securities, the Public Warrants;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WHEREAS, the Company desires to provide for the form, terms and provisions of the Warrants, including the terms upon which they shall be issued and exercised, and the respective rights, limitation of rights and immunities of the Company, the Warrant Agent and the holders of the Warrants; and</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legally valid and binding obligations of the Company, and to authorize the execution and delivery of this Warrant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firstLine="8"/>
        <w:spacing w:after="0" w:line="342" w:lineRule="auto"/>
        <w:tabs>
          <w:tab w:leader="none" w:pos="193"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Appointment of Warrant Agent</w:t>
      </w:r>
      <w:r>
        <w:rPr>
          <w:rFonts w:ascii="Arial" w:cs="Arial" w:eastAsia="Arial" w:hAnsi="Arial"/>
          <w:sz w:val="16"/>
          <w:szCs w:val="16"/>
          <w:color w:val="auto"/>
        </w:rPr>
        <w:t>. The Company hereby appoints the Warrant Agent to act as agent for the Company for the Warrants, and the Warrant Agent hereby accepts such appointment and agrees to perform the same in accordance with the terms and conditions set forth in this Warrant Agreement.</w:t>
      </w:r>
    </w:p>
    <w:p>
      <w:pPr>
        <w:spacing w:after="0" w:line="123" w:lineRule="exact"/>
        <w:rPr>
          <w:rFonts w:ascii="Arial" w:cs="Arial" w:eastAsia="Arial" w:hAnsi="Arial"/>
          <w:sz w:val="16"/>
          <w:szCs w:val="16"/>
          <w:color w:val="auto"/>
        </w:rPr>
      </w:pPr>
    </w:p>
    <w:p>
      <w:pPr>
        <w:ind w:left="180" w:hanging="172"/>
        <w:spacing w:after="0"/>
        <w:tabs>
          <w:tab w:leader="none" w:pos="18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 of Warrant</w:t>
      </w:r>
      <w:r>
        <w:rPr>
          <w:rFonts w:ascii="Arial" w:cs="Arial" w:eastAsia="Arial" w:hAnsi="Arial"/>
          <w:sz w:val="18"/>
          <w:szCs w:val="18"/>
          <w:color w:val="auto"/>
        </w:rPr>
        <w:t xml:space="preserve">. Each Public Warrant shall be: (a) issued in registered form only, (b) in substantially the form of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the provisions of which are incorporated herein and (c) signed by, or bear the facsimile signature of, the Chairman of the Board, the Chief Executive Officer or the Chief Financial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9" w:name="page230"/>
    <w:bookmarkEnd w:id="229"/>
    <w:p>
      <w:pPr>
        <w:jc w:val="both"/>
        <w:ind w:right="2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Unless and until countersigned by the Warrant Agent pursuant to this Warrant Agreement, a Warrant shall be invalid and of no effect and may not be exercised by the holder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1" w:lineRule="exact"/>
        <w:rPr>
          <w:sz w:val="20"/>
          <w:szCs w:val="20"/>
          <w:color w:val="auto"/>
        </w:rPr>
      </w:pPr>
    </w:p>
    <w:p>
      <w:pPr>
        <w:jc w:val="both"/>
        <w:ind w:firstLine="1296"/>
        <w:spacing w:after="0" w:line="31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Warrant Register</w:t>
      </w:r>
      <w:r>
        <w:rPr>
          <w:rFonts w:ascii="Arial" w:cs="Arial" w:eastAsia="Arial" w:hAnsi="Arial"/>
          <w:sz w:val="16"/>
          <w:szCs w:val="16"/>
          <w:color w:val="auto"/>
        </w:rPr>
        <w:t>. The Warrant Agent shall maintain books (the “</w:t>
      </w:r>
      <w:r>
        <w:rPr>
          <w:rFonts w:ascii="Arial" w:cs="Arial" w:eastAsia="Arial" w:hAnsi="Arial"/>
          <w:sz w:val="16"/>
          <w:szCs w:val="16"/>
          <w:b w:val="1"/>
          <w:bCs w:val="1"/>
          <w:color w:val="auto"/>
        </w:rPr>
        <w:t>Warrant Register</w:t>
      </w:r>
      <w:r>
        <w:rPr>
          <w:rFonts w:ascii="Arial" w:cs="Arial" w:eastAsia="Arial" w:hAnsi="Arial"/>
          <w:sz w:val="16"/>
          <w:szCs w:val="16"/>
          <w:color w:val="auto"/>
        </w:rPr>
        <w:t>”), for the registration of the original issuance and transfers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14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shall be registered upon the Warrant Register (“</w:t>
      </w:r>
      <w:r>
        <w:rPr>
          <w:rFonts w:ascii="Arial" w:cs="Arial" w:eastAsia="Arial" w:hAnsi="Arial"/>
          <w:sz w:val="18"/>
          <w:szCs w:val="18"/>
          <w:b w:val="1"/>
          <w:bCs w:val="1"/>
          <w:color w:val="auto"/>
        </w:rPr>
        <w:t>Registered Holder</w:t>
      </w:r>
      <w:r>
        <w:rPr>
          <w:rFonts w:ascii="Arial" w:cs="Arial" w:eastAsia="Arial" w:hAnsi="Arial"/>
          <w:sz w:val="18"/>
          <w:szCs w:val="18"/>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Detachability of Warrants</w:t>
      </w:r>
      <w:r>
        <w:rPr>
          <w:rFonts w:ascii="Arial" w:cs="Arial" w:eastAsia="Arial" w:hAnsi="Arial"/>
          <w:sz w:val="16"/>
          <w:szCs w:val="16"/>
          <w:color w:val="auto"/>
        </w:rPr>
        <w:t>. Each of the Common Stock and the Public Warrants comprising the Units will begin to trade separately on (i) the 90th day after the effectiveness of the Registration Statement, or (ii) such earlier date as Chardan Capital Markets, LLC, as representative of the underwriters (the “</w:t>
      </w:r>
      <w:r>
        <w:rPr>
          <w:rFonts w:ascii="Arial" w:cs="Arial" w:eastAsia="Arial" w:hAnsi="Arial"/>
          <w:sz w:val="16"/>
          <w:szCs w:val="16"/>
          <w:b w:val="1"/>
          <w:bCs w:val="1"/>
          <w:color w:val="auto"/>
        </w:rPr>
        <w:t>Representative</w:t>
      </w:r>
      <w:r>
        <w:rPr>
          <w:rFonts w:ascii="Arial" w:cs="Arial" w:eastAsia="Arial" w:hAnsi="Arial"/>
          <w:sz w:val="16"/>
          <w:szCs w:val="16"/>
          <w:color w:val="auto"/>
        </w:rPr>
        <w:t>”), shall determine is acceptable (such date, the “</w:t>
      </w:r>
      <w:r>
        <w:rPr>
          <w:rFonts w:ascii="Arial" w:cs="Arial" w:eastAsia="Arial" w:hAnsi="Arial"/>
          <w:sz w:val="16"/>
          <w:szCs w:val="16"/>
          <w:b w:val="1"/>
          <w:bCs w:val="1"/>
          <w:color w:val="auto"/>
        </w:rPr>
        <w:t>Detachment Date</w:t>
      </w:r>
      <w:r>
        <w:rPr>
          <w:rFonts w:ascii="Arial" w:cs="Arial" w:eastAsia="Arial" w:hAnsi="Arial"/>
          <w:sz w:val="16"/>
          <w:szCs w:val="16"/>
          <w:color w:val="auto"/>
        </w:rPr>
        <w:t>”). In no event will separate trading of the securities comprising the Units commence until the Company (i) files a Current Report on Form 8-K with the SEC including audited balance sheet reflecting the Company’s receipt of the gross proceeds of the Public Offering and (ii) issues a press release announcing when such separate trading will begin.</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Private Warrants</w:t>
      </w:r>
      <w:r>
        <w:rPr>
          <w:rFonts w:ascii="Arial" w:cs="Arial" w:eastAsia="Arial" w:hAnsi="Arial"/>
          <w:sz w:val="16"/>
          <w:szCs w:val="16"/>
          <w:color w:val="auto"/>
        </w:rPr>
        <w:t xml:space="preserve">. The Private Warrants will be issued substantially in the form of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hereto, and they (i) will be exercisable either for cash or on a cashless basis at the holder’s option pursuant to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hereof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w:t>
      </w:r>
    </w:p>
    <w:p>
      <w:pPr>
        <w:spacing w:after="0" w:line="2" w:lineRule="exact"/>
        <w:rPr>
          <w:sz w:val="20"/>
          <w:szCs w:val="20"/>
          <w:color w:val="auto"/>
        </w:rPr>
      </w:pPr>
    </w:p>
    <w:p>
      <w:pPr>
        <w:ind w:right="20" w:firstLine="8"/>
        <w:spacing w:after="0" w:line="290" w:lineRule="auto"/>
        <w:tabs>
          <w:tab w:leader="none" w:pos="439" w:val="left"/>
        </w:tabs>
        <w:numPr>
          <w:ilvl w:val="0"/>
          <w:numId w:val="104"/>
        </w:numPr>
        <w:rPr>
          <w:rFonts w:ascii="Arial" w:cs="Arial" w:eastAsia="Arial" w:hAnsi="Arial"/>
          <w:sz w:val="17"/>
          <w:szCs w:val="17"/>
          <w:color w:val="auto"/>
        </w:rPr>
      </w:pPr>
      <w:r>
        <w:rPr>
          <w:rFonts w:ascii="Arial" w:cs="Arial" w:eastAsia="Arial" w:hAnsi="Arial"/>
          <w:sz w:val="17"/>
          <w:szCs w:val="17"/>
          <w:color w:val="auto"/>
        </w:rPr>
        <w:t>days following the effective date of the Registration Statement to anyone other than any member participating in the Public Offering and the officers or partners thereof, if all securities so transferred remain subject to the lock-up restriction set forth above for the remainder of the time period.</w:t>
      </w:r>
    </w:p>
    <w:p>
      <w:pPr>
        <w:spacing w:after="0" w:line="161" w:lineRule="exact"/>
        <w:rPr>
          <w:sz w:val="20"/>
          <w:szCs w:val="20"/>
          <w:color w:val="auto"/>
        </w:rPr>
      </w:pPr>
    </w:p>
    <w:p>
      <w:pPr>
        <w:ind w:left="180" w:hanging="172"/>
        <w:spacing w:after="0"/>
        <w:tabs>
          <w:tab w:leader="none" w:pos="18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Warrant Price</w:t>
      </w:r>
      <w:r>
        <w:rPr>
          <w:rFonts w:ascii="Arial" w:cs="Arial" w:eastAsia="Arial" w:hAnsi="Arial"/>
          <w:sz w:val="17"/>
          <w:szCs w:val="17"/>
          <w:color w:val="auto"/>
        </w:rPr>
        <w:t xml:space="preserve">. Each Warrant shall, when countersigned by the Warrant Agent, entitle the Registered Holder thereof, subject to the provisions of such Warrant and of this Warrant Agreement, to purchase from the Company the number of shares of Common Stock stated therein, at $11.50 per whole share, subject to the adjustments provided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The term “</w:t>
      </w:r>
      <w:r>
        <w:rPr>
          <w:rFonts w:ascii="Arial" w:cs="Arial" w:eastAsia="Arial" w:hAnsi="Arial"/>
          <w:sz w:val="17"/>
          <w:szCs w:val="17"/>
          <w:b w:val="1"/>
          <w:bCs w:val="1"/>
          <w:color w:val="auto"/>
        </w:rPr>
        <w:t>Warrant Price</w:t>
      </w:r>
      <w:r>
        <w:rPr>
          <w:rFonts w:ascii="Arial" w:cs="Arial" w:eastAsia="Arial" w:hAnsi="Arial"/>
          <w:sz w:val="17"/>
          <w:szCs w:val="17"/>
          <w:color w:val="auto"/>
        </w:rPr>
        <w:t>” as used in this Warrant Agreement refers to the price per whole share at which shares of Common Stock may be purchased at the time such Warrant is exercised. The Public Warrants may only be exercised for a whole number of Warrant Shares by a Registered Holder. No fractional shares will be issued.</w:t>
      </w:r>
    </w:p>
    <w:p>
      <w:pPr>
        <w:spacing w:after="0" w:line="17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Duration of Warrants</w:t>
      </w:r>
      <w:r>
        <w:rPr>
          <w:rFonts w:ascii="Arial" w:cs="Arial" w:eastAsia="Arial" w:hAnsi="Arial"/>
          <w:sz w:val="17"/>
          <w:szCs w:val="17"/>
          <w:color w:val="auto"/>
        </w:rPr>
        <w:t>. A Warrant may be exercised only during the period (“</w:t>
      </w:r>
      <w:r>
        <w:rPr>
          <w:rFonts w:ascii="Arial" w:cs="Arial" w:eastAsia="Arial" w:hAnsi="Arial"/>
          <w:sz w:val="17"/>
          <w:szCs w:val="17"/>
          <w:b w:val="1"/>
          <w:bCs w:val="1"/>
          <w:color w:val="auto"/>
        </w:rPr>
        <w:t>Exercise Period</w:t>
      </w:r>
      <w:r>
        <w:rPr>
          <w:rFonts w:ascii="Arial" w:cs="Arial" w:eastAsia="Arial" w:hAnsi="Arial"/>
          <w:sz w:val="17"/>
          <w:szCs w:val="17"/>
          <w:color w:val="auto"/>
        </w:rPr>
        <w:t xml:space="preserve">”)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this Warrant Agreement (“</w:t>
      </w:r>
      <w:r>
        <w:rPr>
          <w:rFonts w:ascii="Arial" w:cs="Arial" w:eastAsia="Arial" w:hAnsi="Arial"/>
          <w:sz w:val="17"/>
          <w:szCs w:val="17"/>
          <w:b w:val="1"/>
          <w:bCs w:val="1"/>
          <w:color w:val="auto"/>
        </w:rPr>
        <w:t>Expiration Date</w:t>
      </w:r>
      <w:r>
        <w:rPr>
          <w:rFonts w:ascii="Arial" w:cs="Arial" w:eastAsia="Arial" w:hAnsi="Arial"/>
          <w:sz w:val="17"/>
          <w:szCs w:val="17"/>
          <w:color w:val="auto"/>
        </w:rPr>
        <w:t xml:space="preserve">”). Except with respect to the right to receive the Redemption Price (as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hereunder), each Warrant not exercised on or before the Expiration Date shall become void, and all rights thereunder and all rights in respect thereof under this Warrant Agreement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20 days to Registered Holders of such extension and that such extension shall be identical in duration among all of the then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0" w:name="page231"/>
    <w:bookmarkEnd w:id="230"/>
    <w:p>
      <w:pPr>
        <w:ind w:left="6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Cash Exercise</w:t>
      </w:r>
      <w:r>
        <w:rPr>
          <w:rFonts w:ascii="Arial" w:cs="Arial" w:eastAsia="Arial" w:hAnsi="Arial"/>
          <w:sz w:val="18"/>
          <w:szCs w:val="18"/>
          <w:color w:val="auto"/>
        </w:rPr>
        <w:t>. Subject to the provisions of the Warrant and this Warrant Agreement, a Warrant, when countersigned by the Company, may be exercised by the Registered Holder thereof by surrendering it at the office of the Warrant Agent, or at the office of its successor as Warrant Agent, currently being:</w:t>
      </w:r>
    </w:p>
    <w:p>
      <w:pPr>
        <w:spacing w:after="0" w:line="18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Continental Stock Transfer &amp; Trust Company</w:t>
      </w:r>
    </w:p>
    <w:p>
      <w:pPr>
        <w:ind w:left="196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Compliance Department</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 the subscription form, as set forth in the Warrant, duly executed, and by paying in full, in lawful money of the United States, by certified or bank cashier’s check payable to the order of the Warrant Agent or by wire transfer to the Warrant Agent’s bank account, the Warrant Price for each whole Warrant Share as to which the Warrant is exercised and any and all applicable taxes due in connection with the exercise of the Warrant, the exchange of the Warrant for the Warrant Shares, and the issuance of the Warrant Shares (such exercise, a “</w:t>
      </w:r>
      <w:r>
        <w:rPr>
          <w:rFonts w:ascii="Arial" w:cs="Arial" w:eastAsia="Arial" w:hAnsi="Arial"/>
          <w:sz w:val="17"/>
          <w:szCs w:val="17"/>
          <w:b w:val="1"/>
          <w:bCs w:val="1"/>
          <w:color w:val="auto"/>
        </w:rPr>
        <w:t>Cash Exercise</w:t>
      </w:r>
      <w:r>
        <w:rPr>
          <w:rFonts w:ascii="Arial" w:cs="Arial" w:eastAsia="Arial" w:hAnsi="Arial"/>
          <w:sz w:val="17"/>
          <w:szCs w:val="17"/>
          <w:color w:val="auto"/>
        </w:rPr>
        <w:t xml:space="preserve">”). A Cash Exercise in accordance with this </w:t>
      </w:r>
      <w:r>
        <w:rPr>
          <w:rFonts w:ascii="Arial" w:cs="Arial" w:eastAsia="Arial" w:hAnsi="Arial"/>
          <w:sz w:val="17"/>
          <w:szCs w:val="17"/>
          <w:u w:val="single" w:color="auto"/>
          <w:color w:val="auto"/>
        </w:rPr>
        <w:t>Section 3.3.1</w:t>
      </w:r>
      <w:r>
        <w:rPr>
          <w:rFonts w:ascii="Arial" w:cs="Arial" w:eastAsia="Arial" w:hAnsi="Arial"/>
          <w:sz w:val="17"/>
          <w:szCs w:val="17"/>
          <w:color w:val="auto"/>
        </w:rPr>
        <w:t xml:space="preserve"> is available to the Registered Holder only during such times that there is an effective registration statement registering the Warrant Shares, with the prospectus contained therein being available for the resale of the Warrant Shares.</w:t>
      </w:r>
    </w:p>
    <w:p>
      <w:pPr>
        <w:spacing w:after="0" w:line="178"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u w:val="single" w:color="auto"/>
          <w:color w:val="auto"/>
        </w:rPr>
        <w:t>Cashless Exercise</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2.4</w:t>
      </w:r>
      <w:r>
        <w:rPr>
          <w:rFonts w:ascii="Arial" w:cs="Arial" w:eastAsia="Arial" w:hAnsi="Arial"/>
          <w:sz w:val="16"/>
          <w:szCs w:val="16"/>
          <w:color w:val="auto"/>
        </w:rPr>
        <w:t>, notwithstanding anything contained herein to the contrary, if there is no effective registration statement registering the Warrant Shares on any day the Registered Holder desires to exercise the Warrants and more than 120 days have passed since the Company complete its initial business combination, the Registered Holder may exercise the Warrants in whole or in part in lieu of making a cash payment for whole numbers of Warrant Shares, by providing notice to the Chief Financial Officer of the Company in a subscription form of its election to utilize cashless exercise, in which event the Company shall issue to the Registered Holder the number of Warrant Shares determined as follows:</w:t>
      </w:r>
    </w:p>
    <w:p>
      <w:pPr>
        <w:spacing w:after="0" w:line="16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Y [(A-B)/A]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the number of Warrant Shares to be issued to the Registered Holder.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Y = the number of Warrant Shares with respect to which this Warrant is being exercised.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the fair market value of one share of Common Stock.</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 = the Warrant Price.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Registered Holder may not exercise any Warrants in the absence of a registration statement except pursuant to this </w:t>
      </w:r>
      <w:r>
        <w:rPr>
          <w:rFonts w:ascii="Arial" w:cs="Arial" w:eastAsia="Arial" w:hAnsi="Arial"/>
          <w:sz w:val="16"/>
          <w:szCs w:val="16"/>
          <w:u w:val="single" w:color="auto"/>
          <w:color w:val="auto"/>
        </w:rPr>
        <w:t>Section 3.3.2</w:t>
      </w:r>
      <w:r>
        <w:rPr>
          <w:rFonts w:ascii="Arial" w:cs="Arial" w:eastAsia="Arial" w:hAnsi="Arial"/>
          <w:sz w:val="16"/>
          <w:szCs w:val="16"/>
          <w:color w:val="auto"/>
        </w:rPr>
        <w:t>. For purposes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w:t>
      </w:r>
      <w:r>
        <w:rPr>
          <w:rFonts w:ascii="Arial" w:cs="Arial" w:eastAsia="Arial" w:hAnsi="Arial"/>
          <w:sz w:val="18"/>
          <w:szCs w:val="18"/>
          <w:color w:val="auto"/>
        </w:rPr>
        <w:t>, the fair market value of one share of Common Stock is defined as follows:</w:t>
      </w:r>
    </w:p>
    <w:p>
      <w:pPr>
        <w:spacing w:after="0" w:line="207" w:lineRule="exact"/>
        <w:rPr>
          <w:sz w:val="20"/>
          <w:szCs w:val="20"/>
          <w:color w:val="auto"/>
        </w:rPr>
      </w:pPr>
    </w:p>
    <w:p>
      <w:pPr>
        <w:jc w:val="both"/>
        <w:ind w:left="1960" w:hanging="8"/>
        <w:spacing w:after="0" w:line="261" w:lineRule="auto"/>
        <w:tabs>
          <w:tab w:leader="none" w:pos="218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the Company’s shares of Common Stock are listed and traded on the NASDAQ Capital Market (the “</w:t>
      </w:r>
      <w:r>
        <w:rPr>
          <w:rFonts w:ascii="Arial" w:cs="Arial" w:eastAsia="Arial" w:hAnsi="Arial"/>
          <w:sz w:val="18"/>
          <w:szCs w:val="18"/>
          <w:b w:val="1"/>
          <w:bCs w:val="1"/>
          <w:color w:val="auto"/>
        </w:rPr>
        <w:t>Trading Market</w:t>
      </w:r>
      <w:r>
        <w:rPr>
          <w:rFonts w:ascii="Arial" w:cs="Arial" w:eastAsia="Arial" w:hAnsi="Arial"/>
          <w:sz w:val="18"/>
          <w:szCs w:val="18"/>
          <w:color w:val="auto"/>
        </w:rPr>
        <w:t>”), the fair market value shall be deemed to be the average of the closing price on such Trading Market for the 10 trading day ending on the third trading day immediately prior to the date the subscription form is submitted to the Company in connection with the exercise of the Warrant;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1" w:name="page232"/>
    <w:bookmarkEnd w:id="231"/>
    <w:p>
      <w:pPr>
        <w:jc w:val="both"/>
        <w:ind w:left="1960" w:hanging="8"/>
        <w:spacing w:after="0" w:line="259" w:lineRule="auto"/>
        <w:tabs>
          <w:tab w:leader="none" w:pos="222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the Company’s shares of Common Stock are not listed on the Trading Market, but is traded in the over-the-counter market, the fair market value shall be deemed to be the average of the bid price on the Trading Market for the 10 trading days ending on the third trading day immediately prior to the date the subscription form is submitted in connection with the exercise of the Warrant; or</w:t>
      </w:r>
    </w:p>
    <w:p>
      <w:pPr>
        <w:spacing w:after="0" w:line="186" w:lineRule="exact"/>
        <w:rPr>
          <w:rFonts w:ascii="Arial" w:cs="Arial" w:eastAsia="Arial" w:hAnsi="Arial"/>
          <w:sz w:val="18"/>
          <w:szCs w:val="18"/>
          <w:color w:val="auto"/>
        </w:rPr>
      </w:pPr>
    </w:p>
    <w:p>
      <w:pPr>
        <w:ind w:left="1960" w:right="20" w:hanging="8"/>
        <w:spacing w:after="0" w:line="277" w:lineRule="auto"/>
        <w:tabs>
          <w:tab w:leader="none" w:pos="230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there is no active public market for the Company’s shares of Common Stock, the fair market value of the shares of Common Stock shall be determined in good faith by the Company’s board of directors.</w:t>
      </w:r>
    </w:p>
    <w:p>
      <w:pPr>
        <w:spacing w:after="0" w:line="17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Notwithstanding any provision to the contrary contained in this Warrant Agreement, the Company shall not be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9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3.3.4 </w:t>
      </w:r>
      <w:r>
        <w:rPr>
          <w:rFonts w:ascii="Arial" w:cs="Arial" w:eastAsia="Arial" w:hAnsi="Arial"/>
          <w:sz w:val="16"/>
          <w:szCs w:val="16"/>
          <w:u w:val="single" w:color="auto"/>
          <w:color w:val="auto"/>
        </w:rPr>
        <w:t>Issuance of Certificates</w:t>
      </w:r>
      <w:r>
        <w:rPr>
          <w:rFonts w:ascii="Arial" w:cs="Arial" w:eastAsia="Arial" w:hAnsi="Arial"/>
          <w:sz w:val="16"/>
          <w:szCs w:val="16"/>
          <w:color w:val="auto"/>
        </w:rPr>
        <w:t xml:space="preserve">. No later than three (3) business days following the exercise of any Warrant and the clearance of the funds in payment of the Warrant Price pursuant to </w:t>
      </w:r>
      <w:r>
        <w:rPr>
          <w:rFonts w:ascii="Arial" w:cs="Arial" w:eastAsia="Arial" w:hAnsi="Arial"/>
          <w:sz w:val="16"/>
          <w:szCs w:val="16"/>
          <w:u w:val="single" w:color="auto"/>
          <w:color w:val="auto"/>
        </w:rPr>
        <w:t>Section 3.3.1</w:t>
      </w:r>
      <w:r>
        <w:rPr>
          <w:rFonts w:ascii="Arial" w:cs="Arial" w:eastAsia="Arial" w:hAnsi="Arial"/>
          <w:sz w:val="16"/>
          <w:szCs w:val="16"/>
          <w:color w:val="auto"/>
        </w:rPr>
        <w:t xml:space="preserve"> or cashless exercise pursuant to </w:t>
      </w:r>
      <w:r>
        <w:rPr>
          <w:rFonts w:ascii="Arial" w:cs="Arial" w:eastAsia="Arial" w:hAnsi="Arial"/>
          <w:sz w:val="16"/>
          <w:szCs w:val="16"/>
          <w:u w:val="single" w:color="auto"/>
          <w:color w:val="auto"/>
        </w:rPr>
        <w:t>Section 3.3.2</w:t>
      </w:r>
      <w:r>
        <w:rPr>
          <w:rFonts w:ascii="Arial" w:cs="Arial" w:eastAsia="Arial" w:hAnsi="Arial"/>
          <w:sz w:val="16"/>
          <w:szCs w:val="16"/>
          <w:color w:val="auto"/>
        </w:rPr>
        <w:t>, the Company shall issue, or cause to be issued, to the Registered Holder of such Warrant a certificate or certificates representing (or at the option of the Registered Holder, deliver electronically through the facilities of the Depository Trust Corporation) the number of full shares of Common Stock to which he, she or it is entitled, registered in such name or names as may be directed by him, her or it, and, if such Warrant shall not have been exercised or surrendered in full, a new countersigned Warrant for the number of shares as to which such Warrant shall not have been exercised or surrendered. Notwithstanding the foregoing, the Company shall not deliver, or cause to be delivered, any securities without applicable restrictive legend pursuant to the exercise of a Warrant unless (a) a registration statement under the Act with respect to the shares of Common Stock issuable upon exercise of such Warrants is effective and a current prospectus relating to the shares of Common Stock issuable upon exercise of the Warrants is available for delivery to the Registered Holder of the Warrant or (b) in the opinion of counsel to the Company, the exercise of the Warrants is exempt from the registration requirements of the Act and such securities are qualified for sale or exempt from qualification under applicable securities laws of the states or other jurisdictions in which the Registered Holder resides. Warrants may not be exercised by, or securities issued to, any Registered Holder in any state in which such exercise or issuance would be unlawful. In addition, in no event will the Company be obligated to pay such Registered Holder any cash consideration upon exercise or otherwise “net cash settle” the Warrant.</w:t>
      </w:r>
    </w:p>
    <w:p>
      <w:pPr>
        <w:spacing w:after="0" w:line="17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3.3.5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or surrender of a Warrant in conformity with this Warrant Agreement shall be validly issued, fully paid and non-assessable.</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3.3.6 </w:t>
      </w:r>
      <w:r>
        <w:rPr>
          <w:rFonts w:ascii="Arial" w:cs="Arial" w:eastAsia="Arial" w:hAnsi="Arial"/>
          <w:sz w:val="18"/>
          <w:szCs w:val="18"/>
          <w:u w:val="single" w:color="auto"/>
          <w:color w:val="auto"/>
        </w:rPr>
        <w:t>Date of Issuance</w:t>
      </w:r>
      <w:r>
        <w:rPr>
          <w:rFonts w:ascii="Arial" w:cs="Arial" w:eastAsia="Arial" w:hAnsi="Arial"/>
          <w:sz w:val="18"/>
          <w:szCs w:val="18"/>
          <w:color w:val="auto"/>
        </w:rPr>
        <w:t>. Each person or entity in whose name any such certificate for shares of Common Stock is issued shall, for all purposes, be deemed to have become the holder of record of such shares on the date on which the Warrant was surrendered and payment of the Warrant Price was made, irrespective of the date of delivery of such certificate,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w:t>
      </w:r>
    </w:p>
    <w:p>
      <w:pPr>
        <w:spacing w:after="0" w:line="188"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 xml:space="preserve">3.3.7 </w:t>
      </w:r>
      <w:r>
        <w:rPr>
          <w:rFonts w:ascii="Arial" w:cs="Arial" w:eastAsia="Arial" w:hAnsi="Arial"/>
          <w:sz w:val="16"/>
          <w:szCs w:val="16"/>
          <w:u w:val="single" w:color="auto"/>
          <w:color w:val="auto"/>
        </w:rPr>
        <w:t>Maximum Percentage</w:t>
      </w:r>
      <w:r>
        <w:rPr>
          <w:rFonts w:ascii="Arial" w:cs="Arial" w:eastAsia="Arial" w:hAnsi="Arial"/>
          <w:sz w:val="16"/>
          <w:szCs w:val="16"/>
          <w:color w:val="auto"/>
        </w:rPr>
        <w:t>. A holder of a Warrant may notify the Company in writing in the event it elects to be subject to the provisions contained in this Section 3.3.7; however, no holder of a Warrant shall be subject to this Section 3.3.7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the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SEC as the case may be, (2) a more recent public announcement by the Company, or</w:t>
      </w:r>
    </w:p>
    <w:p>
      <w:pPr>
        <w:jc w:val="both"/>
        <w:ind w:firstLine="8"/>
        <w:spacing w:after="0" w:line="269" w:lineRule="auto"/>
        <w:tabs>
          <w:tab w:leader="none" w:pos="264"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any other notice by the Company or the Warrant Agent setting forth the number of shares of Common Stock outstanding. For any reason at any time, upon the written request of the holder of the Warrant, the Company shall, within two (2) business days, confirm orally and in writing to such holder the number of shares of Common Stock then outstanding. In any case, the number of outstanding shares of Common Stock shall be determined after giving effect to the conversion or exercise of equity securities of the Company by the holder and its affiliates since the date as of which such number of outstanding shares of Common Stock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2" w:name="page233"/>
    <w:bookmarkEnd w:id="232"/>
    <w:p>
      <w:pPr>
        <w:ind w:left="180" w:hanging="172"/>
        <w:spacing w:after="0"/>
        <w:tabs>
          <w:tab w:leader="none" w:pos="18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Stock Dividends, Splits</w:t>
      </w:r>
      <w:r>
        <w:rPr>
          <w:rFonts w:ascii="Arial" w:cs="Arial" w:eastAsia="Arial" w:hAnsi="Arial"/>
          <w:sz w:val="17"/>
          <w:szCs w:val="17"/>
          <w:color w:val="auto"/>
        </w:rPr>
        <w:t xml:space="preserve">. If, after the date hereof, and subject to the provisions of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below, the number of outstanding shares of Common Stock is increased by a stock dividend payable in shares of Common Stock, or by a forward or reverse split of shares of Common Stock, or other similar event, then, on the effective date of such stock dividend, split or similar event, the number of shares of Common Stock issuable on exercise of each Warrant shall be increased or decreased in proportion to such increase or decrease in outstanding shares of Common Stock. A rights offering to all holders of the shares of Common Stock entitling holders to purchase shares of Common Stock at a price less than the fair market value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the shares of Common Stock) multiplied by (ii) one (1) minus the quotient of (x) the price per share of Common Stock paid in such rights offering divided by (y) the fair market value. For purposes of this subsection 4.1, if the rights offering is for securities convertible into or exercisable for shares of Common Stock, in determining the price payable for the shares of Common Stock, there shall be taken into account any consideration received for such rights, as well as any additional amount payable upon exercise or conversion.</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xml:space="preserve">. If, after the date hereof, and subject to the provisions of </w:t>
      </w:r>
      <w:r>
        <w:rPr>
          <w:rFonts w:ascii="Arial" w:cs="Arial" w:eastAsia="Arial" w:hAnsi="Arial"/>
          <w:sz w:val="18"/>
          <w:szCs w:val="18"/>
          <w:u w:val="single" w:color="auto"/>
          <w:color w:val="auto"/>
        </w:rPr>
        <w:t>Section 4.5</w:t>
      </w:r>
      <w:r>
        <w:rPr>
          <w:rFonts w:ascii="Arial" w:cs="Arial" w:eastAsia="Arial" w:hAnsi="Arial"/>
          <w:sz w:val="18"/>
          <w:szCs w:val="18"/>
          <w:color w:val="auto"/>
        </w:rPr>
        <w:t>, the number of outstanding shares of Common Stock is decreased by a consolidation, combination or reclassification of shares of Common Stock or other similar event, then, on the effective date of such consolidation, combination, reclassification or similar event, the number of shares of Common Stock issuable on exercise of each Warrant shall be decreased in proportion to such decrease in outstanding shares of Common Stock.</w:t>
      </w:r>
    </w:p>
    <w:p>
      <w:pPr>
        <w:spacing w:after="0" w:line="18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Extraordinary Dividends</w:t>
      </w:r>
      <w:r>
        <w:rPr>
          <w:rFonts w:ascii="Arial" w:cs="Arial" w:eastAsia="Arial" w:hAnsi="Arial"/>
          <w:sz w:val="17"/>
          <w:szCs w:val="17"/>
          <w:color w:val="auto"/>
        </w:rPr>
        <w:t>. If the Company, at any time while the Warrants (or rights to purchase the Warrants) are outstanding and unexpired, shall pay a dividend or make a distribution in cash, securities or other assets to the holders of the Common Stock on account of such Common Stock (or other shares of the Company’s capital stock into which the Warrants are convertible), other than (a) as described in Section 4.1 above, (b) Ordinary Cash Dividends (as defined below), (c) to satisfy the conversion rights of the holders of the Common Stock in connection with a proposed initial business combination or vote to extend the time period to complete an initial business combination, (d) as a result of the repurchase of Common Stock by the Company in connection with an initial business combination or as otherwise permitted by the Investment Management Trust Agreement between the Company and the Warrant Agent dated of even date herewith or (e) in connection with the Company’s liquidation and the distribution of its assets upon its failure to consummate a business combination (any such non-excluded event being referred to herein as an “</w:t>
      </w:r>
      <w:r>
        <w:rPr>
          <w:rFonts w:ascii="Arial" w:cs="Arial" w:eastAsia="Arial" w:hAnsi="Arial"/>
          <w:sz w:val="17"/>
          <w:szCs w:val="17"/>
          <w:b w:val="1"/>
          <w:bCs w:val="1"/>
          <w:color w:val="auto"/>
        </w:rPr>
        <w:t>Extraordinary Dividend</w:t>
      </w:r>
      <w:r>
        <w:rPr>
          <w:rFonts w:ascii="Arial" w:cs="Arial" w:eastAsia="Arial" w:hAnsi="Arial"/>
          <w:sz w:val="17"/>
          <w:szCs w:val="17"/>
          <w:color w:val="auto"/>
        </w:rPr>
        <w:t xml:space="preserve">”), then the Warrant Price shall be decreased, effective immediately after the effective date of such Extraordinary Dividend, by the amount of cash and the fair market value (as determined by the Company’s board of directors, in good faith) of any securities or other assets paid on each share of Common Stock in respect of such Extraordinary Dividend. For purposes of this Section 4.3, “Ordinary Cash Dividends” means any cash dividend or cash distribution which, when combined on a per share basis with the per share amounts of all other cash dividends and cash distributions paid on the Common Stock during the 365-day period ending on the date of declaration of such dividend or distribution (as adjusted to appropriately reflect any of the events referred to in other subsections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excluding cash dividends or cash distributions that resulted in an adjustment to the Warrant Price or to the number of shares of Common Stock issuable on exercise of each Warrant) does not exceed $0.50 (being 5% of the offering price of the Units in the Public Offering). The foregoing adjustment shall not apply to the Private Warrants. Further, the holders of the Private Warrants that are beneficially owned by Chardan Capital Markets, LLC or any of its related persons may not receive or accrue any cash dividends prior to the exercise or conversion of such Private Warrants, as required by FINRA Rule 5110(f)(2)(G)(vii).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3" w:name="page234"/>
    <w:bookmarkEnd w:id="233"/>
    <w:p>
      <w:pPr>
        <w:jc w:val="both"/>
        <w:ind w:firstLine="648"/>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in Exercise Price</w:t>
      </w:r>
      <w:r>
        <w:rPr>
          <w:rFonts w:ascii="Arial" w:cs="Arial" w:eastAsia="Arial" w:hAnsi="Arial"/>
          <w:sz w:val="18"/>
          <w:szCs w:val="18"/>
          <w:color w:val="auto"/>
        </w:rPr>
        <w:t xml:space="preserve">. Whenever the number of shares of Common Stock purchasable upon the exercise of the Warrants is adjusted, as provided in </w:t>
      </w:r>
      <w:r>
        <w:rPr>
          <w:rFonts w:ascii="Arial" w:cs="Arial" w:eastAsia="Arial" w:hAnsi="Arial"/>
          <w:sz w:val="18"/>
          <w:szCs w:val="18"/>
          <w:u w:val="single" w:color="auto"/>
          <w:color w:val="auto"/>
        </w:rPr>
        <w:t>Sections 4.1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above, the Warrant Price shall be adjusted (to the nearest cent) by multiplying such Warrant Price, immediately prior to such adjustment, by a fraction, (a) the numerator of which shall be the number of shares of Common Stock purchasable upon the exercise of the Warrants immediately prior to such adjustment, and (b) the denominator of which shall be the number of shares of Common Stock so purchasable immediately thereafter.</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Replacement of Securities upon Reorganization, etc.</w:t>
      </w:r>
      <w:r>
        <w:rPr>
          <w:rFonts w:ascii="Arial" w:cs="Arial" w:eastAsia="Arial" w:hAnsi="Arial"/>
          <w:sz w:val="16"/>
          <w:szCs w:val="16"/>
          <w:color w:val="auto"/>
        </w:rPr>
        <w:t xml:space="preserve"> In case of any reclassification or reorganization of the outstanding shares of Common Stock (other than a change covered by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hereof or one that solely affects the par value of such shares of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Registered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Registered Holder would have received if such Registered Holder had exercised his, her or its Warrant(s) immediately prior to such event; and if any reclassification also results in a change in shares of Common Stock covered by Sections 4.1 or 4.2, then such adjustment shall be made pursuant to Sections 4.1, 4.2, 4.3 and Section 4.4. The provisions of this Section 4.5 shall similarly apply to successive reclassifications, reorganizations, mergers or consolidations, sales or other transfers.</w:t>
      </w:r>
    </w:p>
    <w:p>
      <w:pPr>
        <w:spacing w:after="0" w:line="1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xml:space="preserve">.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w:t>
      </w:r>
      <w:r>
        <w:rPr>
          <w:rFonts w:ascii="Arial" w:cs="Arial" w:eastAsia="Arial" w:hAnsi="Arial"/>
          <w:sz w:val="16"/>
          <w:szCs w:val="16"/>
          <w:u w:val="single" w:color="auto"/>
          <w:color w:val="auto"/>
        </w:rPr>
        <w:t>Sections 4.1 – 4.5</w:t>
      </w:r>
      <w:r>
        <w:rPr>
          <w:rFonts w:ascii="Arial" w:cs="Arial" w:eastAsia="Arial" w:hAnsi="Arial"/>
          <w:sz w:val="16"/>
          <w:szCs w:val="16"/>
          <w:color w:val="auto"/>
        </w:rPr>
        <w:t xml:space="preserve"> the Company shall give written notice to each Registered Holder, at the last address set forth for such Registered Holder in the Warrant Register, of the record date or the effective date of the event. Failure to give such notice, or any defect therein, shall not affect the legality or validity of such event.</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Form of Warrant</w:t>
      </w:r>
      <w:r>
        <w:rPr>
          <w:rFonts w:ascii="Arial" w:cs="Arial" w:eastAsia="Arial" w:hAnsi="Arial"/>
          <w:sz w:val="18"/>
          <w:szCs w:val="18"/>
          <w:color w:val="auto"/>
        </w:rPr>
        <w:t xml:space="preserve">. The form of Warrant need not be changed because of any adjustment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and Warrants issued after such adjustment may state the same Warrant Price and the same number of shares as is stated in the Warrants initially issued pursuant to this Warrant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4" w:name="page235"/>
    <w:bookmarkEnd w:id="234"/>
    <w:p>
      <w:pPr>
        <w:jc w:val="both"/>
        <w:ind w:firstLine="648"/>
        <w:spacing w:after="0" w:line="288"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Notice of Certain Transactions</w:t>
      </w:r>
      <w:r>
        <w:rPr>
          <w:rFonts w:ascii="Arial" w:cs="Arial" w:eastAsia="Arial" w:hAnsi="Arial"/>
          <w:sz w:val="16"/>
          <w:szCs w:val="16"/>
          <w:color w:val="auto"/>
        </w:rPr>
        <w:t xml:space="preserve">. In the event that the Company shall (a) offer to holders of all its shares of Common Stock rights to subscribe for or to purchase any securities convertible into shares of Common Stock or shares of stock of any class or any other securities, rights or options, (b) issue any rights, options or Warrants entitling all the holders of shares of Common Stock to subscribe for shares of Common Stock, or (c) make a tender offer, redemption offer or exchange offer with respect to the shares of Common Stock, the Company shall send to the Registered Holders a notice of such action or offer. Such notice shall be mailed to the Registered Holders at their addresses as they appear in the Warrant Register, which shall specify the record date for the purposes of such dividend, distribution or rights, or the date such issuance or event is to take place and the date of participation therein by the holders of shares of Common Stock, if any such date is to be fixed, and shall briefly indicate the effect of such action on the shares of Common Stock and on the number and kind of any other shares of stock and on other property, if any, and the number of shares of Common Stock and other property, if any, issuable upon exercise of each Warrant and the Warrant Price after giving effect to any adjustment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which would be required as a result of such action. Such notice shall be given as promptly as practicable after the Company has taken any such action.</w:t>
      </w:r>
    </w:p>
    <w:p>
      <w:pPr>
        <w:spacing w:after="0" w:line="168" w:lineRule="exact"/>
        <w:rPr>
          <w:sz w:val="20"/>
          <w:szCs w:val="20"/>
          <w:color w:val="auto"/>
        </w:rPr>
      </w:pPr>
    </w:p>
    <w:p>
      <w:pPr>
        <w:ind w:left="180" w:hanging="172"/>
        <w:spacing w:after="0"/>
        <w:tabs>
          <w:tab w:leader="none" w:pos="18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Transfer of Warrants</w:t>
      </w:r>
      <w:r>
        <w:rPr>
          <w:rFonts w:ascii="Arial" w:cs="Arial" w:eastAsia="Arial" w:hAnsi="Arial"/>
          <w:sz w:val="18"/>
          <w:szCs w:val="18"/>
          <w:color w:val="auto"/>
        </w:rPr>
        <w:t xml:space="preserve">. Prior to the Detachment Date, the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From and after the Detachment Date,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will have no further force and effect.</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Registration of Transfer</w:t>
      </w:r>
      <w:r>
        <w:rPr>
          <w:rFonts w:ascii="Arial" w:cs="Arial" w:eastAsia="Arial" w:hAnsi="Arial"/>
          <w:sz w:val="16"/>
          <w:szCs w:val="16"/>
          <w:color w:val="auto"/>
        </w:rPr>
        <w:t>. The Warrant Agent shall register the transfer, from time to time, of any outstanding Warrant into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The Warrants so cancelled shall be delivered by the Warrant Agent to the Company from time to time upon the Company’s request.</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Procedure for Surrender of Warrants</w:t>
      </w:r>
      <w:r>
        <w:rPr>
          <w:rFonts w:ascii="Arial" w:cs="Arial" w:eastAsia="Arial" w:hAnsi="Arial"/>
          <w:sz w:val="18"/>
          <w:szCs w:val="18"/>
          <w:color w:val="auto"/>
        </w:rPr>
        <w:t>.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provided, however, that, in the event a Warrant surrendered for transfer bears a restrictive legend, the Warrant Agent shall not cancel such Warrant and shall issue new Warrants in exchange therefor until the Warrant Agent has received an opinion of counsel for the Company stating that such transfer may be made and indicating whether the new Warrants must also bear a restrictive legend.</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that will result in the issuance of a Warrant certificate for a fraction of a Warrant.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Service Charges</w:t>
      </w:r>
      <w:r>
        <w:rPr>
          <w:rFonts w:ascii="Arial" w:cs="Arial" w:eastAsia="Arial" w:hAnsi="Arial"/>
          <w:sz w:val="18"/>
          <w:szCs w:val="18"/>
          <w:color w:val="auto"/>
        </w:rPr>
        <w:t>. No service charge shall be made for any exchange or registration of transfer of Warrants.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Warrant Execution and Countersignature</w:t>
      </w:r>
      <w:r>
        <w:rPr>
          <w:rFonts w:ascii="Arial" w:cs="Arial" w:eastAsia="Arial" w:hAnsi="Arial"/>
          <w:sz w:val="17"/>
          <w:szCs w:val="17"/>
          <w:color w:val="auto"/>
        </w:rPr>
        <w:t xml:space="preserve">. The Warrant Agent is hereby authorized to countersign and to deliver, in accordance with the terms of this Warrant Agreement, the Warrants required to be issued pursuant to the provisions of this </w:t>
      </w:r>
      <w:r>
        <w:rPr>
          <w:rFonts w:ascii="Arial" w:cs="Arial" w:eastAsia="Arial" w:hAnsi="Arial"/>
          <w:sz w:val="17"/>
          <w:szCs w:val="17"/>
          <w:u w:val="single" w:color="auto"/>
          <w:color w:val="auto"/>
        </w:rPr>
        <w:t>Section 5</w:t>
      </w:r>
      <w:r>
        <w:rPr>
          <w:rFonts w:ascii="Arial" w:cs="Arial" w:eastAsia="Arial" w:hAnsi="Arial"/>
          <w:sz w:val="17"/>
          <w:szCs w:val="17"/>
          <w:color w:val="auto"/>
        </w:rPr>
        <w:t>, and the Company, whenever required by the Warrant Agent, will supply the Warrant Agent with Warrants duly executed on behalf of the Company for such purpose.</w:t>
      </w:r>
    </w:p>
    <w:p>
      <w:pPr>
        <w:spacing w:after="0" w:line="165" w:lineRule="exact"/>
        <w:rPr>
          <w:sz w:val="20"/>
          <w:szCs w:val="20"/>
          <w:color w:val="auto"/>
        </w:rPr>
      </w:pPr>
    </w:p>
    <w:p>
      <w:pPr>
        <w:ind w:left="180" w:hanging="172"/>
        <w:spacing w:after="0"/>
        <w:tabs>
          <w:tab w:leader="none" w:pos="18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Redemption</w:t>
      </w:r>
      <w:r>
        <w:rPr>
          <w:rFonts w:ascii="Arial" w:cs="Arial" w:eastAsia="Arial" w:hAnsi="Arial"/>
          <w:sz w:val="16"/>
          <w:szCs w:val="16"/>
          <w:color w:val="auto"/>
        </w:rPr>
        <w:t xml:space="preserve">. Subject to the second sentence of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all (and not less than all) of the outstanding Warrants may be redeemed, in whole and not in part, at the option of the Company, at any time from and after the Warrants become exercisable, and prior to their expiration, at the office of the Warrant Agent, upon the notice referred to in </w:t>
      </w:r>
      <w:r>
        <w:rPr>
          <w:rFonts w:ascii="Arial" w:cs="Arial" w:eastAsia="Arial" w:hAnsi="Arial"/>
          <w:sz w:val="16"/>
          <w:szCs w:val="16"/>
          <w:u w:val="single" w:color="auto"/>
          <w:color w:val="auto"/>
        </w:rPr>
        <w:t>Section 6.2</w:t>
      </w:r>
      <w:r>
        <w:rPr>
          <w:rFonts w:ascii="Arial" w:cs="Arial" w:eastAsia="Arial" w:hAnsi="Arial"/>
          <w:sz w:val="16"/>
          <w:szCs w:val="16"/>
          <w:color w:val="auto"/>
        </w:rPr>
        <w:t>, at the price of $0.01 per Warrant (“</w:t>
      </w:r>
      <w:r>
        <w:rPr>
          <w:rFonts w:ascii="Arial" w:cs="Arial" w:eastAsia="Arial" w:hAnsi="Arial"/>
          <w:sz w:val="16"/>
          <w:szCs w:val="16"/>
          <w:b w:val="1"/>
          <w:bCs w:val="1"/>
          <w:color w:val="auto"/>
        </w:rPr>
        <w:t>Redemption Price</w:t>
      </w:r>
      <w:r>
        <w:rPr>
          <w:rFonts w:ascii="Arial" w:cs="Arial" w:eastAsia="Arial" w:hAnsi="Arial"/>
          <w:sz w:val="16"/>
          <w:szCs w:val="16"/>
          <w:color w:val="auto"/>
        </w:rPr>
        <w:t xml:space="preserve">”); provided that the last sales price of the Common Stock has been equal to or greater than $16.00 per share (subject to adjustment for splits, dividends, recapitalizations and other similar events), for any twenty (20)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(defined below). For avoidance of doubt, if and when the Warrants become redeemable by the Company under this </w:t>
      </w:r>
      <w:r>
        <w:rPr>
          <w:rFonts w:ascii="Arial" w:cs="Arial" w:eastAsia="Arial" w:hAnsi="Arial"/>
          <w:sz w:val="16"/>
          <w:szCs w:val="16"/>
          <w:u w:val="single" w:color="auto"/>
          <w:color w:val="auto"/>
        </w:rPr>
        <w:t>Section 6.1</w:t>
      </w:r>
      <w:r>
        <w:rPr>
          <w:rFonts w:ascii="Arial" w:cs="Arial" w:eastAsia="Arial" w:hAnsi="Arial"/>
          <w:sz w:val="16"/>
          <w:szCs w:val="16"/>
          <w:color w:val="auto"/>
        </w:rPr>
        <w:t>, the Company may exercise its redemption right, even if it is unable to register or qualify the Warrant Shares for sale under all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5" w:name="page236"/>
    <w:bookmarkEnd w:id="235"/>
    <w:p>
      <w:pPr>
        <w:jc w:val="both"/>
        <w:ind w:firstLine="648"/>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Date Fixed for, and Notice of, Redemption</w:t>
      </w:r>
      <w:r>
        <w:rPr>
          <w:rFonts w:ascii="Arial" w:cs="Arial" w:eastAsia="Arial" w:hAnsi="Arial"/>
          <w:sz w:val="18"/>
          <w:szCs w:val="18"/>
          <w:color w:val="auto"/>
        </w:rPr>
        <w:t>. In the event the Company shall elect to redeem all of the Warrants, the Company shall fix a date for the redemption (the “</w:t>
      </w:r>
      <w:r>
        <w:rPr>
          <w:rFonts w:ascii="Arial" w:cs="Arial" w:eastAsia="Arial" w:hAnsi="Arial"/>
          <w:sz w:val="18"/>
          <w:szCs w:val="18"/>
          <w:b w:val="1"/>
          <w:bCs w:val="1"/>
          <w:color w:val="auto"/>
        </w:rPr>
        <w:t>Redemption Date</w:t>
      </w:r>
      <w:r>
        <w:rPr>
          <w:rFonts w:ascii="Arial" w:cs="Arial" w:eastAsia="Arial" w:hAnsi="Arial"/>
          <w:sz w:val="18"/>
          <w:szCs w:val="18"/>
          <w:color w:val="auto"/>
        </w:rPr>
        <w:t>”). Notice of redemption shall be mailed by first class mail, postage prepaid, by the Company not less than 30 days prior to the date fixed for redemption to the Registered Holders of the Warrants to be redeemed at their last addresses as they shall appear on the Warrant Register. Any notice mailed in the manner herein provided shall be conclusively presumed to have been duly given, whether or not the Registered Holder received such notice.</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Exercise After Notice of Redemption</w:t>
      </w:r>
      <w:r>
        <w:rPr>
          <w:rFonts w:ascii="Arial" w:cs="Arial" w:eastAsia="Arial" w:hAnsi="Arial"/>
          <w:sz w:val="17"/>
          <w:szCs w:val="17"/>
          <w:color w:val="auto"/>
        </w:rPr>
        <w:t xml:space="preserve">. The Warrants may be exercised in accordance with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Warrant Agreement at any time after notice of redemption shall have been given by the Company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hereof and prior to the Redemption Date; provided that the Company may require the Registered Holder who desires to exercise the Warrant to elect cashless exercise as set forth under </w:t>
      </w:r>
      <w:r>
        <w:rPr>
          <w:rFonts w:ascii="Arial" w:cs="Arial" w:eastAsia="Arial" w:hAnsi="Arial"/>
          <w:sz w:val="17"/>
          <w:szCs w:val="17"/>
          <w:u w:val="single" w:color="auto"/>
          <w:color w:val="auto"/>
        </w:rPr>
        <w:t>Section 3.3.2</w:t>
      </w:r>
      <w:r>
        <w:rPr>
          <w:rFonts w:ascii="Arial" w:cs="Arial" w:eastAsia="Arial" w:hAnsi="Arial"/>
          <w:sz w:val="17"/>
          <w:szCs w:val="17"/>
          <w:color w:val="auto"/>
        </w:rPr>
        <w:t>, and such Registered Holder must exercise the Warrants on a cashless basis if the Company so requires. On and after the Redemption Date, the Registered Holder of the Warrants shall have no further rights except to receive, upon surrender of the Warrants, the Redemption Price.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 Other Rights to Cash Payment</w:t>
      </w:r>
      <w:r>
        <w:rPr>
          <w:rFonts w:ascii="Arial" w:cs="Arial" w:eastAsia="Arial" w:hAnsi="Arial"/>
          <w:sz w:val="18"/>
          <w:szCs w:val="18"/>
          <w:color w:val="auto"/>
        </w:rPr>
        <w:t xml:space="preserve">. Except for a redemption in accordance with this </w:t>
      </w:r>
      <w:r>
        <w:rPr>
          <w:rFonts w:ascii="Arial" w:cs="Arial" w:eastAsia="Arial" w:hAnsi="Arial"/>
          <w:sz w:val="18"/>
          <w:szCs w:val="18"/>
          <w:u w:val="single" w:color="auto"/>
          <w:color w:val="auto"/>
        </w:rPr>
        <w:t>Section 6</w:t>
      </w:r>
      <w:r>
        <w:rPr>
          <w:rFonts w:ascii="Arial" w:cs="Arial" w:eastAsia="Arial" w:hAnsi="Arial"/>
          <w:sz w:val="18"/>
          <w:szCs w:val="18"/>
          <w:color w:val="auto"/>
        </w:rPr>
        <w:t>, no Registered Holder of any Warrant shall be entitled to any cash payment whatsoever from the Company in connection with the ownership, exercise or surrender of any Warrant under this Warrant Agreement.</w:t>
      </w:r>
    </w:p>
    <w:p>
      <w:pPr>
        <w:spacing w:after="0" w:line="184" w:lineRule="exact"/>
        <w:rPr>
          <w:sz w:val="20"/>
          <w:szCs w:val="20"/>
          <w:color w:val="auto"/>
        </w:rPr>
      </w:pPr>
    </w:p>
    <w:p>
      <w:pPr>
        <w:ind w:left="180" w:hanging="172"/>
        <w:spacing w:after="0"/>
        <w:tabs>
          <w:tab w:leader="none" w:pos="18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Registered Holders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terms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Reservation of shares of Common Stock</w:t>
      </w:r>
      <w:r>
        <w:rPr>
          <w:rFonts w:ascii="Arial" w:cs="Arial" w:eastAsia="Arial" w:hAnsi="Arial"/>
          <w:sz w:val="16"/>
          <w:szCs w:val="16"/>
          <w:color w:val="auto"/>
        </w:rPr>
        <w:t>. The Company shall at all times reserve and keep available a number of its authorized but unissued shares of Common Stock that will be sufficient to permit the exercise in full of all outstanding Warrants issued pursuant to this Warrant Agreement.</w:t>
      </w:r>
    </w:p>
    <w:p>
      <w:pPr>
        <w:spacing w:after="0" w:line="12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Registration of shares of Common Stock</w:t>
      </w:r>
      <w:r>
        <w:rPr>
          <w:rFonts w:ascii="Arial" w:cs="Arial" w:eastAsia="Arial" w:hAnsi="Arial"/>
          <w:sz w:val="16"/>
          <w:szCs w:val="16"/>
          <w:color w:val="auto"/>
        </w:rPr>
        <w:t>. The Company agrees it shall use its best efforts to maintain with the SEC an effective registration statement for the registration under the Act of the shares of Common Stock issuable upon exercise of the Warrants, and a current prospectus relating thereto, until the expiration of the Warrants in accordance with the provisions of this Warrant Agreement. In addition, the Company agrees to use its best efforts to register the shares of Common Stock issuable upon exercise of the Warrants under state blue sky laws, to the extent an exemption is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6" w:name="page237"/>
    <w:bookmarkEnd w:id="236"/>
    <w:p>
      <w:pPr>
        <w:ind w:left="180" w:hanging="172"/>
        <w:spacing w:after="0"/>
        <w:tabs>
          <w:tab w:leader="none" w:pos="18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 Consolidation, or Merger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Registered Holder of the Warrant (who shall, with such notice, submit his, her or its Warrant for inspection by the Company), then the Registered Holder of any Warrant may apply to the Supreme Court of the State of New York for the County of New York for the appointment of a successor Warrant Agent. Any successor Warrant Agent, whether appointed by the Company or by such court, shall be a corporation organized and existing under the laws of the State of New York, in good standing and having its principal office in the Borough of Manhattan, City and State of New York, and be authorized under such laws to exercise corporate trust powers and subject to supervision or examination by federal or state authorities.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67"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Notice of Successor Warrant Agent</w:t>
      </w:r>
      <w:r>
        <w:rPr>
          <w:rFonts w:ascii="Arial" w:cs="Arial" w:eastAsia="Arial" w:hAnsi="Arial"/>
          <w:sz w:val="16"/>
          <w:szCs w:val="16"/>
          <w:color w:val="auto"/>
        </w:rPr>
        <w:t>. In the event a successor Warrant Agent shall be appointed, the Company shall give notice thereof to the predecessor Warrant Agent and the transfer agent for the Common Stock not later than the effective date of any such appointment.</w:t>
      </w:r>
    </w:p>
    <w:p>
      <w:pPr>
        <w:spacing w:after="0" w:line="124"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corporation into which the Warrant Agent may be merged or with which it may be consolidated or any corporation resulting from any merger or consolidation to which the Warrant Agent shall be a party shall be the successor Warrant Agent under this Warrant Agreement without any further act on the part of the Company or the Warrant Agent.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Fees and Expenses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Warrant Agent hereunder and will reimburse the Warrant Agent upon demand for all expenditures that the Warrant Agent may reasonably incur in the execution of its duties hereunder.</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Warrant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Liability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8.4.1 </w:t>
      </w:r>
      <w:r>
        <w:rPr>
          <w:rFonts w:ascii="Arial" w:cs="Arial" w:eastAsia="Arial" w:hAnsi="Arial"/>
          <w:sz w:val="16"/>
          <w:szCs w:val="16"/>
          <w:u w:val="single" w:color="auto"/>
          <w:color w:val="auto"/>
        </w:rPr>
        <w:t>Reliance on Company Statement</w:t>
      </w:r>
      <w:r>
        <w:rPr>
          <w:rFonts w:ascii="Arial" w:cs="Arial" w:eastAsia="Arial" w:hAnsi="Arial"/>
          <w:sz w:val="16"/>
          <w:szCs w:val="16"/>
          <w:color w:val="auto"/>
        </w:rPr>
        <w:t>. Whenever, in the performance of its duties under this Warrant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or Chairman of the Board of the Company and delivered to the Warrant Agent. The Warrant Agent may rely upon such statement for any action taken or suffered in good faith by it pursuant to the provisions of this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7" w:name="page238"/>
    <w:bookmarkEnd w:id="237"/>
    <w:p>
      <w:pPr>
        <w:jc w:val="both"/>
        <w:ind w:firstLine="1296"/>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gross negligence, willful misconduct or bad faith. The Company agrees to indemnify the Warrant Agent and hold it harmless against any and all liabilities, including judgments, costs and reasonable counsel fees, for anything done or omitted by the Warrant Agent in the execution of this Warrant Agreement, except as a result of the Warrant Agent’s gross negligence, willful misconduct or bad faith.</w:t>
      </w:r>
    </w:p>
    <w:p>
      <w:pPr>
        <w:spacing w:after="0" w:line="18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Exclusions</w:t>
      </w:r>
      <w:r>
        <w:rPr>
          <w:rFonts w:ascii="Arial" w:cs="Arial" w:eastAsia="Arial" w:hAnsi="Arial"/>
          <w:sz w:val="18"/>
          <w:szCs w:val="18"/>
          <w:color w:val="auto"/>
        </w:rPr>
        <w:t xml:space="preserve">. The Warrant Agent shall have no responsibility with respect to the validity of this Warrant Agreement or with respect to the validity or execution of any Warrant (except its countersignature thereof); nor shall it be responsible for any breach by the Company of any covenant or condition contained in this Warrant Agreement or in any Warrant; nor shall it be responsible to make any adjustments required under the provisions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Warrant Agreement or any Warrant or as to whether any shares of Common Stock will when issued be valid and fully paid and non-assessable.</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Warrant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shares of the Company’s Common Stock through the exercise of Warrants.</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Waiver</w:t>
      </w:r>
      <w:r>
        <w:rPr>
          <w:rFonts w:ascii="Arial" w:cs="Arial" w:eastAsia="Arial" w:hAnsi="Arial"/>
          <w:sz w:val="18"/>
          <w:szCs w:val="18"/>
          <w:color w:val="auto"/>
        </w:rPr>
        <w:t>. The Warrant Agent hereby waives any right of set-off or any other right, title, interest or claim of any kind (“</w:t>
      </w:r>
      <w:r>
        <w:rPr>
          <w:rFonts w:ascii="Arial" w:cs="Arial" w:eastAsia="Arial" w:hAnsi="Arial"/>
          <w:sz w:val="18"/>
          <w:szCs w:val="18"/>
          <w:b w:val="1"/>
          <w:bCs w:val="1"/>
          <w:color w:val="auto"/>
        </w:rPr>
        <w:t>Claim</w:t>
      </w:r>
      <w:r>
        <w:rPr>
          <w:rFonts w:ascii="Arial" w:cs="Arial" w:eastAsia="Arial" w:hAnsi="Arial"/>
          <w:sz w:val="18"/>
          <w:szCs w:val="18"/>
          <w:color w:val="auto"/>
        </w:rPr>
        <w:t>”) in or to any distribution of the Trust Account (as defined in that certain Investment Management Trust Agreement, dated as of the date hereof, by and between the Company and the Warrant Agent as trustee thereunder) and hereby agrees not to seek recourse, reimbursement, payment or satisfaction for any Claim against the Trust Account for any reason whatsoever.</w:t>
      </w:r>
    </w:p>
    <w:p>
      <w:pPr>
        <w:spacing w:after="0" w:line="3" w:lineRule="exact"/>
        <w:rPr>
          <w:sz w:val="20"/>
          <w:szCs w:val="20"/>
          <w:color w:val="auto"/>
        </w:rPr>
      </w:pPr>
    </w:p>
    <w:p>
      <w:pPr>
        <w:ind w:left="180" w:hanging="172"/>
        <w:spacing w:after="0"/>
        <w:tabs>
          <w:tab w:leader="none" w:pos="18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Warrant Agreement by or for the benefit of the Company or the Warrant Agent shall bind and inure to the benefit of their respective successors and assigns.</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Warrant Agreement to be given or made by the Warrant Agent or by the Registered Holder of any Warrant to or on the Company shall be delivered by hand or sent by registered or certified mail or overnight courier service, addressed (until another address is filed in writing by the Company with the Warrant Agent) as follows: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Ari Edelman, Esq.</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notice, statement or demand authorized by this Warrant Agreement to be given or made by the Registered Holder of any Warrant or by the Company to or on the Warrant Agent shall be delivered by hand or sent by registered or certified mail or overnight courier service, addressed (until another address is filed in writing by the Warrant Agent with the Company),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8" w:name="page239"/>
    <w:bookmarkEnd w:id="238"/>
    <w:p>
      <w:pPr>
        <w:ind w:left="1300"/>
        <w:spacing w:after="0"/>
        <w:rPr>
          <w:sz w:val="20"/>
          <w:szCs w:val="20"/>
          <w:color w:val="auto"/>
        </w:rPr>
      </w:pPr>
      <w:r>
        <w:rPr>
          <w:rFonts w:ascii="Arial" w:cs="Arial" w:eastAsia="Arial" w:hAnsi="Arial"/>
          <w:sz w:val="18"/>
          <w:szCs w:val="18"/>
          <w:color w:val="auto"/>
        </w:rPr>
        <w:t>Continental Stock Transfer &amp; Trust Company</w:t>
      </w:r>
    </w:p>
    <w:p>
      <w:pPr>
        <w:ind w:left="130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10004</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notice, sent pursuant to this Warrant Agreement shall be effective, if delivered by hand, upon receipt thereof by the party to whom it is addressed, if sent by overnight courier, on the next business day of the delivery to the courier, and if sent by registered or certified mail on the third day after registration or certification thereof.</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Applicable Law and Exclusive Forum</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9.3.1 The validity, interpretation, and performance of this Warrant Agreement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Warrant Agreement, including under the Securities Act, shall be brought and enforced in the courts of the State of New York or the United States District Court for the Southern District of New York, and irrevocably submits to such jurisdiction, which jurisdiction shall be exclusive forum for any such action, proceeding or claim. The Company hereby waives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w:t>
      </w:r>
    </w:p>
    <w:p>
      <w:pPr>
        <w:spacing w:after="0" w:line="178"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9.3.2 Any person or entity purchasing or otherwise acquiring any interest in the Warrants shall be deemed to have notice of and to have consented to the forum provisions in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If any action, the subject matter of which is within the scope the forum provisions above, is filed in a court other than a court located within the State of New York or the United States District Court for the Southern District of New York (a “</w:t>
      </w:r>
      <w:r>
        <w:rPr>
          <w:rFonts w:ascii="Arial" w:cs="Arial" w:eastAsia="Arial" w:hAnsi="Arial"/>
          <w:sz w:val="16"/>
          <w:szCs w:val="16"/>
          <w:b w:val="1"/>
          <w:bCs w:val="1"/>
          <w:color w:val="auto"/>
        </w:rPr>
        <w:t>foreign action</w:t>
      </w:r>
      <w:r>
        <w:rPr>
          <w:rFonts w:ascii="Arial" w:cs="Arial" w:eastAsia="Arial" w:hAnsi="Arial"/>
          <w:sz w:val="16"/>
          <w:szCs w:val="16"/>
          <w:color w:val="auto"/>
        </w:rPr>
        <w:t>”)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w:t>
      </w:r>
      <w:r>
        <w:rPr>
          <w:rFonts w:ascii="Arial" w:cs="Arial" w:eastAsia="Arial" w:hAnsi="Arial"/>
          <w:sz w:val="16"/>
          <w:szCs w:val="16"/>
          <w:b w:val="1"/>
          <w:bCs w:val="1"/>
          <w:color w:val="auto"/>
        </w:rPr>
        <w:t>enforcement action</w:t>
      </w:r>
      <w:r>
        <w:rPr>
          <w:rFonts w:ascii="Arial" w:cs="Arial" w:eastAsia="Arial" w:hAnsi="Arial"/>
          <w:sz w:val="16"/>
          <w:szCs w:val="16"/>
          <w:color w:val="auto"/>
        </w:rPr>
        <w:t>”), and (y) having service of process made upon such Warrant holder in any such enforcement action by service upon such Warrant holder’s counsel in the foreign action as agent for such Warrant holder.</w:t>
      </w:r>
    </w:p>
    <w:p>
      <w:pPr>
        <w:spacing w:after="0" w:line="16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Any such process or summons to be served upon the Company or the Warrant Agent may be served by transmitting a copy thereof by registered or certified mail, return receipt requested, postage prepaid, addressed to it at the address set forth in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hereof. Such mailing shall be deemed personal service and shall be legal and binding upon the party receiving such service in any action, proceeding, or claim.</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Persons Having Rights under this Warrant Agreement</w:t>
      </w:r>
      <w:r>
        <w:rPr>
          <w:rFonts w:ascii="Arial" w:cs="Arial" w:eastAsia="Arial" w:hAnsi="Arial"/>
          <w:sz w:val="18"/>
          <w:szCs w:val="18"/>
          <w:color w:val="auto"/>
        </w:rPr>
        <w:t xml:space="preserve">. Nothing in this Warrant Agreement expressed and nothing that may be implied from any of the provisions hereof is intended, or shall be construed, to confer upon, or give to, any person or corporation other than the parties hereto and the Registered Holders of the Warrants and, for the purposes of </w:t>
      </w:r>
      <w:r>
        <w:rPr>
          <w:rFonts w:ascii="Arial" w:cs="Arial" w:eastAsia="Arial" w:hAnsi="Arial"/>
          <w:sz w:val="18"/>
          <w:szCs w:val="18"/>
          <w:u w:val="single" w:color="auto"/>
          <w:color w:val="auto"/>
        </w:rPr>
        <w:t>Sections 2.5</w:t>
      </w:r>
      <w:r>
        <w:rPr>
          <w:rFonts w:ascii="Arial" w:cs="Arial" w:eastAsia="Arial" w:hAnsi="Arial"/>
          <w:sz w:val="18"/>
          <w:szCs w:val="18"/>
          <w:color w:val="auto"/>
        </w:rPr>
        <w:t xml:space="preserve"> hereof, the Representative and the underwriters, any right, remedy, or claim under or by reason of this Warrant Agreement or of any covenant, condition, stipulation, promise, or agreement hereof. All covenants, conditions, stipulations, promises, and agreements contained in this Warrant Agreement shall be for the sole and exclusive benefit of the parties hereto and their successors and assigns and of the Registered Holders of the Warrants.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Warrant Agreement shall be available at all reasonable times at the office of the Warrant Agent in the Borough of Manhattan, City and State of New York, for inspection by the Registered Holder of any Warrant. The Warrant Agent may require any such Registered Holder to submit his, her or its Warrant for inspection.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Counterparts- Facsimile Signatures</w:t>
      </w:r>
      <w:r>
        <w:rPr>
          <w:rFonts w:ascii="Arial" w:cs="Arial" w:eastAsia="Arial" w:hAnsi="Arial"/>
          <w:sz w:val="18"/>
          <w:szCs w:val="18"/>
          <w:color w:val="auto"/>
        </w:rPr>
        <w:t>. This Warrant Agreement may be executed in any number of counterparts, and each of such counterparts shall, for all purposes, be deemed to be an original, and all such counterparts shall together constitute one and the same instrument. Facsimile signatures shall constitute original signatures for all purposes of this Warrant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Warrant Agreement and shall not affect the interpretation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9" w:name="page240"/>
    <w:bookmarkEnd w:id="239"/>
    <w:p>
      <w:pPr>
        <w:jc w:val="both"/>
        <w:ind w:firstLine="648"/>
        <w:spacing w:after="0" w:line="286"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Amendments</w:t>
      </w:r>
      <w:r>
        <w:rPr>
          <w:rFonts w:ascii="Arial" w:cs="Arial" w:eastAsia="Arial" w:hAnsi="Arial"/>
          <w:sz w:val="16"/>
          <w:szCs w:val="16"/>
          <w:color w:val="auto"/>
        </w:rPr>
        <w:t xml:space="preserve">. This Warrant Agreement and any Warrant certificate may be amended by the parties hereto by executing a supplemental warrant agreement, without the consent of any of the Warrant holders, for the purpose of (i) curing any ambiguity, or curing, correcting or supplementing any defective provision contained herein, or making any other provisions with respect to matters or questions arising under this Warrant Agreement that is not inconsistent with the provisions of this Warrant Agreement or the Warrant certificates, (ii) evidencing the succession of another corporation to the Company and the assumption by any such successor of the covenants of the Company contained in this Warrant Agreement and the Warrants, (iii) evidencing and providing for the acceptance of appointment by a successor Warrant Agent with respect to the Warrants, (iv) adding to the covenants of the Company for the benefit of the Registered Holders or surrendering any right or power conferred upon the Company under this Warrant Agreement, or (v) amending this Warrant Agreement and the Warrants in any manner that the Company may deem to be necessary or desirable and that will not adversely affect the interests of the Registered Holders in any material respect. All other modifications or amendments to this Warrant Agreement, including any amendment to increase the Warrant Price or shorten the Exercise Period, shall require the written consent of the Registered Holders of a majority of the then outstanding Public Warrants, and with respect to any amendment to the terms of only the Private Warrants, shall require the vote or written consent of the registered Holders of a majority of the then outstanding Private Warrants, as applicable. Notwithstanding the foregoing, the Company may extend the duration of the Exercise Period in accordance with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without such consent.</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w:t>
      </w:r>
      <w:r>
        <w:rPr>
          <w:rFonts w:ascii="Arial" w:cs="Arial" w:eastAsia="Arial" w:hAnsi="Arial"/>
          <w:sz w:val="18"/>
          <w:szCs w:val="18"/>
          <w:color w:val="auto"/>
        </w:rPr>
        <w:t>. This Warrant Agreement shall be deemed severable, and the invalidity or unenforceability of any term or provision hereof shall not affect the validity or enforceability of this Warrant Agreement or of any other term or provision hereof. Furthermore, in lieu of any such invalid or unenforceable term or provision, the parties hereto intend that there shall be added as a part of this Warrant Agreement a provision as similar in terms to such invalid or unenforceable provision as may be possible and be valid and enforceable.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0" w:name="page241"/>
    <w:bookmarkEnd w:id="240"/>
    <w:p>
      <w:pPr>
        <w:spacing w:after="0"/>
        <w:rPr>
          <w:sz w:val="20"/>
          <w:szCs w:val="20"/>
          <w:color w:val="auto"/>
        </w:rPr>
      </w:pPr>
      <w:r>
        <w:rPr>
          <w:rFonts w:ascii="Arial" w:cs="Arial" w:eastAsia="Arial" w:hAnsi="Arial"/>
          <w:sz w:val="17"/>
          <w:szCs w:val="17"/>
          <w:color w:val="auto"/>
        </w:rPr>
        <w:t>IN WITNESS WHEREOF, this Warrant Agreement has been duly executed by the parties hereto as of the day and year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CONTINENTAL STOCK TRANSFER &amp; TRUST COMPANY</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180"/>
        <w:spacing w:after="0"/>
        <w:rPr>
          <w:sz w:val="20"/>
          <w:szCs w:val="20"/>
          <w:color w:val="auto"/>
        </w:rPr>
      </w:pPr>
      <w:r>
        <w:rPr>
          <w:rFonts w:ascii="Arial" w:cs="Arial" w:eastAsia="Arial" w:hAnsi="Arial"/>
          <w:sz w:val="18"/>
          <w:szCs w:val="18"/>
          <w:i w:val="1"/>
          <w:iCs w:val="1"/>
          <w:color w:val="auto"/>
        </w:rPr>
        <w:t>[Signature Page to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60"/>
          </w:cols>
          <w:pgMar w:left="320" w:top="908" w:right="111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entered into as of the [●] day of [●], 2021, by and among Chardan NexTech Acquisition 2 Corp.,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the undersigned parties listed under Investor on the signature page hereto (each, an “Investor” and collectively, the “</w:t>
      </w:r>
      <w:r>
        <w:rPr>
          <w:rFonts w:ascii="Arial" w:cs="Arial" w:eastAsia="Arial" w:hAnsi="Arial"/>
          <w:sz w:val="18"/>
          <w:szCs w:val="18"/>
          <w:b w:val="1"/>
          <w:bCs w:val="1"/>
          <w:u w:val="single" w:color="auto"/>
          <w:color w:val="auto"/>
        </w:rPr>
        <w:t>Investors</w:t>
      </w:r>
      <w:r>
        <w:rPr>
          <w:rFonts w:ascii="Arial" w:cs="Arial" w:eastAsia="Arial" w:hAnsi="Arial"/>
          <w:sz w:val="18"/>
          <w:szCs w:val="18"/>
          <w:color w:val="auto"/>
        </w:rPr>
        <w:t>”).</w:t>
      </w:r>
    </w:p>
    <w:p>
      <w:pPr>
        <w:spacing w:after="0" w:line="18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Investors and the Company desire to enter into this Agreement to provide the Investors with certain rights relating to the registration of the securities held by them as of the date 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capitalized terms used herein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means this Agreement, as amended, restated, supplemented, or otherwise modified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Combination</w:t>
      </w:r>
      <w:r>
        <w:rPr>
          <w:rFonts w:ascii="Arial" w:cs="Arial" w:eastAsia="Arial" w:hAnsi="Arial"/>
          <w:sz w:val="18"/>
          <w:szCs w:val="18"/>
          <w:color w:val="auto"/>
        </w:rPr>
        <w:t>” means the acquisition of direct or indirect ownership through a merger, share exchange, asset acquisition, share purchase, recapitalization, reorganization or other similar type of transaction, of one or more businesses or entities.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means the Securities and Exchange Commission, or any other Federal agency then administering the Securities Act or the Exchange 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means the common stock, par value $0.0001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 Registration</w:t>
      </w:r>
      <w:r>
        <w:rPr>
          <w:rFonts w:ascii="Arial" w:cs="Arial" w:eastAsia="Arial" w:hAnsi="Arial"/>
          <w:sz w:val="18"/>
          <w:szCs w:val="18"/>
          <w:color w:val="auto"/>
        </w:rPr>
        <w:t>” is defined in Section 2.1.1.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Demanding Holder</w:t>
      </w:r>
      <w:r>
        <w:rPr>
          <w:rFonts w:ascii="Arial" w:cs="Arial" w:eastAsia="Arial" w:hAnsi="Arial"/>
          <w:sz w:val="18"/>
          <w:szCs w:val="18"/>
          <w:color w:val="auto"/>
        </w:rPr>
        <w:t>” is defined in Section 2.1.1.</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and the rules and regulations of the Commission promulgated thereunder, all as the same shall be in effect at the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Form S-3</w:t>
      </w:r>
      <w:r>
        <w:rPr>
          <w:rFonts w:ascii="Arial" w:cs="Arial" w:eastAsia="Arial" w:hAnsi="Arial"/>
          <w:sz w:val="18"/>
          <w:szCs w:val="18"/>
          <w:color w:val="auto"/>
        </w:rPr>
        <w:t>” is defined in Section 2.3.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Party</w:t>
      </w:r>
      <w:r>
        <w:rPr>
          <w:rFonts w:ascii="Arial" w:cs="Arial" w:eastAsia="Arial" w:hAnsi="Arial"/>
          <w:sz w:val="18"/>
          <w:szCs w:val="18"/>
          <w:color w:val="auto"/>
        </w:rPr>
        <w:t>” is defined in Section 4.3.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Indemnifying Party</w:t>
      </w:r>
      <w:r>
        <w:rPr>
          <w:rFonts w:ascii="Arial" w:cs="Arial" w:eastAsia="Arial" w:hAnsi="Arial"/>
          <w:sz w:val="18"/>
          <w:szCs w:val="18"/>
          <w:color w:val="auto"/>
        </w:rPr>
        <w:t>” is defined in Section 4.3.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Initial Shares</w:t>
      </w:r>
      <w:r>
        <w:rPr>
          <w:rFonts w:ascii="Arial" w:cs="Arial" w:eastAsia="Arial" w:hAnsi="Arial"/>
          <w:sz w:val="16"/>
          <w:szCs w:val="16"/>
          <w:color w:val="auto"/>
        </w:rPr>
        <w:t>” means all of the outstanding shares of Common Stock issued prior to the consummation of the Company’s initial public offering.</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 Indemnified Party</w:t>
      </w:r>
      <w:r>
        <w:rPr>
          <w:rFonts w:ascii="Arial" w:cs="Arial" w:eastAsia="Arial" w:hAnsi="Arial"/>
          <w:sz w:val="18"/>
          <w:szCs w:val="18"/>
          <w:color w:val="auto"/>
        </w:rPr>
        <w:t>” is defined in Section 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Maximum Number of Shares</w:t>
      </w:r>
      <w:r>
        <w:rPr>
          <w:rFonts w:ascii="Arial" w:cs="Arial" w:eastAsia="Arial" w:hAnsi="Arial"/>
          <w:sz w:val="18"/>
          <w:szCs w:val="18"/>
          <w:color w:val="auto"/>
        </w:rPr>
        <w:t>” is defined in Section 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2" w:name="page243"/>
    <w:bookmarkEnd w:id="24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is defined in Section 6.3.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Registration</w:t>
      </w:r>
      <w:r>
        <w:rPr>
          <w:rFonts w:ascii="Arial" w:cs="Arial" w:eastAsia="Arial" w:hAnsi="Arial"/>
          <w:sz w:val="18"/>
          <w:szCs w:val="18"/>
          <w:color w:val="auto"/>
        </w:rPr>
        <w:t>” is defined in Section 2.2.1.</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Private Warrants</w:t>
      </w:r>
      <w:r>
        <w:rPr>
          <w:rFonts w:ascii="Arial" w:cs="Arial" w:eastAsia="Arial" w:hAnsi="Arial"/>
          <w:sz w:val="17"/>
          <w:szCs w:val="17"/>
          <w:color w:val="auto"/>
        </w:rPr>
        <w:t>” means the 4,200,000 (or up to 4,385,185 depending on the extent to which the Underwriters’ overallotment option is exercised) Warrants the Investors are privately purchasing simultaneously with the consummation of the Company’s initial public offering.</w:t>
      </w:r>
    </w:p>
    <w:p>
      <w:pPr>
        <w:spacing w:after="0" w:line="14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Register</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Registered</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Registration</w:t>
      </w:r>
      <w:r>
        <w:rPr>
          <w:rFonts w:ascii="Arial" w:cs="Arial" w:eastAsia="Arial" w:hAnsi="Arial"/>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Registrable Securities</w:t>
      </w:r>
      <w:r>
        <w:rPr>
          <w:rFonts w:ascii="Arial" w:cs="Arial" w:eastAsia="Arial" w:hAnsi="Arial"/>
          <w:sz w:val="16"/>
          <w:szCs w:val="16"/>
          <w:color w:val="auto"/>
        </w:rPr>
        <w:t>” means (i) the Initial Shares and (ii) the Private Warrants (and underlying shares of Common Stock). Registrable Securities include any warrants, shares of capital stock or other securities of the Company issued as a dividend or other distribution with respect to or in exchange for or in replacement of such Initial Shares and Private Warrants (and underlying shares of Common Stock).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 (c) such securities shall have ceased to be outstanding, or (d) the Registrable Securities are freely saleable under Rule 144 without volume limitations.</w:t>
      </w:r>
    </w:p>
    <w:p>
      <w:pPr>
        <w:spacing w:after="0" w:line="15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Registration Statement</w:t>
      </w:r>
      <w:r>
        <w:rPr>
          <w:rFonts w:ascii="Arial" w:cs="Arial" w:eastAsia="Arial" w:hAnsi="Arial"/>
          <w:sz w:val="17"/>
          <w:szCs w:val="17"/>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Release Date</w:t>
      </w:r>
      <w:r>
        <w:rPr>
          <w:rFonts w:ascii="Arial" w:cs="Arial" w:eastAsia="Arial" w:hAnsi="Arial"/>
          <w:sz w:val="18"/>
          <w:szCs w:val="18"/>
          <w:color w:val="auto"/>
        </w:rPr>
        <w:t>” means the date on which the Initial Shares are disbursed from escrow pursuant to Section 3 of that certain Stock Escrow Agreement dated as of [●], 2021 by and among the Investors and Continental Stock Transfer &amp; Trust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as amended, and the rules and regulations of the Commission promulgated thereunder, all as the same shall be in effect at the time.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Underwriter</w:t>
      </w:r>
      <w:r>
        <w:rPr>
          <w:rFonts w:ascii="Arial" w:cs="Arial" w:eastAsia="Arial" w:hAnsi="Arial"/>
          <w:sz w:val="18"/>
          <w:szCs w:val="18"/>
          <w:color w:val="auto"/>
        </w:rPr>
        <w:t>” means a securities dealer who purchases any Registrable Securities as principal in an underwritten offering and not as part of such dealer’s market-making activities.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Units</w:t>
      </w:r>
      <w:r>
        <w:rPr>
          <w:rFonts w:ascii="Arial" w:cs="Arial" w:eastAsia="Arial" w:hAnsi="Arial"/>
          <w:sz w:val="18"/>
          <w:szCs w:val="18"/>
          <w:color w:val="auto"/>
        </w:rPr>
        <w:t>” means the units of the Company, each comprised of one share of Common Stock and one Warrant entitling the holder to purchase one-half of one share of Common Stock.</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Warrant(s)</w:t>
      </w:r>
      <w:r>
        <w:rPr>
          <w:rFonts w:ascii="Arial" w:cs="Arial" w:eastAsia="Arial" w:hAnsi="Arial"/>
          <w:sz w:val="18"/>
          <w:szCs w:val="18"/>
          <w:color w:val="auto"/>
        </w:rPr>
        <w:t>” means the warrants of the Company.</w:t>
      </w:r>
    </w:p>
    <w:p>
      <w:pPr>
        <w:spacing w:after="0" w:line="229" w:lineRule="exact"/>
        <w:rPr>
          <w:sz w:val="20"/>
          <w:szCs w:val="20"/>
          <w:color w:val="auto"/>
        </w:rPr>
      </w:pPr>
    </w:p>
    <w:p>
      <w:pPr>
        <w:ind w:left="840" w:hanging="184"/>
        <w:spacing w:after="0"/>
        <w:tabs>
          <w:tab w:leader="none" w:pos="84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87"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At any time and from time to time on or after (i) the date that the Company consummates a Business Combination with respect to the Private Warrants or (ii) three months prior to the Release Date with respect to all other Registrable Securities, but prior to the five-year anniversary of the effective date of the Company’s Form S-1 Registration Statement (File No. 333-254010) (the “</w:t>
      </w:r>
      <w:r>
        <w:rPr>
          <w:rFonts w:ascii="Arial" w:cs="Arial" w:eastAsia="Arial" w:hAnsi="Arial"/>
          <w:sz w:val="16"/>
          <w:szCs w:val="16"/>
          <w:b w:val="1"/>
          <w:bCs w:val="1"/>
          <w:u w:val="single" w:color="auto"/>
          <w:color w:val="auto"/>
        </w:rPr>
        <w:t>Effective Date</w:t>
      </w:r>
      <w:r>
        <w:rPr>
          <w:rFonts w:ascii="Arial" w:cs="Arial" w:eastAsia="Arial" w:hAnsi="Arial"/>
          <w:sz w:val="16"/>
          <w:szCs w:val="16"/>
          <w:color w:val="auto"/>
        </w:rPr>
        <w:t>”), the holders of a majority-in-interest of the Initial Shares, may make a written demand for registration under the Securities Act of all or part of their Private Warrants or other Registrable Securities, as the case may be (a “</w:t>
      </w:r>
      <w:r>
        <w:rPr>
          <w:rFonts w:ascii="Arial" w:cs="Arial" w:eastAsia="Arial" w:hAnsi="Arial"/>
          <w:sz w:val="16"/>
          <w:szCs w:val="16"/>
          <w:b w:val="1"/>
          <w:bCs w:val="1"/>
          <w:u w:val="single" w:color="auto"/>
          <w:color w:val="auto"/>
        </w:rPr>
        <w:t>Demand Registration</w:t>
      </w:r>
      <w:r>
        <w:rPr>
          <w:rFonts w:ascii="Arial" w:cs="Arial" w:eastAsia="Arial" w:hAnsi="Arial"/>
          <w:sz w:val="16"/>
          <w:szCs w:val="16"/>
          <w:color w:val="auto"/>
        </w:rPr>
        <w:t>”). Any demand for a Demand Registration shall specify the number of shares of Registrable Securities proposed to be sold and the intended method(s) of distribution thereof. The Company will notify all holders of Registrable Securities of the demand, and each holder of Registrable Securities who wishes to include all or a portion of such holder’s Registrable Securities in the Demand Registration (each such holder including shares of Registrable Securities in such registration, a “</w:t>
      </w:r>
      <w:r>
        <w:rPr>
          <w:rFonts w:ascii="Arial" w:cs="Arial" w:eastAsia="Arial" w:hAnsi="Arial"/>
          <w:sz w:val="16"/>
          <w:szCs w:val="16"/>
          <w:b w:val="1"/>
          <w:bCs w:val="1"/>
          <w:u w:val="single" w:color="auto"/>
          <w:color w:val="auto"/>
        </w:rPr>
        <w:t>Demanding Holder</w:t>
      </w:r>
      <w:r>
        <w:rPr>
          <w:rFonts w:ascii="Arial" w:cs="Arial" w:eastAsia="Arial" w:hAnsi="Arial"/>
          <w:sz w:val="16"/>
          <w:szCs w:val="16"/>
          <w:color w:val="auto"/>
        </w:rPr>
        <w:t>”) shall so notify the Company within fifteen (15) days after the receipt by the holder of the notice from the Company. Upon any such request, the Demanding Holders shall be entitled to have their Registrable Securities included in the Demand Registration, subject to Section 2.1.4 and the provisos set forth in Section 3.1.1. The Company shall not be obligated to effect more than one (1) Demand Registration under this Section 2.1.1 in respect of all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3" w:name="page244"/>
    <w:bookmarkEnd w:id="243"/>
    <w:p>
      <w:pPr>
        <w:jc w:val="both"/>
        <w:ind w:firstLine="1944"/>
        <w:spacing w:after="0" w:line="271"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the Company shall not be obligated to file a second Registration Statement until a Registration Statement that has been filed is counted as a Demand Registration or is terminated.</w:t>
      </w:r>
    </w:p>
    <w:p>
      <w:pPr>
        <w:spacing w:after="0" w:line="178" w:lineRule="exact"/>
        <w:rPr>
          <w:sz w:val="20"/>
          <w:szCs w:val="20"/>
          <w:color w:val="auto"/>
        </w:rPr>
      </w:pPr>
    </w:p>
    <w:p>
      <w:pPr>
        <w:jc w:val="both"/>
        <w:ind w:firstLine="1944"/>
        <w:spacing w:after="0" w:line="25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If a majority-in-interest of the Demanding Holders so elect and such holders so advise the Company as part of their written demand for a Demand Registration, the offering of such Registrable Securities pursuant to such Demand Registration shall be in the form of an underwritten offering.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a majority-in-interest of the holders initiating the Demand Registration.</w:t>
      </w:r>
    </w:p>
    <w:p>
      <w:pPr>
        <w:spacing w:after="0" w:line="195"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Reduction of Offering</w:t>
      </w:r>
      <w:r>
        <w:rPr>
          <w:rFonts w:ascii="Arial" w:cs="Arial" w:eastAsia="Arial" w:hAnsi="Arial"/>
          <w:sz w:val="16"/>
          <w:szCs w:val="16"/>
          <w:color w:val="auto"/>
        </w:rPr>
        <w:t>. If the managing Underwriter or Underwriters for a Demand Registration that is to be an underwritten offering advises the Company and the Demanding Holders in writing that the dollar amount or number of shares of Registrable Securities which the Demanding Holders desire to sell, taken together with all other shares of Common Stock or other securities which the Company desires to sell and the shares of Common Stock, if any, as to which registration has been requested pursuant to written contractual piggy-back registration rights held by other shareholders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Arial" w:cs="Arial" w:eastAsia="Arial" w:hAnsi="Arial"/>
          <w:sz w:val="16"/>
          <w:szCs w:val="16"/>
          <w:b w:val="1"/>
          <w:bCs w:val="1"/>
          <w:u w:val="single" w:color="auto"/>
          <w:color w:val="auto"/>
        </w:rPr>
        <w:t>Maximum Number of Shares</w:t>
      </w:r>
      <w:r>
        <w:rPr>
          <w:rFonts w:ascii="Arial" w:cs="Arial" w:eastAsia="Arial" w:hAnsi="Arial"/>
          <w:sz w:val="16"/>
          <w:szCs w:val="16"/>
          <w:color w:val="auto"/>
        </w:rPr>
        <w:t>”), then the Company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Arial" w:cs="Arial" w:eastAsia="Arial" w:hAnsi="Arial"/>
          <w:sz w:val="16"/>
          <w:szCs w:val="16"/>
          <w:b w:val="1"/>
          <w:bCs w:val="1"/>
          <w:u w:val="single" w:color="auto"/>
          <w:color w:val="auto"/>
        </w:rPr>
        <w:t>Pro Rata</w:t>
      </w:r>
      <w:r>
        <w:rPr>
          <w:rFonts w:ascii="Arial" w:cs="Arial" w:eastAsia="Arial" w:hAnsi="Arial"/>
          <w:sz w:val="16"/>
          <w:szCs w:val="16"/>
          <w:color w:val="auto"/>
        </w:rPr>
        <w:t>”)) that can be sold without exceeding the Maximum Number of Shares; (ii) second, to the extent that the Maximum Number of Shares has not been reached under the foregoing clause (i), the shares of Common Stock or other securities that the Company desires to sell that can be sold without exceeding the Maximum Number of Shares; and (iii) third, to the extent that the Maximum Number of Shares has not been reached under the foregoing clauses (i) and (ii), the shares of Common Stock or other securities for the account of other persons that the Company is obligated to register pursuant to written contractual arrangements with such persons and that can be sold without exceeding the Maximum Number of Shares.</w:t>
      </w:r>
    </w:p>
    <w:p>
      <w:pPr>
        <w:spacing w:after="0" w:line="171"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Withdrawal</w:t>
      </w:r>
      <w:r>
        <w:rPr>
          <w:rFonts w:ascii="Arial" w:cs="Arial" w:eastAsia="Arial" w:hAnsi="Arial"/>
          <w:sz w:val="18"/>
          <w:szCs w:val="18"/>
          <w:color w:val="auto"/>
        </w:rPr>
        <w:t>. If a majority-in-interest of the Demanding Holders disapprove of the terms of any underwriting or are not entitled to include all of their Registrable Securities in any offering, such majority-in-interest of the Demanding Holders may elect to withdraw from such offering by giving written notice to the Company and the Underwriter or Underwriters of their request to withdraw prior to the effectiveness of the Registration Statement filed with the Commission with respect to such Demand Registration. If the majority-in-interest of the Demanding Holders withdraws from a proposed offering relating to a Demand Registration, then such registration shall not count as a Demand Registration provided for in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4" w:name="page245"/>
    <w:bookmarkEnd w:id="244"/>
    <w:p>
      <w:pPr>
        <w:ind w:left="130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85"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Section 2.1), other than a Registration Statement (i) filed in connection with any employee stock option or other benefit plan, (ii) for an exchange offer or offering of securities solely to the Company’s existing shareholders,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 Notwithstanding the provisions set forth in the immediately preceding sentences, the right to a Piggy-Back Registration set forth under this Section 2.2.1 with respect to the Registrable Securities shall terminate on the seventh anniversary of the Effective Date.</w:t>
      </w:r>
    </w:p>
    <w:p>
      <w:pPr>
        <w:spacing w:after="0" w:line="390" w:lineRule="exact"/>
        <w:rPr>
          <w:sz w:val="20"/>
          <w:szCs w:val="20"/>
          <w:color w:val="auto"/>
        </w:rPr>
      </w:pPr>
    </w:p>
    <w:p>
      <w:pPr>
        <w:jc w:val="both"/>
        <w:ind w:firstLine="1944"/>
        <w:spacing w:after="0" w:line="254"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Reduction of Offering</w:t>
      </w:r>
      <w:r>
        <w:rPr>
          <w:rFonts w:ascii="Arial" w:cs="Arial" w:eastAsia="Arial" w:hAnsi="Arial"/>
          <w:sz w:val="18"/>
          <w:szCs w:val="18"/>
          <w:color w:val="auto"/>
        </w:rPr>
        <w:t>. If the managing Underwriter or Underwriters for a Piggy-Back Registration that is to be an underwritten offering advises the Company and the holders of Registrable Securities in writing that the dollar amount or number of shares of Common Stock which the Company desires to sell, taken together with the shares of Common Stock, if any, as to which registration has been demanded pursuant to written contractual arrangements with persons other than the holders of Registrable Securities hereunder, the Registrable Securities as to which registration has been requested under this Section 2.2, and the shares of Common Stock, if any, as to which registration has been requested pursuant to the written contractual piggy-back registration rights of other shareholders of the Company, exceeds the Maximum Number of Shares, then the Company shall include in any such registration:</w:t>
      </w:r>
    </w:p>
    <w:p>
      <w:pPr>
        <w:spacing w:after="0" w:line="195" w:lineRule="exact"/>
        <w:rPr>
          <w:sz w:val="20"/>
          <w:szCs w:val="20"/>
          <w:color w:val="auto"/>
        </w:rPr>
      </w:pPr>
    </w:p>
    <w:p>
      <w:pPr>
        <w:jc w:val="both"/>
        <w:ind w:left="1960" w:firstLine="640"/>
        <w:spacing w:after="0" w:line="270" w:lineRule="auto"/>
        <w:tabs>
          <w:tab w:leader="none" w:pos="289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If the registration is undertaken for the Company’s account: (A) first, the shares of Common Stock or other securities that the Company desires to sell that can be sold without exceeding the Maximum Number of Shares; (B) second,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such security holders, Pro Rata, that can be sold without exceeding the Maximum Number of Shares; and (C) third, to the extent that the Maximum Number of shares has not been reached under the foregoing clauses (A) and (B), the shares of Common Stock or other securities for the account of other persons that the Company is obligated to register pursuant to written contractual piggy-back registration rights with such persons and that can be sold without exceeding the Maximum Number of Shares;</w:t>
      </w:r>
    </w:p>
    <w:p>
      <w:pPr>
        <w:spacing w:after="0" w:line="180" w:lineRule="exact"/>
        <w:rPr>
          <w:rFonts w:ascii="Arial" w:cs="Arial" w:eastAsia="Arial" w:hAnsi="Arial"/>
          <w:sz w:val="17"/>
          <w:szCs w:val="17"/>
          <w:color w:val="auto"/>
        </w:rPr>
      </w:pPr>
    </w:p>
    <w:p>
      <w:pPr>
        <w:jc w:val="both"/>
        <w:ind w:left="1960" w:firstLine="640"/>
        <w:spacing w:after="0" w:line="287" w:lineRule="auto"/>
        <w:tabs>
          <w:tab w:leader="none" w:pos="2876"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If the registration is a “demand” registration undertaken at the demand of persons other than either the holders of Registrable Securities, (A) first, the shares of Common Stock or other securities for the account of the demanding persons that can be sold without exceeding the Maximum Number of Shares; (B) second, to the extent that the Maximum Number of Shares has not been reached under the foregoing clause (A), the shares of Common Stock or other securities that the Company desires to sell that can be sold without exceeding the Maximum Number of Shares; (C) third, to the extent that the Maximum Number of Shares has not been reached under the foregoing clauses (A) and (B), collectively the shares of Common Stock or other securities comprised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shares of Common Stock or other securities for the account of other persons that the Company is obligated to register pursuant to written contractual arrangements with such persons, that can be sold without exceeding the Maximum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5" w:name="page246"/>
    <w:bookmarkEnd w:id="245"/>
    <w:p>
      <w:pPr>
        <w:jc w:val="both"/>
        <w:ind w:firstLine="1944"/>
        <w:spacing w:after="0" w:line="255"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Withdrawal</w:t>
      </w:r>
      <w:r>
        <w:rPr>
          <w:rFonts w:ascii="Arial" w:cs="Arial" w:eastAsia="Arial" w:hAnsi="Arial"/>
          <w:sz w:val="18"/>
          <w:szCs w:val="18"/>
          <w:color w:val="auto"/>
        </w:rPr>
        <w:t>.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Section 3.3.</w:t>
      </w:r>
    </w:p>
    <w:p>
      <w:pPr>
        <w:spacing w:after="0" w:line="192" w:lineRule="exact"/>
        <w:rPr>
          <w:sz w:val="20"/>
          <w:szCs w:val="20"/>
          <w:color w:val="auto"/>
        </w:rPr>
      </w:pPr>
    </w:p>
    <w:p>
      <w:pPr>
        <w:jc w:val="both"/>
        <w:ind w:firstLine="1944"/>
        <w:spacing w:after="0" w:line="287"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Registrations on Form S-3</w:t>
      </w:r>
      <w:r>
        <w:rPr>
          <w:rFonts w:ascii="Arial" w:cs="Arial" w:eastAsia="Arial" w:hAnsi="Arial"/>
          <w:sz w:val="16"/>
          <w:szCs w:val="16"/>
          <w:color w:val="auto"/>
        </w:rPr>
        <w:t>. The holders of Registrable Securities may at any time and from time to time, request in writing that the Company register the resale of any or all of such Registrable Securities on Form S-3 or any similar short-form registration which may be available at such time (“</w:t>
      </w:r>
      <w:r>
        <w:rPr>
          <w:rFonts w:ascii="Arial" w:cs="Arial" w:eastAsia="Arial" w:hAnsi="Arial"/>
          <w:sz w:val="16"/>
          <w:szCs w:val="16"/>
          <w:b w:val="1"/>
          <w:bCs w:val="1"/>
          <w:u w:val="single" w:color="auto"/>
          <w:color w:val="auto"/>
        </w:rPr>
        <w:t>Form S-3</w:t>
      </w:r>
      <w:r>
        <w:rPr>
          <w:rFonts w:ascii="Arial" w:cs="Arial" w:eastAsia="Arial" w:hAnsi="Arial"/>
          <w:sz w:val="16"/>
          <w:szCs w:val="16"/>
          <w:color w:val="auto"/>
        </w:rPr>
        <w:t>”); provided, however, that the Company shall not be obligated to effect such request through an underwritten offering. Upon receipt of such written request, the Company will promptly give written notice of the proposed registration to all other holders of Registrable Securities, and, as soon as practicable thereafter, effect the registration of all or such portion of such holder’s or holders’ Registrable Securities as are specified in such request, together with all or such portion of the Registrable Securities or other securities of the Company, if any, of any other holder or holders joining in such request as are specified in a written request given within fifteen (15) days after receipt of such written notice from the Company; provided, however, that the Company shall not be obligated to effect any such registration pursuant to this Section 2.3: (i) if Form S-3 is not available for such offering; or (ii) if the holders of the Registrable Securities, together with the holders of any other securities of the Company entitled to inclusion in such registration, propose to sell Registrable Securities and such other securities (if any) at any aggregate price to the public of less than $500,000. Registrations effected pursuant to this Section 2.3 shall not be counted as Demand Registrations effected pursuant to Section 2.1.</w:t>
      </w:r>
    </w:p>
    <w:p>
      <w:pPr>
        <w:spacing w:after="0" w:line="172" w:lineRule="exact"/>
        <w:rPr>
          <w:sz w:val="20"/>
          <w:szCs w:val="20"/>
          <w:color w:val="auto"/>
        </w:rPr>
      </w:pPr>
    </w:p>
    <w:p>
      <w:pPr>
        <w:ind w:left="840" w:hanging="184"/>
        <w:spacing w:after="0"/>
        <w:tabs>
          <w:tab w:leader="none" w:pos="84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Filings; Information</w:t>
      </w:r>
      <w:r>
        <w:rPr>
          <w:rFonts w:ascii="Arial" w:cs="Arial" w:eastAsia="Arial" w:hAnsi="Arial"/>
          <w:sz w:val="18"/>
          <w:szCs w:val="18"/>
          <w:color w:val="auto"/>
        </w:rPr>
        <w:t>. Whenever the Company is required to effect the registration of any Registrable Securities pursuant to Section 2, the Company shall use its best efforts to effect the registration and sale of such Registrable Securities in accordance with the intended method(s) of distribution thereof as expeditiously as practicable, and in connection with any such request:</w:t>
      </w:r>
    </w:p>
    <w:p>
      <w:pPr>
        <w:spacing w:after="0" w:line="184" w:lineRule="exact"/>
        <w:rPr>
          <w:sz w:val="20"/>
          <w:szCs w:val="20"/>
          <w:color w:val="auto"/>
        </w:rPr>
      </w:pPr>
    </w:p>
    <w:p>
      <w:pPr>
        <w:jc w:val="both"/>
        <w:ind w:firstLine="1944"/>
        <w:spacing w:after="0" w:line="253"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Filing Registration Statement</w:t>
      </w:r>
      <w:r>
        <w:rPr>
          <w:rFonts w:ascii="Arial" w:cs="Arial" w:eastAsia="Arial" w:hAnsi="Arial"/>
          <w:sz w:val="18"/>
          <w:szCs w:val="18"/>
          <w:color w:val="auto"/>
        </w:rPr>
        <w:t>. The Company shall use its best efforts to, as expeditiously as possible after receipt of a request for a Demand Registration pursuant to Section 2.1,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best efforts to cause such Registration Statement to become effective and use its best efforts to keep it effective for the period required by Section 3.1.3; provided, however, that the Company shall have the right to defer any Demand Registration for up to thirty (30) days, and any Piggy-Back Registration for such period as may be applicable to deferment of any demand registration to which such Piggy-Back Registration relates, in each case if the Company shall furnish to the holders a certificate signed by the President or Chairman of the Company stating that, in the good faith judgment of the Board, it would be materially detrimental to the Company and its shareholders for such Registration Statement to be effected at such time; provided further, however, that the Company shall not have the right to exercise the right set forth in the immediately preceding proviso more than once in any 365-day period in respect of a Demand Registration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6" w:name="page247"/>
    <w:bookmarkEnd w:id="246"/>
    <w:p>
      <w:pPr>
        <w:jc w:val="both"/>
        <w:ind w:firstLine="1944"/>
        <w:spacing w:after="0" w:line="273"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Copies</w:t>
      </w:r>
      <w:r>
        <w:rPr>
          <w:rFonts w:ascii="Arial" w:cs="Arial" w:eastAsia="Arial" w:hAnsi="Arial"/>
          <w:sz w:val="17"/>
          <w:szCs w:val="17"/>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178"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Amendments and Supplements</w:t>
      </w:r>
      <w:r>
        <w:rPr>
          <w:rFonts w:ascii="Arial" w:cs="Arial" w:eastAsia="Arial" w:hAnsi="Arial"/>
          <w:sz w:val="18"/>
          <w:szCs w:val="18"/>
          <w:color w:val="auto"/>
        </w:rPr>
        <w:t>.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until all Registrable Securities and other securities covered by such Registration Statement have been disposed of in accordance with the intended method(s) of distribution set forth in such Registration Statement or such securities have been withdrawn.</w:t>
      </w:r>
    </w:p>
    <w:p>
      <w:pPr>
        <w:spacing w:after="0" w:line="188"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Notification</w:t>
      </w:r>
      <w:r>
        <w:rPr>
          <w:rFonts w:ascii="Arial" w:cs="Arial" w:eastAsia="Arial" w:hAnsi="Arial"/>
          <w:sz w:val="16"/>
          <w:szCs w:val="16"/>
          <w:color w:val="auto"/>
        </w:rPr>
        <w:t>. After the filing of a Registration Statement, the Company shall promptly, and in no event more than two (2) business days after such filing, notify the holders of Registrable Securities included in such Registration Statement of such filing, and shall further notify such holders promptly and confirm such advice in writing in all events within two (2)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 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the Company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 and the Company shall not file any Registration Statement or prospectus or amendment or supplement thereto, including documents incorporated by reference, to which such holders or their legal counsel shall object.</w:t>
      </w:r>
    </w:p>
    <w:p>
      <w:pPr>
        <w:spacing w:after="0" w:line="167" w:lineRule="exact"/>
        <w:rPr>
          <w:sz w:val="20"/>
          <w:szCs w:val="20"/>
          <w:color w:val="auto"/>
        </w:rPr>
      </w:pPr>
    </w:p>
    <w:p>
      <w:pPr>
        <w:jc w:val="both"/>
        <w:ind w:firstLine="1944"/>
        <w:spacing w:after="0" w:line="271" w:lineRule="auto"/>
        <w:rPr>
          <w:sz w:val="20"/>
          <w:szCs w:val="20"/>
          <w:color w:val="auto"/>
        </w:rPr>
      </w:pPr>
      <w:r>
        <w:rPr>
          <w:rFonts w:ascii="Arial" w:cs="Arial" w:eastAsia="Arial" w:hAnsi="Arial"/>
          <w:sz w:val="17"/>
          <w:szCs w:val="17"/>
          <w:color w:val="auto"/>
        </w:rPr>
        <w:t xml:space="preserve">3.1.5 </w:t>
      </w:r>
      <w:r>
        <w:rPr>
          <w:rFonts w:ascii="Arial" w:cs="Arial" w:eastAsia="Arial" w:hAnsi="Arial"/>
          <w:sz w:val="17"/>
          <w:szCs w:val="17"/>
          <w:u w:val="single" w:color="auto"/>
          <w:color w:val="auto"/>
        </w:rPr>
        <w:t>State Securities Laws Compliance</w:t>
      </w:r>
      <w:r>
        <w:rPr>
          <w:rFonts w:ascii="Arial" w:cs="Arial" w:eastAsia="Arial" w:hAnsi="Arial"/>
          <w:sz w:val="17"/>
          <w:szCs w:val="17"/>
          <w:color w:val="auto"/>
        </w:rPr>
        <w:t>. The Company shall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but for this paragraph or subject itself to taxation in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7" w:name="page248"/>
    <w:bookmarkEnd w:id="247"/>
    <w:p>
      <w:pPr>
        <w:jc w:val="both"/>
        <w:ind w:firstLine="1944"/>
        <w:spacing w:after="0" w:line="271" w:lineRule="auto"/>
        <w:rPr>
          <w:sz w:val="20"/>
          <w:szCs w:val="20"/>
          <w:color w:val="auto"/>
        </w:rPr>
      </w:pPr>
      <w:r>
        <w:rPr>
          <w:rFonts w:ascii="Arial" w:cs="Arial" w:eastAsia="Arial" w:hAnsi="Arial"/>
          <w:sz w:val="17"/>
          <w:szCs w:val="17"/>
          <w:color w:val="auto"/>
        </w:rPr>
        <w:t xml:space="preserve">3.1.6 </w:t>
      </w:r>
      <w:r>
        <w:rPr>
          <w:rFonts w:ascii="Arial" w:cs="Arial" w:eastAsia="Arial" w:hAnsi="Arial"/>
          <w:sz w:val="17"/>
          <w:szCs w:val="17"/>
          <w:u w:val="single" w:color="auto"/>
          <w:color w:val="auto"/>
        </w:rPr>
        <w:t>Agreements for Disposition</w:t>
      </w:r>
      <w:r>
        <w:rPr>
          <w:rFonts w:ascii="Arial" w:cs="Arial" w:eastAsia="Arial" w:hAnsi="Arial"/>
          <w:sz w:val="17"/>
          <w:szCs w:val="17"/>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No holder of Registrable Securities included in such registration statement shall be required to make any representations or warranties in the underwriting agreement except, if applicable, with respect to such holder’s organization, good standing, authority, title to Registrable Securities, lack of conflict of such sale with such holder’s material agreements and organizational documents, and with respect to written information relating to such holder that such holder has furnished in writing expressly for inclusion in such Registration Statement.</w:t>
      </w:r>
    </w:p>
    <w:p>
      <w:pPr>
        <w:spacing w:after="0" w:line="178"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Cooperation</w:t>
      </w:r>
      <w:r>
        <w:rPr>
          <w:rFonts w:ascii="Arial" w:cs="Arial" w:eastAsia="Arial" w:hAnsi="Arial"/>
          <w:sz w:val="18"/>
          <w:szCs w:val="18"/>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w:t>
      </w:r>
    </w:p>
    <w:p>
      <w:pPr>
        <w:spacing w:after="0" w:line="188" w:lineRule="exact"/>
        <w:rPr>
          <w:sz w:val="20"/>
          <w:szCs w:val="20"/>
          <w:color w:val="auto"/>
        </w:rPr>
      </w:pPr>
    </w:p>
    <w:p>
      <w:pPr>
        <w:jc w:val="both"/>
        <w:ind w:firstLine="1944"/>
        <w:spacing w:after="0" w:line="296" w:lineRule="auto"/>
        <w:rPr>
          <w:sz w:val="20"/>
          <w:szCs w:val="20"/>
          <w:color w:val="auto"/>
        </w:rPr>
      </w:pPr>
      <w:r>
        <w:rPr>
          <w:rFonts w:ascii="Arial" w:cs="Arial" w:eastAsia="Arial" w:hAnsi="Arial"/>
          <w:sz w:val="16"/>
          <w:szCs w:val="16"/>
          <w:color w:val="auto"/>
        </w:rPr>
        <w:t xml:space="preserve">3.1.8 </w:t>
      </w:r>
      <w:r>
        <w:rPr>
          <w:rFonts w:ascii="Arial" w:cs="Arial" w:eastAsia="Arial" w:hAnsi="Arial"/>
          <w:sz w:val="16"/>
          <w:szCs w:val="16"/>
          <w:u w:val="single" w:color="auto"/>
          <w:color w:val="auto"/>
        </w:rPr>
        <w:t>Records</w:t>
      </w:r>
      <w:r>
        <w:rPr>
          <w:rFonts w:ascii="Arial" w:cs="Arial" w:eastAsia="Arial" w:hAnsi="Arial"/>
          <w:sz w:val="16"/>
          <w:szCs w:val="16"/>
          <w:color w:val="auto"/>
        </w:rPr>
        <w:t>.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161"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Opinions and Comfort Letters</w:t>
      </w:r>
      <w:r>
        <w:rPr>
          <w:rFonts w:ascii="Arial" w:cs="Arial" w:eastAsia="Arial" w:hAnsi="Arial"/>
          <w:sz w:val="18"/>
          <w:szCs w:val="18"/>
          <w:color w:val="auto"/>
        </w:rPr>
        <w:t>. Upon request, the Company shall furnish to each holder of Registrable Securities included in any Registration Statement a signed counterpart, addressed to such holder, of (i) any opinion of counsel to the Company delivered to any Underwriter and (ii) any comfort letter from the Company’s independent public accountants delivered to any Underwriter. In the event no legal opinion is delivered to any Underwriter, the Company shall furnish to each holder of Registrable Securities included in such Registration Statement, at any time that such holder elects to use a prospectus, an opinion of counsel to the Company to the effect that the Registration Statement containing such prospectus has been declared effective and that no stop order is in effect.</w:t>
      </w:r>
    </w:p>
    <w:p>
      <w:pPr>
        <w:spacing w:after="0" w:line="192"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 xml:space="preserve">3.1.10 </w:t>
      </w:r>
      <w:r>
        <w:rPr>
          <w:rFonts w:ascii="Arial" w:cs="Arial" w:eastAsia="Arial" w:hAnsi="Arial"/>
          <w:sz w:val="18"/>
          <w:szCs w:val="18"/>
          <w:u w:val="single" w:color="auto"/>
          <w:color w:val="auto"/>
        </w:rPr>
        <w:t>Earnings Statement</w:t>
      </w:r>
      <w:r>
        <w:rPr>
          <w:rFonts w:ascii="Arial" w:cs="Arial" w:eastAsia="Arial" w:hAnsi="Arial"/>
          <w:sz w:val="18"/>
          <w:szCs w:val="18"/>
          <w:color w:val="auto"/>
        </w:rPr>
        <w:t>. The Company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184" w:lineRule="exact"/>
        <w:rPr>
          <w:sz w:val="20"/>
          <w:szCs w:val="20"/>
          <w:color w:val="auto"/>
        </w:rPr>
      </w:pPr>
    </w:p>
    <w:p>
      <w:pPr>
        <w:jc w:val="both"/>
        <w:ind w:firstLine="1944"/>
        <w:spacing w:after="0" w:line="259" w:lineRule="auto"/>
        <w:rPr>
          <w:sz w:val="20"/>
          <w:szCs w:val="20"/>
          <w:color w:val="auto"/>
        </w:rPr>
      </w:pPr>
      <w:r>
        <w:rPr>
          <w:rFonts w:ascii="Arial" w:cs="Arial" w:eastAsia="Arial" w:hAnsi="Arial"/>
          <w:sz w:val="18"/>
          <w:szCs w:val="18"/>
          <w:color w:val="auto"/>
        </w:rPr>
        <w:t xml:space="preserve">3.1.11 </w:t>
      </w:r>
      <w:r>
        <w:rPr>
          <w:rFonts w:ascii="Arial" w:cs="Arial" w:eastAsia="Arial" w:hAnsi="Arial"/>
          <w:sz w:val="18"/>
          <w:szCs w:val="18"/>
          <w:u w:val="single" w:color="auto"/>
          <w:color w:val="auto"/>
        </w:rPr>
        <w:t>Listing</w:t>
      </w:r>
      <w:r>
        <w:rPr>
          <w:rFonts w:ascii="Arial" w:cs="Arial" w:eastAsia="Arial" w:hAnsi="Arial"/>
          <w:sz w:val="18"/>
          <w:szCs w:val="18"/>
          <w:color w:val="auto"/>
        </w:rPr>
        <w:t>. The Company shall use its best efforts to cause all Registrable Securities included in any registration to be listed on such exchanges or otherwise designated for trading in the same manner as similar securities issued by the Company are then listed or designated or, if no such similar securities are then listed or designated, in a manner satisfactory to the holders of a majority of the Registrable Securities included in such registration.</w:t>
      </w:r>
    </w:p>
    <w:p>
      <w:pPr>
        <w:spacing w:after="0" w:line="187"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 xml:space="preserve">3.1.12 </w:t>
      </w:r>
      <w:r>
        <w:rPr>
          <w:rFonts w:ascii="Arial" w:cs="Arial" w:eastAsia="Arial" w:hAnsi="Arial"/>
          <w:sz w:val="18"/>
          <w:szCs w:val="18"/>
          <w:u w:val="single" w:color="auto"/>
          <w:color w:val="auto"/>
        </w:rPr>
        <w:t>Road Show</w:t>
      </w:r>
      <w:r>
        <w:rPr>
          <w:rFonts w:ascii="Arial" w:cs="Arial" w:eastAsia="Arial" w:hAnsi="Arial"/>
          <w:sz w:val="18"/>
          <w:szCs w:val="18"/>
          <w:color w:val="auto"/>
        </w:rPr>
        <w:t>. If the registration involves the registration of Registrable Securities involving gross proceeds in excess of $5,000,000, the Company shall use its reasonable efforts to make available senior executives of the Company to participate in customary “road show” presentations that may be reasonably requested by the Underwriter in any underwritten offering.</w:t>
      </w:r>
    </w:p>
    <w:p>
      <w:pPr>
        <w:spacing w:after="0" w:line="18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Obligation to Suspend Distribution</w:t>
      </w:r>
      <w:r>
        <w:rPr>
          <w:rFonts w:ascii="Arial" w:cs="Arial" w:eastAsia="Arial" w:hAnsi="Arial"/>
          <w:sz w:val="18"/>
          <w:szCs w:val="18"/>
          <w:color w:val="auto"/>
        </w:rPr>
        <w:t>. Upon receipt of any notice from the Company of the happening of any event of the kind described in Section 3.1.4(iv), or, in the case of a resale registration on Form S-3 pursuant to Section 2.3 hereof, upon any suspension by the Company, pursuant to a written insider trading compliance program adopted by the Board,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Section 3.1.4(iv) or the restriction on the ability of “insiders” to transact in the Company’s securities is removed, as applicable, and, if so directed by the Company, each such holder will deliver to the Company all copies, other than permanent file copies then in such holder’s possession, of the most recent prospectus covering such Registrable Securities at the time of receipt of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8" w:name="page249"/>
    <w:bookmarkEnd w:id="248"/>
    <w:p>
      <w:pPr>
        <w:jc w:val="both"/>
        <w:ind w:firstLine="1296"/>
        <w:spacing w:after="0" w:line="28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The Company shall bear all costs and expenses incurred in connection with any Demand Registration pursuant to Section 2.1, any Piggy-Back Registration pursuant to Section 2.2, and any registration on Form S-3 effected pursuant to Section 2.3,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 (iv) the Company’s internal expenses (including, without limitation, all salaries and expenses of its officers and employees); (v) the fees and expenses incurred in connection with the listing of the Registrable Securities as required by Section 3.1.11; (vi) Financial Industry Regulatory Authority fees; (vii) fees and disbursements of counsel for the Company and fees and expenses for independent certified public accountants retained by the Company (including the expenses or costs associated with the delivery of any opinions or comfort letters requested pursuant to Section 3.1.9); (viii) the reasonable fees and expenses of any special experts retained by the Company in connection with such registration and (ix) the reasonable fees and expenses of one legal counsel selected by the holders of a majority-in-interest of the Registrable Securities included in such registration. The Company shall have no obligation to pay any underwriting discounts or selling commissions attributable to the Registrable Securities being sold by the holders thereof, which underwriting discounts or selling commissions shall be borne by such holders. Additionally, in an underwritten offering, all selling shareholders and the Company shall bear the expenses of the Underwriter pro rata in proportion to the respective amount of shares each is selling in such offering.</w:t>
      </w:r>
    </w:p>
    <w:p>
      <w:pPr>
        <w:spacing w:after="0" w:line="17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Information</w:t>
      </w:r>
      <w:r>
        <w:rPr>
          <w:rFonts w:ascii="Arial" w:cs="Arial" w:eastAsia="Arial" w:hAnsi="Arial"/>
          <w:sz w:val="18"/>
          <w:szCs w:val="18"/>
          <w:color w:val="auto"/>
        </w:rPr>
        <w:t>. The holders of Registrable Securities shall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pursuant to Section 2 and in connection with the Company’s obligation to comply with Federal and applicable state securities laws.</w:t>
      </w:r>
    </w:p>
    <w:p>
      <w:pPr>
        <w:spacing w:after="0" w:line="187" w:lineRule="exact"/>
        <w:rPr>
          <w:sz w:val="20"/>
          <w:szCs w:val="20"/>
          <w:color w:val="auto"/>
        </w:rPr>
      </w:pPr>
    </w:p>
    <w:p>
      <w:pPr>
        <w:ind w:left="840" w:hanging="184"/>
        <w:spacing w:after="0"/>
        <w:tabs>
          <w:tab w:leader="none" w:pos="84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Arial" w:cs="Arial" w:eastAsia="Arial" w:hAnsi="Arial"/>
          <w:sz w:val="16"/>
          <w:szCs w:val="16"/>
          <w:b w:val="1"/>
          <w:bCs w:val="1"/>
          <w:u w:val="single" w:color="auto"/>
          <w:color w:val="auto"/>
        </w:rPr>
        <w:t>Investor Indemnified Party</w:t>
      </w:r>
      <w:r>
        <w:rPr>
          <w:rFonts w:ascii="Arial" w:cs="Arial" w:eastAsia="Arial" w:hAnsi="Arial"/>
          <w:sz w:val="16"/>
          <w:szCs w:val="16"/>
          <w:color w:val="auto"/>
        </w:rPr>
        <w:t>”),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also shall indemnify any Underwriter of the Registrable Securities, their officers, affiliates, directors, partners, members and agents and each person who controls such Underwriter on substantially the same basis as that of the indemnification provided above in this Section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9" w:name="page250"/>
    <w:bookmarkEnd w:id="249"/>
    <w:p>
      <w:pPr>
        <w:jc w:val="both"/>
        <w:ind w:firstLine="1296"/>
        <w:spacing w:after="0" w:line="28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Indemnification by Holders of Registrable Securities</w:t>
      </w:r>
      <w:r>
        <w:rPr>
          <w:rFonts w:ascii="Arial" w:cs="Arial" w:eastAsia="Arial" w:hAnsi="Arial"/>
          <w:sz w:val="16"/>
          <w:szCs w:val="16"/>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Underwriter (if any), and each other selling holder and each other person, if any, who controls another selling holder or such Underwriter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if the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w:t>
      </w:r>
    </w:p>
    <w:p>
      <w:pPr>
        <w:spacing w:after="0" w:line="174"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Conduct of Indemnification Proceedings</w:t>
      </w:r>
      <w:r>
        <w:rPr>
          <w:rFonts w:ascii="Arial" w:cs="Arial" w:eastAsia="Arial" w:hAnsi="Arial"/>
          <w:sz w:val="17"/>
          <w:szCs w:val="17"/>
          <w:color w:val="auto"/>
        </w:rPr>
        <w:t>. Promptly after receipt by any person of any notice of any loss, claim, damage or liability or any action in respect of which indemnity may be sought pursuant to Section 4.1 or 4.2, such person (the “Indemnified Party”) shall, if a claim in respect thereof is to be made against any other person for indemnification hereunder, notify such other person (the “</w:t>
      </w:r>
      <w:r>
        <w:rPr>
          <w:rFonts w:ascii="Arial" w:cs="Arial" w:eastAsia="Arial" w:hAnsi="Arial"/>
          <w:sz w:val="17"/>
          <w:szCs w:val="17"/>
          <w:b w:val="1"/>
          <w:bCs w:val="1"/>
          <w:u w:val="single" w:color="auto"/>
          <w:color w:val="auto"/>
        </w:rPr>
        <w:t>Indemnifying Party</w:t>
      </w:r>
      <w:r>
        <w:rPr>
          <w:rFonts w:ascii="Arial" w:cs="Arial" w:eastAsia="Arial" w:hAnsi="Arial"/>
          <w:sz w:val="17"/>
          <w:szCs w:val="17"/>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90" w:lineRule="auto"/>
        <w:rPr>
          <w:sz w:val="20"/>
          <w:szCs w:val="20"/>
          <w:color w:val="auto"/>
        </w:rPr>
      </w:pPr>
      <w:r>
        <w:rPr>
          <w:rFonts w:ascii="Arial" w:cs="Arial" w:eastAsia="Arial" w:hAnsi="Arial"/>
          <w:sz w:val="16"/>
          <w:szCs w:val="16"/>
          <w:color w:val="auto"/>
        </w:rPr>
        <w:t>4.4.1 If the indemnification provided for in the foregoing Sections 4.1, 4.2 and 4.3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0" w:name="page251"/>
    <w:bookmarkEnd w:id="250"/>
    <w:p>
      <w:pPr>
        <w:jc w:val="both"/>
        <w:ind w:firstLine="1944"/>
        <w:spacing w:after="0" w:line="263" w:lineRule="auto"/>
        <w:rPr>
          <w:sz w:val="20"/>
          <w:szCs w:val="20"/>
          <w:color w:val="auto"/>
        </w:rPr>
      </w:pPr>
      <w:r>
        <w:rPr>
          <w:rFonts w:ascii="Arial" w:cs="Arial" w:eastAsia="Arial" w:hAnsi="Arial"/>
          <w:sz w:val="18"/>
          <w:szCs w:val="18"/>
          <w:color w:val="auto"/>
        </w:rPr>
        <w:t>4.4.2 The parties hereto agree that it would not be just and equitable if contribution pursuant to this Section 4.4 were determined by pro rata allocation or by any other method of allocation which does not take account of the equitable considerations referred to in the immediately preceding Section 4.4.1.</w:t>
      </w:r>
    </w:p>
    <w:p>
      <w:pPr>
        <w:spacing w:after="0" w:line="184" w:lineRule="exact"/>
        <w:rPr>
          <w:sz w:val="20"/>
          <w:szCs w:val="20"/>
          <w:color w:val="auto"/>
        </w:rPr>
      </w:pPr>
    </w:p>
    <w:p>
      <w:pPr>
        <w:jc w:val="both"/>
        <w:ind w:firstLine="1944"/>
        <w:spacing w:after="0" w:line="254" w:lineRule="auto"/>
        <w:rPr>
          <w:sz w:val="20"/>
          <w:szCs w:val="20"/>
          <w:color w:val="auto"/>
        </w:rPr>
      </w:pPr>
      <w:r>
        <w:rPr>
          <w:rFonts w:ascii="Arial" w:cs="Arial" w:eastAsia="Arial" w:hAnsi="Arial"/>
          <w:sz w:val="18"/>
          <w:szCs w:val="18"/>
          <w:color w:val="auto"/>
        </w:rPr>
        <w:t>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Section 4.4,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195" w:lineRule="exact"/>
        <w:rPr>
          <w:sz w:val="20"/>
          <w:szCs w:val="20"/>
          <w:color w:val="auto"/>
        </w:rPr>
      </w:pPr>
    </w:p>
    <w:p>
      <w:pPr>
        <w:ind w:left="840" w:hanging="184"/>
        <w:spacing w:after="0"/>
        <w:tabs>
          <w:tab w:leader="none" w:pos="84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RULE 144</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Rule 144</w:t>
      </w:r>
      <w:r>
        <w:rPr>
          <w:rFonts w:ascii="Arial" w:cs="Arial" w:eastAsia="Arial" w:hAnsi="Arial"/>
          <w:sz w:val="16"/>
          <w:szCs w:val="16"/>
          <w:color w:val="auto"/>
        </w:rPr>
        <w:t>. The Company covenants that it shall file any reports required to be filed by it under the Securities Act and the Exchange Act and shall take such further action as the holders of Registrable Securities may reasonably request, all to the extent required from time to time to enable such holders to sell Registrable Securities without registration under the Securities Act within the limitation of the exemptions provided by Rule 144 under the Securities Act, as such Rules may be amended from time to time, or any similar rule or regulation hereafter adopted by the Commission.</w:t>
      </w:r>
    </w:p>
    <w:p>
      <w:pPr>
        <w:spacing w:after="0" w:line="157" w:lineRule="exact"/>
        <w:rPr>
          <w:sz w:val="20"/>
          <w:szCs w:val="20"/>
          <w:color w:val="auto"/>
        </w:rPr>
      </w:pPr>
    </w:p>
    <w:p>
      <w:pPr>
        <w:ind w:left="840" w:hanging="184"/>
        <w:spacing w:after="0"/>
        <w:tabs>
          <w:tab w:leader="none" w:pos="84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Other Registration Rights</w:t>
      </w:r>
      <w:r>
        <w:rPr>
          <w:rFonts w:ascii="Arial" w:cs="Arial" w:eastAsia="Arial" w:hAnsi="Arial"/>
          <w:sz w:val="18"/>
          <w:szCs w:val="18"/>
          <w:color w:val="auto"/>
        </w:rPr>
        <w:t>. The Company represents and warrants that, except as disclosed in the Company’s registration statement on Form S-1 (File No. 333-254010), no person, other than the holders of the Registrable Securities, has any right to require the Company to register any shares of the Company’s capital stock for sale or to include shares of the Company’s capital stock in any registration filed by the Company for the sale of shares of capital stock for its own account or for the account of any other person.</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Limitation on Registration Rights</w:t>
      </w:r>
      <w:r>
        <w:rPr>
          <w:rFonts w:ascii="Arial" w:cs="Arial" w:eastAsia="Arial" w:hAnsi="Arial"/>
          <w:sz w:val="18"/>
          <w:szCs w:val="18"/>
          <w:color w:val="auto"/>
        </w:rPr>
        <w:t>. Notwithstanding anything herein to the contrary, Chardan Capital Markets, LLC and its related persons may not, with respect to the Private Warrants purchased by Chardan NexTech Investments 2 LLC, (i) have more than one (1) Demand Registration at the Company’s expense, (ii) exercise a Demand Registration more than five (5) years from the Effective Date, and (iii) exercise a Piggy-Back Registration more than seven (7) years from the Effective Date, as long as Chardan Capital Markets, LLC or any of its related persons are beneficial owners of the Private Warrants held by Chardan NexTech Investments 2 LLC.</w:t>
      </w:r>
    </w:p>
    <w:p>
      <w:pPr>
        <w:spacing w:after="0" w:line="188"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Assignment; No Third Party Beneficiaries</w:t>
      </w:r>
      <w:r>
        <w:rPr>
          <w:rFonts w:ascii="Arial" w:cs="Arial" w:eastAsia="Arial" w:hAnsi="Arial"/>
          <w:sz w:val="16"/>
          <w:szCs w:val="16"/>
          <w:color w:val="auto"/>
        </w:rPr>
        <w:t>.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transfer of Registrable Securities by any such holder. This Agreement and the provisions hereof shall be binding upon and shall inure to the benefit of each of the parties, to the permitted assigns of the Investors or holder of Registrable Securities or of any assignee of the Investors or holder of Registrable Securities. This Agreement is not intended to confer any rights or benefits on any persons that are not party hereto other than as expressly set forth in Article 4 and this Section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1" w:name="page252"/>
    <w:bookmarkEnd w:id="251"/>
    <w:p>
      <w:pPr>
        <w:jc w:val="both"/>
        <w:ind w:firstLine="1296"/>
        <w:spacing w:after="0" w:line="292"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demands, requests, consents, approvals or other communications (collectively,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required or permitted to be given hereunder or which are given with respect to this Agreement shall be in writing and shall be personally served, delivered by reputable air courier service with charges prepaid, or transmitted by hand delivery, telegram, telex or facsimile, addressed as set forth below, or to such other address as such party shall have specified most recently by written notice. Notice shall be deemed given on the date of service or transmission if personally served or transmitted by telegram, telex or facsimile; provided, that if such service or transmission is not on a business day or is after normal business hours, then such notice shall be deemed given on the next business day. Notice otherwise sent as provided herein shall be deemed given on the next business day following timely delivery of such notice to a reputable air courier service with an order for next-day delivery.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Ari Edelman, Esq.</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an Investor, to the address set forth below such Investor’s name on Exhibit A hereto.</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each of which shall be deemed an original, and all of which taken together shall constitute one and the same instrument.</w:t>
      </w:r>
    </w:p>
    <w:p>
      <w:pPr>
        <w:spacing w:after="0" w:line="170" w:lineRule="exact"/>
        <w:rPr>
          <w:sz w:val="20"/>
          <w:szCs w:val="20"/>
          <w:color w:val="auto"/>
        </w:rPr>
      </w:pPr>
    </w:p>
    <w:p>
      <w:pPr>
        <w:jc w:val="both"/>
        <w:ind w:right="20" w:firstLine="1296"/>
        <w:spacing w:after="0" w:line="286"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terminate on the seven-year anniversary of the date hereof.</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 No amendment, modification or termination of this Agreement shall be binding upon any party unless executed in writing by such party.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Titles and headings of sections of this Agreement are for convenience only and shall not affect the construction of any provision of this Agreement. No amendment, modification or termination of this Agreement shall be binding upon the holders of the Registrable Securities unless executed in writing by the holders of the majority Registrable Securities.</w:t>
      </w:r>
    </w:p>
    <w:p>
      <w:pPr>
        <w:spacing w:after="0" w:line="184"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Waivers and Extensions</w:t>
      </w:r>
      <w:r>
        <w:rPr>
          <w:rFonts w:ascii="Arial" w:cs="Arial" w:eastAsia="Arial" w:hAnsi="Arial"/>
          <w:sz w:val="17"/>
          <w:szCs w:val="17"/>
          <w:color w:val="auto"/>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2" w:name="page253"/>
    <w:bookmarkEnd w:id="252"/>
    <w:p>
      <w:pPr>
        <w:jc w:val="both"/>
        <w:ind w:firstLine="1296"/>
        <w:spacing w:after="0" w:line="254"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Remedies Cumulative</w:t>
      </w:r>
      <w:r>
        <w:rPr>
          <w:rFonts w:ascii="Arial" w:cs="Arial" w:eastAsia="Arial" w:hAnsi="Arial"/>
          <w:sz w:val="18"/>
          <w:szCs w:val="18"/>
          <w:color w:val="auto"/>
        </w:rPr>
        <w:t>. In the event that the Company fails to observe or perform any covenant or agreement to be observed or performed under this Agreement, the Investor or any other holder of Registrable Securities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9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interpreted under, and construed in accordance with the internal laws of the State of New York applicable to agreements made and to be performed within the State of New York, without giving effect to any choice-of-law provisions thereof that would compel the application of the substantive laws of any other jurisdiction.</w:t>
      </w:r>
    </w:p>
    <w:p>
      <w:pPr>
        <w:spacing w:after="0" w:line="184" w:lineRule="exact"/>
        <w:rPr>
          <w:sz w:val="20"/>
          <w:szCs w:val="20"/>
          <w:color w:val="auto"/>
        </w:rPr>
      </w:pPr>
    </w:p>
    <w:p>
      <w:pPr>
        <w:jc w:val="both"/>
        <w:ind w:right="20" w:firstLine="1296"/>
        <w:spacing w:after="0" w:line="286"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Waiver of Trial by Jury</w:t>
      </w:r>
      <w:r>
        <w:rPr>
          <w:rFonts w:ascii="Arial" w:cs="Arial" w:eastAsia="Arial" w:hAnsi="Arial"/>
          <w:sz w:val="17"/>
          <w:szCs w:val="17"/>
          <w:color w:val="auto"/>
        </w:rPr>
        <w:t>. Each party hereby irrevocably and unconditionally waives the right to a trial by jury in any action, suit, counterclaim or other proceeding (whether based on contract, tort or otherwise) arising out of, connected with or relating to this Agreement, the transactions contemplated hereby, or the actions of the Investor in the negotiation, administration, performance or enforcement hereof.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3" w:name="page254"/>
    <w:bookmarkEnd w:id="253"/>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Registration Rights Agreement to be executed and delivered by their duly authorized representatives as of the date first written above.</w:t>
      </w:r>
    </w:p>
    <w:p>
      <w:pPr>
        <w:spacing w:after="0" w:line="1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-130175</wp:posOffset>
            </wp:positionV>
            <wp:extent cx="329184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CHARDAN NEXTECH INVESTMENTS 2 LLC.</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-121920</wp:posOffset>
            </wp:positionV>
            <wp:extent cx="329184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320" w:top="908" w:right="799" w:bottom="1440" w:gutter="0" w:footer="0" w:header="0"/>
        </w:sectPr>
      </w:pPr>
    </w:p>
    <w:bookmarkStart w:id="254" w:name="page255"/>
    <w:bookmarkEnd w:id="254"/>
    <w:p>
      <w:pPr>
        <w:jc w:val="right"/>
        <w:ind w:right="403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Name of Investor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Investments 2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55" w:name="page256"/>
    <w:bookmarkEnd w:id="255"/>
    <w:p>
      <w:pPr>
        <w:jc w:val="right"/>
        <w:spacing w:after="0"/>
        <w:rPr>
          <w:sz w:val="20"/>
          <w:szCs w:val="20"/>
          <w:color w:val="auto"/>
        </w:rPr>
      </w:pPr>
      <w:r>
        <w:rPr>
          <w:rFonts w:ascii="Arial" w:cs="Arial" w:eastAsia="Arial" w:hAnsi="Arial"/>
          <w:sz w:val="22"/>
          <w:szCs w:val="22"/>
          <w:b w:val="1"/>
          <w:bCs w:val="1"/>
          <w:color w:val="auto"/>
        </w:rPr>
        <w:t>Exhibit 10.9</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Chardan NexTech Acquisition 2 Corp. (the “</w:t>
      </w:r>
      <w:r>
        <w:rPr>
          <w:rFonts w:ascii="Arial" w:cs="Arial" w:eastAsia="Arial" w:hAnsi="Arial"/>
          <w:sz w:val="17"/>
          <w:szCs w:val="17"/>
          <w:b w:val="1"/>
          <w:bCs w:val="1"/>
          <w:color w:val="auto"/>
        </w:rPr>
        <w:t>Company</w:t>
      </w:r>
      <w:r>
        <w:rPr>
          <w:rFonts w:ascii="Arial" w:cs="Arial" w:eastAsia="Arial" w:hAnsi="Arial"/>
          <w:sz w:val="17"/>
          <w:szCs w:val="17"/>
          <w:color w:val="auto"/>
        </w:rPr>
        <w:t>”), a blank check company formed for the purpose of acquiring one or more businesses or entities (a “</w:t>
      </w:r>
      <w:r>
        <w:rPr>
          <w:rFonts w:ascii="Arial" w:cs="Arial" w:eastAsia="Arial" w:hAnsi="Arial"/>
          <w:sz w:val="17"/>
          <w:szCs w:val="17"/>
          <w:b w:val="1"/>
          <w:bCs w:val="1"/>
          <w:color w:val="auto"/>
        </w:rPr>
        <w:t>Business Combination</w:t>
      </w:r>
      <w:r>
        <w:rPr>
          <w:rFonts w:ascii="Arial" w:cs="Arial" w:eastAsia="Arial" w:hAnsi="Arial"/>
          <w:sz w:val="17"/>
          <w:szCs w:val="17"/>
          <w:color w:val="auto"/>
        </w:rPr>
        <w:t>”), intends to register its securities under the Securities Act of 1933, as amended (“</w:t>
      </w:r>
      <w:r>
        <w:rPr>
          <w:rFonts w:ascii="Arial" w:cs="Arial" w:eastAsia="Arial" w:hAnsi="Arial"/>
          <w:sz w:val="17"/>
          <w:szCs w:val="17"/>
          <w:b w:val="1"/>
          <w:bCs w:val="1"/>
          <w:color w:val="auto"/>
        </w:rPr>
        <w:t>Securities Act</w:t>
      </w:r>
      <w:r>
        <w:rPr>
          <w:rFonts w:ascii="Arial" w:cs="Arial" w:eastAsia="Arial" w:hAnsi="Arial"/>
          <w:sz w:val="17"/>
          <w:szCs w:val="17"/>
          <w:color w:val="auto"/>
        </w:rPr>
        <w:t>”), in connection with its initial public offering (“</w:t>
      </w:r>
      <w:r>
        <w:rPr>
          <w:rFonts w:ascii="Arial" w:cs="Arial" w:eastAsia="Arial" w:hAnsi="Arial"/>
          <w:sz w:val="17"/>
          <w:szCs w:val="17"/>
          <w:b w:val="1"/>
          <w:bCs w:val="1"/>
          <w:color w:val="auto"/>
        </w:rPr>
        <w:t>IPO</w:t>
      </w:r>
      <w:r>
        <w:rPr>
          <w:rFonts w:ascii="Arial" w:cs="Arial" w:eastAsia="Arial" w:hAnsi="Arial"/>
          <w:sz w:val="17"/>
          <w:szCs w:val="17"/>
          <w:color w:val="auto"/>
        </w:rPr>
        <w:t>”), pursuant to a registration statement on Form S-1 (“</w:t>
      </w:r>
      <w:r>
        <w:rPr>
          <w:rFonts w:ascii="Arial" w:cs="Arial" w:eastAsia="Arial" w:hAnsi="Arial"/>
          <w:sz w:val="17"/>
          <w:szCs w:val="17"/>
          <w:b w:val="1"/>
          <w:bCs w:val="1"/>
          <w:color w:val="auto"/>
        </w:rPr>
        <w:t>Registration Statement</w:t>
      </w:r>
      <w:r>
        <w:rPr>
          <w:rFonts w:ascii="Arial" w:cs="Arial" w:eastAsia="Arial" w:hAnsi="Arial"/>
          <w:sz w:val="17"/>
          <w:szCs w:val="17"/>
          <w:color w:val="auto"/>
        </w:rPr>
        <w:t>”).</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hereby commits that it will purchase an aggregate of 4,200,000 (or up to 4,385,185, depending on the extent to which the underwriters’ over-allotment option is exercised) warrants of the Company (“</w:t>
      </w:r>
      <w:r>
        <w:rPr>
          <w:rFonts w:ascii="Arial" w:cs="Arial" w:eastAsia="Arial" w:hAnsi="Arial"/>
          <w:sz w:val="18"/>
          <w:szCs w:val="18"/>
          <w:b w:val="1"/>
          <w:bCs w:val="1"/>
          <w:color w:val="auto"/>
        </w:rPr>
        <w:t>Private Warrants</w:t>
      </w:r>
      <w:r>
        <w:rPr>
          <w:rFonts w:ascii="Arial" w:cs="Arial" w:eastAsia="Arial" w:hAnsi="Arial"/>
          <w:sz w:val="18"/>
          <w:szCs w:val="18"/>
          <w:color w:val="auto"/>
        </w:rPr>
        <w:t>”), at a price of $0.81 per warrant for an aggregate purchase price of $3,402,000 (or up to $3,552,000, depending on the extent to which the underwriters’ over-allotment option is exercised) (the “</w:t>
      </w:r>
      <w:r>
        <w:rPr>
          <w:rFonts w:ascii="Arial" w:cs="Arial" w:eastAsia="Arial" w:hAnsi="Arial"/>
          <w:sz w:val="18"/>
          <w:szCs w:val="18"/>
          <w:b w:val="1"/>
          <w:bCs w:val="1"/>
          <w:color w:val="auto"/>
        </w:rPr>
        <w:t>Private Warrant</w:t>
      </w:r>
      <w:r>
        <w:rPr>
          <w:rFonts w:ascii="Arial" w:cs="Arial" w:eastAsia="Arial" w:hAnsi="Arial"/>
          <w:sz w:val="18"/>
          <w:szCs w:val="18"/>
          <w:color w:val="auto"/>
        </w:rPr>
        <w:t xml:space="preserve"> </w:t>
      </w:r>
      <w:r>
        <w:rPr>
          <w:rFonts w:ascii="Arial" w:cs="Arial" w:eastAsia="Arial" w:hAnsi="Arial"/>
          <w:sz w:val="18"/>
          <w:szCs w:val="18"/>
          <w:b w:val="1"/>
          <w:bCs w:val="1"/>
          <w:color w:val="auto"/>
        </w:rPr>
        <w:t>Purchase Price</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consummation of the purchase and issuance of the Private Warrants shall occur simultaneously with the consummation of the IPO. Simultaneously with the consummation of the IPO, Continental Stock Transfer &amp; Trust Company shall deposit the Private Warrant Purchase Price, without interest or deduction, into the trust fund (“</w:t>
      </w:r>
      <w:r>
        <w:rPr>
          <w:rFonts w:ascii="Arial" w:cs="Arial" w:eastAsia="Arial" w:hAnsi="Arial"/>
          <w:sz w:val="18"/>
          <w:szCs w:val="18"/>
          <w:b w:val="1"/>
          <w:bCs w:val="1"/>
          <w:color w:val="auto"/>
        </w:rPr>
        <w:t>Trust Fund</w:t>
      </w:r>
      <w:r>
        <w:rPr>
          <w:rFonts w:ascii="Arial" w:cs="Arial" w:eastAsia="Arial" w:hAnsi="Arial"/>
          <w:sz w:val="18"/>
          <w:szCs w:val="18"/>
          <w:color w:val="auto"/>
        </w:rPr>
        <w:t>”) established by the Company for the benefit of the Company’s public stockholders as described in the Registration Statement.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Additionally, the undersigned agrees:</w:t>
      </w:r>
    </w:p>
    <w:p>
      <w:pPr>
        <w:spacing w:after="0" w:line="225" w:lineRule="exact"/>
        <w:rPr>
          <w:sz w:val="20"/>
          <w:szCs w:val="20"/>
          <w:color w:val="auto"/>
        </w:rPr>
      </w:pPr>
    </w:p>
    <w:p>
      <w:pPr>
        <w:jc w:val="both"/>
        <w:ind w:left="1300" w:hanging="320"/>
        <w:spacing w:after="0" w:line="291" w:lineRule="auto"/>
        <w:tabs>
          <w:tab w:leader="none" w:pos="13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not to propose, or vote in favor of, an amendment to the Company’s Amended and Restated Certificate of Incorporation that would affect the substance or timing of the Company’s obligation to redeem 100% of the Company’s shares of common stock,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sold in the IPO if the Company does not complete an initial Business Combination within 24 months from the closing of the IPO, unless the Company provides the holders of shares of Common Stock sold in the IPO with the opportunity to redeem their shares of Common Stock upon approval of any such amendment at a per-share price, payable in cash, equal to the aggregate amount of the Trust Fund, including interest earned on Trust Fund and not previously released to the Company to pay the Company’s franchise and income taxes, divided by the number of then outstanding shares of Common Stock sold in the IPO;</w:t>
      </w:r>
    </w:p>
    <w:p>
      <w:pPr>
        <w:spacing w:after="0" w:line="166"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undersigned will not participate in any liquidation distribution with respect to the Private Warrants (but will participate in liquidation distributions with respect to any units or Common Stock purchased by the undersigned in the IPO or in the open market) if the Company fails to consummate a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56" w:name="page257"/>
    <w:bookmarkEnd w:id="256"/>
    <w:p>
      <w:pPr>
        <w:jc w:val="both"/>
        <w:ind w:left="1300" w:hanging="320"/>
        <w:spacing w:after="0" w:line="268" w:lineRule="auto"/>
        <w:tabs>
          <w:tab w:leader="none" w:pos="13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that the Private Warrants and underlying securities will not be transferable or saleable until 30 days after the consummation of a Business Combination except ((a) to the Company’s officers or directors, any affiliates or family members of any of the Company’s officers or directors, any members of the undersigned, Chardan NexTech Investments 2 LLC (“</w:t>
      </w:r>
      <w:r>
        <w:rPr>
          <w:rFonts w:ascii="Arial" w:cs="Arial" w:eastAsia="Arial" w:hAnsi="Arial"/>
          <w:sz w:val="17"/>
          <w:szCs w:val="17"/>
          <w:b w:val="1"/>
          <w:bCs w:val="1"/>
          <w:color w:val="auto"/>
        </w:rPr>
        <w:t>Sponsor</w:t>
      </w:r>
      <w:r>
        <w:rPr>
          <w:rFonts w:ascii="Arial" w:cs="Arial" w:eastAsia="Arial" w:hAnsi="Arial"/>
          <w:sz w:val="17"/>
          <w:szCs w:val="17"/>
          <w:color w:val="auto"/>
        </w:rPr>
        <w:t>”), or any of their respective affiliates; (b) 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the Company’s liquidation prior to the completion of an initial Business Combination; or (g) by virtue of the laws of Delaware or the applicable limited liability company agreement upon dissolution of the undersigned,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the undersigned, Sponsor, officers, and directors of the Company, as the case may be, with respect to such securities (including provisions relating to voting, the trust account and liquidation distributions described elsewhere in this prospectus);</w:t>
      </w:r>
    </w:p>
    <w:p>
      <w:pPr>
        <w:spacing w:after="0" w:line="184" w:lineRule="exact"/>
        <w:rPr>
          <w:rFonts w:ascii="Arial" w:cs="Arial" w:eastAsia="Arial" w:hAnsi="Arial"/>
          <w:sz w:val="17"/>
          <w:szCs w:val="17"/>
          <w:color w:val="auto"/>
        </w:rPr>
      </w:pPr>
    </w:p>
    <w:p>
      <w:pPr>
        <w:jc w:val="both"/>
        <w:ind w:left="1300" w:hanging="320"/>
        <w:spacing w:after="0" w:line="279" w:lineRule="auto"/>
        <w:tabs>
          <w:tab w:leader="none" w:pos="13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Private Warrants and underlying securities are considered underwriting compensation and, as provided in FINRA Rule 5110(e)(1), may not be sold, transferred, assigned, pledged, or hypothecated, or be the subject of any hedging, short sale, derivative, put, or call transaction that would result in the effective economic disposition of such securities for a period of 180 days immediately following the date of effectiveness of the Registration Statement, except as provided in FINRA Rule 5110(e)(2); and</w:t>
      </w:r>
    </w:p>
    <w:p>
      <w:pPr>
        <w:spacing w:after="0" w:line="198" w:lineRule="exact"/>
        <w:rPr>
          <w:rFonts w:ascii="Arial" w:cs="Arial" w:eastAsia="Arial" w:hAnsi="Arial"/>
          <w:sz w:val="17"/>
          <w:szCs w:val="17"/>
          <w:color w:val="auto"/>
        </w:rPr>
      </w:pPr>
    </w:p>
    <w:p>
      <w:pPr>
        <w:jc w:val="both"/>
        <w:ind w:left="1300" w:hanging="320"/>
        <w:spacing w:after="0" w:line="263" w:lineRule="auto"/>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Private Warrants will include any additional terms or restrictions as is customary in other similarly structured blank check company offerings or as may be reasonably required by the underwriters in the IPO in order to consummate the IPO, each of which will be set forth in the Registration Statement.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undersigned acknowledges and agrees that the purchaser of the Private Warrants will execute agreements in form and substance typical for transactions of this nature necessary to effectuate the foregoing agreements and obligations prior to the consummation of the IPO as are reasonably acceptable to the undersigned, including but not limited to an insider letter.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represents and warrants that:</w:t>
      </w:r>
    </w:p>
    <w:p>
      <w:pPr>
        <w:spacing w:after="0" w:line="225" w:lineRule="exact"/>
        <w:rPr>
          <w:sz w:val="20"/>
          <w:szCs w:val="20"/>
          <w:color w:val="auto"/>
        </w:rPr>
      </w:pPr>
    </w:p>
    <w:p>
      <w:pPr>
        <w:ind w:left="900" w:hanging="244"/>
        <w:spacing w:after="0"/>
        <w:tabs>
          <w:tab w:leader="none" w:pos="900" w:val="left"/>
        </w:tabs>
        <w:numPr>
          <w:ilvl w:val="0"/>
          <w:numId w:val="123"/>
        </w:numPr>
        <w:rPr>
          <w:rFonts w:ascii="Arial" w:cs="Arial" w:eastAsia="Arial" w:hAnsi="Arial"/>
          <w:sz w:val="18"/>
          <w:szCs w:val="18"/>
          <w:color w:val="010000"/>
        </w:rPr>
      </w:pPr>
      <w:r>
        <w:rPr>
          <w:rFonts w:ascii="Arial" w:cs="Arial" w:eastAsia="Arial" w:hAnsi="Arial"/>
          <w:sz w:val="18"/>
          <w:szCs w:val="18"/>
          <w:color w:val="auto"/>
        </w:rPr>
        <w:t>it has been advised that the Private Warrants have not been registered under the Securities Act;</w:t>
      </w:r>
    </w:p>
    <w:p>
      <w:pPr>
        <w:spacing w:after="0" w:line="225" w:lineRule="exact"/>
        <w:rPr>
          <w:rFonts w:ascii="Arial" w:cs="Arial" w:eastAsia="Arial" w:hAnsi="Arial"/>
          <w:sz w:val="18"/>
          <w:szCs w:val="18"/>
          <w:color w:val="010000"/>
        </w:rPr>
      </w:pPr>
    </w:p>
    <w:p>
      <w:pPr>
        <w:ind w:left="920" w:hanging="264"/>
        <w:spacing w:after="0"/>
        <w:tabs>
          <w:tab w:leader="none" w:pos="920" w:val="left"/>
        </w:tabs>
        <w:numPr>
          <w:ilvl w:val="0"/>
          <w:numId w:val="123"/>
        </w:numPr>
        <w:rPr>
          <w:rFonts w:ascii="Arial" w:cs="Arial" w:eastAsia="Arial" w:hAnsi="Arial"/>
          <w:sz w:val="18"/>
          <w:szCs w:val="18"/>
          <w:color w:val="010000"/>
        </w:rPr>
      </w:pPr>
      <w:r>
        <w:rPr>
          <w:rFonts w:ascii="Arial" w:cs="Arial" w:eastAsia="Arial" w:hAnsi="Arial"/>
          <w:sz w:val="18"/>
          <w:szCs w:val="18"/>
          <w:color w:val="auto"/>
        </w:rPr>
        <w:t>it will be acquiring the Private Warrants for its account for investment purposes only;</w:t>
      </w:r>
    </w:p>
    <w:p>
      <w:pPr>
        <w:spacing w:after="0" w:line="225" w:lineRule="exact"/>
        <w:rPr>
          <w:rFonts w:ascii="Arial" w:cs="Arial" w:eastAsia="Arial" w:hAnsi="Arial"/>
          <w:sz w:val="18"/>
          <w:szCs w:val="18"/>
          <w:color w:val="010000"/>
        </w:rPr>
      </w:pPr>
    </w:p>
    <w:p>
      <w:pPr>
        <w:ind w:left="900" w:hanging="244"/>
        <w:spacing w:after="0"/>
        <w:tabs>
          <w:tab w:leader="none" w:pos="900" w:val="left"/>
        </w:tabs>
        <w:numPr>
          <w:ilvl w:val="0"/>
          <w:numId w:val="123"/>
        </w:numPr>
        <w:rPr>
          <w:rFonts w:ascii="Arial" w:cs="Arial" w:eastAsia="Arial" w:hAnsi="Arial"/>
          <w:sz w:val="17"/>
          <w:szCs w:val="17"/>
          <w:color w:val="010000"/>
        </w:rPr>
      </w:pPr>
      <w:r>
        <w:rPr>
          <w:rFonts w:ascii="Arial" w:cs="Arial" w:eastAsia="Arial" w:hAnsi="Arial"/>
          <w:sz w:val="17"/>
          <w:szCs w:val="17"/>
          <w:color w:val="auto"/>
        </w:rPr>
        <w:t>it has no present intention of selling or otherwise disposing of the Private Warrants in violation of the securities laws of the United States;</w:t>
      </w:r>
    </w:p>
    <w:p>
      <w:pPr>
        <w:spacing w:after="0" w:line="236" w:lineRule="exact"/>
        <w:rPr>
          <w:rFonts w:ascii="Arial" w:cs="Arial" w:eastAsia="Arial" w:hAnsi="Arial"/>
          <w:sz w:val="17"/>
          <w:szCs w:val="17"/>
          <w:color w:val="010000"/>
        </w:rPr>
      </w:pPr>
    </w:p>
    <w:p>
      <w:pPr>
        <w:ind w:left="920" w:hanging="264"/>
        <w:spacing w:after="0"/>
        <w:tabs>
          <w:tab w:leader="none" w:pos="920" w:val="left"/>
        </w:tabs>
        <w:numPr>
          <w:ilvl w:val="0"/>
          <w:numId w:val="123"/>
        </w:numPr>
        <w:rPr>
          <w:rFonts w:ascii="Arial" w:cs="Arial" w:eastAsia="Arial" w:hAnsi="Arial"/>
          <w:sz w:val="18"/>
          <w:szCs w:val="18"/>
          <w:color w:val="010000"/>
        </w:rPr>
      </w:pPr>
      <w:r>
        <w:rPr>
          <w:rFonts w:ascii="Arial" w:cs="Arial" w:eastAsia="Arial" w:hAnsi="Arial"/>
          <w:sz w:val="18"/>
          <w:szCs w:val="18"/>
          <w:color w:val="auto"/>
        </w:rPr>
        <w:t>it is an “accredited investor” as defined by Rule 501 of Regulation D promulgated under the Securities Act of 1933, as amended;</w:t>
      </w:r>
    </w:p>
    <w:p>
      <w:pPr>
        <w:spacing w:after="0" w:line="225" w:lineRule="exact"/>
        <w:rPr>
          <w:rFonts w:ascii="Arial" w:cs="Arial" w:eastAsia="Arial" w:hAnsi="Arial"/>
          <w:sz w:val="18"/>
          <w:szCs w:val="18"/>
          <w:color w:val="010000"/>
        </w:rPr>
      </w:pPr>
    </w:p>
    <w:p>
      <w:pPr>
        <w:ind w:firstLine="656"/>
        <w:spacing w:after="0" w:line="277" w:lineRule="auto"/>
        <w:tabs>
          <w:tab w:leader="none" w:pos="892" w:val="left"/>
        </w:tabs>
        <w:numPr>
          <w:ilvl w:val="0"/>
          <w:numId w:val="123"/>
        </w:numPr>
        <w:rPr>
          <w:rFonts w:ascii="Arial" w:cs="Arial" w:eastAsia="Arial" w:hAnsi="Arial"/>
          <w:sz w:val="18"/>
          <w:szCs w:val="18"/>
          <w:color w:val="010000"/>
        </w:rPr>
      </w:pPr>
      <w:r>
        <w:rPr>
          <w:rFonts w:ascii="Arial" w:cs="Arial" w:eastAsia="Arial" w:hAnsi="Arial"/>
          <w:sz w:val="18"/>
          <w:szCs w:val="18"/>
          <w:color w:val="auto"/>
        </w:rPr>
        <w:t>it has had both the opportunity to ask questions and receive answers from the officers and directors of the Company and all persons acting on its behalf concerning the terms and conditions of the offer made hereunder;</w:t>
      </w:r>
    </w:p>
    <w:p>
      <w:pPr>
        <w:spacing w:after="0" w:line="170" w:lineRule="exact"/>
        <w:rPr>
          <w:rFonts w:ascii="Arial" w:cs="Arial" w:eastAsia="Arial" w:hAnsi="Arial"/>
          <w:sz w:val="18"/>
          <w:szCs w:val="18"/>
          <w:color w:val="010000"/>
        </w:rPr>
      </w:pPr>
    </w:p>
    <w:p>
      <w:pPr>
        <w:ind w:left="880" w:hanging="224"/>
        <w:spacing w:after="0"/>
        <w:tabs>
          <w:tab w:leader="none" w:pos="880" w:val="left"/>
        </w:tabs>
        <w:numPr>
          <w:ilvl w:val="0"/>
          <w:numId w:val="123"/>
        </w:numPr>
        <w:rPr>
          <w:rFonts w:ascii="Arial" w:cs="Arial" w:eastAsia="Arial" w:hAnsi="Arial"/>
          <w:sz w:val="18"/>
          <w:szCs w:val="18"/>
          <w:color w:val="010000"/>
        </w:rPr>
      </w:pPr>
      <w:r>
        <w:rPr>
          <w:rFonts w:ascii="Arial" w:cs="Arial" w:eastAsia="Arial" w:hAnsi="Arial"/>
          <w:sz w:val="18"/>
          <w:szCs w:val="18"/>
          <w:color w:val="auto"/>
        </w:rPr>
        <w:t>it is familiar with the proposed business, management, financial condition and affairs of the Company;</w:t>
      </w:r>
    </w:p>
    <w:p>
      <w:pPr>
        <w:spacing w:after="0" w:line="225" w:lineRule="exact"/>
        <w:rPr>
          <w:rFonts w:ascii="Arial" w:cs="Arial" w:eastAsia="Arial" w:hAnsi="Arial"/>
          <w:sz w:val="18"/>
          <w:szCs w:val="18"/>
          <w:color w:val="010000"/>
        </w:rPr>
      </w:pPr>
    </w:p>
    <w:p>
      <w:pPr>
        <w:ind w:firstLine="656"/>
        <w:spacing w:after="0" w:line="277" w:lineRule="auto"/>
        <w:tabs>
          <w:tab w:leader="none" w:pos="930" w:val="left"/>
        </w:tabs>
        <w:numPr>
          <w:ilvl w:val="0"/>
          <w:numId w:val="123"/>
        </w:numPr>
        <w:rPr>
          <w:rFonts w:ascii="Arial" w:cs="Arial" w:eastAsia="Arial" w:hAnsi="Arial"/>
          <w:sz w:val="18"/>
          <w:szCs w:val="18"/>
          <w:color w:val="010000"/>
        </w:rPr>
      </w:pPr>
      <w:r>
        <w:rPr>
          <w:rFonts w:ascii="Arial" w:cs="Arial" w:eastAsia="Arial" w:hAnsi="Arial"/>
          <w:sz w:val="18"/>
          <w:szCs w:val="18"/>
          <w:color w:val="auto"/>
        </w:rPr>
        <w:t>it has full power, authority and legal capacity to execute and deliver this letter and any documents contemplated herein or needed to consummate the transactions contemplated in this letter; and</w:t>
      </w:r>
    </w:p>
    <w:p>
      <w:pPr>
        <w:spacing w:after="0" w:line="170" w:lineRule="exact"/>
        <w:rPr>
          <w:rFonts w:ascii="Arial" w:cs="Arial" w:eastAsia="Arial" w:hAnsi="Arial"/>
          <w:sz w:val="18"/>
          <w:szCs w:val="18"/>
          <w:color w:val="010000"/>
        </w:rPr>
      </w:pPr>
    </w:p>
    <w:p>
      <w:pPr>
        <w:ind w:left="920" w:hanging="264"/>
        <w:spacing w:after="0"/>
        <w:tabs>
          <w:tab w:leader="none" w:pos="920" w:val="left"/>
        </w:tabs>
        <w:numPr>
          <w:ilvl w:val="0"/>
          <w:numId w:val="123"/>
        </w:numPr>
        <w:rPr>
          <w:rFonts w:ascii="Arial" w:cs="Arial" w:eastAsia="Arial" w:hAnsi="Arial"/>
          <w:sz w:val="18"/>
          <w:szCs w:val="18"/>
          <w:color w:val="010000"/>
        </w:rPr>
      </w:pPr>
      <w:r>
        <w:rPr>
          <w:rFonts w:ascii="Arial" w:cs="Arial" w:eastAsia="Arial" w:hAnsi="Arial"/>
          <w:sz w:val="18"/>
          <w:szCs w:val="18"/>
          <w:color w:val="auto"/>
        </w:rPr>
        <w:t>this letter constitutes its legal, valid and binding obligation, and is enforceable against it.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letter agreement constitutes the entire agreement between the undersigned and the Company with respect to the purchase of the Private Warrants, and supersedes all prior and contemporaneous understandings, agreements, representations and warranties, both written and oral, with respect to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7" w:name="page258"/>
    <w:bookmarkEnd w:id="257"/>
    <w:p>
      <w:pPr>
        <w:ind w:left="586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CHARDAN NEXTECH 2 WARRANT HOLDINGS LLC</w:t>
      </w:r>
    </w:p>
    <w:p>
      <w:pPr>
        <w:spacing w:after="0" w:line="22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4290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2">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use in the Prospectus constituting a part of this Registration Statement on Amendment No. 5 to Form S-1 of our report dated June 4, 2021, relating to the financial statements of Chardan NexTech Acquisition 2 Corp., which is contained in that Prospectus. We also consent to the reference to us under the caption “Experts” in the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1)"/>
      <w:numFmt w:val="decimal"/>
      <w:start w:val="1"/>
    </w:lvl>
  </w:abstractNum>
  <w:abstractNum w:abstractNumId="1">
    <w:nsid w:val="7E0C57B1"/>
    <w:multiLevelType w:val="hybridMultilevel"/>
    <w:lvl w:ilvl="0">
      <w:lvlJc w:val="left"/>
      <w:lvlText w:val="(%1)"/>
      <w:numFmt w:val="decimal"/>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1)"/>
      <w:numFmt w:val="decimal"/>
      <w:start w:val="1"/>
    </w:lvl>
  </w:abstractNum>
  <w:abstractNum w:abstractNumId="6">
    <w:nsid w:val="2F305DEF"/>
    <w:multiLevelType w:val="hybridMultilevel"/>
    <w:lvl w:ilvl="0">
      <w:lvlJc w:val="left"/>
      <w:lvlText w:val="(%1)"/>
      <w:numFmt w:val="decimal"/>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1."/>
      <w:numFmt w:val="upperLetter"/>
      <w:start w:val="9"/>
    </w:lvl>
  </w:abstractNum>
  <w:abstractNum w:abstractNumId="9">
    <w:nsid w:val="4AD084E9"/>
    <w:multiLevelType w:val="hybridMultilevel"/>
    <w:lvl w:ilvl="0">
      <w:lvlJc w:val="left"/>
      <w:lvlText w:val="(%1)"/>
      <w:numFmt w:val="lowerRoman"/>
      <w:start w:val="2"/>
    </w:lvl>
  </w:abstractNum>
  <w:abstractNum w:abstractNumId="10">
    <w:nsid w:val="1F48EAA1"/>
    <w:multiLevelType w:val="hybridMultilevel"/>
    <w:lvl w:ilvl="0">
      <w:lvlJc w:val="left"/>
      <w:lvlText w:val="(%1)"/>
      <w:numFmt w:val="upperLetter"/>
      <w:start w:val="2"/>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1."/>
      <w:numFmt w:val="upperLetter"/>
      <w:start w:val="35"/>
    </w:lvl>
  </w:abstractNum>
  <w:abstractNum w:abstractNumId="15">
    <w:nsid w:val="15014ACB"/>
    <w:multiLevelType w:val="hybridMultilevel"/>
    <w:lvl w:ilvl="0">
      <w:lvlJc w:val="left"/>
      <w:lvlText w:val="(%1)"/>
      <w:numFmt w:val="lowerRoman"/>
      <w:start w:val="2"/>
    </w:lvl>
  </w:abstractNum>
  <w:abstractNum w:abstractNumId="16">
    <w:nsid w:val="5F5E7FD0"/>
    <w:multiLevelType w:val="hybridMultilevel"/>
    <w:lvl w:ilvl="0">
      <w:lvlJc w:val="left"/>
      <w:lvlText w:val="%1."/>
      <w:numFmt w:val="upperLetter"/>
      <w:start w:val="61"/>
    </w:lvl>
  </w:abstractNum>
  <w:abstractNum w:abstractNumId="17">
    <w:nsid w:val="98A3148"/>
    <w:multiLevelType w:val="hybridMultilevel"/>
    <w:lvl w:ilvl="0">
      <w:lvlJc w:val="left"/>
      <w:lvlText w:val="·"/>
      <w:numFmt w:val="bullet"/>
      <w:start w:val="1"/>
    </w:lvl>
  </w:abstractNum>
  <w:abstractNum w:abstractNumId="18">
    <w:nsid w:val="799D0247"/>
    <w:multiLevelType w:val="hybridMultilevel"/>
    <w:lvl w:ilvl="0">
      <w:lvlJc w:val="left"/>
      <w:lvlText w:val="(%1)"/>
      <w:numFmt w:val="upperLetter"/>
      <w:start w:val="1"/>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
      <w:numFmt w:val="bullet"/>
      <w:start w:val="1"/>
    </w:lvl>
  </w:abstractNum>
  <w:abstractNum w:abstractNumId="21">
    <w:nsid w:val="168E121F"/>
    <w:multiLevelType w:val="hybridMultilevel"/>
    <w:lvl w:ilvl="0">
      <w:lvlJc w:val="left"/>
      <w:lvlText w:val="(%1)"/>
      <w:numFmt w:val="decimal"/>
      <w:start w:val="1"/>
    </w:lvl>
  </w:abstractNum>
  <w:abstractNum w:abstractNumId="22">
    <w:nsid w:val="1EBA5D23"/>
    <w:multiLevelType w:val="hybridMultilevel"/>
    <w:lvl w:ilvl="0">
      <w:lvlJc w:val="left"/>
      <w:lvlText w:val="·"/>
      <w:numFmt w:val="bullet"/>
      <w:start w:val="1"/>
    </w:lvl>
  </w:abstractNum>
  <w:abstractNum w:abstractNumId="23">
    <w:nsid w:val="661E3F1E"/>
    <w:multiLevelType w:val="hybridMultilevel"/>
    <w:lvl w:ilvl="0">
      <w:lvlJc w:val="left"/>
      <w:lvlText w:val="·"/>
      <w:numFmt w:val="bullet"/>
      <w:start w:val="1"/>
    </w:lvl>
  </w:abstractNum>
  <w:abstractNum w:abstractNumId="24">
    <w:nsid w:val="5DC79EA8"/>
    <w:multiLevelType w:val="hybridMultilevel"/>
    <w:lvl w:ilvl="0">
      <w:lvlJc w:val="left"/>
      <w:lvlText w:val="·"/>
      <w:numFmt w:val="bullet"/>
      <w:start w:val="1"/>
    </w:lvl>
  </w:abstractNum>
  <w:abstractNum w:abstractNumId="25">
    <w:nsid w:val="540A471C"/>
    <w:multiLevelType w:val="hybridMultilevel"/>
    <w:lvl w:ilvl="0">
      <w:lvlJc w:val="left"/>
      <w:lvlText w:val="%1."/>
      <w:numFmt w:val="upperLetter"/>
      <w:start w:val="22"/>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
      <w:numFmt w:val="bullet"/>
      <w:start w:val="1"/>
    </w:lvl>
  </w:abstractNum>
  <w:abstractNum w:abstractNumId="28">
    <w:nsid w:val="613EFDC5"/>
    <w:multiLevelType w:val="hybridMultilevel"/>
    <w:lvl w:ilvl="0">
      <w:lvlJc w:val="left"/>
      <w:lvlText w:val="(%1)"/>
      <w:numFmt w:val="decimal"/>
      <w:start w:val="1"/>
    </w:lvl>
  </w:abstractNum>
  <w:abstractNum w:abstractNumId="29">
    <w:nsid w:val="BF72B14"/>
    <w:multiLevelType w:val="hybridMultilevel"/>
    <w:lvl w:ilvl="0">
      <w:lvlJc w:val="left"/>
      <w:lvlText w:val="(%1)"/>
      <w:numFmt w:val="decimal"/>
      <w:start w:val="1"/>
    </w:lvl>
  </w:abstractNum>
  <w:abstractNum w:abstractNumId="30">
    <w:nsid w:val="11447B73"/>
    <w:multiLevelType w:val="hybridMultilevel"/>
    <w:lvl w:ilvl="0">
      <w:lvlJc w:val="left"/>
      <w:lvlText w:val="(%1)"/>
      <w:numFmt w:val="decimal"/>
      <w:start w:val="1"/>
    </w:lvl>
  </w:abstractNum>
  <w:abstractNum w:abstractNumId="31">
    <w:nsid w:val="42963E5A"/>
    <w:multiLevelType w:val="hybridMultilevel"/>
    <w:lvl w:ilvl="0">
      <w:lvlJc w:val="left"/>
      <w:lvlText w:val="(%1)"/>
      <w:numFmt w:val="decimal"/>
      <w:start w:val="1"/>
    </w:lvl>
  </w:abstractNum>
  <w:abstractNum w:abstractNumId="32">
    <w:nsid w:val="A0382C5"/>
    <w:multiLevelType w:val="hybridMultilevel"/>
    <w:lvl w:ilvl="0">
      <w:lvlJc w:val="left"/>
      <w:lvlText w:val="·"/>
      <w:numFmt w:val="bullet"/>
      <w:start w:val="1"/>
    </w:lvl>
  </w:abstractNum>
  <w:abstractNum w:abstractNumId="33">
    <w:nsid w:val="8F2B15E"/>
    <w:multiLevelType w:val="hybridMultilevel"/>
    <w:lvl w:ilvl="0">
      <w:lvlJc w:val="left"/>
      <w:lvlText w:val="·"/>
      <w:numFmt w:val="bullet"/>
      <w:start w:val="1"/>
    </w:lvl>
  </w:abstractNum>
  <w:abstractNum w:abstractNumId="34">
    <w:nsid w:val="1A32234B"/>
    <w:multiLevelType w:val="hybridMultilevel"/>
    <w:lvl w:ilvl="0">
      <w:lvlJc w:val="left"/>
      <w:lvlText w:val="·"/>
      <w:numFmt w:val="bullet"/>
      <w:start w:val="1"/>
    </w:lvl>
  </w:abstractNum>
  <w:abstractNum w:abstractNumId="35">
    <w:nsid w:val="3B0FD379"/>
    <w:multiLevelType w:val="hybridMultilevel"/>
    <w:lvl w:ilvl="0">
      <w:lvlJc w:val="left"/>
      <w:lvlText w:val="·"/>
      <w:numFmt w:val="bullet"/>
      <w:start w:val="1"/>
    </w:lvl>
  </w:abstractNum>
  <w:abstractNum w:abstractNumId="36">
    <w:nsid w:val="68EB2F63"/>
    <w:multiLevelType w:val="hybridMultilevel"/>
    <w:lvl w:ilvl="0">
      <w:lvlJc w:val="left"/>
      <w:lvlText w:val="(%1)"/>
      <w:numFmt w:val="lowerRoman"/>
      <w:start w:val="1"/>
    </w:lvl>
  </w:abstractNum>
  <w:abstractNum w:abstractNumId="37">
    <w:nsid w:val="4962813B"/>
    <w:multiLevelType w:val="hybridMultilevel"/>
    <w:lvl w:ilvl="0">
      <w:lvlJc w:val="left"/>
      <w:lvlText w:val="·"/>
      <w:numFmt w:val="bullet"/>
      <w:start w:val="1"/>
    </w:lvl>
  </w:abstractNum>
  <w:abstractNum w:abstractNumId="38">
    <w:nsid w:val="60B6DF70"/>
    <w:multiLevelType w:val="hybridMultilevel"/>
    <w:lvl w:ilvl="0">
      <w:lvlJc w:val="left"/>
      <w:lvlText w:val="·"/>
      <w:numFmt w:val="bullet"/>
      <w:start w:val="1"/>
    </w:lvl>
  </w:abstractNum>
  <w:abstractNum w:abstractNumId="39">
    <w:nsid w:val="6A5EE64"/>
    <w:multiLevelType w:val="hybridMultilevel"/>
    <w:lvl w:ilvl="0">
      <w:lvlJc w:val="left"/>
      <w:lvlText w:val="·"/>
      <w:numFmt w:val="bullet"/>
      <w:start w:val="1"/>
    </w:lvl>
  </w:abstractNum>
  <w:abstractNum w:abstractNumId="40">
    <w:nsid w:val="14330624"/>
    <w:multiLevelType w:val="hybridMultilevel"/>
    <w:lvl w:ilvl="0">
      <w:lvlJc w:val="left"/>
      <w:lvlText w:val="·"/>
      <w:numFmt w:val="bullet"/>
      <w:start w:val="1"/>
    </w:lvl>
  </w:abstractNum>
  <w:abstractNum w:abstractNumId="41">
    <w:nsid w:val="7FFFCA11"/>
    <w:multiLevelType w:val="hybridMultilevel"/>
    <w:lvl w:ilvl="0">
      <w:lvlJc w:val="left"/>
      <w:lvlText w:val="·"/>
      <w:numFmt w:val="bullet"/>
      <w:start w:val="1"/>
    </w:lvl>
  </w:abstractNum>
  <w:abstractNum w:abstractNumId="42">
    <w:nsid w:val="1A27709E"/>
    <w:multiLevelType w:val="hybridMultilevel"/>
    <w:lvl w:ilvl="0">
      <w:lvlJc w:val="left"/>
      <w:lvlText w:val="·"/>
      <w:numFmt w:val="bullet"/>
      <w:start w:val="1"/>
    </w:lvl>
  </w:abstractNum>
  <w:abstractNum w:abstractNumId="43">
    <w:nsid w:val="71EA1109"/>
    <w:multiLevelType w:val="hybridMultilevel"/>
    <w:lvl w:ilvl="0">
      <w:lvlJc w:val="left"/>
      <w:lvlText w:val="·"/>
      <w:numFmt w:val="bullet"/>
      <w:start w:val="1"/>
    </w:lvl>
  </w:abstractNum>
  <w:abstractNum w:abstractNumId="44">
    <w:nsid w:val="100F59DC"/>
    <w:multiLevelType w:val="hybridMultilevel"/>
    <w:lvl w:ilvl="0">
      <w:lvlJc w:val="left"/>
      <w:lvlText w:val="·"/>
      <w:numFmt w:val="bullet"/>
      <w:start w:val="1"/>
    </w:lvl>
  </w:abstractNum>
  <w:abstractNum w:abstractNumId="45">
    <w:nsid w:val="7FB7E0AA"/>
    <w:multiLevelType w:val="hybridMultilevel"/>
    <w:lvl w:ilvl="0">
      <w:lvlJc w:val="left"/>
      <w:lvlText w:val="·"/>
      <w:numFmt w:val="bullet"/>
      <w:start w:val="1"/>
    </w:lvl>
  </w:abstractNum>
  <w:abstractNum w:abstractNumId="46">
    <w:nsid w:val="6EB5BD4"/>
    <w:multiLevelType w:val="hybridMultilevel"/>
    <w:lvl w:ilvl="0">
      <w:lvlJc w:val="left"/>
      <w:lvlText w:val="·"/>
      <w:numFmt w:val="bullet"/>
      <w:start w:val="1"/>
    </w:lvl>
  </w:abstractNum>
  <w:abstractNum w:abstractNumId="47">
    <w:nsid w:val="6F6DD9AC"/>
    <w:multiLevelType w:val="hybridMultilevel"/>
    <w:lvl w:ilvl="0">
      <w:lvlJc w:val="left"/>
      <w:lvlText w:val="·"/>
      <w:numFmt w:val="bullet"/>
      <w:start w:val="1"/>
    </w:lvl>
  </w:abstractNum>
  <w:abstractNum w:abstractNumId="48">
    <w:nsid w:val="94211F2"/>
    <w:multiLevelType w:val="hybridMultilevel"/>
    <w:lvl w:ilvl="0">
      <w:lvlJc w:val="left"/>
      <w:lvlText w:val="·"/>
      <w:numFmt w:val="bullet"/>
      <w:start w:val="1"/>
    </w:lvl>
  </w:abstractNum>
  <w:abstractNum w:abstractNumId="49">
    <w:nsid w:val="885E1B"/>
    <w:multiLevelType w:val="hybridMultilevel"/>
    <w:lvl w:ilvl="0">
      <w:lvlJc w:val="left"/>
      <w:lvlText w:val="·"/>
      <w:numFmt w:val="bullet"/>
      <w:start w:val="1"/>
    </w:lvl>
  </w:abstractNum>
  <w:abstractNum w:abstractNumId="50">
    <w:nsid w:val="76272110"/>
    <w:multiLevelType w:val="hybridMultilevel"/>
    <w:lvl w:ilvl="0">
      <w:lvlJc w:val="left"/>
      <w:lvlText w:val="·"/>
      <w:numFmt w:val="bullet"/>
      <w:start w:val="1"/>
    </w:lvl>
  </w:abstractNum>
  <w:abstractNum w:abstractNumId="51">
    <w:nsid w:val="4C04A8AF"/>
    <w:multiLevelType w:val="hybridMultilevel"/>
    <w:lvl w:ilvl="0">
      <w:lvlJc w:val="left"/>
      <w:lvlText w:val="(%1)"/>
      <w:numFmt w:val="decimal"/>
      <w:start w:val="2"/>
    </w:lvl>
  </w:abstractNum>
  <w:abstractNum w:abstractNumId="52">
    <w:nsid w:val="1716703B"/>
    <w:multiLevelType w:val="hybridMultilevel"/>
    <w:lvl w:ilvl="0">
      <w:lvlJc w:val="left"/>
      <w:lvlText w:val="·"/>
      <w:numFmt w:val="bullet"/>
      <w:start w:val="1"/>
    </w:lvl>
  </w:abstractNum>
  <w:abstractNum w:abstractNumId="53">
    <w:nsid w:val="14E17E33"/>
    <w:multiLevelType w:val="hybridMultilevel"/>
    <w:lvl w:ilvl="0">
      <w:lvlJc w:val="left"/>
      <w:lvlText w:val="(%1)"/>
      <w:numFmt w:val="decimal"/>
      <w:start w:val="1"/>
    </w:lvl>
  </w:abstractNum>
  <w:abstractNum w:abstractNumId="54">
    <w:nsid w:val="3222E7CD"/>
    <w:multiLevelType w:val="hybridMultilevel"/>
    <w:lvl w:ilvl="0">
      <w:lvlJc w:val="left"/>
      <w:lvlText w:val="(%1)"/>
      <w:numFmt w:val="lowerRoman"/>
      <w:start w:val="2"/>
    </w:lvl>
  </w:abstractNum>
  <w:abstractNum w:abstractNumId="55">
    <w:nsid w:val="74DE0EE3"/>
    <w:multiLevelType w:val="hybridMultilevel"/>
    <w:lvl w:ilvl="0">
      <w:lvlJc w:val="left"/>
      <w:lvlText w:val="·"/>
      <w:numFmt w:val="bullet"/>
      <w:start w:val="1"/>
    </w:lvl>
  </w:abstractNum>
  <w:abstractNum w:abstractNumId="56">
    <w:nsid w:val="68EBC550"/>
    <w:multiLevelType w:val="hybridMultilevel"/>
    <w:lvl w:ilvl="0">
      <w:lvlJc w:val="left"/>
      <w:lvlText w:val="·"/>
      <w:numFmt w:val="bullet"/>
      <w:start w:val="1"/>
    </w:lvl>
  </w:abstractNum>
  <w:abstractNum w:abstractNumId="57">
    <w:nsid w:val="2DF6D648"/>
    <w:multiLevelType w:val="hybridMultilevel"/>
    <w:lvl w:ilvl="0">
      <w:lvlJc w:val="left"/>
      <w:lvlText w:val="·"/>
      <w:numFmt w:val="bullet"/>
      <w:start w:val="1"/>
    </w:lvl>
  </w:abstractNum>
  <w:abstractNum w:abstractNumId="58">
    <w:nsid w:val="46B7D447"/>
    <w:multiLevelType w:val="hybridMultilevel"/>
    <w:lvl w:ilvl="0">
      <w:lvlJc w:val="left"/>
      <w:lvlText w:val="(%1)"/>
      <w:numFmt w:val="lowerRoman"/>
      <w:start w:val="10"/>
    </w:lvl>
  </w:abstractNum>
  <w:abstractNum w:abstractNumId="59">
    <w:nsid w:val="4A2AC315"/>
    <w:multiLevelType w:val="hybridMultilevel"/>
    <w:lvl w:ilvl="0">
      <w:lvlJc w:val="left"/>
      <w:lvlText w:val="(%1)"/>
      <w:numFmt w:val="lowerRoman"/>
      <w:start w:val="10"/>
    </w:lvl>
  </w:abstractNum>
  <w:abstractNum w:abstractNumId="60">
    <w:nsid w:val="39EE015C"/>
    <w:multiLevelType w:val="hybridMultilevel"/>
    <w:lvl w:ilvl="0">
      <w:lvlJc w:val="left"/>
      <w:lvlText w:val="(%1)"/>
      <w:numFmt w:val="lowerLetter"/>
      <w:start w:val="2"/>
    </w:lvl>
  </w:abstractNum>
  <w:abstractNum w:abstractNumId="61">
    <w:nsid w:val="57FC4FBB"/>
    <w:multiLevelType w:val="hybridMultilevel"/>
    <w:lvl w:ilvl="0">
      <w:lvlJc w:val="left"/>
      <w:lvlText w:val="·"/>
      <w:numFmt w:val="bullet"/>
      <w:start w:val="1"/>
    </w:lvl>
  </w:abstractNum>
  <w:abstractNum w:abstractNumId="62">
    <w:nsid w:val="CC1016F"/>
    <w:multiLevelType w:val="hybridMultilevel"/>
    <w:lvl w:ilvl="0">
      <w:lvlJc w:val="left"/>
      <w:lvlText w:val="·"/>
      <w:numFmt w:val="bullet"/>
      <w:start w:val="1"/>
    </w:lvl>
  </w:abstractNum>
  <w:abstractNum w:abstractNumId="63">
    <w:nsid w:val="43F18422"/>
    <w:multiLevelType w:val="hybridMultilevel"/>
    <w:lvl w:ilvl="0">
      <w:lvlJc w:val="left"/>
      <w:lvlText w:val="·"/>
      <w:numFmt w:val="bullet"/>
      <w:start w:val="1"/>
    </w:lvl>
  </w:abstractNum>
  <w:abstractNum w:abstractNumId="64">
    <w:nsid w:val="60EF0119"/>
    <w:multiLevelType w:val="hybridMultilevel"/>
    <w:lvl w:ilvl="0">
      <w:lvlJc w:val="left"/>
      <w:lvlText w:val="•"/>
      <w:numFmt w:val="bullet"/>
      <w:start w:val="1"/>
    </w:lvl>
  </w:abstractNum>
  <w:abstractNum w:abstractNumId="65">
    <w:nsid w:val="26F324BA"/>
    <w:multiLevelType w:val="hybridMultilevel"/>
    <w:lvl w:ilvl="0">
      <w:lvlJc w:val="left"/>
      <w:lvlText w:val="•"/>
      <w:numFmt w:val="bullet"/>
      <w:start w:val="1"/>
    </w:lvl>
  </w:abstractNum>
  <w:abstractNum w:abstractNumId="66">
    <w:nsid w:val="7F01579B"/>
    <w:multiLevelType w:val="hybridMultilevel"/>
    <w:lvl w:ilvl="0">
      <w:lvlJc w:val="left"/>
      <w:lvlText w:val="•"/>
      <w:numFmt w:val="bullet"/>
      <w:start w:val="1"/>
    </w:lvl>
  </w:abstractNum>
  <w:abstractNum w:abstractNumId="67">
    <w:nsid w:val="49DA307D"/>
    <w:multiLevelType w:val="hybridMultilevel"/>
    <w:lvl w:ilvl="0">
      <w:lvlJc w:val="left"/>
      <w:lvlText w:val="·"/>
      <w:numFmt w:val="bullet"/>
      <w:start w:val="1"/>
    </w:lvl>
  </w:abstractNum>
  <w:abstractNum w:abstractNumId="68">
    <w:nsid w:val="7055A5F5"/>
    <w:multiLevelType w:val="hybridMultilevel"/>
    <w:lvl w:ilvl="0">
      <w:lvlJc w:val="left"/>
      <w:lvlText w:val="·"/>
      <w:numFmt w:val="bullet"/>
      <w:start w:val="1"/>
    </w:lvl>
  </w:abstractNum>
  <w:abstractNum w:abstractNumId="69">
    <w:nsid w:val="5FB8370B"/>
    <w:multiLevelType w:val="hybridMultilevel"/>
    <w:lvl w:ilvl="0">
      <w:lvlJc w:val="left"/>
      <w:lvlText w:val="·"/>
      <w:numFmt w:val="bullet"/>
      <w:start w:val="1"/>
    </w:lvl>
  </w:abstractNum>
  <w:abstractNum w:abstractNumId="70">
    <w:nsid w:val="50801EE1"/>
    <w:multiLevelType w:val="hybridMultilevel"/>
    <w:lvl w:ilvl="0">
      <w:lvlJc w:val="left"/>
      <w:lvlText w:val="$"/>
      <w:numFmt w:val="bullet"/>
      <w:start w:val="1"/>
    </w:lvl>
  </w:abstractNum>
  <w:abstractNum w:abstractNumId="71">
    <w:nsid w:val="488AC1A"/>
    <w:multiLevelType w:val="hybridMultilevel"/>
    <w:lvl w:ilvl="0">
      <w:lvlJc w:val="left"/>
      <w:lvlText w:val="(%1)"/>
      <w:numFmt w:val="decimal"/>
      <w:start w:val="1"/>
    </w:lvl>
  </w:abstractNum>
  <w:abstractNum w:abstractNumId="72">
    <w:nsid w:val="5FB8011C"/>
    <w:multiLevelType w:val="hybridMultilevel"/>
    <w:lvl w:ilvl="0">
      <w:lvlJc w:val="left"/>
      <w:lvlText w:val="·"/>
      <w:numFmt w:val="bullet"/>
      <w:start w:val="1"/>
    </w:lvl>
  </w:abstractNum>
  <w:abstractNum w:abstractNumId="73">
    <w:nsid w:val="6AA78F7F"/>
    <w:multiLevelType w:val="hybridMultilevel"/>
    <w:lvl w:ilvl="0">
      <w:lvlJc w:val="left"/>
      <w:lvlText w:val="·"/>
      <w:numFmt w:val="bullet"/>
      <w:start w:val="1"/>
    </w:lvl>
  </w:abstractNum>
  <w:abstractNum w:abstractNumId="74">
    <w:nsid w:val="7672BD23"/>
    <w:multiLevelType w:val="hybridMultilevel"/>
    <w:lvl w:ilvl="0">
      <w:lvlJc w:val="left"/>
      <w:lvlText w:val="·"/>
      <w:numFmt w:val="bullet"/>
      <w:start w:val="1"/>
    </w:lvl>
  </w:abstractNum>
  <w:abstractNum w:abstractNumId="75">
    <w:nsid w:val="6FC75AF8"/>
    <w:multiLevelType w:val="hybridMultilevel"/>
    <w:lvl w:ilvl="0">
      <w:lvlJc w:val="left"/>
      <w:lvlText w:val="·"/>
      <w:numFmt w:val="bullet"/>
      <w:start w:val="1"/>
    </w:lvl>
  </w:abstractNum>
  <w:abstractNum w:abstractNumId="76">
    <w:nsid w:val="6A5F7029"/>
    <w:multiLevelType w:val="hybridMultilevel"/>
    <w:lvl w:ilvl="0">
      <w:lvlJc w:val="left"/>
      <w:lvlText w:val="(%1)"/>
      <w:numFmt w:val="upperLetter"/>
      <w:start w:val="6"/>
    </w:lvl>
  </w:abstractNum>
  <w:abstractNum w:abstractNumId="77">
    <w:nsid w:val="7D5E18F8"/>
    <w:multiLevelType w:val="hybridMultilevel"/>
    <w:lvl w:ilvl="0">
      <w:lvlJc w:val="left"/>
      <w:lvlText w:val="(%1)"/>
      <w:numFmt w:val="upperLetter"/>
      <w:start w:val="6"/>
    </w:lvl>
  </w:abstractNum>
  <w:abstractNum w:abstractNumId="78">
    <w:nsid w:val="5F3534A4"/>
    <w:multiLevelType w:val="hybridMultilevel"/>
    <w:lvl w:ilvl="0">
      <w:lvlJc w:val="left"/>
      <w:lvlText w:val="(%1)"/>
      <w:numFmt w:val="upperLetter"/>
      <w:start w:val="6"/>
    </w:lvl>
  </w:abstractNum>
  <w:abstractNum w:abstractNumId="79">
    <w:nsid w:val="73A1821B"/>
    <w:multiLevelType w:val="hybridMultilevel"/>
    <w:lvl w:ilvl="0">
      <w:lvlJc w:val="left"/>
      <w:lvlText w:val="(%1)"/>
      <w:numFmt w:val="decimal"/>
      <w:start w:val="1"/>
    </w:lvl>
  </w:abstractNum>
  <w:abstractNum w:abstractNumId="80">
    <w:nsid w:val="7DE67713"/>
    <w:multiLevelType w:val="hybridMultilevel"/>
    <w:lvl w:ilvl="0">
      <w:lvlJc w:val="left"/>
      <w:lvlText w:val="(%1)"/>
      <w:numFmt w:val="lowerLetter"/>
      <w:start w:val="1"/>
    </w:lvl>
  </w:abstractNum>
  <w:abstractNum w:abstractNumId="81">
    <w:nsid w:val="555C55B5"/>
    <w:multiLevelType w:val="hybridMultilevel"/>
    <w:lvl w:ilvl="0">
      <w:lvlJc w:val="left"/>
      <w:lvlText w:val="(%1)"/>
      <w:numFmt w:val="lowerLetter"/>
      <w:start w:val="2"/>
    </w:lvl>
  </w:abstractNum>
  <w:abstractNum w:abstractNumId="82">
    <w:nsid w:val="3FA62ACA"/>
    <w:multiLevelType w:val="hybridMultilevel"/>
    <w:lvl w:ilvl="0">
      <w:lvlJc w:val="left"/>
      <w:lvlText w:val="(%1)"/>
      <w:numFmt w:val="lowerLetter"/>
      <w:start w:val="8"/>
    </w:lvl>
  </w:abstractNum>
  <w:abstractNum w:abstractNumId="83">
    <w:nsid w:val="14FCE74E"/>
    <w:multiLevelType w:val="hybridMultilevel"/>
    <w:lvl w:ilvl="0">
      <w:lvlJc w:val="left"/>
      <w:lvlText w:val="*"/>
      <w:numFmt w:val="bullet"/>
      <w:start w:val="1"/>
    </w:lvl>
  </w:abstractNum>
  <w:abstractNum w:abstractNumId="84">
    <w:nsid w:val="6A3DD3E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5">
    <w:nsid w:val="71C91298"/>
    <w:multiLevelType w:val="hybridMultilevel"/>
    <w:lvl w:ilvl="0">
      <w:lvlJc w:val="left"/>
      <w:lvlText w:val="(%1)"/>
      <w:numFmt w:val="lowerRoman"/>
      <w:start w:val="3"/>
    </w:lvl>
  </w:abstractNum>
  <w:abstractNum w:abstractNumId="86">
    <w:nsid w:val="9DAF632"/>
    <w:multiLevelType w:val="hybridMultilevel"/>
    <w:lvl w:ilvl="0">
      <w:lvlJc w:val="left"/>
      <w:lvlText w:val="%1."/>
      <w:numFmt w:val="decimal"/>
      <w:start w:val="1"/>
    </w:lvl>
  </w:abstractNum>
  <w:abstractNum w:abstractNumId="87">
    <w:nsid w:val="53299938"/>
    <w:multiLevelType w:val="hybridMultilevel"/>
    <w:lvl w:ilvl="0">
      <w:lvlJc w:val="left"/>
      <w:lvlText w:val="(%1)"/>
      <w:numFmt w:val="decimal"/>
      <w:start w:val="30"/>
    </w:lvl>
  </w:abstractNum>
  <w:abstractNum w:abstractNumId="88">
    <w:nsid w:val="1FBFE8E0"/>
    <w:multiLevelType w:val="hybridMultilevel"/>
    <w:lvl w:ilvl="0">
      <w:lvlJc w:val="left"/>
      <w:lvlText w:val="%1."/>
      <w:numFmt w:val="decimal"/>
      <w:start w:val="2"/>
    </w:lvl>
  </w:abstractNum>
  <w:abstractNum w:abstractNumId="89">
    <w:nsid w:val="5092CA79"/>
    <w:multiLevelType w:val="hybridMultilevel"/>
    <w:lvl w:ilvl="0">
      <w:lvlJc w:val="left"/>
      <w:lvlText w:val="%1."/>
      <w:numFmt w:val="decimal"/>
      <w:start w:val="3"/>
    </w:lvl>
  </w:abstractNum>
  <w:abstractNum w:abstractNumId="90">
    <w:nsid w:val="1D545C4D"/>
    <w:multiLevelType w:val="hybridMultilevel"/>
    <w:lvl w:ilvl="0">
      <w:lvlJc w:val="left"/>
      <w:lvlText w:val="(%1)"/>
      <w:numFmt w:val="lowerRoman"/>
      <w:start w:val="5"/>
    </w:lvl>
  </w:abstractNum>
  <w:abstractNum w:abstractNumId="91">
    <w:nsid w:val="59ADEA3D"/>
    <w:multiLevelType w:val="hybridMultilevel"/>
    <w:lvl w:ilvl="0">
      <w:lvlJc w:val="left"/>
      <w:lvlText w:val="[●]"/>
      <w:numFmt w:val="bullet"/>
      <w:start w:val="1"/>
    </w:lvl>
  </w:abstractNum>
  <w:abstractNum w:abstractNumId="92">
    <w:nsid w:val="288F1A34"/>
    <w:multiLevelType w:val="hybridMultilevel"/>
    <w:lvl w:ilvl="0">
      <w:lvlJc w:val="left"/>
      <w:lvlText w:val="(%1)"/>
      <w:numFmt w:val="lowerRoman"/>
      <w:start w:val="1"/>
    </w:lvl>
  </w:abstractNum>
  <w:abstractNum w:abstractNumId="93">
    <w:nsid w:val="2A155DBC"/>
    <w:multiLevelType w:val="hybridMultilevel"/>
    <w:lvl w:ilvl="0">
      <w:lvlJc w:val="left"/>
      <w:lvlText w:val="(%1)"/>
      <w:numFmt w:val="decimal"/>
      <w:start w:val="4"/>
    </w:lvl>
  </w:abstractNum>
  <w:abstractNum w:abstractNumId="94">
    <w:nsid w:val="1D9F6E5F"/>
    <w:multiLevelType w:val="hybridMultilevel"/>
    <w:lvl w:ilvl="0">
      <w:lvlJc w:val="left"/>
      <w:lvlText w:val="%1."/>
      <w:numFmt w:val="decimal"/>
      <w:start w:val="4"/>
    </w:lvl>
  </w:abstractNum>
  <w:abstractNum w:abstractNumId="95">
    <w:nsid w:val="97E1B4E"/>
    <w:multiLevelType w:val="hybridMultilevel"/>
    <w:lvl w:ilvl="0">
      <w:lvlJc w:val="left"/>
      <w:lvlText w:val="(%1)"/>
      <w:numFmt w:val="lowerLetter"/>
      <w:start w:val="1"/>
    </w:lvl>
  </w:abstractNum>
  <w:abstractNum w:abstractNumId="96">
    <w:nsid w:val="51088277"/>
    <w:multiLevelType w:val="hybridMultilevel"/>
    <w:lvl w:ilvl="0">
      <w:lvlJc w:val="left"/>
      <w:lvlText w:val="%1."/>
      <w:numFmt w:val="decimal"/>
      <w:start w:val="5"/>
    </w:lvl>
  </w:abstractNum>
  <w:abstractNum w:abstractNumId="97">
    <w:nsid w:val="1CA0C5FA"/>
    <w:multiLevelType w:val="hybridMultilevel"/>
    <w:lvl w:ilvl="0">
      <w:lvlJc w:val="left"/>
      <w:lvlText w:val="%1."/>
      <w:numFmt w:val="decimal"/>
      <w:start w:val="6"/>
    </w:lvl>
  </w:abstractNum>
  <w:abstractNum w:abstractNumId="98">
    <w:nsid w:val="53584BCB"/>
    <w:multiLevelType w:val="hybridMultilevel"/>
    <w:lvl w:ilvl="0">
      <w:lvlJc w:val="left"/>
      <w:lvlText w:val="%1."/>
      <w:numFmt w:val="decimal"/>
      <w:start w:val="7"/>
    </w:lvl>
  </w:abstractNum>
  <w:abstractNum w:abstractNumId="99">
    <w:nsid w:val="415E286C"/>
    <w:multiLevelType w:val="hybridMultilevel"/>
    <w:lvl w:ilvl="0">
      <w:lvlJc w:val="left"/>
      <w:lvlText w:val="%1."/>
      <w:numFmt w:val="decimal"/>
      <w:start w:val="8"/>
    </w:lvl>
  </w:abstractNum>
  <w:abstractNum w:abstractNumId="100">
    <w:nsid w:val="7C58FD05"/>
    <w:multiLevelType w:val="hybridMultilevel"/>
    <w:lvl w:ilvl="0">
      <w:lvlJc w:val="left"/>
      <w:lvlText w:val="(%1)"/>
      <w:numFmt w:val="lowerRoman"/>
      <w:start w:val="6"/>
    </w:lvl>
  </w:abstractNum>
  <w:abstractNum w:abstractNumId="101">
    <w:nsid w:val="23D86AAC"/>
    <w:multiLevelType w:val="hybridMultilevel"/>
    <w:lvl w:ilvl="0">
      <w:lvlJc w:val="left"/>
      <w:lvlText w:val="%1."/>
      <w:numFmt w:val="decimal"/>
      <w:start w:val="10"/>
    </w:lvl>
  </w:abstractNum>
  <w:abstractNum w:abstractNumId="102">
    <w:nsid w:val="45E6D486"/>
    <w:multiLevelType w:val="hybridMultilevel"/>
    <w:lvl w:ilvl="0">
      <w:lvlJc w:val="left"/>
      <w:lvlText w:val="%1."/>
      <w:numFmt w:val="decimal"/>
      <w:start w:val="1"/>
    </w:lvl>
  </w:abstractNum>
  <w:abstractNum w:abstractNumId="103">
    <w:nsid w:val="5C10FE21"/>
    <w:multiLevelType w:val="hybridMultilevel"/>
    <w:lvl w:ilvl="0">
      <w:lvlJc w:val="left"/>
      <w:lvlText w:val="(%1)"/>
      <w:numFmt w:val="decimal"/>
      <w:start w:val="180"/>
    </w:lvl>
  </w:abstractNum>
  <w:abstractNum w:abstractNumId="104">
    <w:nsid w:val="E7FFA2B"/>
    <w:multiLevelType w:val="hybridMultilevel"/>
    <w:lvl w:ilvl="0">
      <w:lvlJc w:val="left"/>
      <w:lvlText w:val="%1."/>
      <w:numFmt w:val="decimal"/>
      <w:start w:val="3"/>
    </w:lvl>
  </w:abstractNum>
  <w:abstractNum w:abstractNumId="105">
    <w:nsid w:val="3C5991AA"/>
    <w:multiLevelType w:val="hybridMultilevel"/>
    <w:lvl w:ilvl="0">
      <w:lvlJc w:val="left"/>
      <w:lvlText w:val="(%1)"/>
      <w:numFmt w:val="lowerRoman"/>
      <w:start w:val="1"/>
    </w:lvl>
  </w:abstractNum>
  <w:abstractNum w:abstractNumId="106">
    <w:nsid w:val="4BD8591A"/>
    <w:multiLevelType w:val="hybridMultilevel"/>
    <w:lvl w:ilvl="0">
      <w:lvlJc w:val="left"/>
      <w:lvlText w:val="(%1)"/>
      <w:numFmt w:val="lowerRoman"/>
      <w:start w:val="2"/>
    </w:lvl>
  </w:abstractNum>
  <w:abstractNum w:abstractNumId="107">
    <w:nsid w:val="78DF6A55"/>
    <w:multiLevelType w:val="hybridMultilevel"/>
    <w:lvl w:ilvl="0">
      <w:lvlJc w:val="left"/>
      <w:lvlText w:val="(%1)"/>
      <w:numFmt w:val="decimal"/>
      <w:start w:val="3"/>
    </w:lvl>
  </w:abstractNum>
  <w:abstractNum w:abstractNumId="108">
    <w:nsid w:val="39B7AAA2"/>
    <w:multiLevelType w:val="hybridMultilevel"/>
    <w:lvl w:ilvl="0">
      <w:lvlJc w:val="left"/>
      <w:lvlText w:val="%1."/>
      <w:numFmt w:val="decimal"/>
      <w:start w:val="4"/>
    </w:lvl>
  </w:abstractNum>
  <w:abstractNum w:abstractNumId="109">
    <w:nsid w:val="2B0D8DBE"/>
    <w:multiLevelType w:val="hybridMultilevel"/>
    <w:lvl w:ilvl="0">
      <w:lvlJc w:val="left"/>
      <w:lvlText w:val="%1."/>
      <w:numFmt w:val="decimal"/>
      <w:start w:val="5"/>
    </w:lvl>
  </w:abstractNum>
  <w:abstractNum w:abstractNumId="110">
    <w:nsid w:val="6C80EC70"/>
    <w:multiLevelType w:val="hybridMultilevel"/>
    <w:lvl w:ilvl="0">
      <w:lvlJc w:val="left"/>
      <w:lvlText w:val="%1."/>
      <w:numFmt w:val="decimal"/>
      <w:start w:val="6"/>
    </w:lvl>
  </w:abstractNum>
  <w:abstractNum w:abstractNumId="111">
    <w:nsid w:val="379E21B5"/>
    <w:multiLevelType w:val="hybridMultilevel"/>
    <w:lvl w:ilvl="0">
      <w:lvlJc w:val="left"/>
      <w:lvlText w:val="%1."/>
      <w:numFmt w:val="decimal"/>
      <w:start w:val="7"/>
    </w:lvl>
  </w:abstractNum>
  <w:abstractNum w:abstractNumId="112">
    <w:nsid w:val="69E373"/>
    <w:multiLevelType w:val="hybridMultilevel"/>
    <w:lvl w:ilvl="0">
      <w:lvlJc w:val="left"/>
      <w:lvlText w:val="%1."/>
      <w:numFmt w:val="decimal"/>
      <w:start w:val="8"/>
    </w:lvl>
  </w:abstractNum>
  <w:abstractNum w:abstractNumId="113">
    <w:nsid w:val="2C27173B"/>
    <w:multiLevelType w:val="hybridMultilevel"/>
    <w:lvl w:ilvl="0">
      <w:lvlJc w:val="left"/>
      <w:lvlText w:val="%1."/>
      <w:numFmt w:val="decimal"/>
      <w:start w:val="9"/>
    </w:lvl>
  </w:abstractNum>
  <w:abstractNum w:abstractNumId="114">
    <w:nsid w:val="4C9B0904"/>
    <w:multiLevelType w:val="hybridMultilevel"/>
    <w:lvl w:ilvl="0">
      <w:lvlJc w:val="left"/>
      <w:lvlText w:val="%1."/>
      <w:numFmt w:val="decimal"/>
      <w:start w:val="2"/>
    </w:lvl>
  </w:abstractNum>
  <w:abstractNum w:abstractNumId="115">
    <w:nsid w:val="6AA7B75C"/>
    <w:multiLevelType w:val="hybridMultilevel"/>
    <w:lvl w:ilvl="0">
      <w:lvlJc w:val="left"/>
      <w:lvlText w:val="(%1)"/>
      <w:numFmt w:val="lowerLetter"/>
      <w:start w:val="1"/>
    </w:lvl>
  </w:abstractNum>
  <w:abstractNum w:abstractNumId="116">
    <w:nsid w:val="1DF029D3"/>
    <w:multiLevelType w:val="hybridMultilevel"/>
    <w:lvl w:ilvl="0">
      <w:lvlJc w:val="left"/>
      <w:lvlText w:val="%1."/>
      <w:numFmt w:val="decimal"/>
      <w:start w:val="3"/>
    </w:lvl>
  </w:abstractNum>
  <w:abstractNum w:abstractNumId="117">
    <w:nsid w:val="5675FF36"/>
    <w:multiLevelType w:val="hybridMultilevel"/>
    <w:lvl w:ilvl="0">
      <w:lvlJc w:val="left"/>
      <w:lvlText w:val="%1."/>
      <w:numFmt w:val="decimal"/>
      <w:start w:val="4"/>
    </w:lvl>
  </w:abstractNum>
  <w:abstractNum w:abstractNumId="118">
    <w:nsid w:val="3DD15094"/>
    <w:multiLevelType w:val="hybridMultilevel"/>
    <w:lvl w:ilvl="0">
      <w:lvlJc w:val="left"/>
      <w:lvlText w:val="%1."/>
      <w:numFmt w:val="decimal"/>
      <w:start w:val="5"/>
    </w:lvl>
  </w:abstractNum>
  <w:abstractNum w:abstractNumId="119">
    <w:nsid w:val="3DB012B3"/>
    <w:multiLevelType w:val="hybridMultilevel"/>
    <w:lvl w:ilvl="0">
      <w:lvlJc w:val="left"/>
      <w:lvlText w:val="%1."/>
      <w:numFmt w:val="decimal"/>
      <w:start w:val="6"/>
    </w:lvl>
  </w:abstractNum>
  <w:abstractNum w:abstractNumId="120">
    <w:nsid w:val="2708C9AF"/>
    <w:multiLevelType w:val="hybridMultilevel"/>
    <w:lvl w:ilvl="0">
      <w:lvlJc w:val="left"/>
      <w:lvlText w:val="·"/>
      <w:numFmt w:val="bullet"/>
      <w:start w:val="1"/>
    </w:lvl>
  </w:abstractNum>
  <w:abstractNum w:abstractNumId="121">
    <w:nsid w:val="5B25ACE2"/>
    <w:multiLevelType w:val="hybridMultilevel"/>
    <w:lvl w:ilvl="0">
      <w:lvlJc w:val="left"/>
      <w:lvlText w:val="·"/>
      <w:numFmt w:val="bullet"/>
      <w:start w:val="1"/>
    </w:lvl>
  </w:abstractNum>
  <w:abstractNum w:abstractNumId="122">
    <w:nsid w:val="175DFCF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39" Type="http://schemas.openxmlformats.org/officeDocument/2006/relationships/image" Target="media/image204.png"/><Relationship Id="rId240" Type="http://schemas.openxmlformats.org/officeDocument/2006/relationships/image" Target="media/image205.png"/><Relationship Id="rId241" Type="http://schemas.openxmlformats.org/officeDocument/2006/relationships/image" Target="media/image206.png"/><Relationship Id="rId242" Type="http://schemas.openxmlformats.org/officeDocument/2006/relationships/image" Target="media/image207.png"/><Relationship Id="rId243" Type="http://schemas.openxmlformats.org/officeDocument/2006/relationships/image" Target="media/image208.png"/><Relationship Id="rId244" Type="http://schemas.openxmlformats.org/officeDocument/2006/relationships/image" Target="media/image209.png"/><Relationship Id="rId245" Type="http://schemas.openxmlformats.org/officeDocument/2006/relationships/image" Target="media/image210.png"/><Relationship Id="rId246" Type="http://schemas.openxmlformats.org/officeDocument/2006/relationships/image" Target="media/image211.png"/><Relationship Id="rId247" Type="http://schemas.openxmlformats.org/officeDocument/2006/relationships/image" Target="media/image212.png"/><Relationship Id="rId248" Type="http://schemas.openxmlformats.org/officeDocument/2006/relationships/image" Target="media/image213.png"/><Relationship Id="rId249" Type="http://schemas.openxmlformats.org/officeDocument/2006/relationships/image" Target="media/image214.png"/><Relationship Id="rId250" Type="http://schemas.openxmlformats.org/officeDocument/2006/relationships/image" Target="media/image215.png"/><Relationship Id="rId251" Type="http://schemas.openxmlformats.org/officeDocument/2006/relationships/image" Target="media/image216.png"/><Relationship Id="rId252" Type="http://schemas.openxmlformats.org/officeDocument/2006/relationships/image" Target="media/image217.png"/><Relationship Id="rId253" Type="http://schemas.openxmlformats.org/officeDocument/2006/relationships/image" Target="media/image218.png"/><Relationship Id="rId254" Type="http://schemas.openxmlformats.org/officeDocument/2006/relationships/image" Target="media/image219.png"/><Relationship Id="rId255" Type="http://schemas.openxmlformats.org/officeDocument/2006/relationships/image" Target="media/image220.png"/><Relationship Id="rId256" Type="http://schemas.openxmlformats.org/officeDocument/2006/relationships/image" Target="media/image221.png"/><Relationship Id="rId257" Type="http://schemas.openxmlformats.org/officeDocument/2006/relationships/image" Target="media/image222.png"/><Relationship Id="rId258" Type="http://schemas.openxmlformats.org/officeDocument/2006/relationships/image" Target="media/image223.png"/><Relationship Id="rId259" Type="http://schemas.openxmlformats.org/officeDocument/2006/relationships/image" Target="media/image224.png"/><Relationship Id="rId260" Type="http://schemas.openxmlformats.org/officeDocument/2006/relationships/image" Target="media/image225.png"/><Relationship Id="rId261" Type="http://schemas.openxmlformats.org/officeDocument/2006/relationships/image" Target="media/image226.png"/><Relationship Id="rId262" Type="http://schemas.openxmlformats.org/officeDocument/2006/relationships/image" Target="media/image227.png"/><Relationship Id="rId263" Type="http://schemas.openxmlformats.org/officeDocument/2006/relationships/image" Target="media/image228.png"/><Relationship Id="rId264" Type="http://schemas.openxmlformats.org/officeDocument/2006/relationships/image" Target="media/image229.png"/><Relationship Id="rId265" Type="http://schemas.openxmlformats.org/officeDocument/2006/relationships/image" Target="media/image230.png"/><Relationship Id="rId266" Type="http://schemas.openxmlformats.org/officeDocument/2006/relationships/image" Target="media/image231.png"/><Relationship Id="rId267" Type="http://schemas.openxmlformats.org/officeDocument/2006/relationships/image" Target="media/image232.png"/><Relationship Id="rId268" Type="http://schemas.openxmlformats.org/officeDocument/2006/relationships/image" Target="media/image233.png"/><Relationship Id="rId269" Type="http://schemas.openxmlformats.org/officeDocument/2006/relationships/image" Target="media/image234.png"/><Relationship Id="rId270" Type="http://schemas.openxmlformats.org/officeDocument/2006/relationships/image" Target="media/image235.png"/><Relationship Id="rId271" Type="http://schemas.openxmlformats.org/officeDocument/2006/relationships/image" Target="media/image236.png"/><Relationship Id="rId272" Type="http://schemas.openxmlformats.org/officeDocument/2006/relationships/image" Target="media/image237.png"/><Relationship Id="rId273" Type="http://schemas.openxmlformats.org/officeDocument/2006/relationships/image" Target="media/image238.png"/><Relationship Id="rId274" Type="http://schemas.openxmlformats.org/officeDocument/2006/relationships/image" Target="media/image239.png"/><Relationship Id="rId275" Type="http://schemas.openxmlformats.org/officeDocument/2006/relationships/image" Target="media/image240.png"/><Relationship Id="rId276" Type="http://schemas.openxmlformats.org/officeDocument/2006/relationships/image" Target="media/image241.png"/><Relationship Id="rId277" Type="http://schemas.openxmlformats.org/officeDocument/2006/relationships/image" Target="media/image242.png"/><Relationship Id="rId278" Type="http://schemas.openxmlformats.org/officeDocument/2006/relationships/image" Target="media/image243.png"/><Relationship Id="rId279" Type="http://schemas.openxmlformats.org/officeDocument/2006/relationships/image" Target="media/image244.png"/><Relationship Id="rId280" Type="http://schemas.openxmlformats.org/officeDocument/2006/relationships/image" Target="media/image245.png"/><Relationship Id="rId281" Type="http://schemas.openxmlformats.org/officeDocument/2006/relationships/image" Target="media/image246.png"/><Relationship Id="rId282" Type="http://schemas.openxmlformats.org/officeDocument/2006/relationships/image" Target="media/image247.png"/><Relationship Id="rId283" Type="http://schemas.openxmlformats.org/officeDocument/2006/relationships/image" Target="media/image248.png"/><Relationship Id="rId284" Type="http://schemas.openxmlformats.org/officeDocument/2006/relationships/image" Target="media/image249.png"/><Relationship Id="rId285" Type="http://schemas.openxmlformats.org/officeDocument/2006/relationships/image" Target="media/image250.png"/><Relationship Id="rId286" Type="http://schemas.openxmlformats.org/officeDocument/2006/relationships/image" Target="media/image251.png"/><Relationship Id="rId287" Type="http://schemas.openxmlformats.org/officeDocument/2006/relationships/image" Target="media/image252.png"/><Relationship Id="rId288" Type="http://schemas.openxmlformats.org/officeDocument/2006/relationships/image" Target="media/image253.png"/><Relationship Id="rId289" Type="http://schemas.openxmlformats.org/officeDocument/2006/relationships/image" Target="media/image254.png"/><Relationship Id="rId290" Type="http://schemas.openxmlformats.org/officeDocument/2006/relationships/image" Target="media/image255.png"/><Relationship Id="rId291" Type="http://schemas.openxmlformats.org/officeDocument/2006/relationships/image" Target="media/image256.png"/><Relationship Id="rId292" Type="http://schemas.openxmlformats.org/officeDocument/2006/relationships/image" Target="media/image257.png"/><Relationship Id="rId293" Type="http://schemas.openxmlformats.org/officeDocument/2006/relationships/image" Target="media/image258.png"/><Relationship Id="rId294" Type="http://schemas.openxmlformats.org/officeDocument/2006/relationships/image" Target="media/image259.png"/><Relationship Id="rId295" Type="http://schemas.openxmlformats.org/officeDocument/2006/relationships/image" Target="media/image260.png"/><Relationship Id="rId296" Type="http://schemas.openxmlformats.org/officeDocument/2006/relationships/image" Target="media/image261.png"/><Relationship Id="rId297" Type="http://schemas.openxmlformats.org/officeDocument/2006/relationships/image" Target="media/image262.png"/><Relationship Id="rId298" Type="http://schemas.openxmlformats.org/officeDocument/2006/relationships/image" Target="media/image263.png"/><Relationship Id="rId299" Type="http://schemas.openxmlformats.org/officeDocument/2006/relationships/image" Target="media/image264.png"/><Relationship Id="rId300" Type="http://schemas.openxmlformats.org/officeDocument/2006/relationships/image" Target="media/image265.png"/><Relationship Id="rId301" Type="http://schemas.openxmlformats.org/officeDocument/2006/relationships/image" Target="media/image266.png"/><Relationship Id="rId302" Type="http://schemas.openxmlformats.org/officeDocument/2006/relationships/image" Target="media/image267.png"/><Relationship Id="rId303" Type="http://schemas.openxmlformats.org/officeDocument/2006/relationships/image" Target="media/image268.png"/><Relationship Id="rId304" Type="http://schemas.openxmlformats.org/officeDocument/2006/relationships/image" Target="media/image269.png"/><Relationship Id="rId305" Type="http://schemas.openxmlformats.org/officeDocument/2006/relationships/image" Target="media/image270.png"/><Relationship Id="rId306" Type="http://schemas.openxmlformats.org/officeDocument/2006/relationships/image" Target="media/image271.png"/><Relationship Id="rId307" Type="http://schemas.openxmlformats.org/officeDocument/2006/relationships/image" Target="media/image272.png"/><Relationship Id="rId308" Type="http://schemas.openxmlformats.org/officeDocument/2006/relationships/image" Target="media/image273.png"/><Relationship Id="rId309" Type="http://schemas.openxmlformats.org/officeDocument/2006/relationships/image" Target="media/image274.png"/><Relationship Id="rId310" Type="http://schemas.openxmlformats.org/officeDocument/2006/relationships/image" Target="media/image275.png"/><Relationship Id="rId311" Type="http://schemas.openxmlformats.org/officeDocument/2006/relationships/image" Target="media/image276.png"/><Relationship Id="rId312" Type="http://schemas.openxmlformats.org/officeDocument/2006/relationships/image" Target="media/image277.png"/><Relationship Id="rId313" Type="http://schemas.openxmlformats.org/officeDocument/2006/relationships/image" Target="media/image278.png"/><Relationship Id="rId314" Type="http://schemas.openxmlformats.org/officeDocument/2006/relationships/image" Target="media/image279.png"/><Relationship Id="rId315" Type="http://schemas.openxmlformats.org/officeDocument/2006/relationships/image" Target="media/image280.png"/><Relationship Id="rId316" Type="http://schemas.openxmlformats.org/officeDocument/2006/relationships/image" Target="media/image281.png"/><Relationship Id="rId317" Type="http://schemas.openxmlformats.org/officeDocument/2006/relationships/image" Target="media/image282.png"/><Relationship Id="rId318" Type="http://schemas.openxmlformats.org/officeDocument/2006/relationships/image" Target="media/image283.png"/><Relationship Id="rId319" Type="http://schemas.openxmlformats.org/officeDocument/2006/relationships/image" Target="media/image284.png"/><Relationship Id="rId320" Type="http://schemas.openxmlformats.org/officeDocument/2006/relationships/image" Target="media/image285.png"/><Relationship Id="rId321" Type="http://schemas.openxmlformats.org/officeDocument/2006/relationships/image" Target="media/image286.png"/><Relationship Id="rId322" Type="http://schemas.openxmlformats.org/officeDocument/2006/relationships/image" Target="media/image287.png"/><Relationship Id="rId323" Type="http://schemas.openxmlformats.org/officeDocument/2006/relationships/image" Target="media/image288.png"/><Relationship Id="rId324" Type="http://schemas.openxmlformats.org/officeDocument/2006/relationships/image" Target="media/image289.png"/><Relationship Id="rId211" Type="http://schemas.openxmlformats.org/officeDocument/2006/relationships/hyperlink" Target="https://www.sec.gov/Archives/edgar/data/1847986/000110465921048248/tm2112475d1_ex1-2.htm" TargetMode="External"/><Relationship Id="rId212" Type="http://schemas.openxmlformats.org/officeDocument/2006/relationships/hyperlink" Target="https://www.sec.gov/Archives/edgar/data/1847986/000110465921033384/tm218972d1_ex3-1.htm" TargetMode="External"/><Relationship Id="rId213" Type="http://schemas.openxmlformats.org/officeDocument/2006/relationships/hyperlink" Target="https://www.sec.gov/Archives/edgar/data/1847986/000110465921033384/tm218972d1_ex3-2.htm" TargetMode="External"/><Relationship Id="rId214" Type="http://schemas.openxmlformats.org/officeDocument/2006/relationships/hyperlink" Target="http://www.sec.gov/Archives/edgar/data/0001847986/000110465921091769/tm2118460d2_ex3-3.htm" TargetMode="External"/><Relationship Id="rId215" Type="http://schemas.openxmlformats.org/officeDocument/2006/relationships/hyperlink" Target="https://www.sec.gov/Archives/edgar/data/0001847986/000110465921091769/tm2118460d2_ex3-3.htm" TargetMode="External"/><Relationship Id="rId216" Type="http://schemas.openxmlformats.org/officeDocument/2006/relationships/hyperlink" Target="https://www.sec.gov/Archives/edgar/data/1847986/000110465921033384/tm218972d1_ex3-4.htm" TargetMode="External"/><Relationship Id="rId217" Type="http://schemas.openxmlformats.org/officeDocument/2006/relationships/hyperlink" Target="https://www.sec.gov/Archives/edgar/data/1847986/000110465921048248/tm2112475d1_ex4-1.htm" TargetMode="External"/><Relationship Id="rId218" Type="http://schemas.openxmlformats.org/officeDocument/2006/relationships/hyperlink" Target="https://www.sec.gov/Archives/edgar/data/1847986/000110465921048248/tm2112475d1_ex4-2.htm" TargetMode="External"/><Relationship Id="rId219" Type="http://schemas.openxmlformats.org/officeDocument/2006/relationships/hyperlink" Target="https://www.sec.gov/Archives/edgar/data/0001847986/000110465921091769/tm2118460d2_ex4-3.htm" TargetMode="External"/><Relationship Id="rId220" Type="http://schemas.openxmlformats.org/officeDocument/2006/relationships/hyperlink" Target="https://www.sec.gov/Archives/edgar/data/0001847986/000110465921091769/tm2118460d2_ex5-1.htm" TargetMode="External"/><Relationship Id="rId221" Type="http://schemas.openxmlformats.org/officeDocument/2006/relationships/hyperlink" Target="https://www.sec.gov/Archives/edgar/data/0001847986/000110465921091769/tm2118460d2_ex10-1.htm" TargetMode="External"/><Relationship Id="rId222" Type="http://schemas.openxmlformats.org/officeDocument/2006/relationships/hyperlink" Target="https://www.sec.gov/Archives/edgar/data/0001847986/000110465921091769/tm2118460d2_ex10-2.htm" TargetMode="External"/><Relationship Id="rId223" Type="http://schemas.openxmlformats.org/officeDocument/2006/relationships/hyperlink" Target="https://www.sec.gov/Archives/edgar/data/1847986/000110465921048248/tm2112475d1_ex10-3.htm" TargetMode="External"/><Relationship Id="rId224" Type="http://schemas.openxmlformats.org/officeDocument/2006/relationships/hyperlink" Target="https://www.sec.gov/Archives/edgar/data/1847986/000110465921048248/tm2112475d1_ex10-5.htm" TargetMode="External"/><Relationship Id="rId225" Type="http://schemas.openxmlformats.org/officeDocument/2006/relationships/hyperlink" Target="https://www.sec.gov/Archives/edgar/data/1847986/000110465921033384/tm218972d1_ex10-6.htm" TargetMode="External"/><Relationship Id="rId226" Type="http://schemas.openxmlformats.org/officeDocument/2006/relationships/hyperlink" Target="https://www.sec.gov/Archives/edgar/data/1847986/000110465921033384/tm218972d1_ex10-7.htm" TargetMode="External"/><Relationship Id="rId227" Type="http://schemas.openxmlformats.org/officeDocument/2006/relationships/hyperlink" Target="https://www.sec.gov/Archives/edgar/data/1847986/000110465921048248/tm2112475d1_ex10-8.htm" TargetMode="External"/><Relationship Id="rId228" Type="http://schemas.openxmlformats.org/officeDocument/2006/relationships/hyperlink" Target="https://www.sec.gov/Archives/edgar/data/1847986/000110465921048248/tm2112475d1_ex14.htm" TargetMode="External"/><Relationship Id="rId229" Type="http://schemas.openxmlformats.org/officeDocument/2006/relationships/hyperlink" Target="http://www.sec.gov/Archives/edgar/data/0001847986/000110465921091769/tm2118460d2_ex5-1.htm" TargetMode="External"/><Relationship Id="rId230" Type="http://schemas.openxmlformats.org/officeDocument/2006/relationships/hyperlink" Target="https://www.sec.gov/Archives/edgar/data/1847986/000110465921033384/tm218972d1_s1.htm#POWEROFATTORNEY" TargetMode="External"/><Relationship Id="rId231" Type="http://schemas.openxmlformats.org/officeDocument/2006/relationships/hyperlink" Target="https://www.sec.gov/Archives/edgar/data/1847986/000110465921048248/tm2112475d1_ex99-1.htm" TargetMode="External"/><Relationship Id="rId232" Type="http://schemas.openxmlformats.org/officeDocument/2006/relationships/hyperlink" Target="https://www.sec.gov/Archives/edgar/data/1847986/000110465921048248/tm2112475d1_ex99-2.htm" TargetMode="External"/><Relationship Id="rId233" Type="http://schemas.openxmlformats.org/officeDocument/2006/relationships/hyperlink" Target="https://www.sec.gov/Archives/edgar/data/1847986/000110465921048248/tm2112475d1_ex99-3.htm" TargetMode="External"/><Relationship Id="rId234" Type="http://schemas.openxmlformats.org/officeDocument/2006/relationships/hyperlink" Target="https://www.sec.gov/Archives/edgar/data/1847986/000110465921048248/tm2112475d1_ex99-4.htm" TargetMode="External"/><Relationship Id="rId235" Type="http://schemas.openxmlformats.org/officeDocument/2006/relationships/hyperlink" Target="https://www.sec.gov/Archives/edgar/data/1847986/000110465921048248/tm2112475d1_ex99-5.htm" TargetMode="External"/><Relationship Id="rId236" Type="http://schemas.openxmlformats.org/officeDocument/2006/relationships/hyperlink" Target="https://www.sec.gov/Archives/edgar/data/1847986/000110465921048248/tm2112475d1_ex99-6.htm" TargetMode="External"/><Relationship Id="rId237" Type="http://schemas.openxmlformats.org/officeDocument/2006/relationships/hyperlink" Target="https://www.sec.gov/Archives/edgar/data/0001847986/000110465921091769/tm2118460d2_ex99-7.htm" TargetMode="External"/><Relationship Id="rId238" Type="http://schemas.openxmlformats.org/officeDocument/2006/relationships/hyperlink" Target="https://www.sec.gov/Archives/edgar/data/0001847986/000110465921091769/tm2118460d2_ex99-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2021-07-23T16:14:28Z</dcterms:created>
  <dcterms:modified xsi:type="dcterms:W3CDTF">2021-07-23T16:14:28Z</dcterms:modified>
</cp:coreProperties>
</file>