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30426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26,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3"/>
      <w:bookmarkEnd w:id="4"/>
      <w:r>
        <w:rPr>
          <w:rFonts w:ascii="Times New Roman;Times;Serif" w:hAnsi="Times New Roman;Times;Serif"/>
          <w:b/>
          <w:i w:val="false"/>
          <w:caps w:val="false"/>
          <w:smallCaps w:val="false"/>
          <w:sz w:val="36"/>
        </w:rPr>
        <w:t>DRAGONFLY ENERGY HOLDINGS CORP.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920" w:type="dxa"/>
        <w:jc w:val="left"/>
        <w:tblInd w:w="0" w:type="dxa"/>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9_edei--EntityFileNumber_c20230426"/>
            <w:bookmarkEnd w:id="6"/>
            <w:r>
              <w:rPr>
                <w:rFonts w:ascii="Times New Roman;Times;Serif" w:hAnsi="Times New Roman;Times;Serif"/>
                <w:b/>
                <w:i w:val="false"/>
                <w:caps w:val="false"/>
                <w:smallCaps w:val="false"/>
                <w:sz w:val="20"/>
              </w:rPr>
              <w:t>001-40730</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jc w:val="center"/>
        <w:rPr>
          <w:caps w:val="false"/>
          <w:smallCaps w:val="false"/>
        </w:rPr>
      </w:pPr>
      <w:r>
        <w:rPr>
          <w:caps w:val="false"/>
          <w:smallCaps w:val="false"/>
        </w:rPr>
        <w:t> </w:t>
      </w:r>
    </w:p>
    <w:tbl>
      <w:tblPr>
        <w:tblW w:w="4195" w:type="dxa"/>
        <w:jc w:val="left"/>
        <w:tblInd w:w="0" w:type="dxa"/>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1190 Trademark Drive </w:t>
            </w:r>
            <w:bookmarkStart w:id="9" w:name="xdx_906_edei--EntityAddressAddressLine2_"/>
            <w:bookmarkEnd w:id="9"/>
            <w:r>
              <w:rPr>
                <w:rFonts w:ascii="Times New Roman;Times;Serif" w:hAnsi="Times New Roman;Times;Serif"/>
                <w:b/>
                <w:i w:val="false"/>
                <w:caps w:val="false"/>
                <w:smallCaps w:val="false"/>
                <w:sz w:val="20"/>
              </w:rPr>
              <w:t>#108</w:t>
            </w:r>
          </w:p>
          <w:p>
            <w:pPr>
              <w:pStyle w:val="TableContents"/>
              <w:spacing w:before="0" w:after="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Reno, </w:t>
            </w:r>
            <w:bookmarkStart w:id="11" w:name="xdx_908_edei--EntityAddressStateOrProvin"/>
            <w:bookmarkEnd w:id="11"/>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bottom w:val="single" w:sz="12" w:space="0" w:color="000000"/>
            </w:tcBorders>
            <w:shd w:fill="auto" w:val="clear"/>
            <w:vAlign w:val="center"/>
          </w:tcPr>
          <w:p>
            <w:pPr>
              <w:pStyle w:val="TableContents"/>
              <w:spacing w:before="0" w:after="0"/>
              <w:jc w:val="center"/>
              <w:rPr>
                <w:rFonts w:ascii="Times New Roman;Times;Serif" w:hAnsi="Times New Roman;Times;Serif"/>
                <w:b/>
                <w:i w:val="false"/>
                <w:caps w:val="false"/>
                <w:smallCaps w:val="false"/>
                <w:sz w:val="20"/>
              </w:rPr>
            </w:pPr>
            <w:bookmarkStart w:id="12" w:name="xdx_90E_edei--EntityAddressPostalZipCode"/>
            <w:bookmarkEnd w:id="12"/>
            <w:r>
              <w:rPr>
                <w:rFonts w:ascii="Times New Roman;Times;Serif" w:hAnsi="Times New Roman;Times;Serif"/>
                <w:b/>
                <w:i w:val="false"/>
                <w:caps w:val="false"/>
                <w:smallCaps w:val="false"/>
                <w:sz w:val="20"/>
              </w:rPr>
              <w:t>89521</w:t>
            </w:r>
          </w:p>
        </w:tc>
      </w:tr>
      <w:tr>
        <w:trPr/>
        <w:tc>
          <w:tcPr>
            <w:tcW w:w="32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D_edei--CityAreaCode_c20230426__20"/>
      <w:bookmarkEnd w:id="13"/>
      <w:r>
        <w:rPr>
          <w:rFonts w:ascii="Times New Roman;Times;Serif" w:hAnsi="Times New Roman;Times;Serif"/>
          <w:b/>
          <w:i w:val="false"/>
          <w:caps w:val="false"/>
          <w:smallCaps w:val="false"/>
          <w:sz w:val="20"/>
          <w:u w:val="single"/>
        </w:rPr>
        <w:t xml:space="preserve">(775) </w:t>
      </w:r>
      <w:bookmarkStart w:id="14" w:name="xdx_900_edei--LocalPhoneNumber_c20230426"/>
      <w:bookmarkEnd w:id="14"/>
      <w:r>
        <w:rPr>
          <w:rFonts w:ascii="Times New Roman;Times;Serif" w:hAnsi="Times New Roman;Times;Serif"/>
          <w:b/>
          <w:i w:val="false"/>
          <w:caps w:val="false"/>
          <w:smallCaps w:val="false"/>
          <w:sz w:val="20"/>
          <w:u w:val="single"/>
        </w:rPr>
        <w:t>622-3448</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jc w:val="center"/>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5" w:name="xdx_904_edei--WrittenCommunications_c202"/>
            <w:bookmarkEnd w:id="1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6" w:name="xdx_90F_edei--SolicitingMaterial_c202304"/>
            <w:bookmarkEnd w:id="1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7" w:name="xdx_907_edei--PreCommencementTenderOffer"/>
            <w:bookmarkEnd w:id="1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8" w:name="xdx_907_edei--PreCommencementIssuerTende"/>
            <w:bookmarkEnd w:id="18"/>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268"/>
        <w:gridCol w:w="60"/>
        <w:gridCol w:w="1233"/>
        <w:gridCol w:w="60"/>
        <w:gridCol w:w="2584"/>
      </w:tblGrid>
      <w:tr>
        <w:trPr/>
        <w:tc>
          <w:tcPr>
            <w:tcW w:w="6268"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3"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268"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4_edei--Security12bTitle_c20230426"/>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auto" w:val="clear"/>
            <w:tcMar>
              <w:bottom w:w="0" w:type="dxa"/>
            </w:tcMar>
            <w:vAlign w:val="center"/>
          </w:tcPr>
          <w:p>
            <w:pPr>
              <w:pStyle w:val="TableContents"/>
              <w:spacing w:before="0" w:after="283"/>
              <w:rPr>
                <w:sz w:val="4"/>
                <w:szCs w:val="4"/>
              </w:rPr>
            </w:pPr>
            <w:r>
              <w:rPr>
                <w:sz w:val="4"/>
                <w:szCs w:val="4"/>
              </w:rPr>
            </w:r>
          </w:p>
        </w:tc>
        <w:tc>
          <w:tcPr>
            <w:tcW w:w="123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9_edei--TradingSymbol_c20230426__2"/>
            <w:bookmarkEnd w:id="20"/>
            <w:r>
              <w:rPr>
                <w:rFonts w:ascii="Times New Roman;Times;Serif" w:hAnsi="Times New Roman;Times;Serif"/>
                <w:b w:val="false"/>
                <w:i w:val="false"/>
                <w:caps w:val="false"/>
                <w:smallCaps w:val="false"/>
                <w:sz w:val="20"/>
              </w:rPr>
              <w:t>DFLI</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B_edei--SecurityExchangeName_c2023"/>
            <w:bookmarkEnd w:id="21"/>
            <w:r>
              <w:rPr>
                <w:rFonts w:ascii="Times New Roman;Times;Serif" w:hAnsi="Times New Roman;Times;Serif"/>
                <w:b w:val="false"/>
                <w:i w:val="false"/>
                <w:caps w:val="false"/>
                <w:smallCaps w:val="false"/>
                <w:sz w:val="20"/>
              </w:rPr>
              <w:t>Nasdaq Global Market</w:t>
            </w:r>
          </w:p>
        </w:tc>
      </w:tr>
      <w:tr>
        <w:trPr/>
        <w:tc>
          <w:tcPr>
            <w:tcW w:w="6268"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2" w:name="xdx_90B_edei--Security12bTitle_c20230426"/>
            <w:bookmarkEnd w:id="22"/>
            <w:r>
              <w:rPr>
                <w:rFonts w:ascii="Times New Roman;Times;Serif" w:hAnsi="Times New Roman;Times;Serif"/>
                <w:b w:val="false"/>
                <w:i w:val="false"/>
                <w:caps w:val="false"/>
                <w:smallCaps w:val="false"/>
                <w:sz w:val="20"/>
              </w:rPr>
              <w:t>Redeemable warrants, exercisable for common stock at an exercise price of $11.50 per share, subject to adjustment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23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3" w:name="xdx_908_edei--TradingSymbol_c20230426__2"/>
            <w:bookmarkEnd w:id="23"/>
            <w:r>
              <w:rPr>
                <w:rFonts w:ascii="Times New Roman;Times;Serif" w:hAnsi="Times New Roman;Times;Serif"/>
                <w:b w:val="false"/>
                <w:i w:val="false"/>
                <w:caps w:val="false"/>
                <w:smallCaps w:val="false"/>
                <w:sz w:val="20"/>
              </w:rPr>
              <w:t>DFLIW</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25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3_edei--SecurityExchangeName_c2023"/>
            <w:bookmarkEnd w:id="24"/>
            <w:r>
              <w:rPr>
                <w:rFonts w:ascii="Times New Roman;Times;Serif" w:hAnsi="Times New Roman;Times;Serif"/>
                <w:b w:val="false"/>
                <w:i w:val="false"/>
                <w:caps w:val="false"/>
                <w:smallCaps w:val="false"/>
                <w:sz w:val="20"/>
              </w:rPr>
              <w:t>Nasdaq Capital Market</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7_edei--EntityExTransitionPeriod_c"/>
      <w:bookmarkEnd w:id="26"/>
      <w:r>
        <w:rPr>
          <w:rFonts w:ascii="Times New Roman;Times;Serif" w:hAnsi="Times New Roman;Times;Serif"/>
          <w:b w:val="false"/>
          <w:i w:val="false"/>
          <w:caps w:val="false"/>
          <w:smallCaps w:val="false"/>
          <w:sz w:val="20"/>
        </w:rPr>
        <w:t>☐</w:t>
      </w:r>
    </w:p>
    <w:p>
      <w:pPr>
        <w:pStyle w:val="TextBody"/>
        <w:spacing w:before="0" w:after="0"/>
        <w:jc w:val="center"/>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82"/>
        <w:gridCol w:w="9423"/>
      </w:tblGrid>
      <w:tr>
        <w:trPr/>
        <w:tc>
          <w:tcPr>
            <w:tcW w:w="782"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w:t>
            </w:r>
          </w:p>
        </w:tc>
        <w:tc>
          <w:tcPr>
            <w:tcW w:w="9423"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ended and her employment agreement, which is filed as an exhibit to the Company’s Annual Report on Form 10-K/A for the year ended December 31, 2022, would be deemed terminated as of that date by the Company without cause for purposes of determining severance thereunder.</w:t>
      </w:r>
    </w:p>
    <w:p>
      <w:pPr>
        <w:pStyle w:val="TextBody"/>
        <w:shd w:fill="FFFFFF" w:val="clear"/>
        <w:spacing w:before="0" w:after="0"/>
        <w:ind w:left="0" w:right="0" w:hanging="0"/>
        <w:jc w:val="both"/>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875"/>
        <w:gridCol w:w="2960"/>
      </w:tblGrid>
      <w:tr>
        <w:trPr/>
        <w:tc>
          <w:tcPr>
            <w:tcW w:w="87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9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40"/>
        <w:gridCol w:w="60"/>
        <w:gridCol w:w="9405"/>
      </w:tblGrid>
      <w:tr>
        <w:trPr/>
        <w:tc>
          <w:tcPr>
            <w:tcW w:w="74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0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05" w:type="dxa"/>
            <w:tcBorders/>
            <w:shd w:fill="auto"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20"/>
                </w:rPr>
                <w:t>Employment Agreement, dated as of October 11, 2022 by and between the Company and Nicole Harvey (incorporated by reference to Exhibit 10.40 to the Company’s Annual Report on Form 10-K/A for the year ended December 31, 2022, filed with the SEC on May 1, 2023).</w:t>
              </w:r>
            </w:hyperlink>
          </w:p>
        </w:tc>
      </w:tr>
      <w:tr>
        <w:trPr/>
        <w:tc>
          <w:tcPr>
            <w:tcW w:w="7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40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(embedded within the Inline XBRL document).</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management contract or compensatory plan.</w:t>
      </w:r>
    </w:p>
    <w:p>
      <w:pPr>
        <w:pStyle w:val="TextBody"/>
        <w:spacing w:before="0" w:after="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jc w:val="center"/>
        <w:rPr>
          <w:caps w:val="false"/>
          <w:smallCaps w:val="false"/>
        </w:rPr>
      </w:pPr>
      <w:r>
        <w:rPr>
          <w:caps w:val="false"/>
          <w:smallCaps w:val="false"/>
        </w:rPr>
        <w:t> </w:t>
      </w:r>
    </w:p>
    <w:tbl>
      <w:tblPr>
        <w:tblW w:w="5394" w:type="dxa"/>
        <w:jc w:val="left"/>
        <w:tblInd w:w="0" w:type="dxa"/>
        <w:tblCellMar>
          <w:top w:w="0" w:type="dxa"/>
          <w:left w:w="0" w:type="dxa"/>
          <w:bottom w:w="0" w:type="dxa"/>
          <w:right w:w="0" w:type="dxa"/>
        </w:tblCellMar>
      </w:tblPr>
      <w:tblGrid>
        <w:gridCol w:w="1550"/>
        <w:gridCol w:w="615"/>
        <w:gridCol w:w="3229"/>
      </w:tblGrid>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615" w:type="dxa"/>
            <w:tcBorders/>
            <w:shd w:fill="auto" w:val="clear"/>
            <w:vAlign w:val="center"/>
          </w:tcPr>
          <w:p>
            <w:pPr>
              <w:pStyle w:val="TableContents"/>
              <w:spacing w:before="0" w:after="283"/>
              <w:rPr>
                <w:caps w:val="false"/>
                <w:smallCaps w:val="false"/>
              </w:rPr>
            </w:pPr>
            <w:r>
              <w:rPr>
                <w:caps w:val="false"/>
                <w:smallCaps w:val="false"/>
              </w:rPr>
              <w:t> </w:t>
            </w:r>
          </w:p>
        </w:tc>
        <w:tc>
          <w:tcPr>
            <w:tcW w:w="322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 2023</w:t>
            </w:r>
          </w:p>
        </w:tc>
        <w:tc>
          <w:tcPr>
            <w:tcW w:w="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29"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22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550" w:type="dxa"/>
            <w:tcBorders/>
            <w:shd w:fill="auto" w:val="clear"/>
            <w:vAlign w:val="center"/>
          </w:tcPr>
          <w:p>
            <w:pPr>
              <w:pStyle w:val="TableContents"/>
              <w:spacing w:before="0" w:after="283"/>
              <w:rPr>
                <w:caps w:val="false"/>
                <w:smallCaps w:val="false"/>
              </w:rPr>
            </w:pPr>
            <w:r>
              <w:rPr>
                <w:caps w:val="false"/>
                <w:smallCaps w:val="false"/>
              </w:rPr>
              <w:t> </w:t>
            </w:r>
          </w:p>
        </w:tc>
        <w:tc>
          <w:tcPr>
            <w:tcW w:w="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2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4966/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529</Words>
  <CharactersWithSpaces>3445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