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333-254010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333-258699</w:t>
      </w:r>
    </w:p>
    <w:p>
      <w:pPr>
        <w:spacing w:after="0" w:line="19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PROSPECTUS</w:t>
      </w:r>
    </w:p>
    <w:p>
      <w:pPr>
        <w:spacing w:after="0" w:line="207"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$110,000,000</w:t>
      </w:r>
    </w:p>
    <w:p>
      <w:pPr>
        <w:spacing w:after="0" w:line="95"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CHARDAN NEXTECH ACQUISITION 2 CORP.</w:t>
      </w:r>
    </w:p>
    <w:p>
      <w:pPr>
        <w:spacing w:after="0" w:line="108"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11,000,000 UNITS</w:t>
      </w:r>
    </w:p>
    <w:p>
      <w:pPr>
        <w:spacing w:after="0" w:line="153" w:lineRule="exact"/>
        <w:rPr>
          <w:sz w:val="24"/>
          <w:szCs w:val="24"/>
          <w:color w:val="auto"/>
        </w:rPr>
      </w:pPr>
    </w:p>
    <w:p>
      <w:pPr>
        <w:ind w:left="500" w:right="140" w:firstLine="360"/>
        <w:spacing w:after="0" w:line="255" w:lineRule="auto"/>
        <w:rPr>
          <w:sz w:val="20"/>
          <w:szCs w:val="20"/>
          <w:color w:val="auto"/>
        </w:rPr>
      </w:pPr>
      <w:r>
        <w:rPr>
          <w:rFonts w:ascii="Arial" w:cs="Arial" w:eastAsia="Arial" w:hAnsi="Arial"/>
          <w:sz w:val="18"/>
          <w:szCs w:val="18"/>
          <w:color w:val="auto"/>
        </w:rPr>
        <w:t>Chardan NexTech Acquisition 2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our search on disruptive technology companies.</w:t>
      </w:r>
    </w:p>
    <w:p>
      <w:pPr>
        <w:spacing w:after="0" w:line="111" w:lineRule="exact"/>
        <w:rPr>
          <w:sz w:val="24"/>
          <w:szCs w:val="24"/>
          <w:color w:val="auto"/>
        </w:rPr>
      </w:pPr>
    </w:p>
    <w:p>
      <w:pPr>
        <w:ind w:left="500" w:right="200" w:firstLine="360"/>
        <w:spacing w:after="0" w:line="254" w:lineRule="auto"/>
        <w:rPr>
          <w:sz w:val="20"/>
          <w:szCs w:val="20"/>
          <w:color w:val="auto"/>
        </w:rPr>
      </w:pPr>
      <w:r>
        <w:rPr>
          <w:rFonts w:ascii="Arial" w:cs="Arial" w:eastAsia="Arial" w:hAnsi="Arial"/>
          <w:sz w:val="18"/>
          <w:szCs w:val="18"/>
          <w:color w:val="auto"/>
        </w:rPr>
        <w:t>This is an initial public offering of our securities. We are offering 11,000,000 units at an offering price of $10.00 per unit. Each unit consists of one share of common stock, par value $0.0001, and three-quarters of one warrant, which we refer to throughout this prospectus as “warrants” or the “public warrants.” Each whole warrant entitles the holder thereof to purchase one share of common stock at a price of $11.50 per share, subject to adjustment, terms and limitations as described in the prospectus. Only whole warrants are exercisable. Each warrant will become exercisable 30 days after the consummation of an initial business combination, and will expire five years after the completion of an initial business combination, or earlier upon redemption.</w:t>
      </w:r>
    </w:p>
    <w:p>
      <w:pPr>
        <w:spacing w:after="0" w:line="127" w:lineRule="exact"/>
        <w:rPr>
          <w:sz w:val="24"/>
          <w:szCs w:val="24"/>
          <w:color w:val="auto"/>
        </w:rPr>
      </w:pPr>
    </w:p>
    <w:p>
      <w:pPr>
        <w:ind w:left="500" w:right="20" w:firstLine="360"/>
        <w:spacing w:after="0" w:line="279" w:lineRule="auto"/>
        <w:rPr>
          <w:sz w:val="20"/>
          <w:szCs w:val="20"/>
          <w:color w:val="auto"/>
        </w:rPr>
      </w:pPr>
      <w:r>
        <w:rPr>
          <w:rFonts w:ascii="Arial" w:cs="Arial" w:eastAsia="Arial" w:hAnsi="Arial"/>
          <w:sz w:val="17"/>
          <w:szCs w:val="17"/>
          <w:color w:val="auto"/>
        </w:rPr>
        <w:t>We have granted Chardan Capital Markets, LLC, the representative of the underwriters, a 45-day option to purchase up to an additional 1,650,000 units (over and above the 11,000,000 units referred to above) solely to cover over-allotments, if any. Our sponsor, Chardan NexTech Investments 2 LLC, and certain of our officers and directors are affiliated with the representative of the underwriters. We have engaged B. Riley Securities, Inc. to act as a “qualified independent underwriter” for this offering.</w:t>
      </w:r>
    </w:p>
    <w:p>
      <w:pPr>
        <w:spacing w:after="0" w:line="104" w:lineRule="exact"/>
        <w:rPr>
          <w:sz w:val="24"/>
          <w:szCs w:val="24"/>
          <w:color w:val="auto"/>
        </w:rPr>
      </w:pPr>
    </w:p>
    <w:p>
      <w:pPr>
        <w:ind w:left="500" w:right="220" w:firstLine="360"/>
        <w:spacing w:after="0" w:line="257" w:lineRule="auto"/>
        <w:rPr>
          <w:sz w:val="20"/>
          <w:szCs w:val="20"/>
          <w:color w:val="auto"/>
        </w:rPr>
      </w:pPr>
      <w:r>
        <w:rPr>
          <w:rFonts w:ascii="Arial" w:cs="Arial" w:eastAsia="Arial" w:hAnsi="Arial"/>
          <w:sz w:val="18"/>
          <w:szCs w:val="18"/>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107" w:lineRule="exact"/>
        <w:rPr>
          <w:sz w:val="24"/>
          <w:szCs w:val="24"/>
          <w:color w:val="auto"/>
        </w:rPr>
      </w:pPr>
    </w:p>
    <w:p>
      <w:pPr>
        <w:ind w:left="500" w:right="80" w:firstLine="360"/>
        <w:spacing w:after="0" w:line="253" w:lineRule="auto"/>
        <w:rPr>
          <w:sz w:val="20"/>
          <w:szCs w:val="20"/>
          <w:color w:val="auto"/>
        </w:rPr>
      </w:pPr>
      <w:r>
        <w:rPr>
          <w:rFonts w:ascii="Arial" w:cs="Arial" w:eastAsia="Arial" w:hAnsi="Arial"/>
          <w:sz w:val="18"/>
          <w:szCs w:val="18"/>
          <w:color w:val="auto"/>
        </w:rPr>
        <w:t>We will have 12 months from the closing of this offering to consummate an initial business combination.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as described in more detail in this prospectus. Public stockholders will not be offered the opportunity to vote on or redeem their shares in connection with any such extension.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29" w:lineRule="exact"/>
        <w:rPr>
          <w:sz w:val="24"/>
          <w:szCs w:val="24"/>
          <w:color w:val="auto"/>
        </w:rPr>
      </w:pPr>
    </w:p>
    <w:p>
      <w:pPr>
        <w:ind w:left="500" w:right="180" w:firstLine="360"/>
        <w:spacing w:after="0" w:line="279" w:lineRule="auto"/>
        <w:rPr>
          <w:sz w:val="20"/>
          <w:szCs w:val="20"/>
          <w:color w:val="auto"/>
        </w:rPr>
      </w:pPr>
      <w:r>
        <w:rPr>
          <w:rFonts w:ascii="Arial" w:cs="Arial" w:eastAsia="Arial" w:hAnsi="Arial"/>
          <w:sz w:val="17"/>
          <w:szCs w:val="17"/>
          <w:color w:val="auto"/>
        </w:rPr>
        <w:t>Chardan NexTech 2 Warrant Holdings LLC, an affiliate of our sponsor, has committed to purchase 4,361,456 warrants (or up to 4,627,858 warrants depending on the extent to which the underwriters’ over-allotment option is exercised) at a price of approximately $0.93 per warrant ($4,052,000 (or up to $4,299,500 depending on the extent to which the underwriters’ over-allotment option is exercised)) in a private placement that will close simultaneously with the closing of this offering.</w:t>
      </w:r>
    </w:p>
    <w:p>
      <w:pPr>
        <w:spacing w:after="0" w:line="104" w:lineRule="exact"/>
        <w:rPr>
          <w:sz w:val="24"/>
          <w:szCs w:val="24"/>
          <w:color w:val="auto"/>
        </w:rPr>
      </w:pPr>
    </w:p>
    <w:p>
      <w:pPr>
        <w:ind w:left="500" w:right="20" w:firstLine="360"/>
        <w:spacing w:after="0" w:line="275"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On August 10, 2021, we effectuated a 1.1-for-1 stock split, resulting in an aggregate of 3,162,500 shares of common stock outstanding. Such shares are referred to herein as “founder shares,” which includes an aggregate of up to 412,500 shares that are subject to forfeiture to the extent that the underwriters’ over-allotment option is not exercised in full or in part.</w:t>
      </w:r>
    </w:p>
    <w:p>
      <w:pPr>
        <w:spacing w:after="0" w:line="95" w:lineRule="exact"/>
        <w:rPr>
          <w:sz w:val="24"/>
          <w:szCs w:val="24"/>
          <w:color w:val="auto"/>
        </w:rPr>
      </w:pPr>
    </w:p>
    <w:p>
      <w:pPr>
        <w:ind w:left="500" w:right="180" w:firstLine="360"/>
        <w:spacing w:after="0" w:line="257" w:lineRule="auto"/>
        <w:rPr>
          <w:sz w:val="20"/>
          <w:szCs w:val="20"/>
          <w:color w:val="auto"/>
        </w:rPr>
      </w:pPr>
      <w:r>
        <w:rPr>
          <w:rFonts w:ascii="Arial" w:cs="Arial" w:eastAsia="Arial" w:hAnsi="Arial"/>
          <w:sz w:val="18"/>
          <w:szCs w:val="18"/>
          <w:color w:val="auto"/>
        </w:rPr>
        <w:t>There is presently no public market for our units, common stock, or warrants. Our units have been approved for listing on the Nasdaq Capital Market, or the Nasdaq, under the symbol “CNTQU” on or promptly after the date of this prospectus. Once the securities comprising the units begin separate trading as described in this prospectus, the shares of common stock and warrants will be traded on the Nasdaq under the symbols “CNTQ” and “CNTQW,” respectively. We cannot assure you that our securities will continue to be listed on the Nasdaq after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20" w:firstLine="36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99" w:lineRule="exact"/>
        <w:rPr>
          <w:sz w:val="20"/>
          <w:szCs w:val="20"/>
          <w:color w:val="auto"/>
        </w:rPr>
      </w:pPr>
    </w:p>
    <w:p>
      <w:pPr>
        <w:ind w:left="500" w:right="560" w:firstLine="360"/>
        <w:spacing w:after="0" w:line="386"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securities involves a high degree of risk.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beginning on page </w:t>
      </w:r>
      <w:hyperlink w:anchor="page31">
        <w:r>
          <w:rPr>
            <w:rFonts w:ascii="Arial" w:cs="Arial" w:eastAsia="Arial" w:hAnsi="Arial"/>
            <w:sz w:val="15"/>
            <w:szCs w:val="15"/>
            <w:b w:val="1"/>
            <w:bCs w:val="1"/>
            <w:u w:val="single" w:color="auto"/>
            <w:color w:val="0000EE"/>
          </w:rPr>
          <w:t>29</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for a discussion of information that should be considered in connection with an investment in our securities.</w:t>
      </w:r>
    </w:p>
    <w:p>
      <w:pPr>
        <w:spacing w:after="0" w:line="16" w:lineRule="exact"/>
        <w:rPr>
          <w:sz w:val="20"/>
          <w:szCs w:val="20"/>
          <w:color w:val="auto"/>
        </w:rPr>
      </w:pPr>
    </w:p>
    <w:p>
      <w:pPr>
        <w:ind w:left="500" w:right="40" w:firstLine="360"/>
        <w:spacing w:after="0" w:line="30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Underwriting</w:t>
            </w:r>
          </w:p>
        </w:tc>
        <w:tc>
          <w:tcPr>
            <w:tcW w:w="100" w:type="dxa"/>
            <w:vAlign w:val="bottom"/>
          </w:tcPr>
          <w:p>
            <w:pPr>
              <w:spacing w:after="0"/>
              <w:rPr>
                <w:sz w:val="14"/>
                <w:szCs w:val="14"/>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83"/>
              </w:rPr>
              <w:t>Proceeds,</w:t>
            </w:r>
          </w:p>
        </w:tc>
      </w:tr>
      <w:tr>
        <w:trPr>
          <w:trHeight w:val="158"/>
        </w:trPr>
        <w:tc>
          <w:tcPr>
            <w:tcW w:w="6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Price to</w:t>
            </w:r>
          </w:p>
        </w:tc>
        <w:tc>
          <w:tcPr>
            <w:tcW w:w="11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Discount and</w:t>
            </w:r>
          </w:p>
        </w:tc>
        <w:tc>
          <w:tcPr>
            <w:tcW w:w="100" w:type="dxa"/>
            <w:vAlign w:val="bottom"/>
          </w:tcPr>
          <w:p>
            <w:pPr>
              <w:spacing w:after="0"/>
              <w:rPr>
                <w:sz w:val="13"/>
                <w:szCs w:val="13"/>
                <w:color w:val="auto"/>
              </w:rPr>
            </w:pPr>
          </w:p>
        </w:tc>
        <w:tc>
          <w:tcPr>
            <w:tcW w:w="900" w:type="dxa"/>
            <w:vAlign w:val="bottom"/>
          </w:tcPr>
          <w:p>
            <w:pPr>
              <w:jc w:val="center"/>
              <w:ind w:right="59"/>
              <w:spacing w:after="0" w:line="158" w:lineRule="exact"/>
              <w:rPr>
                <w:sz w:val="20"/>
                <w:szCs w:val="20"/>
                <w:color w:val="auto"/>
              </w:rPr>
            </w:pPr>
            <w:r>
              <w:rPr>
                <w:rFonts w:ascii="Arial" w:cs="Arial" w:eastAsia="Arial" w:hAnsi="Arial"/>
                <w:sz w:val="14"/>
                <w:szCs w:val="14"/>
                <w:b w:val="1"/>
                <w:bCs w:val="1"/>
                <w:color w:val="auto"/>
                <w:w w:val="90"/>
              </w:rPr>
              <w:t>Before</w:t>
            </w:r>
          </w:p>
        </w:tc>
      </w:tr>
      <w:tr>
        <w:trPr>
          <w:trHeight w:val="230"/>
        </w:trPr>
        <w:tc>
          <w:tcPr>
            <w:tcW w:w="6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Public</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4"/>
                <w:szCs w:val="14"/>
                <w:b w:val="1"/>
                <w:bCs w:val="1"/>
                <w:color w:val="auto"/>
                <w:w w:val="82"/>
              </w:rPr>
              <w:t>Commissions</w:t>
            </w:r>
            <w:r>
              <w:rPr>
                <w:rFonts w:ascii="Arial" w:cs="Arial" w:eastAsia="Arial" w:hAnsi="Arial"/>
                <w:sz w:val="21"/>
                <w:szCs w:val="21"/>
                <w:b w:val="1"/>
                <w:bCs w:val="1"/>
                <w:color w:val="auto"/>
                <w:w w:val="82"/>
                <w:vertAlign w:val="superscript"/>
              </w:rPr>
              <w:t>(1)</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Expenses, to us</w:t>
            </w:r>
          </w:p>
        </w:tc>
      </w:tr>
      <w:tr>
        <w:trPr>
          <w:trHeight w:val="250"/>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unit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r>
      <w:tr>
        <w:trPr>
          <w:trHeight w:val="257"/>
        </w:trPr>
        <w:tc>
          <w:tcPr>
            <w:tcW w:w="6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110,000,000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500,000</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-333375</wp:posOffset>
            </wp:positionV>
            <wp:extent cx="5537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146050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jc w:val="both"/>
        <w:ind w:left="860" w:right="60" w:hanging="368"/>
        <w:spacing w:after="0" w:line="286"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$100,000 payable to B. Riley Securities, Inc. for acting as a qualified independent underwriter. Such amount shall remain constant at $500,000, even if the over-allotment option is exercised. Please see the section titled “Underwriting” for further information relating to the underwriting arrangements agreed to between us and the underwriters in this offering.</w:t>
      </w:r>
    </w:p>
    <w:p>
      <w:pPr>
        <w:spacing w:after="0" w:line="98" w:lineRule="exact"/>
        <w:rPr>
          <w:sz w:val="20"/>
          <w:szCs w:val="20"/>
          <w:color w:val="auto"/>
        </w:rPr>
      </w:pPr>
    </w:p>
    <w:p>
      <w:pPr>
        <w:ind w:left="500" w:right="240" w:firstLine="360"/>
        <w:spacing w:after="0" w:line="257" w:lineRule="auto"/>
        <w:rPr>
          <w:sz w:val="20"/>
          <w:szCs w:val="20"/>
          <w:color w:val="auto"/>
        </w:rPr>
      </w:pPr>
      <w:r>
        <w:rPr>
          <w:rFonts w:ascii="Arial" w:cs="Arial" w:eastAsia="Arial" w:hAnsi="Arial"/>
          <w:sz w:val="18"/>
          <w:szCs w:val="18"/>
          <w:color w:val="auto"/>
        </w:rPr>
        <w:t>Upon consummation of the offering, $10.15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20" w:lineRule="exact"/>
        <w:rPr>
          <w:sz w:val="20"/>
          <w:szCs w:val="20"/>
          <w:color w:val="auto"/>
        </w:rPr>
      </w:pPr>
    </w:p>
    <w:p>
      <w:pPr>
        <w:ind w:left="500" w:right="920" w:firstLine="360"/>
        <w:spacing w:after="0" w:line="277" w:lineRule="auto"/>
        <w:rPr>
          <w:sz w:val="20"/>
          <w:szCs w:val="20"/>
          <w:color w:val="auto"/>
        </w:rPr>
      </w:pPr>
      <w:r>
        <w:rPr>
          <w:rFonts w:ascii="Arial" w:cs="Arial" w:eastAsia="Arial" w:hAnsi="Arial"/>
          <w:sz w:val="18"/>
          <w:szCs w:val="18"/>
          <w:color w:val="auto"/>
        </w:rPr>
        <w:t>The underwriters are offering the units on a firm commitment basis. Chardan, acting as the representative of the underwriters, expects to deliver the units to purchasers on or about August 13, 2021.</w:t>
      </w:r>
    </w:p>
    <w:p>
      <w:pPr>
        <w:spacing w:after="0" w:line="8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148" w:lineRule="exact"/>
        <w:rPr>
          <w:sz w:val="20"/>
          <w:szCs w:val="20"/>
          <w:color w:val="auto"/>
        </w:rPr>
      </w:pPr>
    </w:p>
    <w:p>
      <w:pPr>
        <w:ind w:left="4860"/>
        <w:spacing w:after="0"/>
        <w:rPr>
          <w:sz w:val="20"/>
          <w:szCs w:val="20"/>
          <w:color w:val="auto"/>
        </w:rPr>
      </w:pPr>
      <w:r>
        <w:rPr>
          <w:rFonts w:ascii="Arial" w:cs="Arial" w:eastAsia="Arial" w:hAnsi="Arial"/>
          <w:sz w:val="29"/>
          <w:szCs w:val="29"/>
          <w:b w:val="1"/>
          <w:bCs w:val="1"/>
          <w:i w:val="1"/>
          <w:iCs w:val="1"/>
          <w:color w:val="auto"/>
        </w:rPr>
        <w:t>Chardan</w:t>
      </w:r>
    </w:p>
    <w:p>
      <w:pPr>
        <w:spacing w:after="0" w:line="21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August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3742055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7880" w:type="dxa"/>
            <w:vAlign w:val="bottom"/>
            <w:gridSpan w:val="22"/>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SUMMARY</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8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SUMMARY FINANCIAL DATA</w:t>
              </w:r>
            </w:hyperlink>
          </w:p>
        </w:tc>
        <w:tc>
          <w:tcPr>
            <w:tcW w:w="300" w:type="dxa"/>
            <w:vAlign w:val="bottom"/>
            <w:gridSpan w:val="5"/>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2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690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CAUTIONARY NOTE REGARDING FORWARD-LOOKING STATEMENTS AND RISK</w:t>
              </w:r>
            </w:hyperlink>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700" w:type="dxa"/>
            <w:vAlign w:val="bottom"/>
            <w:gridSpan w:val="21"/>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FACTOR SUMMARY</w:t>
              </w:r>
            </w:hyperlink>
          </w:p>
        </w:tc>
        <w:tc>
          <w:tcPr>
            <w:tcW w:w="300" w:type="dxa"/>
            <w:vAlign w:val="bottom"/>
            <w:gridSpan w:val="5"/>
            <w:shd w:val="clear" w:color="auto" w:fill="CCEEFF"/>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30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640" w:type="dxa"/>
            <w:vAlign w:val="bottom"/>
            <w:gridSpan w:val="9"/>
            <w:shd w:val="clear" w:color="auto" w:fill="CCEEFF"/>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USE OF PROCEEDS</w:t>
              </w:r>
            </w:hyperlink>
          </w:p>
        </w:tc>
        <w:tc>
          <w:tcPr>
            <w:tcW w:w="6240" w:type="dxa"/>
            <w:vAlign w:val="bottom"/>
            <w:gridSpan w:val="13"/>
            <w:shd w:val="clear" w:color="auto" w:fill="CCEEFF"/>
          </w:tcPr>
          <w:p>
            <w:pPr>
              <w:spacing w:after="0"/>
              <w:rPr>
                <w:sz w:val="19"/>
                <w:szCs w:val="19"/>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640" w:type="dxa"/>
            <w:vAlign w:val="bottom"/>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DIVIDEND POLICY</w:t>
              </w:r>
            </w:hyperlink>
          </w:p>
        </w:tc>
        <w:tc>
          <w:tcPr>
            <w:tcW w:w="6240" w:type="dxa"/>
            <w:vAlign w:val="bottom"/>
            <w:gridSpan w:val="13"/>
          </w:tcPr>
          <w:p>
            <w:pPr>
              <w:spacing w:after="0"/>
              <w:rPr>
                <w:sz w:val="19"/>
                <w:szCs w:val="19"/>
                <w:color w:val="auto"/>
              </w:rPr>
            </w:pPr>
          </w:p>
        </w:tc>
        <w:tc>
          <w:tcPr>
            <w:tcW w:w="300" w:type="dxa"/>
            <w:vAlign w:val="bottom"/>
            <w:gridSpan w:val="5"/>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880" w:type="dxa"/>
            <w:vAlign w:val="bottom"/>
            <w:gridSpan w:val="22"/>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DILUTION</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CAPITALIZATION</w:t>
              </w:r>
            </w:hyperlink>
          </w:p>
        </w:tc>
        <w:tc>
          <w:tcPr>
            <w:tcW w:w="300" w:type="dxa"/>
            <w:vAlign w:val="bottom"/>
            <w:gridSpan w:val="5"/>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920" w:type="dxa"/>
            <w:vAlign w:val="bottom"/>
            <w:tcBorders>
              <w:bottom w:val="single" w:sz="8" w:color="0000EE"/>
            </w:tcBorders>
            <w:gridSpan w:val="21"/>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w:t>
              </w:r>
            </w:hyperlink>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2260" w:type="dxa"/>
            <w:vAlign w:val="bottom"/>
            <w:gridSpan w:val="10"/>
            <w:shd w:val="clear" w:color="auto" w:fill="CCEEFF"/>
          </w:tcPr>
          <w:p>
            <w:pPr>
              <w:spacing w:after="0" w:line="196"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RESULTS OF OPERATIONS</w:t>
              </w:r>
            </w:hyperlink>
          </w:p>
        </w:tc>
        <w:tc>
          <w:tcPr>
            <w:tcW w:w="5440" w:type="dxa"/>
            <w:vAlign w:val="bottom"/>
            <w:gridSpan w:val="11"/>
            <w:shd w:val="clear" w:color="auto" w:fill="CCEEFF"/>
          </w:tcPr>
          <w:p>
            <w:pPr>
              <w:spacing w:after="0"/>
              <w:rPr>
                <w:sz w:val="17"/>
                <w:szCs w:val="17"/>
                <w:color w:val="auto"/>
              </w:rPr>
            </w:pPr>
          </w:p>
        </w:tc>
        <w:tc>
          <w:tcPr>
            <w:tcW w:w="300" w:type="dxa"/>
            <w:vAlign w:val="bottom"/>
            <w:gridSpan w:val="5"/>
            <w:shd w:val="clear" w:color="auto" w:fill="CCEEFF"/>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PROPOSED BUSINESS</w:t>
              </w:r>
            </w:hyperlink>
          </w:p>
        </w:tc>
        <w:tc>
          <w:tcPr>
            <w:tcW w:w="300" w:type="dxa"/>
            <w:vAlign w:val="bottom"/>
            <w:gridSpan w:val="5"/>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Borders>
              <w:bottom w:val="single" w:sz="8" w:color="0000EE"/>
            </w:tcBorders>
            <w:gridSpan w:val="6"/>
            <w:shd w:val="clear" w:color="auto" w:fill="CCEEFF"/>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MANAGEMENT</w:t>
              </w:r>
            </w:hyperlink>
          </w:p>
        </w:tc>
        <w:tc>
          <w:tcPr>
            <w:tcW w:w="6540" w:type="dxa"/>
            <w:vAlign w:val="bottom"/>
            <w:tcBorders>
              <w:bottom w:val="single" w:sz="8" w:color="CCEEFF"/>
            </w:tcBorders>
            <w:gridSpan w:val="16"/>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PRINCIPAL STOCKHOLDERS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122</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6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8"/>
              </w:rPr>
            </w:pPr>
            <w:hyperlink w:anchor="page127">
              <w:r>
                <w:rPr>
                  <w:rFonts w:ascii="Arial" w:cs="Arial" w:eastAsia="Arial" w:hAnsi="Arial"/>
                  <w:sz w:val="18"/>
                  <w:szCs w:val="18"/>
                  <w:color w:val="0000EE"/>
                  <w:w w:val="98"/>
                </w:rPr>
                <w:t>CERTAIN RELATIONSHIPS AND RELATED PARTY TRANSACTIONS</w:t>
              </w:r>
            </w:hyperlink>
          </w:p>
        </w:tc>
        <w:tc>
          <w:tcPr>
            <w:tcW w:w="2220" w:type="dxa"/>
            <w:vAlign w:val="bottom"/>
            <w:tcBorders>
              <w:bottom w:val="single" w:sz="8" w:color="CCEEFF"/>
            </w:tcBorders>
            <w:gridSpan w:val="3"/>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DESCRIPTION OF SECURITIES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31">
              <w:r>
                <w:rPr>
                  <w:rFonts w:ascii="Arial" w:cs="Arial" w:eastAsia="Arial" w:hAnsi="Arial"/>
                  <w:sz w:val="18"/>
                  <w:szCs w:val="18"/>
                  <w:color w:val="0000EE"/>
                  <w:w w:val="93"/>
                </w:rPr>
                <w:t>129</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6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9"/>
              </w:rPr>
            </w:pPr>
            <w:hyperlink w:anchor="page145">
              <w:r>
                <w:rPr>
                  <w:rFonts w:ascii="Arial" w:cs="Arial" w:eastAsia="Arial" w:hAnsi="Arial"/>
                  <w:sz w:val="18"/>
                  <w:szCs w:val="18"/>
                  <w:color w:val="0000EE"/>
                  <w:w w:val="99"/>
                </w:rPr>
                <w:t>U.S. FEDERAL INCOME TAX CONSIDERATIONS</w:t>
              </w:r>
            </w:hyperlink>
          </w:p>
        </w:tc>
        <w:tc>
          <w:tcPr>
            <w:tcW w:w="3820" w:type="dxa"/>
            <w:vAlign w:val="bottom"/>
            <w:tcBorders>
              <w:bottom w:val="single" w:sz="8" w:color="CCEEFF"/>
            </w:tcBorders>
            <w:gridSpan w:val="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143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UNDERWRITING (CONFLICTS OF INTEREST)</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54">
              <w:r>
                <w:rPr>
                  <w:rFonts w:ascii="Arial" w:cs="Arial" w:eastAsia="Arial" w:hAnsi="Arial"/>
                  <w:sz w:val="18"/>
                  <w:szCs w:val="18"/>
                  <w:color w:val="0000EE"/>
                  <w:w w:val="93"/>
                </w:rPr>
                <w:t>152</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9"/>
              </w:rPr>
            </w:pPr>
            <w:hyperlink w:anchor="page159">
              <w:r>
                <w:rPr>
                  <w:rFonts w:ascii="Arial" w:cs="Arial" w:eastAsia="Arial" w:hAnsi="Arial"/>
                  <w:sz w:val="18"/>
                  <w:szCs w:val="18"/>
                  <w:color w:val="0000EE"/>
                  <w:w w:val="99"/>
                </w:rPr>
                <w:t>LEGAL MATTERS</w:t>
              </w:r>
            </w:hyperlink>
          </w:p>
        </w:tc>
        <w:tc>
          <w:tcPr>
            <w:tcW w:w="6380" w:type="dxa"/>
            <w:vAlign w:val="bottom"/>
            <w:tcBorders>
              <w:bottom w:val="single" w:sz="8" w:color="CCEEFF"/>
            </w:tcBorders>
            <w:gridSpan w:val="1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157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880" w:type="dxa"/>
            <w:vAlign w:val="bottom"/>
            <w:gridSpan w:val="22"/>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EXPERTS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59">
              <w:r>
                <w:rPr>
                  <w:rFonts w:ascii="Arial" w:cs="Arial" w:eastAsia="Arial" w:hAnsi="Arial"/>
                  <w:sz w:val="18"/>
                  <w:szCs w:val="18"/>
                  <w:color w:val="0000EE"/>
                  <w:w w:val="93"/>
                </w:rPr>
                <w:t>157</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60" w:type="dxa"/>
            <w:vAlign w:val="bottom"/>
            <w:tcBorders>
              <w:bottom w:val="single" w:sz="8" w:color="0000EE"/>
            </w:tcBorders>
            <w:gridSpan w:val="18"/>
            <w:shd w:val="clear" w:color="auto" w:fill="CCEEFF"/>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WHERE YOU CAN FIND ADDITIONAL INFORMATION</w:t>
              </w:r>
            </w:hyperlink>
          </w:p>
        </w:tc>
        <w:tc>
          <w:tcPr>
            <w:tcW w:w="3320" w:type="dxa"/>
            <w:vAlign w:val="bottom"/>
            <w:tcBorders>
              <w:bottom w:val="single" w:sz="8" w:color="CCEEFF"/>
            </w:tcBorders>
            <w:gridSpan w:val="4"/>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157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3140" w:type="dxa"/>
            <w:vAlign w:val="bottom"/>
            <w:tcBorders>
              <w:bottom w:val="single" w:sz="8" w:color="0000EE"/>
            </w:tcBorders>
            <w:gridSpan w:val="15"/>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INDEX TO FINANCIAL STATEMENTS</w:t>
              </w:r>
            </w:hyperlink>
          </w:p>
        </w:tc>
        <w:tc>
          <w:tcPr>
            <w:tcW w:w="474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88"/>
              </w:rPr>
            </w:pPr>
            <w:hyperlink w:anchor="page160">
              <w:r>
                <w:rPr>
                  <w:rFonts w:ascii="Arial" w:cs="Arial" w:eastAsia="Arial" w:hAnsi="Arial"/>
                  <w:sz w:val="18"/>
                  <w:szCs w:val="18"/>
                  <w:color w:val="0000EE"/>
                  <w:w w:val="88"/>
                </w:rPr>
                <w:t>F-1</w:t>
              </w:r>
            </w:hyperlink>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-3668395</wp:posOffset>
            </wp:positionV>
            <wp:extent cx="4997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39" w:firstLine="360"/>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80" w:lineRule="exact"/>
        <w:rPr>
          <w:sz w:val="20"/>
          <w:szCs w:val="20"/>
          <w:color w:val="auto"/>
        </w:rPr>
      </w:pPr>
    </w:p>
    <w:p>
      <w:pPr>
        <w:ind w:left="1820" w:hanging="182"/>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144" w:lineRule="exact"/>
        <w:rPr>
          <w:rFonts w:ascii="Arial" w:cs="Arial" w:eastAsia="Arial" w:hAnsi="Arial"/>
          <w:sz w:val="18"/>
          <w:szCs w:val="18"/>
          <w:color w:val="auto"/>
        </w:rPr>
      </w:pPr>
    </w:p>
    <w:p>
      <w:pPr>
        <w:ind w:left="1820" w:hanging="182"/>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130" w:lineRule="exact"/>
        <w:rPr>
          <w:rFonts w:ascii="Arial" w:cs="Arial" w:eastAsia="Arial" w:hAnsi="Arial"/>
          <w:sz w:val="18"/>
          <w:szCs w:val="18"/>
          <w:color w:val="auto"/>
        </w:rPr>
      </w:pPr>
    </w:p>
    <w:p>
      <w:pPr>
        <w:ind w:left="1820" w:hanging="182"/>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130" w:lineRule="exact"/>
        <w:rPr>
          <w:rFonts w:ascii="Arial" w:cs="Arial" w:eastAsia="Arial" w:hAnsi="Arial"/>
          <w:sz w:val="18"/>
          <w:szCs w:val="18"/>
          <w:color w:val="auto"/>
        </w:rPr>
      </w:pPr>
    </w:p>
    <w:p>
      <w:pPr>
        <w:ind w:left="1820" w:right="479" w:hanging="182"/>
        <w:spacing w:after="0" w:line="259"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“founder shares” refers to the 3,162,500 shares of common stock held by our sponsor, officers, directors, and affiliates of our management team prior to this offering (including up to an aggregate of 412,500 shares of common stock subject to forfeiture to the extent that the underwriters’ over-allotment option is not exercised in full or in part);</w:t>
      </w:r>
    </w:p>
    <w:p>
      <w:pPr>
        <w:spacing w:after="0" w:line="105" w:lineRule="exact"/>
        <w:rPr>
          <w:rFonts w:ascii="Arial" w:cs="Arial" w:eastAsia="Arial" w:hAnsi="Arial"/>
          <w:sz w:val="18"/>
          <w:szCs w:val="18"/>
          <w:color w:val="auto"/>
        </w:rPr>
      </w:pPr>
    </w:p>
    <w:p>
      <w:pPr>
        <w:ind w:left="1820" w:right="839" w:hanging="182"/>
        <w:spacing w:after="0" w:line="308" w:lineRule="auto"/>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“initial stockholders” refers to all of our stockholders immediately prior to the date of this prospectus, including our sponsor, officers and directors to the extent they hold founder shares;</w:t>
      </w:r>
    </w:p>
    <w:p>
      <w:pPr>
        <w:spacing w:after="0" w:line="51" w:lineRule="exact"/>
        <w:rPr>
          <w:rFonts w:ascii="Arial" w:cs="Arial" w:eastAsia="Arial" w:hAnsi="Arial"/>
          <w:sz w:val="17"/>
          <w:szCs w:val="17"/>
          <w:color w:val="auto"/>
        </w:rPr>
      </w:pPr>
    </w:p>
    <w:p>
      <w:pPr>
        <w:ind w:left="1820" w:right="739" w:hanging="182"/>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“insiders” refers to our officers, directors, initial stockholders, and Chardan NexTech 2 Warrant Holdings LLC, an affiliate of our sponsor;</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44"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are selling privately to our sponsor or its designees upon consummation of this offering;</w:t>
      </w:r>
    </w:p>
    <w:p>
      <w:pPr>
        <w:spacing w:after="0" w:line="75" w:lineRule="exact"/>
        <w:rPr>
          <w:rFonts w:ascii="Arial" w:cs="Arial" w:eastAsia="Arial" w:hAnsi="Arial"/>
          <w:sz w:val="18"/>
          <w:szCs w:val="18"/>
          <w:color w:val="auto"/>
        </w:rPr>
      </w:pPr>
    </w:p>
    <w:p>
      <w:pPr>
        <w:ind w:left="1820" w:right="539" w:hanging="182"/>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75" w:lineRule="exact"/>
        <w:rPr>
          <w:rFonts w:ascii="Arial" w:cs="Arial" w:eastAsia="Arial" w:hAnsi="Arial"/>
          <w:sz w:val="18"/>
          <w:szCs w:val="18"/>
          <w:color w:val="auto"/>
        </w:rPr>
      </w:pPr>
    </w:p>
    <w:p>
      <w:pPr>
        <w:ind w:left="1820" w:right="499" w:hanging="182"/>
        <w:spacing w:after="0" w:line="286" w:lineRule="auto"/>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84" w:lineRule="exact"/>
        <w:rPr>
          <w:rFonts w:ascii="Arial" w:cs="Arial" w:eastAsia="Arial" w:hAnsi="Arial"/>
          <w:sz w:val="17"/>
          <w:szCs w:val="17"/>
          <w:color w:val="auto"/>
        </w:rPr>
      </w:pPr>
    </w:p>
    <w:p>
      <w:pPr>
        <w:ind w:left="1820" w:hanging="182"/>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130" w:lineRule="exact"/>
        <w:rPr>
          <w:rFonts w:ascii="Arial" w:cs="Arial" w:eastAsia="Arial" w:hAnsi="Arial"/>
          <w:sz w:val="18"/>
          <w:szCs w:val="18"/>
          <w:color w:val="auto"/>
        </w:rPr>
      </w:pPr>
    </w:p>
    <w:p>
      <w:pPr>
        <w:ind w:left="1820" w:right="459" w:hanging="182"/>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“warrants” refers to our redeemable warrants, which include the warrants underlying the units sold in this offering, whether they are purchased in this public offering or in the aftermarket; and</w:t>
      </w:r>
    </w:p>
    <w:p>
      <w:pPr>
        <w:spacing w:after="0" w:line="75" w:lineRule="exact"/>
        <w:rPr>
          <w:rFonts w:ascii="Arial" w:cs="Arial" w:eastAsia="Arial" w:hAnsi="Arial"/>
          <w:sz w:val="18"/>
          <w:szCs w:val="18"/>
          <w:color w:val="auto"/>
        </w:rPr>
      </w:pPr>
    </w:p>
    <w:p>
      <w:pPr>
        <w:ind w:left="1820" w:right="1139" w:hanging="182"/>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“us” or “our company” refers to Chardan NexTech Acquisition 2 Corp., a Delaware corporation.</w:t>
      </w:r>
    </w:p>
    <w:p>
      <w:pPr>
        <w:spacing w:after="0" w:line="103" w:lineRule="exact"/>
        <w:rPr>
          <w:sz w:val="20"/>
          <w:szCs w:val="20"/>
          <w:color w:val="auto"/>
        </w:rPr>
      </w:pPr>
    </w:p>
    <w:p>
      <w:pPr>
        <w:ind w:left="1280" w:right="559" w:firstLine="360"/>
        <w:spacing w:after="0" w:line="273" w:lineRule="auto"/>
        <w:rPr>
          <w:sz w:val="20"/>
          <w:szCs w:val="20"/>
          <w:color w:val="auto"/>
        </w:rPr>
      </w:pPr>
      <w:r>
        <w:rPr>
          <w:rFonts w:ascii="Arial" w:cs="Arial" w:eastAsia="Arial" w:hAnsi="Arial"/>
          <w:sz w:val="17"/>
          <w:szCs w:val="17"/>
          <w:i w:val="1"/>
          <w:iCs w:val="1"/>
          <w:color w:val="auto"/>
        </w:rPr>
        <w:t>Each unit consists of one share of common stock and three-quarters of one redeemable warrant. Each whole warrant entitles the holder thereof to purchase one share of our common stock at a price of $11.50 per share, subject to adjustment as described in this prospectus, and only whole warrants are exercisable.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w:t>
      </w:r>
    </w:p>
    <w:p>
      <w:pPr>
        <w:spacing w:after="0" w:line="110" w:lineRule="exact"/>
        <w:rPr>
          <w:sz w:val="20"/>
          <w:szCs w:val="20"/>
          <w:color w:val="auto"/>
        </w:rPr>
      </w:pPr>
    </w:p>
    <w:p>
      <w:pPr>
        <w:jc w:val="both"/>
        <w:ind w:left="1280" w:right="419" w:firstLine="360"/>
        <w:spacing w:after="0" w:line="263" w:lineRule="auto"/>
        <w:rPr>
          <w:sz w:val="20"/>
          <w:szCs w:val="20"/>
          <w:color w:val="auto"/>
        </w:rPr>
      </w:pPr>
      <w:r>
        <w:rPr>
          <w:rFonts w:ascii="Arial" w:cs="Arial" w:eastAsia="Arial" w:hAnsi="Arial"/>
          <w:sz w:val="18"/>
          <w:szCs w:val="18"/>
          <w:i w:val="1"/>
          <w:iCs w:val="1"/>
          <w:color w:val="auto"/>
        </w:rPr>
        <w:t>Unless otherwise provided herein, the information in this prospectus assumes that the underwriters will not exercise their over-allotment option and gives effect to both of the 2.875-for-1 stock split we effected on March 4, 2021 and the 1.1-for-1 stock split we effected on August 10, 2020.</w:t>
      </w:r>
    </w:p>
    <w:p>
      <w:pPr>
        <w:spacing w:after="0" w:line="103" w:lineRule="exact"/>
        <w:rPr>
          <w:sz w:val="20"/>
          <w:szCs w:val="20"/>
          <w:color w:val="auto"/>
        </w:rPr>
      </w:pPr>
    </w:p>
    <w:p>
      <w:pPr>
        <w:ind w:left="1280" w:right="619" w:firstLine="360"/>
        <w:spacing w:after="0" w:line="263"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16" w:lineRule="exact"/>
        <w:rPr>
          <w:sz w:val="20"/>
          <w:szCs w:val="20"/>
          <w:color w:val="auto"/>
        </w:rPr>
      </w:pPr>
    </w:p>
    <w:p>
      <w:pPr>
        <w:jc w:val="both"/>
        <w:ind w:left="1280" w:right="399" w:firstLine="360"/>
        <w:spacing w:after="0" w:line="286" w:lineRule="auto"/>
        <w:rPr>
          <w:sz w:val="20"/>
          <w:szCs w:val="20"/>
          <w:color w:val="auto"/>
        </w:rPr>
      </w:pPr>
      <w:r>
        <w:rPr>
          <w:rFonts w:ascii="Arial" w:cs="Arial" w:eastAsia="Arial" w:hAnsi="Arial"/>
          <w:sz w:val="17"/>
          <w:szCs w:val="17"/>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80" w:right="419" w:firstLine="360"/>
        <w:spacing w:after="0" w:line="239"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special purpose acquisition company and investment banking marketplaces.</w:t>
      </w:r>
    </w:p>
    <w:p>
      <w:pPr>
        <w:spacing w:after="0" w:line="123" w:lineRule="exact"/>
        <w:rPr>
          <w:sz w:val="20"/>
          <w:szCs w:val="20"/>
          <w:color w:val="auto"/>
        </w:rPr>
      </w:pPr>
    </w:p>
    <w:p>
      <w:pPr>
        <w:ind w:left="1280" w:right="459" w:firstLine="360"/>
        <w:spacing w:after="0" w:line="238" w:lineRule="auto"/>
        <w:rPr>
          <w:sz w:val="20"/>
          <w:szCs w:val="20"/>
          <w:color w:val="auto"/>
        </w:rPr>
      </w:pPr>
      <w:r>
        <w:rPr>
          <w:rFonts w:ascii="Arial" w:cs="Arial" w:eastAsia="Arial" w:hAnsi="Arial"/>
          <w:sz w:val="18"/>
          <w:szCs w:val="18"/>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13" w:lineRule="exact"/>
        <w:rPr>
          <w:sz w:val="20"/>
          <w:szCs w:val="20"/>
          <w:color w:val="auto"/>
        </w:rPr>
      </w:pPr>
    </w:p>
    <w:p>
      <w:pPr>
        <w:jc w:val="both"/>
        <w:ind w:left="1280" w:right="439" w:firstLine="360"/>
        <w:spacing w:after="0" w:line="270" w:lineRule="auto"/>
        <w:rPr>
          <w:sz w:val="20"/>
          <w:szCs w:val="20"/>
          <w:color w:val="auto"/>
        </w:rPr>
      </w:pPr>
      <w:r>
        <w:rPr>
          <w:rFonts w:ascii="Arial" w:cs="Arial" w:eastAsia="Arial" w:hAnsi="Arial"/>
          <w:sz w:val="17"/>
          <w:szCs w:val="17"/>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The Opportunity</w:t>
      </w:r>
    </w:p>
    <w:p>
      <w:pPr>
        <w:spacing w:after="0" w:line="162" w:lineRule="exact"/>
        <w:rPr>
          <w:sz w:val="20"/>
          <w:szCs w:val="20"/>
          <w:color w:val="auto"/>
        </w:rPr>
      </w:pPr>
    </w:p>
    <w:p>
      <w:pPr>
        <w:ind w:left="1280" w:right="459" w:firstLine="360"/>
        <w:spacing w:after="0" w:line="252" w:lineRule="auto"/>
        <w:rPr>
          <w:sz w:val="20"/>
          <w:szCs w:val="20"/>
          <w:color w:val="auto"/>
        </w:rPr>
      </w:pPr>
      <w:r>
        <w:rPr>
          <w:rFonts w:ascii="Arial" w:cs="Arial" w:eastAsia="Arial" w:hAnsi="Arial"/>
          <w:sz w:val="17"/>
          <w:szCs w:val="17"/>
          <w:color w:val="auto"/>
        </w:rPr>
        <w:t>Having founded the third -ever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 sponsor) and special purpose acquisition mergers and acquisitions advisor, which we intend to leverage as special purpose acquisition companies have become more mainstream. We believe that the market is now only beginning to recognize the benefits of special purpose acquisition companies as has been demonstrated within the last several months. In the second half of 2020, special purpose acquisition companies accounted for ~56% of all capital raised in the initial public offering market, and have had record issuances in the first month of 2021, raising nearly $24 billion, almost two times U.S. initial public offerings during the same period.</w:t>
      </w:r>
    </w:p>
    <w:p>
      <w:pPr>
        <w:spacing w:after="0" w:line="116"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special purpose acquisition company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Management Team, Sponsor, and Board of Directors</w:t>
      </w:r>
    </w:p>
    <w:p>
      <w:pPr>
        <w:spacing w:after="0" w:line="148" w:lineRule="exact"/>
        <w:rPr>
          <w:sz w:val="20"/>
          <w:szCs w:val="20"/>
          <w:color w:val="auto"/>
        </w:rPr>
      </w:pPr>
    </w:p>
    <w:p>
      <w:pPr>
        <w:ind w:left="1280" w:right="419" w:firstLine="360"/>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59"/>
        <w:spacing w:after="0" w:line="257" w:lineRule="auto"/>
        <w:rPr>
          <w:sz w:val="20"/>
          <w:szCs w:val="20"/>
          <w:color w:val="auto"/>
        </w:rPr>
      </w:pPr>
      <w:r>
        <w:rPr>
          <w:rFonts w:ascii="Arial" w:cs="Arial" w:eastAsia="Arial" w:hAnsi="Arial"/>
          <w:sz w:val="18"/>
          <w:szCs w:val="18"/>
          <w:color w:val="auto"/>
        </w:rPr>
        <w:t>of our sponsor. Our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Management Team</w:t>
      </w:r>
    </w:p>
    <w:p>
      <w:pPr>
        <w:spacing w:after="0" w:line="144" w:lineRule="exact"/>
        <w:rPr>
          <w:sz w:val="20"/>
          <w:szCs w:val="20"/>
          <w:color w:val="auto"/>
        </w:rPr>
      </w:pPr>
    </w:p>
    <w:p>
      <w:pPr>
        <w:ind w:left="1280" w:right="419" w:firstLine="360"/>
        <w:spacing w:after="0" w:line="273" w:lineRule="auto"/>
        <w:rPr>
          <w:sz w:val="20"/>
          <w:szCs w:val="20"/>
          <w:color w:val="auto"/>
        </w:rPr>
      </w:pPr>
      <w:r>
        <w:rPr>
          <w:rFonts w:ascii="Arial" w:cs="Arial" w:eastAsia="Arial" w:hAnsi="Arial"/>
          <w:sz w:val="17"/>
          <w:szCs w:val="17"/>
          <w:b w:val="1"/>
          <w:bCs w:val="1"/>
          <w:i w:val="1"/>
          <w:iCs w:val="1"/>
          <w:color w:val="auto"/>
        </w:rPr>
        <w:t xml:space="preserve">Kerry Propper </w:t>
      </w:r>
      <w:r>
        <w:rPr>
          <w:rFonts w:ascii="Arial" w:cs="Arial" w:eastAsia="Arial" w:hAnsi="Arial"/>
          <w:sz w:val="17"/>
          <w:szCs w:val="17"/>
          <w:color w:val="auto"/>
        </w:rPr>
        <w:t>is our co-founder and Chairman of the board of directors. Mr. Propper was co-founder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340Basics, Credit Sesame, and PierianDx among other boards.</w:t>
      </w:r>
    </w:p>
    <w:p>
      <w:pPr>
        <w:spacing w:after="0" w:line="110" w:lineRule="exact"/>
        <w:rPr>
          <w:sz w:val="20"/>
          <w:szCs w:val="20"/>
          <w:color w:val="auto"/>
        </w:rPr>
      </w:pPr>
    </w:p>
    <w:p>
      <w:pPr>
        <w:ind w:left="1280" w:right="4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Jonas Grossman </w:t>
      </w:r>
      <w:r>
        <w:rPr>
          <w:rFonts w:ascii="Arial" w:cs="Arial" w:eastAsia="Arial" w:hAnsi="Arial"/>
          <w:sz w:val="17"/>
          <w:szCs w:val="17"/>
          <w:color w:val="auto"/>
        </w:rPr>
        <w:t>is our co-founder and has been our Chief Executive Officer and a member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June 2020 and our President, Secretary, and Treasurer since July 2020. Mr. Grossman has served as managing partner and head of capital markets for Chardan since December 2003, and has additionally served as president of Chardan since September 2015. With nearly two decades of transactional and special acquisition company expertise, Mr. Grossman has led or managed more than 500 transactions, including providing underwriting and business combination advisory services to more than 85 special purpose acquisition companies in a variety of industries. Mr. Grossman has been a founder and / or a member of the board of seven special purpose acquisition companies, of which on four he also has served as Chief Executive Officer and President. Since April 2020, Mr. Grossman has served as the President and Chief Executive Officer of Chardan Healthcare Acquisition 2 Corp which announced its merger with Renovacor, Inc in March 2021. He also served as President and Chief Executive Officer of Chardan Healthcare Acquisition Corp. from March 2018 until its merger in October 2019 with BiomX Ltd. (NYSE: PHGE). He is currently a director of BiomX. Mr. Grossman was a founder and director of LifeSci Acquisition Corp. from March 2020 until the close of its business combination with Vincera Pharma, Inc. in December 2020. He has served as a director to Ventoux CCM Acquisition Corp. since December 2020 and CleanTech Acquisition Corp since May 2021. Since July 2020, he has served as Chief Executive Officer and director of Chardan NexTech Acquisition Corp. Previously, from 2001 to 2003, Mr. Grossman worked at Ramius Capital Group, LLC, a global multi-strategy hedge fund where he served as Vice President and Head Trader. Mr. Grossman holds a B.A. in Economics from Cornell University and an M.B.A. from New York University’s Stern School of Business. He has served on the board of directors for UNICEF since December 2016.</w:t>
      </w:r>
    </w:p>
    <w:p>
      <w:pPr>
        <w:spacing w:after="0" w:line="335" w:lineRule="exact"/>
        <w:rPr>
          <w:sz w:val="20"/>
          <w:szCs w:val="20"/>
          <w:color w:val="auto"/>
        </w:rPr>
      </w:pPr>
    </w:p>
    <w:p>
      <w:pPr>
        <w:ind w:left="1280" w:right="4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and is a member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Mr. Weil has spent over two decades on Wall Street providing strategic advisory services to global companies, senior executives, boards of directors, and investors. Since March 2021, he has served as chief financial officer of Chardan NexTech Acquisition Corp., and he has agreed to also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Chardan</w:t>
      </w:r>
    </w:p>
    <w:p>
      <w:pPr>
        <w:spacing w:after="0" w:line="158" w:lineRule="exact"/>
        <w:rPr>
          <w:sz w:val="20"/>
          <w:szCs w:val="20"/>
          <w:color w:val="auto"/>
        </w:rPr>
      </w:pPr>
    </w:p>
    <w:p>
      <w:pPr>
        <w:jc w:val="both"/>
        <w:ind w:left="1280" w:right="679" w:firstLine="360"/>
        <w:spacing w:after="0" w:line="248"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14"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color w:val="auto"/>
        </w:rPr>
        <w:t>Chardan has an extensive track record in the special purpose acquisition company market as underwriter, sponsor and advisor. Since 2004, Chardan has been lead or co -lead underwriter on 90 special purpose acquisition company initial public offerings. Since 2018, Chardan has been a mergers and acquisition advisor to 16 special purpose acquisition companies, helping them close transactions valued at approximately $6.8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13 special purpose acquisition companies, six of which have closed successful business combinations, one of which has announced a business combination, three of which are seeking acquisitions, and three of which are publicly filed.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144" w:lineRule="exact"/>
        <w:rPr>
          <w:sz w:val="20"/>
          <w:szCs w:val="20"/>
          <w:color w:val="auto"/>
        </w:rPr>
      </w:pPr>
    </w:p>
    <w:p>
      <w:pPr>
        <w:ind w:left="1280" w:right="979" w:firstLine="360"/>
        <w:spacing w:after="0" w:line="261" w:lineRule="auto"/>
        <w:rPr>
          <w:sz w:val="20"/>
          <w:szCs w:val="20"/>
          <w:color w:val="auto"/>
        </w:rPr>
      </w:pPr>
      <w:r>
        <w:rPr>
          <w:rFonts w:ascii="Arial" w:cs="Arial" w:eastAsia="Arial" w:hAnsi="Arial"/>
          <w:sz w:val="18"/>
          <w:szCs w:val="18"/>
          <w:color w:val="auto"/>
        </w:rPr>
        <w:t>In addition to Messrs. Propper, Grossman, and Weil, the other members of our board include the following independent directors:</w:t>
      </w:r>
    </w:p>
    <w:p>
      <w:pPr>
        <w:spacing w:after="0" w:line="103" w:lineRule="exact"/>
        <w:rPr>
          <w:sz w:val="20"/>
          <w:szCs w:val="20"/>
          <w:color w:val="auto"/>
        </w:rPr>
      </w:pPr>
    </w:p>
    <w:p>
      <w:pPr>
        <w:ind w:left="1280" w:right="419" w:firstLine="360"/>
        <w:spacing w:after="0" w:line="236" w:lineRule="auto"/>
        <w:rPr>
          <w:sz w:val="20"/>
          <w:szCs w:val="20"/>
          <w:color w:val="auto"/>
        </w:rPr>
      </w:pPr>
      <w:r>
        <w:rPr>
          <w:rFonts w:ascii="Arial" w:cs="Arial" w:eastAsia="Arial" w:hAnsi="Arial"/>
          <w:sz w:val="18"/>
          <w:szCs w:val="18"/>
          <w:b w:val="1"/>
          <w:bCs w:val="1"/>
          <w:i w:val="1"/>
          <w:iCs w:val="1"/>
          <w:color w:val="auto"/>
        </w:rPr>
        <w:t xml:space="preserve">Jonathan C. “Jon” Biele </w:t>
      </w:r>
      <w:r>
        <w:rPr>
          <w:rFonts w:ascii="Arial" w:cs="Arial" w:eastAsia="Arial" w:hAnsi="Arial"/>
          <w:sz w:val="18"/>
          <w:szCs w:val="18"/>
          <w:color w:val="auto"/>
        </w:rPr>
        <w:t>is a member of our board of directors. Mr. Biele has over 28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banking experience serving in a variety of roles. He recently joined PREEM,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32" w:lineRule="exact"/>
        <w:rPr>
          <w:sz w:val="20"/>
          <w:szCs w:val="20"/>
          <w:color w:val="auto"/>
        </w:rPr>
      </w:pPr>
    </w:p>
    <w:p>
      <w:pPr>
        <w:ind w:left="1280" w:right="399" w:firstLine="360"/>
        <w:spacing w:after="0" w:line="251"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is a member of our board of directors. Mr. Boyle helped lead the launch of Point72 Asset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spacing w:after="0" w:line="270" w:lineRule="auto"/>
        <w:rPr>
          <w:sz w:val="20"/>
          <w:szCs w:val="20"/>
          <w:color w:val="auto"/>
        </w:rPr>
      </w:pPr>
      <w:r>
        <w:rPr>
          <w:rFonts w:ascii="Arial" w:cs="Arial" w:eastAsia="Arial" w:hAnsi="Arial"/>
          <w:sz w:val="17"/>
          <w:szCs w:val="17"/>
          <w:color w:val="auto"/>
        </w:rPr>
        <w:t>statement. He was a 2018 and 2019 delegate from the IISS to the Shangri -La Dialogue in Singapore. He is a council member of the Hoover Institution and a Lionel Curtis member of Chatham House. Mr. Boyle helps lead the annual Ride For Our Vets, the major source of funding for the Connecticut Veterans Legal Center.</w:t>
      </w:r>
    </w:p>
    <w:p>
      <w:pPr>
        <w:spacing w:after="0" w:line="83" w:lineRule="exact"/>
        <w:rPr>
          <w:sz w:val="20"/>
          <w:szCs w:val="20"/>
          <w:color w:val="auto"/>
        </w:rPr>
      </w:pPr>
    </w:p>
    <w:p>
      <w:pPr>
        <w:ind w:left="1280" w:right="419" w:firstLine="360"/>
        <w:spacing w:after="0" w:line="250"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is a member of our board of directors. Mr. Hardamon has over two decades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$ 300 billion in assets under administration and over 2,000 professionals spanning eight locations across the United States, Cayman Islands, Bermuda, Bahamas, and India. Mr. Hardamon led multiple phases of Citigroup’s ownership of the business including:</w:t>
      </w:r>
    </w:p>
    <w:p>
      <w:pPr>
        <w:spacing w:after="0" w:line="6" w:lineRule="exact"/>
        <w:rPr>
          <w:sz w:val="20"/>
          <w:szCs w:val="20"/>
          <w:color w:val="auto"/>
        </w:rPr>
      </w:pPr>
    </w:p>
    <w:p>
      <w:pPr>
        <w:ind w:left="1280" w:right="639" w:hanging="2"/>
        <w:spacing w:after="0" w:line="236" w:lineRule="auto"/>
        <w:tabs>
          <w:tab w:leader="none" w:pos="154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25" w:lineRule="exact"/>
        <w:rPr>
          <w:sz w:val="20"/>
          <w:szCs w:val="20"/>
          <w:color w:val="auto"/>
        </w:rPr>
      </w:pPr>
    </w:p>
    <w:p>
      <w:pPr>
        <w:ind w:left="1280" w:right="419" w:firstLine="360"/>
        <w:spacing w:after="0" w:line="236" w:lineRule="auto"/>
        <w:rPr>
          <w:sz w:val="20"/>
          <w:szCs w:val="20"/>
          <w:color w:val="auto"/>
        </w:rPr>
      </w:pPr>
      <w:r>
        <w:rPr>
          <w:rFonts w:ascii="Arial" w:cs="Arial" w:eastAsia="Arial" w:hAnsi="Arial"/>
          <w:sz w:val="18"/>
          <w:szCs w:val="18"/>
          <w:b w:val="1"/>
          <w:bCs w:val="1"/>
          <w:i w:val="1"/>
          <w:iCs w:val="1"/>
          <w:color w:val="auto"/>
        </w:rPr>
        <w:t xml:space="preserve">Jory Des Jardins </w:t>
      </w:r>
      <w:r>
        <w:rPr>
          <w:rFonts w:ascii="Arial" w:cs="Arial" w:eastAsia="Arial" w:hAnsi="Arial"/>
          <w:sz w:val="18"/>
          <w:szCs w:val="18"/>
          <w:color w:val="auto"/>
        </w:rPr>
        <w:t>is a member of our board of directors. Ms. Jardins has decades of startup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 -founder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32" w:lineRule="exact"/>
        <w:rPr>
          <w:sz w:val="20"/>
          <w:szCs w:val="20"/>
          <w:color w:val="auto"/>
        </w:rPr>
      </w:pPr>
    </w:p>
    <w:p>
      <w:pPr>
        <w:ind w:left="1280" w:right="619" w:firstLine="360"/>
        <w:spacing w:after="0" w:line="255"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is a member of our board of directors. Mr. Thakrar is an experienced investor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sector, having spent over 20 years investing in public equities in the life sciences, information technology and innovation sectors. Since 2015, he has been active in early stage venture investing.</w:t>
      </w:r>
    </w:p>
    <w:p>
      <w:pPr>
        <w:ind w:left="1280" w:right="439"/>
        <w:spacing w:after="0" w:line="250" w:lineRule="auto"/>
        <w:rPr>
          <w:sz w:val="20"/>
          <w:szCs w:val="20"/>
          <w:color w:val="auto"/>
        </w:rPr>
      </w:pPr>
      <w:r>
        <w:rPr>
          <w:rFonts w:ascii="Arial" w:cs="Arial" w:eastAsia="Arial" w:hAnsi="Arial"/>
          <w:sz w:val="17"/>
          <w:szCs w:val="17"/>
          <w:color w:val="auto"/>
        </w:rPr>
        <w:t>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Todd Thomson </w:t>
      </w:r>
      <w:r>
        <w:rPr>
          <w:rFonts w:ascii="Arial" w:cs="Arial" w:eastAsia="Arial" w:hAnsi="Arial"/>
          <w:sz w:val="17"/>
          <w:szCs w:val="17"/>
          <w:color w:val="auto"/>
        </w:rPr>
        <w:t>is a member of our board of directors. Mr. Thomson is currently the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00" w:lineRule="exact"/>
        <w:rPr>
          <w:sz w:val="20"/>
          <w:szCs w:val="20"/>
          <w:color w:val="auto"/>
        </w:rPr>
      </w:pPr>
    </w:p>
    <w:p>
      <w:pPr>
        <w:ind w:left="1280" w:right="479" w:firstLine="360"/>
        <w:spacing w:after="0" w:line="254" w:lineRule="auto"/>
        <w:rPr>
          <w:sz w:val="20"/>
          <w:szCs w:val="20"/>
          <w:color w:val="auto"/>
        </w:rPr>
      </w:pPr>
      <w:r>
        <w:rPr>
          <w:rFonts w:ascii="Arial" w:cs="Arial" w:eastAsia="Arial" w:hAnsi="Arial"/>
          <w:sz w:val="17"/>
          <w:szCs w:val="17"/>
          <w:color w:val="auto"/>
        </w:rPr>
        <w:t>We believe our management team’s operating, special purpose acquisition company,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13"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20" w:lineRule="exact"/>
        <w:rPr>
          <w:sz w:val="20"/>
          <w:szCs w:val="20"/>
          <w:color w:val="auto"/>
        </w:rPr>
      </w:pPr>
    </w:p>
    <w:p>
      <w:pPr>
        <w:ind w:left="1280" w:right="43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01" w:lineRule="exact"/>
        <w:rPr>
          <w:sz w:val="20"/>
          <w:szCs w:val="20"/>
          <w:color w:val="auto"/>
        </w:rPr>
      </w:pPr>
    </w:p>
    <w:p>
      <w:pPr>
        <w:ind w:left="1280" w:right="45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14" w:lineRule="exact"/>
        <w:rPr>
          <w:sz w:val="20"/>
          <w:szCs w:val="20"/>
          <w:color w:val="auto"/>
        </w:rPr>
      </w:pPr>
    </w:p>
    <w:p>
      <w:pPr>
        <w:ind w:left="1280" w:right="579" w:firstLine="360"/>
        <w:spacing w:after="0" w:line="291" w:lineRule="auto"/>
        <w:rPr>
          <w:sz w:val="20"/>
          <w:szCs w:val="20"/>
          <w:color w:val="auto"/>
        </w:rPr>
      </w:pPr>
      <w:r>
        <w:rPr>
          <w:rFonts w:ascii="Arial" w:cs="Arial" w:eastAsia="Arial" w:hAnsi="Arial"/>
          <w:sz w:val="17"/>
          <w:szCs w:val="17"/>
          <w:color w:val="auto"/>
        </w:rPr>
        <w:t>Our executive officer and director Jonas Grossman also serves as a director of CleanTech Acquisition Corp., or CleanTech, a blank check company that consummated its initial public offering in July 2021.</w:t>
      </w:r>
    </w:p>
    <w:p>
      <w:pPr>
        <w:spacing w:after="0" w:line="79"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that has publicly filed its registration statement on Form S-1, but is not expected to consummate its initial public offering before the consummation of this offering.</w:t>
      </w:r>
    </w:p>
    <w:p>
      <w:pPr>
        <w:spacing w:after="0" w:line="107" w:lineRule="exact"/>
        <w:rPr>
          <w:sz w:val="20"/>
          <w:szCs w:val="20"/>
          <w:color w:val="auto"/>
        </w:rPr>
      </w:pPr>
    </w:p>
    <w:p>
      <w:pPr>
        <w:ind w:left="1280" w:right="399" w:firstLine="360"/>
        <w:spacing w:after="0" w:line="24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receives equity in the form of private placement securities. Some of those special purpose acquisition companies may be competitive with our company as they look for targets in the same industries and geographies.</w:t>
      </w:r>
    </w:p>
    <w:p>
      <w:pPr>
        <w:spacing w:after="0" w:line="120" w:lineRule="exact"/>
        <w:rPr>
          <w:sz w:val="20"/>
          <w:szCs w:val="20"/>
          <w:color w:val="auto"/>
        </w:rPr>
      </w:pPr>
    </w:p>
    <w:p>
      <w:pPr>
        <w:ind w:left="1280" w:right="599" w:firstLine="360"/>
        <w:spacing w:after="0"/>
        <w:rPr>
          <w:sz w:val="20"/>
          <w:szCs w:val="20"/>
          <w:color w:val="auto"/>
        </w:rPr>
      </w:pPr>
      <w:r>
        <w:rPr>
          <w:rFonts w:ascii="Arial" w:cs="Arial" w:eastAsia="Arial" w:hAnsi="Arial"/>
          <w:sz w:val="18"/>
          <w:szCs w:val="18"/>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and Weil have had management and/or board experience with blank check companies. None of our other officers or directors, our sponsor, nor any of its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spacing w:after="0" w:line="251" w:lineRule="auto"/>
        <w:rPr>
          <w:sz w:val="20"/>
          <w:szCs w:val="20"/>
          <w:color w:val="auto"/>
        </w:rPr>
      </w:pPr>
      <w:r>
        <w:rPr>
          <w:rFonts w:ascii="Arial" w:cs="Arial" w:eastAsia="Arial" w:hAnsi="Arial"/>
          <w:sz w:val="17"/>
          <w:szCs w:val="17"/>
          <w:color w:val="auto"/>
        </w:rPr>
        <w:t>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CleanTech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ind w:left="1280" w:right="559" w:firstLine="360"/>
        <w:spacing w:after="0"/>
        <w:rPr>
          <w:sz w:val="20"/>
          <w:szCs w:val="20"/>
          <w:color w:val="auto"/>
        </w:rPr>
      </w:pPr>
      <w:r>
        <w:rPr>
          <w:rFonts w:ascii="Arial" w:cs="Arial" w:eastAsia="Arial" w:hAnsi="Arial"/>
          <w:sz w:val="18"/>
          <w:szCs w:val="18"/>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2" w:lineRule="exact"/>
        <w:rPr>
          <w:sz w:val="20"/>
          <w:szCs w:val="20"/>
          <w:color w:val="auto"/>
        </w:rPr>
      </w:pPr>
    </w:p>
    <w:p>
      <w:pPr>
        <w:ind w:left="1280" w:right="579" w:firstLine="360"/>
        <w:spacing w:after="0" w:line="25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1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104" w:lineRule="exact"/>
        <w:rPr>
          <w:sz w:val="20"/>
          <w:szCs w:val="20"/>
          <w:color w:val="auto"/>
        </w:rPr>
      </w:pPr>
    </w:p>
    <w:p>
      <w:pPr>
        <w:ind w:left="1820" w:right="59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including sponsoring, underwriting and mergers and acquisitions advisory;</w:t>
      </w:r>
    </w:p>
    <w:p>
      <w:pPr>
        <w:spacing w:after="0" w:line="62" w:lineRule="exact"/>
        <w:rPr>
          <w:rFonts w:ascii="Arial" w:cs="Arial" w:eastAsia="Arial" w:hAnsi="Arial"/>
          <w:sz w:val="18"/>
          <w:szCs w:val="18"/>
          <w:color w:val="auto"/>
        </w:rPr>
      </w:pPr>
    </w:p>
    <w:p>
      <w:pPr>
        <w:ind w:left="1820" w:right="79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62" w:lineRule="exact"/>
        <w:rPr>
          <w:rFonts w:ascii="Arial" w:cs="Arial" w:eastAsia="Arial" w:hAnsi="Arial"/>
          <w:sz w:val="18"/>
          <w:szCs w:val="18"/>
          <w:color w:val="auto"/>
        </w:rPr>
      </w:pPr>
    </w:p>
    <w:p>
      <w:pPr>
        <w:jc w:val="both"/>
        <w:ind w:left="1820" w:right="1099" w:hanging="182"/>
        <w:spacing w:after="0" w:line="263"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03"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17" w:lineRule="exact"/>
        <w:rPr>
          <w:rFonts w:ascii="Arial" w:cs="Arial" w:eastAsia="Arial" w:hAnsi="Arial"/>
          <w:sz w:val="18"/>
          <w:szCs w:val="18"/>
          <w:color w:val="auto"/>
        </w:rPr>
      </w:pPr>
    </w:p>
    <w:p>
      <w:pPr>
        <w:ind w:left="1820" w:right="75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103" w:lineRule="exact"/>
        <w:rPr>
          <w:sz w:val="20"/>
          <w:szCs w:val="20"/>
          <w:color w:val="auto"/>
        </w:rPr>
      </w:pPr>
    </w:p>
    <w:p>
      <w:pPr>
        <w:ind w:left="1280" w:right="459" w:firstLine="360"/>
        <w:spacing w:after="0" w:line="262" w:lineRule="auto"/>
        <w:rPr>
          <w:sz w:val="20"/>
          <w:szCs w:val="20"/>
          <w:color w:val="auto"/>
        </w:rPr>
      </w:pPr>
      <w:r>
        <w:rPr>
          <w:rFonts w:ascii="Arial" w:cs="Arial" w:eastAsia="Arial" w:hAnsi="Arial"/>
          <w:sz w:val="17"/>
          <w:szCs w:val="17"/>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59"/>
        <w:spacing w:after="0" w:line="248" w:lineRule="auto"/>
        <w:rPr>
          <w:sz w:val="20"/>
          <w:szCs w:val="20"/>
          <w:color w:val="auto"/>
        </w:rPr>
      </w:pPr>
      <w:r>
        <w:rPr>
          <w:rFonts w:ascii="Arial" w:cs="Arial" w:eastAsia="Arial" w:hAnsi="Arial"/>
          <w:sz w:val="18"/>
          <w:szCs w:val="18"/>
          <w:color w:val="auto"/>
        </w:rPr>
        <w:t>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ind w:left="1280" w:right="519" w:firstLine="360"/>
        <w:spacing w:after="0" w:line="241"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81" w:lineRule="exact"/>
        <w:rPr>
          <w:sz w:val="20"/>
          <w:szCs w:val="20"/>
          <w:color w:val="auto"/>
        </w:rPr>
      </w:pPr>
    </w:p>
    <w:p>
      <w:pPr>
        <w:ind w:left="1820" w:right="73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62" w:lineRule="exact"/>
        <w:rPr>
          <w:rFonts w:ascii="Arial" w:cs="Arial" w:eastAsia="Arial" w:hAnsi="Arial"/>
          <w:sz w:val="18"/>
          <w:szCs w:val="18"/>
          <w:color w:val="auto"/>
        </w:rPr>
      </w:pPr>
    </w:p>
    <w:p>
      <w:pPr>
        <w:ind w:left="1820" w:right="75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48" w:lineRule="exact"/>
        <w:rPr>
          <w:rFonts w:ascii="Arial" w:cs="Arial" w:eastAsia="Arial" w:hAnsi="Arial"/>
          <w:sz w:val="18"/>
          <w:szCs w:val="18"/>
          <w:color w:val="auto"/>
        </w:rPr>
      </w:pPr>
    </w:p>
    <w:p>
      <w:pPr>
        <w:jc w:val="both"/>
        <w:ind w:left="1820" w:right="419" w:hanging="182"/>
        <w:spacing w:after="0" w:line="263"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103" w:lineRule="exact"/>
        <w:rPr>
          <w:rFonts w:ascii="Arial" w:cs="Arial" w:eastAsia="Arial" w:hAnsi="Arial"/>
          <w:sz w:val="18"/>
          <w:szCs w:val="18"/>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17"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03"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Acquisition Strategy</w:t>
      </w:r>
    </w:p>
    <w:p>
      <w:pPr>
        <w:spacing w:after="0" w:line="162" w:lineRule="exact"/>
        <w:rPr>
          <w:sz w:val="20"/>
          <w:szCs w:val="20"/>
          <w:color w:val="auto"/>
        </w:rPr>
      </w:pPr>
    </w:p>
    <w:p>
      <w:pPr>
        <w:ind w:left="1280" w:right="459" w:firstLine="360"/>
        <w:spacing w:after="0" w:line="25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12" w:lineRule="exact"/>
        <w:rPr>
          <w:sz w:val="20"/>
          <w:szCs w:val="20"/>
          <w:color w:val="auto"/>
        </w:rPr>
      </w:pPr>
    </w:p>
    <w:p>
      <w:pPr>
        <w:ind w:left="1280" w:right="439" w:firstLine="360"/>
        <w:spacing w:after="0" w:line="257" w:lineRule="auto"/>
        <w:rPr>
          <w:sz w:val="20"/>
          <w:szCs w:val="20"/>
          <w:color w:val="auto"/>
        </w:rPr>
      </w:pPr>
      <w:r>
        <w:rPr>
          <w:rFonts w:ascii="Arial" w:cs="Arial" w:eastAsia="Arial" w:hAnsi="Arial"/>
          <w:sz w:val="17"/>
          <w:szCs w:val="17"/>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94" w:lineRule="exact"/>
        <w:rPr>
          <w:sz w:val="20"/>
          <w:szCs w:val="20"/>
          <w:color w:val="auto"/>
        </w:rPr>
      </w:pPr>
    </w:p>
    <w:p>
      <w:pPr>
        <w:ind w:left="1280" w:right="619" w:firstLine="360"/>
        <w:spacing w:after="0" w:line="248" w:lineRule="auto"/>
        <w:rPr>
          <w:sz w:val="20"/>
          <w:szCs w:val="20"/>
          <w:color w:val="auto"/>
        </w:rPr>
      </w:pPr>
      <w:r>
        <w:rPr>
          <w:rFonts w:ascii="Arial" w:cs="Arial" w:eastAsia="Arial" w:hAnsi="Arial"/>
          <w:sz w:val="18"/>
          <w:szCs w:val="18"/>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1280" w:right="919" w:firstLine="360"/>
        <w:spacing w:after="0" w:line="243" w:lineRule="auto"/>
        <w:rPr>
          <w:sz w:val="20"/>
          <w:szCs w:val="20"/>
          <w:color w:val="auto"/>
        </w:rPr>
      </w:pPr>
      <w:r>
        <w:rPr>
          <w:rFonts w:ascii="Arial" w:cs="Arial" w:eastAsia="Arial" w:hAnsi="Arial"/>
          <w:sz w:val="18"/>
          <w:szCs w:val="18"/>
          <w:color w:val="auto"/>
        </w:rPr>
        <w:t>We will have 12 months from the closing of this offering to consummate an initial business combination. In addition, if we anticipate that we may not be able to consummate our initial business combination within 12 months, our insiders or their affiliates may, but are not obligated to, extend the period of time to</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spacing w:after="0" w:line="250" w:lineRule="auto"/>
        <w:rPr>
          <w:sz w:val="20"/>
          <w:szCs w:val="20"/>
          <w:color w:val="auto"/>
        </w:rPr>
      </w:pPr>
      <w:r>
        <w:rPr>
          <w:rFonts w:ascii="Arial" w:cs="Arial" w:eastAsia="Arial" w:hAnsi="Arial"/>
          <w:sz w:val="17"/>
          <w:szCs w:val="17"/>
          <w:color w:val="auto"/>
        </w:rPr>
        <w:t xml:space="preserve">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04" w:lineRule="exact"/>
        <w:rPr>
          <w:sz w:val="20"/>
          <w:szCs w:val="20"/>
          <w:color w:val="auto"/>
        </w:rPr>
      </w:pPr>
    </w:p>
    <w:p>
      <w:pPr>
        <w:ind w:left="1280" w:right="439" w:firstLine="360"/>
        <w:spacing w:after="0" w:line="253"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13" w:lineRule="exact"/>
        <w:rPr>
          <w:sz w:val="20"/>
          <w:szCs w:val="20"/>
          <w:color w:val="auto"/>
        </w:rPr>
      </w:pPr>
    </w:p>
    <w:p>
      <w:pPr>
        <w:ind w:left="1280" w:right="459" w:firstLine="360"/>
        <w:spacing w:after="0" w:line="251"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 -investors,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firstLine="360"/>
        <w:spacing w:after="0" w:line="267"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09" w:lineRule="exact"/>
        <w:rPr>
          <w:sz w:val="20"/>
          <w:szCs w:val="20"/>
          <w:color w:val="auto"/>
        </w:rPr>
      </w:pPr>
    </w:p>
    <w:p>
      <w:pPr>
        <w:ind w:left="1280" w:right="519" w:firstLine="360"/>
        <w:spacing w:after="0" w:line="268"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19" w:lineRule="exact"/>
        <w:rPr>
          <w:sz w:val="20"/>
          <w:szCs w:val="20"/>
          <w:color w:val="auto"/>
        </w:rPr>
      </w:pPr>
    </w:p>
    <w:p>
      <w:pPr>
        <w:ind w:left="1280" w:right="419" w:firstLine="360"/>
        <w:spacing w:after="0" w:line="257" w:lineRule="auto"/>
        <w:rPr>
          <w:sz w:val="20"/>
          <w:szCs w:val="20"/>
          <w:color w:val="auto"/>
        </w:rPr>
      </w:pPr>
      <w:r>
        <w:rPr>
          <w:rFonts w:ascii="Arial" w:cs="Arial" w:eastAsia="Arial" w:hAnsi="Arial"/>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20" w:lineRule="exact"/>
        <w:rPr>
          <w:sz w:val="20"/>
          <w:szCs w:val="20"/>
          <w:color w:val="auto"/>
        </w:rPr>
      </w:pPr>
    </w:p>
    <w:p>
      <w:pPr>
        <w:ind w:left="1280" w:right="499" w:firstLine="360"/>
        <w:spacing w:after="0" w:line="253"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Our sponsor has transferred 22,000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15" w:lineRule="exact"/>
        <w:rPr>
          <w:sz w:val="20"/>
          <w:szCs w:val="20"/>
          <w:color w:val="auto"/>
        </w:rPr>
      </w:pPr>
    </w:p>
    <w:p>
      <w:pPr>
        <w:ind w:left="1280" w:right="479" w:firstLine="360"/>
        <w:spacing w:after="0" w:line="272"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99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819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11" w:lineRule="exact"/>
        <w:rPr>
          <w:sz w:val="20"/>
          <w:szCs w:val="20"/>
          <w:color w:val="auto"/>
        </w:rPr>
      </w:pPr>
    </w:p>
    <w:p>
      <w:pPr>
        <w:ind w:left="1280" w:right="459" w:firstLine="360"/>
        <w:spacing w:after="0" w:line="252"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9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Advisory Services in Connection with the Business Combination</w:t>
      </w:r>
    </w:p>
    <w:p>
      <w:pPr>
        <w:spacing w:after="0" w:line="158" w:lineRule="exact"/>
        <w:rPr>
          <w:sz w:val="20"/>
          <w:szCs w:val="20"/>
          <w:color w:val="auto"/>
        </w:rPr>
      </w:pPr>
    </w:p>
    <w:p>
      <w:pPr>
        <w:ind w:left="1280" w:right="419" w:firstLine="360"/>
        <w:spacing w:after="0" w:line="273"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 Certain individuals who will perform advisory services on behalf of Chardan in connection with the business combination also serve as our officers and directors.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5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1" w:lineRule="exact"/>
        <w:rPr>
          <w:sz w:val="20"/>
          <w:szCs w:val="20"/>
          <w:color w:val="auto"/>
        </w:rPr>
      </w:pPr>
    </w:p>
    <w:p>
      <w:pPr>
        <w:ind w:left="1280" w:right="61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80" w:right="399" w:hanging="2"/>
        <w:spacing w:after="0" w:line="253" w:lineRule="auto"/>
        <w:tabs>
          <w:tab w:leader="none" w:pos="15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w:t>
      </w:r>
    </w:p>
    <w:p>
      <w:pPr>
        <w:sectPr>
          <w:pgSz w:w="11900" w:h="16838" w:orient="portrait"/>
          <w:cols w:equalWidth="0" w:num="1">
            <w:col w:w="9879"/>
          </w:cols>
          <w:pgMar w:left="580" w:top="132" w:right="1440" w:bottom="1440" w:gutter="0" w:footer="0" w:header="0"/>
        </w:sectPr>
      </w:pPr>
    </w:p>
    <w:p>
      <w:pPr>
        <w:spacing w:after="0" w:line="393"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19"/>
        <w:spacing w:after="0" w:line="277" w:lineRule="auto"/>
        <w:rPr>
          <w:sz w:val="20"/>
          <w:szCs w:val="20"/>
          <w:color w:val="auto"/>
        </w:rPr>
      </w:pPr>
      <w:r>
        <w:rPr>
          <w:rFonts w:ascii="Arial" w:cs="Arial" w:eastAsia="Arial" w:hAnsi="Arial"/>
          <w:sz w:val="18"/>
          <w:szCs w:val="18"/>
          <w:color w:val="auto"/>
        </w:rPr>
        <w:t>securities during the prior three-year period. References herein to “emerging growth company” shall have the meaning associated with it in the JOBS Act.</w:t>
      </w:r>
    </w:p>
    <w:p>
      <w:pPr>
        <w:spacing w:after="0" w:line="89" w:lineRule="exact"/>
        <w:rPr>
          <w:sz w:val="20"/>
          <w:szCs w:val="20"/>
          <w:color w:val="auto"/>
        </w:rPr>
      </w:pPr>
    </w:p>
    <w:p>
      <w:pPr>
        <w:ind w:left="1280" w:right="539" w:firstLine="360"/>
        <w:spacing w:after="0" w:line="268" w:lineRule="auto"/>
        <w:rPr>
          <w:sz w:val="20"/>
          <w:szCs w:val="20"/>
          <w:color w:val="auto"/>
        </w:rPr>
      </w:pPr>
      <w:r>
        <w:rPr>
          <w:rFonts w:ascii="Arial" w:cs="Arial" w:eastAsia="Arial" w:hAnsi="Arial"/>
          <w:sz w:val="17"/>
          <w:szCs w:val="17"/>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w:t>
      </w:r>
    </w:p>
    <w:p>
      <w:pPr>
        <w:spacing w:after="0" w:line="1" w:lineRule="exact"/>
        <w:rPr>
          <w:sz w:val="20"/>
          <w:szCs w:val="20"/>
          <w:color w:val="auto"/>
        </w:rPr>
      </w:pPr>
    </w:p>
    <w:p>
      <w:pPr>
        <w:ind w:left="1280" w:right="759"/>
        <w:spacing w:after="0" w:line="260" w:lineRule="auto"/>
        <w:rPr>
          <w:sz w:val="20"/>
          <w:szCs w:val="20"/>
          <w:color w:val="auto"/>
        </w:rPr>
      </w:pPr>
      <w:r>
        <w:rPr>
          <w:rFonts w:ascii="Arial" w:cs="Arial" w:eastAsia="Arial" w:hAnsi="Arial"/>
          <w:sz w:val="18"/>
          <w:szCs w:val="18"/>
          <w:color w:val="auto"/>
        </w:rPr>
        <w:t>$100 million during such completed fiscal year and the market value of our common stock held by non-affiliates exceeds $700 million as of the end of that year’s second fiscal quarter.</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On August 10, 2021, we effectuated a 1.1-for-1 stock split, resulting in an aggregate of 3,162,500 founder shares outstanding. Such number of shares includes an aggregate of up to 412,500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24"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founder shares are identical to the public shares. However, our initial stockholders have agreed</w:t>
      </w:r>
    </w:p>
    <w:p>
      <w:pPr>
        <w:spacing w:after="0" w:line="35" w:lineRule="exact"/>
        <w:rPr>
          <w:sz w:val="20"/>
          <w:szCs w:val="20"/>
          <w:color w:val="auto"/>
        </w:rPr>
      </w:pPr>
    </w:p>
    <w:p>
      <w:pPr>
        <w:ind w:left="1280" w:right="419" w:hanging="2"/>
        <w:spacing w:after="0" w:line="268" w:lineRule="auto"/>
        <w:tabs>
          <w:tab w:leader="none" w:pos="1549"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vote their founder shares in favor of any proposed business combination, (2)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12 months (or up to 18 months, as applicable) of the closing of this offering, unless we provide public stockholders an opportunity to redeem their public shares in conjunction with any such amendment, (3) not to redeem any shares, including any founder shares, into the right to receive cash from the trust account in connection with a stockholder vote to approve our proposed initial business combination, (4) not to sell any shares to us in any tender offer in connection with our proposed initial business combination, and (5) that the founder shares shall not participate in any liquidating distribution upon winding up if a business combination is not consummated.</w:t>
      </w:r>
    </w:p>
    <w:p>
      <w:pPr>
        <w:spacing w:after="0" w:line="98" w:lineRule="exact"/>
        <w:rPr>
          <w:sz w:val="20"/>
          <w:szCs w:val="20"/>
          <w:color w:val="auto"/>
        </w:rPr>
      </w:pPr>
    </w:p>
    <w:p>
      <w:pPr>
        <w:ind w:left="1280" w:right="419" w:firstLine="360"/>
        <w:spacing w:after="0" w:line="252" w:lineRule="auto"/>
        <w:rPr>
          <w:sz w:val="20"/>
          <w:szCs w:val="20"/>
          <w:color w:val="auto"/>
        </w:rPr>
      </w:pPr>
      <w:r>
        <w:rPr>
          <w:rFonts w:ascii="Arial" w:cs="Arial" w:eastAsia="Arial" w:hAnsi="Arial"/>
          <w:sz w:val="18"/>
          <w:szCs w:val="18"/>
          <w:color w:val="auto"/>
        </w:rPr>
        <w:t>On the date of this prospectus, the founder shares will be placed into an escrow account maintained by Continental Stock Transfer &amp; Trust Company acting as escrow agent.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w:t>
      </w:r>
    </w:p>
    <w:p>
      <w:pPr>
        <w:spacing w:after="0" w:line="133" w:lineRule="exact"/>
        <w:rPr>
          <w:sz w:val="20"/>
          <w:szCs w:val="20"/>
          <w:color w:val="auto"/>
        </w:rPr>
      </w:pPr>
    </w:p>
    <w:p>
      <w:pPr>
        <w:ind w:left="1280" w:right="419" w:firstLine="360"/>
        <w:spacing w:after="0" w:line="275" w:lineRule="auto"/>
        <w:rPr>
          <w:sz w:val="20"/>
          <w:szCs w:val="20"/>
          <w:color w:val="auto"/>
        </w:rPr>
      </w:pPr>
      <w:r>
        <w:rPr>
          <w:rFonts w:ascii="Arial" w:cs="Arial" w:eastAsia="Arial" w:hAnsi="Arial"/>
          <w:sz w:val="17"/>
          <w:szCs w:val="17"/>
          <w:color w:val="auto"/>
        </w:rPr>
        <w:t>In addition, Chardan NexTech 2 Warrant Holdings LLC, an affiliate of our sponsor, has committed to purchase 4,361,456 warrants (or up to 4,627,858 warrants depending on the extent to which the underwriters’ over-allotment option is exercised) at a price of approximately $0.93 per warrant ($4,052,000 (or up to $4,299,500 depending on the extent to which the underwriters’ over-allotment option is exercised)) in a private placement that will close simultaneously with the closing of this offering.</w:t>
      </w:r>
    </w:p>
    <w:p>
      <w:pPr>
        <w:spacing w:after="0" w:line="109" w:lineRule="exact"/>
        <w:rPr>
          <w:sz w:val="20"/>
          <w:szCs w:val="20"/>
          <w:color w:val="auto"/>
        </w:rPr>
      </w:pPr>
    </w:p>
    <w:p>
      <w:pPr>
        <w:ind w:left="1280" w:right="579" w:firstLine="360"/>
        <w:spacing w:after="0" w:line="286" w:lineRule="auto"/>
        <w:rPr>
          <w:sz w:val="20"/>
          <w:szCs w:val="20"/>
          <w:color w:val="auto"/>
        </w:rPr>
      </w:pPr>
      <w:r>
        <w:rPr>
          <w:rFonts w:ascii="Arial" w:cs="Arial" w:eastAsia="Arial" w:hAnsi="Arial"/>
          <w:sz w:val="17"/>
          <w:szCs w:val="17"/>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12 months (or up to 18 months,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1119"/>
        <w:spacing w:after="0" w:line="277" w:lineRule="auto"/>
        <w:rPr>
          <w:sz w:val="20"/>
          <w:szCs w:val="20"/>
          <w:color w:val="auto"/>
        </w:rPr>
      </w:pPr>
      <w:r>
        <w:rPr>
          <w:rFonts w:ascii="Arial" w:cs="Arial" w:eastAsia="Arial" w:hAnsi="Arial"/>
          <w:sz w:val="18"/>
          <w:szCs w:val="18"/>
          <w:color w:val="auto"/>
        </w:rPr>
        <w:t>as applicable), the proceeds from the sale of the private warrants will be included in the liquidating distribution to the holders of our public shares.</w:t>
      </w:r>
    </w:p>
    <w:p>
      <w:pPr>
        <w:spacing w:after="0" w:line="89" w:lineRule="exact"/>
        <w:rPr>
          <w:sz w:val="20"/>
          <w:szCs w:val="20"/>
          <w:color w:val="auto"/>
        </w:rPr>
      </w:pPr>
    </w:p>
    <w:p>
      <w:pPr>
        <w:ind w:left="1280" w:right="479" w:firstLine="360"/>
        <w:spacing w:after="0" w:line="253" w:lineRule="auto"/>
        <w:rPr>
          <w:sz w:val="20"/>
          <w:szCs w:val="20"/>
          <w:color w:val="auto"/>
        </w:rPr>
      </w:pPr>
      <w:r>
        <w:rPr>
          <w:rFonts w:ascii="Arial" w:cs="Arial" w:eastAsia="Arial" w:hAnsi="Arial"/>
          <w:sz w:val="18"/>
          <w:szCs w:val="18"/>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29" w:lineRule="exact"/>
        <w:rPr>
          <w:sz w:val="20"/>
          <w:szCs w:val="20"/>
          <w:color w:val="auto"/>
        </w:rPr>
      </w:pPr>
    </w:p>
    <w:p>
      <w:pPr>
        <w:ind w:left="1280" w:right="479" w:firstLine="360"/>
        <w:spacing w:after="0" w:line="259" w:lineRule="auto"/>
        <w:rPr>
          <w:sz w:val="20"/>
          <w:szCs w:val="20"/>
          <w:color w:val="auto"/>
        </w:rPr>
      </w:pPr>
      <w:r>
        <w:rPr>
          <w:rFonts w:ascii="Arial" w:cs="Arial" w:eastAsia="Arial" w:hAnsi="Arial"/>
          <w:sz w:val="18"/>
          <w:szCs w:val="18"/>
          <w:color w:val="auto"/>
        </w:rPr>
        <w:t>If public units or public shares are purchased by any of our directors, officers or initial stockholders, they will be entitled to funds from the trust account to the same extent as any other public stockholder upon our liquidation, but such directors, officers, or initial stockholders will not have redemption rights related thereto.</w:t>
      </w:r>
    </w:p>
    <w:p>
      <w:pPr>
        <w:spacing w:after="0" w:line="82" w:lineRule="exact"/>
        <w:rPr>
          <w:sz w:val="20"/>
          <w:szCs w:val="20"/>
          <w:color w:val="auto"/>
        </w:rPr>
      </w:pPr>
    </w:p>
    <w:p>
      <w:pPr>
        <w:ind w:left="1280" w:right="1179" w:firstLine="360"/>
        <w:spacing w:after="0" w:line="235" w:lineRule="auto"/>
        <w:rPr>
          <w:sz w:val="20"/>
          <w:szCs w:val="20"/>
          <w:color w:val="auto"/>
        </w:rPr>
      </w:pPr>
      <w:r>
        <w:rPr>
          <w:rFonts w:ascii="Arial" w:cs="Arial" w:eastAsia="Arial" w:hAnsi="Arial"/>
          <w:sz w:val="18"/>
          <w:szCs w:val="18"/>
          <w:color w:val="auto"/>
        </w:rPr>
        <w:t>Our executive offices are located at 17 State Street,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10004, and our telephone number is (646) 465-9000.</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499" w:firstLine="360"/>
        <w:spacing w:after="0" w:line="255" w:lineRule="auto"/>
        <w:rPr>
          <w:sz w:val="20"/>
          <w:szCs w:val="20"/>
          <w:color w:val="auto"/>
        </w:rPr>
      </w:pPr>
      <w:r>
        <w:rPr>
          <w:rFonts w:ascii="Arial" w:cs="Arial" w:eastAsia="Arial" w:hAnsi="Arial"/>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we are not conducting this offering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28 of this prospectus.</w:t>
      </w:r>
    </w:p>
    <w:p>
      <w:pPr>
        <w:spacing w:after="0" w:line="8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11,000,000 units, at $10.00 per unit, each unit consisting of one</w:t>
      </w:r>
    </w:p>
    <w:p>
      <w:pPr>
        <w:spacing w:after="0" w:line="27" w:lineRule="exact"/>
        <w:rPr>
          <w:sz w:val="20"/>
          <w:szCs w:val="20"/>
          <w:color w:val="auto"/>
        </w:rPr>
      </w:pPr>
    </w:p>
    <w:p>
      <w:pPr>
        <w:ind w:left="4300" w:right="619"/>
        <w:spacing w:after="0" w:line="253" w:lineRule="auto"/>
        <w:rPr>
          <w:sz w:val="20"/>
          <w:szCs w:val="20"/>
          <w:color w:val="auto"/>
        </w:rPr>
      </w:pPr>
      <w:r>
        <w:rPr>
          <w:rFonts w:ascii="Arial" w:cs="Arial" w:eastAsia="Arial" w:hAnsi="Arial"/>
          <w:sz w:val="18"/>
          <w:szCs w:val="18"/>
          <w:color w:val="auto"/>
        </w:rPr>
        <w:t>share of common stock and three-quarters of one warrant. Each whole warrant entitles the holder thereof to purchase one share of common stock at a price of $11.50, subject to adjustment as described in this prospectus.</w:t>
      </w:r>
    </w:p>
    <w:p>
      <w:pPr>
        <w:spacing w:after="0" w:line="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Listing of our securities and</w:t>
      </w:r>
    </w:p>
    <w:p>
      <w:pPr>
        <w:spacing w:after="0" w:line="27"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7"/>
          <w:szCs w:val="17"/>
          <w:b w:val="1"/>
          <w:bCs w:val="1"/>
          <w:color w:val="auto"/>
        </w:rPr>
        <w:t>symbols</w:t>
      </w:r>
      <w:r>
        <w:rPr>
          <w:sz w:val="20"/>
          <w:szCs w:val="20"/>
          <w:color w:val="auto"/>
        </w:rPr>
        <w:tab/>
      </w:r>
      <w:r>
        <w:rPr>
          <w:rFonts w:ascii="Arial" w:cs="Arial" w:eastAsia="Arial" w:hAnsi="Arial"/>
          <w:sz w:val="17"/>
          <w:szCs w:val="17"/>
          <w:color w:val="auto"/>
        </w:rPr>
        <w:t>Our units have been approved for listing on the Nasdaq under the</w:t>
      </w:r>
    </w:p>
    <w:p>
      <w:pPr>
        <w:spacing w:after="0" w:line="21" w:lineRule="exact"/>
        <w:rPr>
          <w:sz w:val="20"/>
          <w:szCs w:val="20"/>
          <w:color w:val="auto"/>
        </w:rPr>
      </w:pPr>
    </w:p>
    <w:p>
      <w:pPr>
        <w:ind w:left="4300" w:right="519"/>
        <w:spacing w:after="0" w:line="273" w:lineRule="auto"/>
        <w:rPr>
          <w:sz w:val="20"/>
          <w:szCs w:val="20"/>
          <w:color w:val="auto"/>
        </w:rPr>
      </w:pPr>
      <w:r>
        <w:rPr>
          <w:rFonts w:ascii="Arial" w:cs="Arial" w:eastAsia="Arial" w:hAnsi="Arial"/>
          <w:sz w:val="17"/>
          <w:szCs w:val="17"/>
          <w:color w:val="auto"/>
        </w:rPr>
        <w:t>symbol “CNTQU” on or promptly after the date of this prospectus. We anticipate the shares of common stock and the warrants, once they begin separate trading, will be listed on the Nasdaq under the symbols “CNTQ,” and “CNTQW,” respectively.</w:t>
      </w:r>
    </w:p>
    <w:p>
      <w:pPr>
        <w:spacing w:after="0" w:line="9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Each of the shares of common stock and warrants may trade</w:t>
      </w:r>
    </w:p>
    <w:p>
      <w:pPr>
        <w:ind w:left="4300"/>
        <w:spacing w:after="0" w:line="225" w:lineRule="auto"/>
        <w:rPr>
          <w:sz w:val="20"/>
          <w:szCs w:val="20"/>
          <w:color w:val="auto"/>
        </w:rPr>
      </w:pPr>
      <w:r>
        <w:rPr>
          <w:rFonts w:ascii="Arial" w:cs="Arial" w:eastAsia="Arial" w:hAnsi="Arial"/>
          <w:sz w:val="17"/>
          <w:szCs w:val="17"/>
          <w:color w:val="auto"/>
        </w:rPr>
        <w:t>separately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 unless</w:t>
      </w:r>
    </w:p>
    <w:p>
      <w:pPr>
        <w:spacing w:after="0" w:line="1" w:lineRule="exact"/>
        <w:rPr>
          <w:sz w:val="20"/>
          <w:szCs w:val="20"/>
          <w:color w:val="auto"/>
        </w:rPr>
      </w:pPr>
    </w:p>
    <w:p>
      <w:pPr>
        <w:ind w:left="4300" w:right="579"/>
        <w:spacing w:after="0" w:line="251" w:lineRule="auto"/>
        <w:rPr>
          <w:sz w:val="20"/>
          <w:szCs w:val="20"/>
          <w:color w:val="auto"/>
        </w:rPr>
      </w:pPr>
      <w:r>
        <w:rPr>
          <w:rFonts w:ascii="Arial" w:cs="Arial" w:eastAsia="Arial" w:hAnsi="Arial"/>
          <w:sz w:val="18"/>
          <w:szCs w:val="18"/>
          <w:color w:val="auto"/>
        </w:rPr>
        <w:t>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115" w:lineRule="exact"/>
        <w:rPr>
          <w:sz w:val="20"/>
          <w:szCs w:val="20"/>
          <w:color w:val="auto"/>
        </w:rPr>
      </w:pPr>
    </w:p>
    <w:p>
      <w:pPr>
        <w:ind w:left="4300" w:right="499"/>
        <w:spacing w:after="0" w:line="255" w:lineRule="auto"/>
        <w:rPr>
          <w:sz w:val="20"/>
          <w:szCs w:val="20"/>
          <w:color w:val="auto"/>
        </w:rPr>
      </w:pPr>
      <w:r>
        <w:rPr>
          <w:rFonts w:ascii="Arial" w:cs="Arial" w:eastAsia="Arial" w:hAnsi="Arial"/>
          <w:sz w:val="18"/>
          <w:szCs w:val="18"/>
          <w:color w:val="auto"/>
        </w:rPr>
        <w:t>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separately trading shares of common stock and warrants.</w:t>
      </w:r>
    </w:p>
    <w:p>
      <w:pPr>
        <w:spacing w:after="0" w:line="125" w:lineRule="exact"/>
        <w:rPr>
          <w:sz w:val="20"/>
          <w:szCs w:val="20"/>
          <w:color w:val="auto"/>
        </w:rPr>
      </w:pPr>
    </w:p>
    <w:p>
      <w:pPr>
        <w:ind w:left="4300" w:right="459"/>
        <w:spacing w:after="0" w:line="266"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Current Report on Form 8-K or a new Current Report on Form 8-K to provide updated financial information to reflect the exercise of the over-allotment option. We will also include in the Current Report on Form 8-K, or amendment thereto, or in a subsequent Current Report on Form 8-K, information indicating if Chardan has allowed separate trading of the shares of common stock and warrants prior to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Shares of common stock:</w:t>
      </w:r>
    </w:p>
    <w:p>
      <w:pPr>
        <w:spacing w:after="0" w:line="117" w:lineRule="exact"/>
        <w:rPr>
          <w:sz w:val="20"/>
          <w:szCs w:val="20"/>
          <w:color w:val="auto"/>
        </w:rPr>
      </w:pPr>
    </w:p>
    <w:p>
      <w:pPr>
        <w:ind w:left="1460" w:right="40" w:hanging="179"/>
        <w:spacing w:after="0" w:line="366" w:lineRule="auto"/>
        <w:rPr>
          <w:sz w:val="20"/>
          <w:szCs w:val="20"/>
          <w:color w:val="auto"/>
        </w:rPr>
      </w:pPr>
      <w:r>
        <w:rPr>
          <w:rFonts w:ascii="Arial" w:cs="Arial" w:eastAsia="Arial" w:hAnsi="Arial"/>
          <w:sz w:val="15"/>
          <w:szCs w:val="15"/>
          <w:b w:val="1"/>
          <w:bCs w:val="1"/>
          <w:color w:val="auto"/>
        </w:rPr>
        <w:t>Number issued and outstanding before this offering</w:t>
      </w:r>
    </w:p>
    <w:p>
      <w:pPr>
        <w:ind w:left="1280"/>
        <w:spacing w:after="0"/>
        <w:rPr>
          <w:sz w:val="20"/>
          <w:szCs w:val="20"/>
          <w:color w:val="auto"/>
        </w:rPr>
      </w:pPr>
      <w:r>
        <w:rPr>
          <w:rFonts w:ascii="Arial" w:cs="Arial" w:eastAsia="Arial" w:hAnsi="Arial"/>
          <w:sz w:val="18"/>
          <w:szCs w:val="18"/>
          <w:b w:val="1"/>
          <w:bCs w:val="1"/>
          <w:color w:val="auto"/>
        </w:rPr>
        <w:t>Number to be issued and</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outstanding after this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offering</w:t>
      </w:r>
    </w:p>
    <w:p>
      <w:pPr>
        <w:spacing w:after="0" w:line="11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Redeemable Warrants:</w:t>
      </w:r>
    </w:p>
    <w:p>
      <w:pPr>
        <w:spacing w:after="0" w:line="117" w:lineRule="exact"/>
        <w:rPr>
          <w:sz w:val="20"/>
          <w:szCs w:val="20"/>
          <w:color w:val="auto"/>
        </w:rPr>
      </w:pPr>
    </w:p>
    <w:p>
      <w:pPr>
        <w:ind w:left="1460" w:right="40" w:hanging="179"/>
        <w:spacing w:after="0" w:line="375" w:lineRule="auto"/>
        <w:rPr>
          <w:sz w:val="20"/>
          <w:szCs w:val="20"/>
          <w:color w:val="auto"/>
        </w:rPr>
      </w:pPr>
      <w:r>
        <w:rPr>
          <w:rFonts w:ascii="Arial" w:cs="Arial" w:eastAsia="Arial" w:hAnsi="Arial"/>
          <w:sz w:val="15"/>
          <w:szCs w:val="15"/>
          <w:b w:val="1"/>
          <w:bCs w:val="1"/>
          <w:color w:val="auto"/>
        </w:rPr>
        <w:t>Number issued and outstanding before this offering</w:t>
      </w:r>
    </w:p>
    <w:p>
      <w:pPr>
        <w:spacing w:after="0" w:line="1" w:lineRule="exact"/>
        <w:rPr>
          <w:sz w:val="20"/>
          <w:szCs w:val="20"/>
          <w:color w:val="auto"/>
        </w:rPr>
      </w:pPr>
    </w:p>
    <w:p>
      <w:pPr>
        <w:ind w:left="1460" w:hanging="179"/>
        <w:spacing w:after="0" w:line="245" w:lineRule="auto"/>
        <w:rPr>
          <w:sz w:val="20"/>
          <w:szCs w:val="20"/>
          <w:color w:val="auto"/>
        </w:rPr>
      </w:pPr>
      <w:r>
        <w:rPr>
          <w:rFonts w:ascii="Arial" w:cs="Arial" w:eastAsia="Arial" w:hAnsi="Arial"/>
          <w:sz w:val="18"/>
          <w:szCs w:val="18"/>
          <w:b w:val="1"/>
          <w:bCs w:val="1"/>
          <w:color w:val="auto"/>
        </w:rPr>
        <w:t>Number to be issued and outstanding after this offering and sale of private warrants</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3,162,500 shares</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13,750,000 shares</w:t>
      </w:r>
      <w:r>
        <w:rPr>
          <w:rFonts w:ascii="Arial" w:cs="Arial" w:eastAsia="Arial" w:hAnsi="Arial"/>
          <w:sz w:val="26"/>
          <w:szCs w:val="26"/>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8,250,000 public warrants and 4,361,456 private warrants</w:t>
      </w:r>
      <w:r>
        <w:rPr>
          <w:rFonts w:ascii="Arial" w:cs="Arial" w:eastAsia="Arial" w:hAnsi="Arial"/>
          <w:sz w:val="26"/>
          <w:szCs w:val="26"/>
          <w:color w:val="auto"/>
          <w:vertAlign w:val="superscript"/>
        </w:rPr>
        <w:t>(3)</w:t>
      </w:r>
    </w:p>
    <w:p>
      <w:pPr>
        <w:spacing w:after="0" w:line="75" w:lineRule="exact"/>
        <w:rPr>
          <w:sz w:val="20"/>
          <w:szCs w:val="20"/>
          <w:color w:val="auto"/>
        </w:rPr>
      </w:pPr>
    </w:p>
    <w:p>
      <w:pPr>
        <w:ind w:right="439"/>
        <w:spacing w:after="0" w:line="270" w:lineRule="auto"/>
        <w:rPr>
          <w:sz w:val="20"/>
          <w:szCs w:val="20"/>
          <w:color w:val="auto"/>
        </w:rPr>
      </w:pPr>
      <w:r>
        <w:rPr>
          <w:rFonts w:ascii="Arial" w:cs="Arial" w:eastAsia="Arial" w:hAnsi="Arial"/>
          <w:sz w:val="17"/>
          <w:szCs w:val="17"/>
          <w:color w:val="auto"/>
        </w:rPr>
        <w:t>Each unit contains three-quarters of one redeemable public warrant. Each whole redeemable public warrant entitles the holder thereof to purchase one share of common stock, and each private warrant entitles the holder thereof to purchase one share of common stock. Only whole warrants are exercisable.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$11.50 per share</w:t>
      </w:r>
    </w:p>
    <w:p>
      <w:pPr>
        <w:spacing w:after="0" w:line="144" w:lineRule="exact"/>
        <w:rPr>
          <w:sz w:val="20"/>
          <w:szCs w:val="20"/>
          <w:color w:val="auto"/>
        </w:rPr>
      </w:pPr>
    </w:p>
    <w:p>
      <w:pPr>
        <w:sectPr>
          <w:pgSz w:w="11900" w:h="16838" w:orient="portrait"/>
          <w:cols w:equalWidth="0" w:num="2">
            <w:col w:w="3660" w:space="640"/>
            <w:col w:w="5579"/>
          </w:cols>
          <w:pgMar w:left="580" w:top="132" w:right="1440" w:bottom="1440" w:gutter="0" w:footer="0" w:header="0"/>
          <w:type w:val="continuous"/>
        </w:sectPr>
      </w:pPr>
    </w:p>
    <w:p>
      <w:pPr>
        <w:ind w:left="4300" w:right="419"/>
        <w:spacing w:after="0" w:line="251"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shares during the 20 trading day period starting on the trading</w:t>
      </w:r>
    </w:p>
    <w:p>
      <w:pPr>
        <w:spacing w:after="0" w:line="206" w:lineRule="exact"/>
        <w:rPr>
          <w:sz w:val="20"/>
          <w:szCs w:val="20"/>
          <w:color w:val="auto"/>
        </w:rPr>
      </w:pPr>
    </w:p>
    <w:p>
      <w:pPr>
        <w:ind w:left="1640" w:right="419" w:hanging="362"/>
        <w:spacing w:after="0" w:line="306" w:lineRule="auto"/>
        <w:tabs>
          <w:tab w:leader="none" w:pos="1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number includes an aggregate of up to 412,500 founder shares held by our initial stockholders that are subject to forfeiture if the over-allotment option is not fully exercised by the underwriters.</w:t>
      </w:r>
    </w:p>
    <w:p>
      <w:pPr>
        <w:spacing w:after="0" w:line="1" w:lineRule="exact"/>
        <w:rPr>
          <w:rFonts w:ascii="Arial" w:cs="Arial" w:eastAsia="Arial" w:hAnsi="Arial"/>
          <w:sz w:val="17"/>
          <w:szCs w:val="17"/>
          <w:color w:val="auto"/>
        </w:rPr>
      </w:pPr>
    </w:p>
    <w:p>
      <w:pPr>
        <w:ind w:left="1640" w:right="519" w:hanging="362"/>
        <w:spacing w:after="0" w:line="286" w:lineRule="auto"/>
        <w:tabs>
          <w:tab w:leader="none" w:pos="1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412,500 founder shares held by our initial stockholders have been forfeited. If the over-allotment option is exercised in full, there will be a total of 15,812,500 shares of common stock issued and outstanding.</w:t>
      </w:r>
    </w:p>
    <w:p>
      <w:pPr>
        <w:spacing w:after="0" w:line="16" w:lineRule="exact"/>
        <w:rPr>
          <w:rFonts w:ascii="Arial" w:cs="Arial" w:eastAsia="Arial" w:hAnsi="Arial"/>
          <w:sz w:val="17"/>
          <w:szCs w:val="17"/>
          <w:color w:val="auto"/>
        </w:rPr>
      </w:pPr>
    </w:p>
    <w:p>
      <w:pPr>
        <w:ind w:left="1640" w:right="539" w:hanging="362"/>
        <w:spacing w:after="0" w:line="263"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If the over-allotment option is exercised in full, there will be a total of 9,487,500 public warrants and 4,627,858 private warrants issued and outstanding.</w:t>
      </w:r>
    </w:p>
    <w:p>
      <w:pPr>
        <w:sectPr>
          <w:pgSz w:w="11900" w:h="16838" w:orient="portrait"/>
          <w:cols w:equalWidth="0" w:num="1">
            <w:col w:w="98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53" w:lineRule="auto"/>
        <w:rPr>
          <w:sz w:val="20"/>
          <w:szCs w:val="20"/>
          <w:color w:val="auto"/>
        </w:rPr>
      </w:pPr>
      <w:r>
        <w:rPr>
          <w:rFonts w:ascii="Arial" w:cs="Arial" w:eastAsia="Arial" w:hAnsi="Arial"/>
          <w:sz w:val="17"/>
          <w:szCs w:val="17"/>
          <w:color w:val="auto"/>
        </w:rPr>
        <w:t>day prior to the day on which we consummate our initial business combination (such price, the “Market Value”) is below $9.20 per share, the exercise price of each warrant will be adjusted (to the nearest cent) such that the effective exercise price per full share will be equal to 115% of the higher of (i) the Market Value and (ii) the Newly Issued Price, and the $16.00 per share redemption trigger price described below under “Redemption” will be adjusted (to the nearest cent) to be equal to 160% of the higher of (i) the Market Value and (ii) the Newly Issued Price.</w:t>
      </w:r>
    </w:p>
    <w:p>
      <w:pPr>
        <w:spacing w:after="0" w:line="10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No public warrants will be exercisable for cash unless we have an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effective and current registration statement covering the shares of</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common stock issuable upon exercise of the public warrants and a</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current prospectus relating to such shares of common stock. It is our</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current intention to have an effective and current registration</w:t>
      </w:r>
    </w:p>
    <w:p>
      <w:pPr>
        <w:ind w:left="4300"/>
        <w:spacing w:after="0" w:line="234" w:lineRule="auto"/>
        <w:rPr>
          <w:sz w:val="20"/>
          <w:szCs w:val="20"/>
          <w:color w:val="auto"/>
        </w:rPr>
      </w:pPr>
      <w:r>
        <w:rPr>
          <w:rFonts w:ascii="Arial" w:cs="Arial" w:eastAsia="Arial" w:hAnsi="Arial"/>
          <w:sz w:val="18"/>
          <w:szCs w:val="18"/>
          <w:color w:val="auto"/>
        </w:rPr>
        <w:t>statement covering the shares of common stock issuable upon</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exercise of the public warrants and a current prospectus relating to</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such shares of common stock in effect promptly following</w:t>
      </w:r>
    </w:p>
    <w:p>
      <w:pPr>
        <w:ind w:left="4300"/>
        <w:spacing w:after="0"/>
        <w:rPr>
          <w:sz w:val="20"/>
          <w:szCs w:val="20"/>
          <w:color w:val="auto"/>
        </w:rPr>
      </w:pPr>
      <w:r>
        <w:rPr>
          <w:rFonts w:ascii="Arial" w:cs="Arial" w:eastAsia="Arial" w:hAnsi="Arial"/>
          <w:sz w:val="17"/>
          <w:szCs w:val="17"/>
          <w:color w:val="auto"/>
        </w:rPr>
        <w:t>consummation of an initial business combination. Notwithstanding</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foregoing, if a registration statement covering the shares of</w:t>
      </w:r>
    </w:p>
    <w:p>
      <w:pPr>
        <w:ind w:left="4300"/>
        <w:spacing w:after="0"/>
        <w:rPr>
          <w:sz w:val="20"/>
          <w:szCs w:val="20"/>
          <w:color w:val="auto"/>
        </w:rPr>
      </w:pPr>
      <w:r>
        <w:rPr>
          <w:rFonts w:ascii="Arial" w:cs="Arial" w:eastAsia="Arial" w:hAnsi="Arial"/>
          <w:sz w:val="17"/>
          <w:szCs w:val="17"/>
          <w:color w:val="auto"/>
        </w:rPr>
        <w:t>common stock issuable upon exercise of the public warrants is not</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effective within 120 days following the consummation of our initial</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business combination, public warrant holders may, until such time</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as there is an effective registration statement and during any period</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when we shall have failed to maintain an effective registration</w:t>
      </w:r>
    </w:p>
    <w:p>
      <w:pPr>
        <w:ind w:left="4300"/>
        <w:spacing w:after="0" w:line="234" w:lineRule="auto"/>
        <w:rPr>
          <w:sz w:val="20"/>
          <w:szCs w:val="20"/>
          <w:color w:val="auto"/>
        </w:rPr>
      </w:pPr>
      <w:r>
        <w:rPr>
          <w:rFonts w:ascii="Arial" w:cs="Arial" w:eastAsia="Arial" w:hAnsi="Arial"/>
          <w:sz w:val="18"/>
          <w:szCs w:val="18"/>
          <w:color w:val="auto"/>
        </w:rPr>
        <w:t>statement, exercise warrants on a cashless basis pursuant to an</w:t>
      </w:r>
    </w:p>
    <w:p>
      <w:pPr>
        <w:ind w:left="4300"/>
        <w:spacing w:after="0" w:line="235" w:lineRule="auto"/>
        <w:rPr>
          <w:sz w:val="20"/>
          <w:szCs w:val="20"/>
          <w:color w:val="auto"/>
        </w:rPr>
      </w:pPr>
      <w:r>
        <w:rPr>
          <w:rFonts w:ascii="Arial" w:cs="Arial" w:eastAsia="Arial" w:hAnsi="Arial"/>
          <w:sz w:val="18"/>
          <w:szCs w:val="18"/>
          <w:color w:val="auto"/>
        </w:rPr>
        <w:t>available exemption from registration under the Securities Act. In</w:t>
      </w:r>
    </w:p>
    <w:p>
      <w:pPr>
        <w:ind w:left="4300"/>
        <w:spacing w:after="0" w:line="235" w:lineRule="auto"/>
        <w:rPr>
          <w:sz w:val="20"/>
          <w:szCs w:val="20"/>
          <w:color w:val="auto"/>
        </w:rPr>
      </w:pPr>
      <w:r>
        <w:rPr>
          <w:rFonts w:ascii="Arial" w:cs="Arial" w:eastAsia="Arial" w:hAnsi="Arial"/>
          <w:sz w:val="18"/>
          <w:szCs w:val="18"/>
          <w:color w:val="auto"/>
        </w:rPr>
        <w:t>such event, each holder would pay the exercise price by</w:t>
      </w:r>
    </w:p>
    <w:p>
      <w:pPr>
        <w:ind w:left="4300"/>
        <w:spacing w:after="0"/>
        <w:rPr>
          <w:sz w:val="20"/>
          <w:szCs w:val="20"/>
          <w:color w:val="auto"/>
        </w:rPr>
      </w:pPr>
      <w:r>
        <w:rPr>
          <w:rFonts w:ascii="Arial" w:cs="Arial" w:eastAsia="Arial" w:hAnsi="Arial"/>
          <w:sz w:val="17"/>
          <w:szCs w:val="17"/>
          <w:color w:val="auto"/>
        </w:rPr>
        <w:t>surrendering the whole public warrants for that number of shares of</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common stock equal to the quotient obtained by dividing (x) the</w:t>
      </w:r>
    </w:p>
    <w:p>
      <w:pPr>
        <w:ind w:left="4300"/>
        <w:spacing w:after="0" w:line="234" w:lineRule="auto"/>
        <w:rPr>
          <w:sz w:val="20"/>
          <w:szCs w:val="20"/>
          <w:color w:val="auto"/>
        </w:rPr>
      </w:pPr>
      <w:r>
        <w:rPr>
          <w:rFonts w:ascii="Arial" w:cs="Arial" w:eastAsia="Arial" w:hAnsi="Arial"/>
          <w:sz w:val="18"/>
          <w:szCs w:val="18"/>
          <w:color w:val="auto"/>
        </w:rPr>
        <w:t>product of the number of shares of common stock underlying the</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public warrants, multiplied by the difference between the exercise</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price of the public warrants and the “fair market value” (defined</w:t>
      </w:r>
    </w:p>
    <w:p>
      <w:pPr>
        <w:ind w:left="4300"/>
        <w:spacing w:after="0" w:line="234" w:lineRule="auto"/>
        <w:rPr>
          <w:sz w:val="20"/>
          <w:szCs w:val="20"/>
          <w:color w:val="auto"/>
        </w:rPr>
      </w:pPr>
      <w:r>
        <w:rPr>
          <w:rFonts w:ascii="Arial" w:cs="Arial" w:eastAsia="Arial" w:hAnsi="Arial"/>
          <w:sz w:val="18"/>
          <w:szCs w:val="18"/>
          <w:color w:val="auto"/>
        </w:rPr>
        <w:t>below) by (y) the fair market value. The “fair market value” shall</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mean the average last reported sale price of the shares of common</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stock for the 10 trading days ending on the day prior to the date of</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exercise. For example, if a holder held 300 warrants to purchase 300</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shares and the fair market value on the date prior to exercise was</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$15.00, that holder would receive 70 shares without the payment of</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any additional cash consideration.</w:t>
      </w:r>
    </w:p>
    <w:p>
      <w:pPr>
        <w:spacing w:after="0" w:line="84" w:lineRule="exact"/>
        <w:rPr>
          <w:sz w:val="20"/>
          <w:szCs w:val="20"/>
          <w:color w:val="auto"/>
        </w:rPr>
      </w:pPr>
    </w:p>
    <w:p>
      <w:pPr>
        <w:ind w:left="4300" w:right="459" w:hanging="3023"/>
        <w:spacing w:after="0" w:line="269" w:lineRule="auto"/>
        <w:tabs>
          <w:tab w:leader="none" w:pos="4280" w:val="left"/>
        </w:tabs>
        <w:rPr>
          <w:sz w:val="20"/>
          <w:szCs w:val="20"/>
          <w:color w:val="auto"/>
        </w:rPr>
      </w:pPr>
      <w:r>
        <w:rPr>
          <w:rFonts w:ascii="Arial" w:cs="Arial" w:eastAsia="Arial" w:hAnsi="Arial"/>
          <w:sz w:val="18"/>
          <w:szCs w:val="18"/>
          <w:b w:val="1"/>
          <w:bCs w:val="1"/>
          <w:color w:val="auto"/>
        </w:rPr>
        <w:t>Exercise period</w:t>
      </w:r>
      <w:r>
        <w:rPr>
          <w:sz w:val="20"/>
          <w:szCs w:val="20"/>
          <w:color w:val="auto"/>
        </w:rPr>
        <w:tab/>
      </w:r>
      <w:r>
        <w:rPr>
          <w:rFonts w:ascii="Arial" w:cs="Arial" w:eastAsia="Arial" w:hAnsi="Arial"/>
          <w:sz w:val="17"/>
          <w:szCs w:val="17"/>
          <w:color w:val="auto"/>
        </w:rPr>
        <w:t>The warrants will become exercisable 30 days after the consummation of an initial business combination. The warrants will expire at 5:00 p.m., New York City time, on the fifth anniversary of our completion of an initial business combination, or earlier upon redemption. The private warrants purchased by Chardan NexTech 2 Warrant Holdings LLC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77" w:lineRule="exact"/>
        <w:rPr>
          <w:sz w:val="20"/>
          <w:szCs w:val="20"/>
          <w:color w:val="auto"/>
        </w:rPr>
      </w:pPr>
    </w:p>
    <w:p>
      <w:pPr>
        <w:ind w:left="4300" w:right="539" w:hanging="3019"/>
        <w:spacing w:after="0" w:line="308" w:lineRule="auto"/>
        <w:tabs>
          <w:tab w:leader="none" w:pos="4280" w:val="left"/>
        </w:tabs>
        <w:rPr>
          <w:sz w:val="20"/>
          <w:szCs w:val="20"/>
          <w:color w:val="auto"/>
        </w:rPr>
      </w:pPr>
      <w:r>
        <w:rPr>
          <w:rFonts w:ascii="Arial" w:cs="Arial" w:eastAsia="Arial" w:hAnsi="Arial"/>
          <w:sz w:val="17"/>
          <w:szCs w:val="17"/>
          <w:b w:val="1"/>
          <w:bCs w:val="1"/>
          <w:color w:val="auto"/>
        </w:rPr>
        <w:t>Redemption</w:t>
      </w:r>
      <w:r>
        <w:rPr>
          <w:sz w:val="20"/>
          <w:szCs w:val="20"/>
          <w:color w:val="auto"/>
        </w:rPr>
        <w:tab/>
      </w:r>
      <w:r>
        <w:rPr>
          <w:rFonts w:ascii="Arial" w:cs="Arial" w:eastAsia="Arial" w:hAnsi="Arial"/>
          <w:sz w:val="17"/>
          <w:szCs w:val="17"/>
          <w:color w:val="auto"/>
        </w:rPr>
        <w:t>We may redeem the outstanding warrants (excluding the private warrants), in whole and not in part, at a price of $0.01 per warrant:</w:t>
      </w:r>
    </w:p>
    <w:p>
      <w:pPr>
        <w:spacing w:after="0" w:line="83" w:lineRule="exact"/>
        <w:rPr>
          <w:sz w:val="20"/>
          <w:szCs w:val="20"/>
          <w:color w:val="auto"/>
        </w:rPr>
      </w:pPr>
    </w:p>
    <w:p>
      <w:pPr>
        <w:ind w:left="5020" w:hanging="358"/>
        <w:spacing w:after="0"/>
        <w:tabs>
          <w:tab w:leader="none" w:pos="5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144" w:lineRule="exact"/>
        <w:rPr>
          <w:rFonts w:ascii="Arial" w:cs="Arial" w:eastAsia="Arial" w:hAnsi="Arial"/>
          <w:sz w:val="18"/>
          <w:szCs w:val="18"/>
          <w:color w:val="auto"/>
        </w:rPr>
      </w:pPr>
    </w:p>
    <w:p>
      <w:pPr>
        <w:ind w:left="5020" w:right="959" w:hanging="358"/>
        <w:spacing w:after="0" w:line="277" w:lineRule="auto"/>
        <w:tabs>
          <w:tab w:leader="none" w:pos="5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20" w:right="439" w:hanging="358"/>
        <w:spacing w:after="0" w:line="279" w:lineRule="auto"/>
        <w:tabs>
          <w:tab w:leader="none" w:pos="5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and only if, the last sales price of our common stock equals or exceeds $16.00 per share for any 10 trading days within a 30-trading day period ending three business days before we send the notice of redemption; and</w:t>
      </w:r>
    </w:p>
    <w:p>
      <w:pPr>
        <w:spacing w:after="0" w:line="90" w:lineRule="exact"/>
        <w:rPr>
          <w:rFonts w:ascii="Arial" w:cs="Arial" w:eastAsia="Arial" w:hAnsi="Arial"/>
          <w:sz w:val="17"/>
          <w:szCs w:val="17"/>
          <w:color w:val="auto"/>
        </w:rPr>
      </w:pPr>
    </w:p>
    <w:p>
      <w:pPr>
        <w:ind w:left="5020" w:right="519" w:hanging="358"/>
        <w:spacing w:after="0" w:line="255" w:lineRule="auto"/>
        <w:tabs>
          <w:tab w:leader="none" w:pos="5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60" w:right="40" w:hanging="179"/>
        <w:spacing w:after="0" w:line="282" w:lineRule="auto"/>
        <w:rPr>
          <w:sz w:val="20"/>
          <w:szCs w:val="20"/>
          <w:color w:val="auto"/>
        </w:rPr>
      </w:pPr>
      <w:r>
        <w:rPr>
          <w:rFonts w:ascii="Arial" w:cs="Arial" w:eastAsia="Arial" w:hAnsi="Arial"/>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499"/>
        <w:spacing w:after="0"/>
        <w:rPr>
          <w:sz w:val="20"/>
          <w:szCs w:val="20"/>
          <w:color w:val="auto"/>
        </w:rPr>
      </w:pPr>
      <w:r>
        <w:rPr>
          <w:rFonts w:ascii="Arial" w:cs="Arial" w:eastAsia="Arial" w:hAnsi="Arial"/>
          <w:sz w:val="18"/>
          <w:szCs w:val="18"/>
          <w:color w:val="auto"/>
        </w:rPr>
        <w:t>If the foregoing conditions are satisfied and we issue a notice of redemption, each warrant holder can exercise his, her or its warrant prior to the scheduled redemption date. However, the price of our common stock may fall below the $16.00 trigger price, as well as the $11.50 warrant exercise price after the redemption notice is issued.</w:t>
      </w:r>
    </w:p>
    <w:p>
      <w:pPr>
        <w:spacing w:after="0" w:line="108" w:lineRule="exact"/>
        <w:rPr>
          <w:sz w:val="20"/>
          <w:szCs w:val="20"/>
          <w:color w:val="auto"/>
        </w:rPr>
      </w:pPr>
    </w:p>
    <w:p>
      <w:pPr>
        <w:ind w:right="499"/>
        <w:spacing w:after="0" w:line="255" w:lineRule="auto"/>
        <w:rPr>
          <w:sz w:val="20"/>
          <w:szCs w:val="20"/>
          <w:color w:val="auto"/>
        </w:rPr>
      </w:pPr>
      <w:r>
        <w:rPr>
          <w:rFonts w:ascii="Arial" w:cs="Arial" w:eastAsia="Arial" w:hAnsi="Arial"/>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12" w:lineRule="exact"/>
        <w:rPr>
          <w:sz w:val="20"/>
          <w:szCs w:val="20"/>
          <w:color w:val="auto"/>
        </w:rPr>
      </w:pPr>
    </w:p>
    <w:p>
      <w:pPr>
        <w:ind w:right="399"/>
        <w:spacing w:after="0" w:line="25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last reported sale price of the shares of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289" w:lineRule="exact"/>
        <w:rPr>
          <w:sz w:val="20"/>
          <w:szCs w:val="20"/>
          <w:color w:val="auto"/>
        </w:rPr>
      </w:pPr>
    </w:p>
    <w:p>
      <w:pPr>
        <w:ind w:right="399"/>
        <w:spacing w:after="0" w:line="255" w:lineRule="auto"/>
        <w:rPr>
          <w:sz w:val="20"/>
          <w:szCs w:val="20"/>
          <w:color w:val="auto"/>
        </w:rPr>
      </w:pPr>
      <w:r>
        <w:rPr>
          <w:rFonts w:ascii="Arial" w:cs="Arial" w:eastAsia="Arial" w:hAnsi="Arial"/>
          <w:sz w:val="18"/>
          <w:szCs w:val="18"/>
          <w:color w:val="auto"/>
        </w:rPr>
        <w:t>$111,650,000 of the net proceeds of this offering and the private placement (or $128,397,500 if the over-allotment option is exercised in full), will be placed in a trust account at Morgan Stanley, maintained by Continental Stock Transfer &amp; Trust Company, acting as trustee pursuant to an agreement to be signed on the date of this prospectus.</w:t>
      </w:r>
    </w:p>
    <w:p>
      <w:pPr>
        <w:spacing w:after="0" w:line="125" w:lineRule="exact"/>
        <w:rPr>
          <w:sz w:val="20"/>
          <w:szCs w:val="20"/>
          <w:color w:val="auto"/>
        </w:rPr>
      </w:pPr>
    </w:p>
    <w:p>
      <w:pPr>
        <w:ind w:right="459"/>
        <w:spacing w:after="0"/>
        <w:rPr>
          <w:sz w:val="20"/>
          <w:szCs w:val="20"/>
          <w:color w:val="auto"/>
        </w:rPr>
      </w:pPr>
      <w:r>
        <w:rPr>
          <w:rFonts w:ascii="Arial" w:cs="Arial" w:eastAsia="Arial" w:hAnsi="Arial"/>
          <w:sz w:val="18"/>
          <w:szCs w:val="18"/>
          <w:color w:val="auto"/>
        </w:rPr>
        <w:t>Except as set forth below, the proceeds in the trust account will not be released until the earlier of: (1) the completion of an initial business combination within the required time period or (2) the redemption of 100% of the outstanding public shares if we have not completed a business combination in the required time period. Therefore,</w:t>
      </w:r>
    </w:p>
    <w:p>
      <w:pPr>
        <w:spacing w:after="0" w:line="200" w:lineRule="exact"/>
        <w:rPr>
          <w:sz w:val="20"/>
          <w:szCs w:val="20"/>
          <w:color w:val="auto"/>
        </w:rPr>
      </w:pPr>
    </w:p>
    <w:p>
      <w:pPr>
        <w:sectPr>
          <w:pgSz w:w="11900" w:h="16838" w:orient="portrait"/>
          <w:cols w:equalWidth="0" w:num="2">
            <w:col w:w="3580" w:space="720"/>
            <w:col w:w="5579"/>
          </w:cols>
          <w:pgMar w:left="580" w:top="131" w:right="1440" w:bottom="1440" w:gutter="0" w:footer="0" w:header="0"/>
          <w:type w:val="continuous"/>
        </w:sect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60" w:hanging="179"/>
        <w:spacing w:after="0" w:line="289"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99"/>
        <w:spacing w:after="0"/>
        <w:rPr>
          <w:sz w:val="20"/>
          <w:szCs w:val="20"/>
          <w:color w:val="auto"/>
        </w:rPr>
      </w:pPr>
      <w:r>
        <w:rPr>
          <w:rFonts w:ascii="Arial" w:cs="Arial" w:eastAsia="Arial" w:hAnsi="Arial"/>
          <w:sz w:val="18"/>
          <w:szCs w:val="18"/>
          <w:color w:val="auto"/>
        </w:rPr>
        <w:t>unless and until our initial business combination is consummated, the proceeds held in the trust account will not be available for our use for any expenses related to this offering or expenses that we may incur related to the investigation and selection of a target business and the negotiation of an agreement to acquire a target business.</w:t>
      </w:r>
    </w:p>
    <w:p>
      <w:pPr>
        <w:spacing w:after="0" w:line="108" w:lineRule="exact"/>
        <w:rPr>
          <w:sz w:val="20"/>
          <w:szCs w:val="20"/>
          <w:color w:val="auto"/>
        </w:rPr>
      </w:pPr>
    </w:p>
    <w:p>
      <w:pPr>
        <w:ind w:right="439"/>
        <w:spacing w:after="0" w:line="251" w:lineRule="auto"/>
        <w:rPr>
          <w:sz w:val="20"/>
          <w:szCs w:val="20"/>
          <w:color w:val="auto"/>
        </w:rPr>
      </w:pPr>
      <w:r>
        <w:rPr>
          <w:rFonts w:ascii="Arial" w:cs="Arial" w:eastAsia="Arial" w:hAnsi="Arial"/>
          <w:sz w:val="17"/>
          <w:szCs w:val="17"/>
          <w:color w:val="auto"/>
        </w:rPr>
        <w:t>Notwithstanding the foregoing, there can be released to us, from time to time, any interest earned on the funds in the trust account that we may need to pay our tax obligations. Unless and until we complete our initial business combination, no proceeds held in the trust account will be available for our use. The proceeds held in the trust account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$111,650 of interest annually assuming an interest rate of 0.1% per year; however, we can provide no assurances regarding this amount.</w:t>
      </w:r>
    </w:p>
    <w:p>
      <w:pPr>
        <w:spacing w:after="0" w:line="116" w:lineRule="exact"/>
        <w:rPr>
          <w:sz w:val="20"/>
          <w:szCs w:val="20"/>
          <w:color w:val="auto"/>
        </w:rPr>
      </w:pPr>
    </w:p>
    <w:p>
      <w:pPr>
        <w:ind w:right="419"/>
        <w:spacing w:after="0" w:line="252" w:lineRule="auto"/>
        <w:rPr>
          <w:sz w:val="20"/>
          <w:szCs w:val="20"/>
          <w:color w:val="auto"/>
        </w:rPr>
      </w:pPr>
      <w:r>
        <w:rPr>
          <w:rFonts w:ascii="Arial" w:cs="Arial" w:eastAsia="Arial" w:hAnsi="Arial"/>
          <w:sz w:val="17"/>
          <w:szCs w:val="17"/>
          <w:color w:val="auto"/>
        </w:rPr>
        <w:t xml:space="preserve">Unless and until we complete our initial business combination, expenses incurred by us may be paid prior to a business combination only from the net proceeds of this offering not held in the trust account of approximately $1,327,000;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w:t>
      </w:r>
    </w:p>
    <w:p>
      <w:pPr>
        <w:spacing w:after="0" w:line="200" w:lineRule="exact"/>
        <w:rPr>
          <w:sz w:val="20"/>
          <w:szCs w:val="20"/>
          <w:color w:val="auto"/>
        </w:rPr>
      </w:pPr>
    </w:p>
    <w:p>
      <w:pPr>
        <w:spacing w:after="0" w:line="307" w:lineRule="exact"/>
        <w:rPr>
          <w:sz w:val="20"/>
          <w:szCs w:val="20"/>
          <w:color w:val="auto"/>
        </w:rPr>
      </w:pPr>
    </w:p>
    <w:p>
      <w:pPr>
        <w:ind w:right="539"/>
        <w:spacing w:after="0" w:line="267"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We will use the remaining funds to pay all or a portion of the consideration payable to the target or owners of the target of our initial business combination and to pay other expenses associated with our initial business combination, including the fee payable to Chardan pursuant to the Business Combination Marketing Agreement</w:t>
      </w:r>
    </w:p>
    <w:p>
      <w:pPr>
        <w:spacing w:after="0" w:line="3" w:lineRule="exact"/>
        <w:rPr>
          <w:sz w:val="20"/>
          <w:szCs w:val="20"/>
          <w:color w:val="auto"/>
        </w:rPr>
      </w:pPr>
    </w:p>
    <w:p>
      <w:pPr>
        <w:ind w:right="659"/>
        <w:spacing w:after="0" w:line="265" w:lineRule="auto"/>
        <w:rPr>
          <w:sz w:val="20"/>
          <w:szCs w:val="20"/>
          <w:color w:val="auto"/>
        </w:rPr>
      </w:pPr>
      <w:r>
        <w:rPr>
          <w:rFonts w:ascii="Arial" w:cs="Arial" w:eastAsia="Arial" w:hAnsi="Arial"/>
          <w:sz w:val="17"/>
          <w:szCs w:val="17"/>
          <w:color w:val="auto"/>
        </w:rPr>
        <w:t>described under “</w:t>
      </w:r>
      <w:r>
        <w:rPr>
          <w:rFonts w:ascii="Arial" w:cs="Arial" w:eastAsia="Arial" w:hAnsi="Arial"/>
          <w:sz w:val="17"/>
          <w:szCs w:val="17"/>
          <w:i w:val="1"/>
          <w:iCs w:val="1"/>
          <w:color w:val="auto"/>
        </w:rPr>
        <w:t>Underwriting (Conflicts of Interest) —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Marketing Agreement</w:t>
      </w:r>
      <w:r>
        <w:rPr>
          <w:rFonts w:ascii="Arial" w:cs="Arial" w:eastAsia="Arial" w:hAnsi="Arial"/>
          <w:sz w:val="17"/>
          <w:szCs w:val="17"/>
          <w:color w:val="auto"/>
        </w:rPr>
        <w:t>,” which fee we refer to</w:t>
      </w:r>
    </w:p>
    <w:p>
      <w:pPr>
        <w:ind w:right="459"/>
        <w:spacing w:after="0" w:line="251" w:lineRule="auto"/>
        <w:rPr>
          <w:sz w:val="20"/>
          <w:szCs w:val="20"/>
          <w:color w:val="auto"/>
        </w:rPr>
      </w:pPr>
      <w:r>
        <w:rPr>
          <w:rFonts w:ascii="Arial" w:cs="Arial" w:eastAsia="Arial" w:hAnsi="Arial"/>
          <w:sz w:val="18"/>
          <w:szCs w:val="18"/>
          <w:color w:val="auto"/>
        </w:rPr>
        <w:t>throughout this prospectus as the Marketing Fee. If our initial business combination is paid for using equity or debt securities, or not all of the funds released from the trust account are used for payment of the consideration in connection with our initial business combination or used for redemptions of our common stock, we may apply the balance of the cash released to us from the trust account, as well as the proceeds from the sale of the private warrants described elsewhere in this prospectus, for general corporate purposes,</w:t>
      </w:r>
    </w:p>
    <w:p>
      <w:pPr>
        <w:spacing w:after="0" w:line="200" w:lineRule="exact"/>
        <w:rPr>
          <w:sz w:val="20"/>
          <w:szCs w:val="20"/>
          <w:color w:val="auto"/>
        </w:rPr>
      </w:pPr>
    </w:p>
    <w:p>
      <w:pPr>
        <w:sectPr>
          <w:pgSz w:w="11900" w:h="16838" w:orient="portrait"/>
          <w:cols w:equalWidth="0" w:num="2">
            <w:col w:w="3800" w:space="500"/>
            <w:col w:w="5579"/>
          </w:cols>
          <w:pgMar w:left="580" w:top="131" w:right="1440" w:bottom="1440" w:gutter="0" w:footer="0" w:header="0"/>
          <w:type w:val="continuous"/>
        </w:sectPr>
      </w:pP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599"/>
        <w:spacing w:after="0" w:line="257" w:lineRule="auto"/>
        <w:rPr>
          <w:sz w:val="20"/>
          <w:szCs w:val="20"/>
          <w:color w:val="auto"/>
        </w:rPr>
      </w:pPr>
      <w:r>
        <w:rPr>
          <w:rFonts w:ascii="Arial" w:cs="Arial" w:eastAsia="Arial" w:hAnsi="Arial"/>
          <w:sz w:val="18"/>
          <w:szCs w:val="18"/>
          <w:color w:val="auto"/>
        </w:rPr>
        <w:t>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76"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7"/>
          <w:szCs w:val="17"/>
          <w:color w:val="auto"/>
        </w:rPr>
        <w:t>Prior to the consummation of a business combination, there will be</w:t>
      </w:r>
    </w:p>
    <w:p>
      <w:pPr>
        <w:spacing w:after="0" w:line="27" w:lineRule="exact"/>
        <w:rPr>
          <w:sz w:val="20"/>
          <w:szCs w:val="20"/>
          <w:color w:val="auto"/>
        </w:rPr>
      </w:pPr>
    </w:p>
    <w:p>
      <w:pPr>
        <w:ind w:left="4300" w:right="399"/>
        <w:spacing w:after="0" w:line="253" w:lineRule="auto"/>
        <w:rPr>
          <w:sz w:val="20"/>
          <w:szCs w:val="20"/>
          <w:color w:val="auto"/>
        </w:rPr>
      </w:pPr>
      <w:r>
        <w:rPr>
          <w:rFonts w:ascii="Arial" w:cs="Arial" w:eastAsia="Arial" w:hAnsi="Arial"/>
          <w:sz w:val="18"/>
          <w:szCs w:val="18"/>
          <w:color w:val="auto"/>
        </w:rPr>
        <w:t>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2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of up to $250,000 advanced to us by</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our sponsor to cover offering-related and organizational</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expenses;</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of $10,000 per month to an affiliate of our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sponsor for office space and related services, subject to</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deferral as described herein;</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of loans that may be made by our insiders,</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officers, directors or any of its or their respective affiliates</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to finance transaction costs in connection with an initial</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business combination, the terms of which have not been</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determined;</w:t>
      </w:r>
    </w:p>
    <w:p>
      <w:pPr>
        <w:spacing w:after="0" w:line="157"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of out-of-pocket expenses incurred by our</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insiders, officers, directors or any of its or their respective</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affiliates in connection with certain activities on our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behalf, such as identifying and investigating possible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business targets and business combinations;</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sponsor has transferred 22,000 founder shares to each</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of our independent directors; and</w:t>
      </w:r>
    </w:p>
    <w:p>
      <w:pPr>
        <w:spacing w:after="0" w:line="143" w:lineRule="exact"/>
        <w:rPr>
          <w:sz w:val="20"/>
          <w:szCs w:val="20"/>
          <w:color w:val="auto"/>
        </w:rPr>
      </w:pPr>
    </w:p>
    <w:p>
      <w:pPr>
        <w:jc w:val="both"/>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to Chardan of the underwriting discount and the</w:t>
      </w:r>
    </w:p>
    <w:p>
      <w:pPr>
        <w:spacing w:after="0" w:line="23"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Marketing Fee, fees for any financial advisory, placement</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agency or other similar investment banking services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Chardan may provide to our company in the future,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including in connection with the closing of our initial</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business combination, and reimbursement of Chardan for</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any out-of-pocket expenses incurred by it in connection</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with the performance of such services.</w:t>
      </w:r>
    </w:p>
    <w:p>
      <w:pPr>
        <w:spacing w:after="0" w:line="143" w:lineRule="exact"/>
        <w:rPr>
          <w:sz w:val="20"/>
          <w:szCs w:val="20"/>
          <w:color w:val="auto"/>
        </w:rPr>
      </w:pPr>
    </w:p>
    <w:p>
      <w:pPr>
        <w:ind w:left="4300" w:right="479"/>
        <w:spacing w:after="0" w:line="252" w:lineRule="auto"/>
        <w:rPr>
          <w:sz w:val="20"/>
          <w:szCs w:val="20"/>
          <w:color w:val="auto"/>
        </w:rPr>
      </w:pPr>
      <w:r>
        <w:rPr>
          <w:rFonts w:ascii="Arial" w:cs="Arial" w:eastAsia="Arial" w:hAnsi="Arial"/>
          <w:sz w:val="18"/>
          <w:szCs w:val="18"/>
          <w:color w:val="auto"/>
        </w:rPr>
        <w:t xml:space="preserve">There is no limit on the amount of out-of-pocket expenses reimbursable by us;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any of their respective affiliates, and any reimbursements and payments made to members of our audit committee will be reviewed and approved by our board of directors, with any interested director abstaining from such review and approval.</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60" w:hanging="179"/>
        <w:spacing w:after="0" w:line="343" w:lineRule="auto"/>
        <w:rPr>
          <w:sz w:val="20"/>
          <w:szCs w:val="20"/>
          <w:color w:val="auto"/>
        </w:rPr>
      </w:pPr>
      <w:r>
        <w:rPr>
          <w:rFonts w:ascii="Arial" w:cs="Arial" w:eastAsia="Arial" w:hAnsi="Arial"/>
          <w:sz w:val="15"/>
          <w:szCs w:val="15"/>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19"/>
        <w:spacing w:after="0" w:line="251" w:lineRule="auto"/>
        <w:rPr>
          <w:sz w:val="20"/>
          <w:szCs w:val="20"/>
          <w:color w:val="auto"/>
        </w:rPr>
      </w:pPr>
      <w:r>
        <w:rPr>
          <w:rFonts w:ascii="Arial" w:cs="Arial" w:eastAsia="Arial" w:hAnsi="Arial"/>
          <w:sz w:val="18"/>
          <w:szCs w:val="18"/>
          <w:color w:val="auto"/>
        </w:rPr>
        <w:t>In connection with any proposed initial business combination, we will either (1) seek stockholder approval of such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w:t>
      </w:r>
    </w:p>
    <w:p>
      <w:pPr>
        <w:spacing w:after="0" w:line="126" w:lineRule="exact"/>
        <w:rPr>
          <w:sz w:val="20"/>
          <w:szCs w:val="20"/>
          <w:color w:val="auto"/>
        </w:rPr>
      </w:pPr>
    </w:p>
    <w:p>
      <w:pPr>
        <w:ind w:right="459"/>
        <w:spacing w:after="0" w:line="252"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16" w:lineRule="exact"/>
        <w:rPr>
          <w:sz w:val="20"/>
          <w:szCs w:val="20"/>
          <w:color w:val="auto"/>
        </w:rPr>
      </w:pPr>
    </w:p>
    <w:p>
      <w:pPr>
        <w:ind w:right="479"/>
        <w:spacing w:after="0" w:line="251"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such business combination.</w:t>
      </w:r>
    </w:p>
    <w:p>
      <w:pPr>
        <w:spacing w:after="0" w:line="121" w:lineRule="exact"/>
        <w:rPr>
          <w:sz w:val="20"/>
          <w:szCs w:val="20"/>
          <w:color w:val="auto"/>
        </w:rPr>
      </w:pPr>
    </w:p>
    <w:p>
      <w:pPr>
        <w:ind w:right="419"/>
        <w:spacing w:after="0" w:line="257" w:lineRule="auto"/>
        <w:rPr>
          <w:sz w:val="20"/>
          <w:szCs w:val="20"/>
          <w:color w:val="auto"/>
        </w:rPr>
      </w:pPr>
      <w:r>
        <w:rPr>
          <w:rFonts w:ascii="Arial" w:cs="Arial" w:eastAsia="Arial" w:hAnsi="Arial"/>
          <w:sz w:val="17"/>
          <w:szCs w:val="17"/>
          <w:color w:val="auto"/>
        </w:rPr>
        <w:t>We have determined not to consummate any business combination unless we have net tangible assets of at least $5,000,001 either immediately prior to or upon such consummation to avoid being subject to Rule 419 promulgated under the Securities Act. However, if we seek to consummate an initial business combination with a target business that imposes any type of working capital closing</w:t>
      </w:r>
    </w:p>
    <w:p>
      <w:pPr>
        <w:spacing w:after="0" w:line="200" w:lineRule="exact"/>
        <w:rPr>
          <w:sz w:val="20"/>
          <w:szCs w:val="20"/>
          <w:color w:val="auto"/>
        </w:rPr>
      </w:pPr>
    </w:p>
    <w:p>
      <w:pPr>
        <w:sectPr>
          <w:pgSz w:w="11900" w:h="16838" w:orient="portrait"/>
          <w:cols w:equalWidth="0" w:num="2">
            <w:col w:w="3820" w:space="480"/>
            <w:col w:w="5579"/>
          </w:cols>
          <w:pgMar w:left="580" w:top="13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38" w:lineRule="auto"/>
        <w:rPr>
          <w:sz w:val="20"/>
          <w:szCs w:val="20"/>
          <w:color w:val="auto"/>
        </w:rPr>
      </w:pPr>
      <w:r>
        <w:rPr>
          <w:rFonts w:ascii="Arial" w:cs="Arial" w:eastAsia="Arial" w:hAnsi="Arial"/>
          <w:sz w:val="18"/>
          <w:szCs w:val="18"/>
          <w:color w:val="auto"/>
        </w:rPr>
        <w:t>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07" w:lineRule="exact"/>
        <w:rPr>
          <w:sz w:val="20"/>
          <w:szCs w:val="20"/>
          <w:color w:val="auto"/>
        </w:rPr>
      </w:pPr>
    </w:p>
    <w:p>
      <w:pPr>
        <w:ind w:left="4300" w:right="399"/>
        <w:spacing w:after="0" w:line="249" w:lineRule="auto"/>
        <w:rPr>
          <w:sz w:val="20"/>
          <w:szCs w:val="20"/>
          <w:color w:val="auto"/>
        </w:rPr>
      </w:pPr>
      <w:r>
        <w:rPr>
          <w:rFonts w:ascii="Arial" w:cs="Arial" w:eastAsia="Arial" w:hAnsi="Arial"/>
          <w:sz w:val="17"/>
          <w:szCs w:val="17"/>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12 months (or up to 18 months, as applicable) unless we provide public stockholder an opportunity to redeem their public shares in conjunction with any such amendment, (C) not to redeem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w:t>
      </w:r>
    </w:p>
    <w:p>
      <w:pPr>
        <w:spacing w:after="0" w:line="11" w:lineRule="exact"/>
        <w:rPr>
          <w:sz w:val="20"/>
          <w:szCs w:val="20"/>
          <w:color w:val="auto"/>
        </w:rPr>
      </w:pPr>
    </w:p>
    <w:p>
      <w:pPr>
        <w:ind w:left="4300" w:right="439"/>
        <w:spacing w:after="0" w:line="250" w:lineRule="auto"/>
        <w:rPr>
          <w:sz w:val="20"/>
          <w:szCs w:val="20"/>
          <w:color w:val="auto"/>
        </w:rPr>
      </w:pPr>
      <w:r>
        <w:rPr>
          <w:rFonts w:ascii="Arial" w:cs="Arial" w:eastAsia="Arial" w:hAnsi="Arial"/>
          <w:sz w:val="17"/>
          <w:szCs w:val="17"/>
          <w:color w:val="auto"/>
        </w:rPr>
        <w:t>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 -5 of the Securities and Exchange Act of 1940, which we refer to as the Exchange Act, which are rules designed to stop potential manipulation of a company’s stock or purchasing shares when the buyer is in possession of material non-public information about the Company.</w:t>
      </w:r>
    </w:p>
    <w:p>
      <w:pPr>
        <w:spacing w:after="0" w:line="69" w:lineRule="exact"/>
        <w:rPr>
          <w:sz w:val="20"/>
          <w:szCs w:val="20"/>
          <w:color w:val="auto"/>
        </w:rPr>
      </w:pPr>
    </w:p>
    <w:p>
      <w:pPr>
        <w:ind w:left="4300" w:right="499" w:hanging="3023"/>
        <w:spacing w:after="0" w:line="273" w:lineRule="auto"/>
        <w:tabs>
          <w:tab w:leader="none" w:pos="4280" w:val="left"/>
        </w:tabs>
        <w:rPr>
          <w:sz w:val="20"/>
          <w:szCs w:val="20"/>
          <w:color w:val="auto"/>
        </w:rPr>
      </w:pPr>
      <w:r>
        <w:rPr>
          <w:rFonts w:ascii="Arial" w:cs="Arial" w:eastAsia="Arial" w:hAnsi="Arial"/>
          <w:sz w:val="18"/>
          <w:szCs w:val="18"/>
          <w:b w:val="1"/>
          <w:bCs w:val="1"/>
          <w:color w:val="auto"/>
        </w:rPr>
        <w:t>Redemption rights</w:t>
      </w:r>
      <w:r>
        <w:rPr>
          <w:sz w:val="20"/>
          <w:szCs w:val="20"/>
          <w:color w:val="auto"/>
        </w:rPr>
        <w:tab/>
      </w:r>
      <w:r>
        <w:rPr>
          <w:rFonts w:ascii="Arial" w:cs="Arial" w:eastAsia="Arial" w:hAnsi="Arial"/>
          <w:sz w:val="17"/>
          <w:szCs w:val="17"/>
          <w:color w:val="auto"/>
        </w:rPr>
        <w:t xml:space="preserve">In connection with any stockholder meeting called to approve a proposed initial business combination, each public stockholder will have the right, regardless of whether he, she or it is voting for or against such proposed business combination, to demand that we redeem his, her or its public shares into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upon consummation of the business combination.</w:t>
      </w:r>
    </w:p>
    <w:p>
      <w:pPr>
        <w:spacing w:after="0" w:line="114" w:lineRule="exact"/>
        <w:rPr>
          <w:sz w:val="20"/>
          <w:szCs w:val="20"/>
          <w:color w:val="auto"/>
        </w:rPr>
      </w:pPr>
    </w:p>
    <w:p>
      <w:pPr>
        <w:ind w:left="4300" w:right="459"/>
        <w:spacing w:after="0" w:line="270" w:lineRule="auto"/>
        <w:rPr>
          <w:sz w:val="20"/>
          <w:szCs w:val="20"/>
          <w:color w:val="auto"/>
        </w:rPr>
      </w:pPr>
      <w:r>
        <w:rPr>
          <w:rFonts w:ascii="Arial" w:cs="Arial" w:eastAsia="Arial" w:hAnsi="Arial"/>
          <w:sz w:val="17"/>
          <w:szCs w:val="17"/>
          <w:color w:val="auto"/>
        </w:rPr>
        <w:t>We may require public stockholders wishing to exercise redemption rights, whether they are a record holder or hold their shares in “street name,” to either tender the certificates they are seeking to</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93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399"/>
        <w:spacing w:after="0" w:line="267" w:lineRule="auto"/>
        <w:rPr>
          <w:sz w:val="20"/>
          <w:szCs w:val="20"/>
          <w:color w:val="auto"/>
        </w:rPr>
      </w:pPr>
      <w:r>
        <w:rPr>
          <w:rFonts w:ascii="Arial" w:cs="Arial" w:eastAsia="Arial" w:hAnsi="Arial"/>
          <w:sz w:val="17"/>
          <w:szCs w:val="17"/>
          <w:color w:val="auto"/>
        </w:rPr>
        <w:t>redeem to our transfer agent or to deliver the shares they are seeking to redeem to the transfer agent electronically using Depository Trust Company’s Deposit/Withdrawal At Custodian System, or DWAC System, at the holder’s option, at any time at or prior to the vote on the business combination. There is a nominal cost associated with this tendering process and the act of certificating the shares or delivering them through the DWAC System. The transfer agent will typically charge the tendering broker $45 and it would be up to the broker whether to pass this cost on to the redeeming holder. However, this fee would be incurred regardless of whether we require holders to deliver their shares prior to the vote on the business combination in order to exercise redemption rights, because a holder would need to deliver shares to exercise redemption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 The redemption rights will include the requirement that a beneficial holder must identify itself in order to validly redeem its shares.</w:t>
      </w:r>
    </w:p>
    <w:p>
      <w:pPr>
        <w:spacing w:after="0" w:line="1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Under Delaware law, we may be required to give a minimum of</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only 10 days’ notice for each general meeting. As a result, if we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require public stockholders who wish to redeem their shares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xml:space="preserve">common stock into the right to receive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funds in the trust account to comply with the foregoing delivery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requirements, holders may not have sufficient time to receive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notice and deliver their shares for redemption. Accordingly,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investors may not be able to exercise their redemption rights and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may be forced to retain our securities when they otherwise would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not want to.</w:t>
      </w:r>
    </w:p>
    <w:p>
      <w:pPr>
        <w:spacing w:after="0" w:line="143" w:lineRule="exact"/>
        <w:rPr>
          <w:sz w:val="20"/>
          <w:szCs w:val="20"/>
          <w:color w:val="auto"/>
        </w:rPr>
      </w:pPr>
    </w:p>
    <w:p>
      <w:pPr>
        <w:ind w:left="4300" w:right="479"/>
        <w:spacing w:after="0" w:line="275" w:lineRule="auto"/>
        <w:rPr>
          <w:sz w:val="20"/>
          <w:szCs w:val="20"/>
          <w:color w:val="auto"/>
        </w:rPr>
      </w:pPr>
      <w:r>
        <w:rPr>
          <w:rFonts w:ascii="Arial" w:cs="Arial" w:eastAsia="Arial" w:hAnsi="Arial"/>
          <w:sz w:val="17"/>
          <w:szCs w:val="17"/>
          <w:color w:val="auto"/>
        </w:rPr>
        <w:t>If we require public stockholders who wish to redeem their shares of common stock to comply with specific delivery requirements for redemption described above and such proposed business combination is not consummated, we will promptly return such certificates to the tendering public stockholders.</w:t>
      </w:r>
    </w:p>
    <w:p>
      <w:pPr>
        <w:spacing w:after="0" w:line="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Liquidation if no business</w:t>
      </w:r>
    </w:p>
    <w:p>
      <w:pPr>
        <w:spacing w:after="0" w:line="27" w:lineRule="exact"/>
        <w:rPr>
          <w:sz w:val="20"/>
          <w:szCs w:val="20"/>
          <w:color w:val="auto"/>
        </w:rPr>
      </w:pPr>
    </w:p>
    <w:p>
      <w:pPr>
        <w:ind w:left="4300" w:right="419" w:hanging="2839"/>
        <w:spacing w:after="0" w:line="266" w:lineRule="auto"/>
        <w:tabs>
          <w:tab w:leader="none" w:pos="4280" w:val="left"/>
        </w:tabs>
        <w:rPr>
          <w:sz w:val="20"/>
          <w:szCs w:val="20"/>
          <w:color w:val="auto"/>
        </w:rPr>
      </w:pPr>
      <w:r>
        <w:rPr>
          <w:rFonts w:ascii="Arial" w:cs="Arial" w:eastAsia="Arial" w:hAnsi="Arial"/>
          <w:sz w:val="17"/>
          <w:szCs w:val="17"/>
          <w:b w:val="1"/>
          <w:bCs w:val="1"/>
          <w:color w:val="auto"/>
        </w:rPr>
        <w:t>combination</w:t>
      </w:r>
      <w:r>
        <w:rPr>
          <w:sz w:val="20"/>
          <w:szCs w:val="20"/>
          <w:color w:val="auto"/>
        </w:rPr>
        <w:tab/>
      </w:r>
      <w:r>
        <w:rPr>
          <w:rFonts w:ascii="Arial" w:cs="Arial" w:eastAsia="Arial" w:hAnsi="Arial"/>
          <w:sz w:val="17"/>
          <w:szCs w:val="17"/>
          <w:color w:val="auto"/>
        </w:rPr>
        <w:t>If we are unable to complete our initial business combination within 12 months (or up to 18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 (iii) above) to our obligations to provide for claims of creditors and the requirements of applicable law.</w:t>
      </w:r>
    </w:p>
    <w:p>
      <w:pPr>
        <w:sectPr>
          <w:pgSz w:w="11900" w:h="16838" w:orient="portrait"/>
          <w:cols w:equalWidth="0" w:num="1">
            <w:col w:w="9879"/>
          </w:cols>
          <w:pgMar w:left="580" w:top="131"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60" w:hanging="179"/>
        <w:spacing w:after="0" w:line="386" w:lineRule="auto"/>
        <w:rPr>
          <w:sz w:val="20"/>
          <w:szCs w:val="20"/>
          <w:color w:val="auto"/>
        </w:rPr>
      </w:pPr>
      <w:r>
        <w:rPr>
          <w:rFonts w:ascii="Arial" w:cs="Arial" w:eastAsia="Arial" w:hAnsi="Arial"/>
          <w:sz w:val="15"/>
          <w:szCs w:val="15"/>
          <w:b w:val="1"/>
          <w:bCs w:val="1"/>
          <w:color w:val="auto"/>
        </w:rPr>
        <w:t>Ability to extend time to complete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19"/>
        <w:spacing w:after="0" w:line="238" w:lineRule="auto"/>
        <w:rPr>
          <w:sz w:val="20"/>
          <w:szCs w:val="20"/>
          <w:color w:val="auto"/>
        </w:rPr>
      </w:pPr>
      <w:r>
        <w:rPr>
          <w:rFonts w:ascii="Arial" w:cs="Arial" w:eastAsia="Arial" w:hAnsi="Arial"/>
          <w:sz w:val="18"/>
          <w:szCs w:val="18"/>
          <w:color w:val="auto"/>
        </w:rPr>
        <w:t>In connection with our redemption of 100% of our outstanding public shares for a portion of the funds held in the trust account, each holder will receive a full pro rata portion of the amount then in the trust account, plus any pro rata interest earned on the funds held in the trust account and not necessary to pay our taxes payable on such funds. Holders of warrants will receive no proceeds in connection with the liquidation with respect to such warrants, which will expire worthless.</w:t>
      </w:r>
    </w:p>
    <w:p>
      <w:pPr>
        <w:spacing w:after="0" w:line="113" w:lineRule="exact"/>
        <w:rPr>
          <w:sz w:val="20"/>
          <w:szCs w:val="20"/>
          <w:color w:val="auto"/>
        </w:rPr>
      </w:pPr>
    </w:p>
    <w:p>
      <w:pPr>
        <w:ind w:right="419"/>
        <w:spacing w:after="0" w:line="253" w:lineRule="auto"/>
        <w:rPr>
          <w:sz w:val="20"/>
          <w:szCs w:val="20"/>
          <w:color w:val="auto"/>
        </w:rPr>
      </w:pPr>
      <w:r>
        <w:rPr>
          <w:rFonts w:ascii="Arial" w:cs="Arial" w:eastAsia="Arial" w:hAnsi="Arial"/>
          <w:sz w:val="18"/>
          <w:szCs w:val="18"/>
          <w:color w:val="auto"/>
        </w:rPr>
        <w:t>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27" w:lineRule="exact"/>
        <w:rPr>
          <w:sz w:val="20"/>
          <w:szCs w:val="20"/>
          <w:color w:val="auto"/>
        </w:rPr>
      </w:pPr>
    </w:p>
    <w:p>
      <w:pPr>
        <w:ind w:right="419"/>
        <w:spacing w:after="0" w:line="259" w:lineRule="auto"/>
        <w:rPr>
          <w:sz w:val="20"/>
          <w:szCs w:val="20"/>
          <w:color w:val="auto"/>
        </w:rPr>
      </w:pPr>
      <w:r>
        <w:rPr>
          <w:rFonts w:ascii="Arial" w:cs="Arial" w:eastAsia="Arial" w:hAnsi="Arial"/>
          <w:sz w:val="18"/>
          <w:szCs w:val="18"/>
          <w:color w:val="auto"/>
        </w:rPr>
        <w:t>The holders of the founder shares and private warrants will not participate in any redemption distribution with respect to their founder shares and private warrants, but may have any public shares held by them redeemed upon liquidation.</w:t>
      </w:r>
    </w:p>
    <w:p>
      <w:pPr>
        <w:spacing w:after="0" w:line="119" w:lineRule="exact"/>
        <w:rPr>
          <w:sz w:val="20"/>
          <w:szCs w:val="20"/>
          <w:color w:val="auto"/>
        </w:rPr>
      </w:pPr>
    </w:p>
    <w:p>
      <w:pPr>
        <w:ind w:right="399"/>
        <w:spacing w:after="0" w:line="267"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$10.15.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approximately $10.15. We will pay the costs of any subsequent liquidation from our remaining assets outside of the trust account. If such funds are insufficient, our sponsor has agreed to pay the funds necessary to complete such liquidation and has agreed not to seek repayment for such expenses. We currently do not anticipate that such funds will be insufficient.</w:t>
      </w:r>
    </w:p>
    <w:p>
      <w:pPr>
        <w:spacing w:after="0" w:line="293" w:lineRule="exact"/>
        <w:rPr>
          <w:sz w:val="20"/>
          <w:szCs w:val="20"/>
          <w:color w:val="auto"/>
        </w:rPr>
      </w:pPr>
    </w:p>
    <w:p>
      <w:pPr>
        <w:ind w:right="419"/>
        <w:spacing w:after="0" w:line="253" w:lineRule="auto"/>
        <w:rPr>
          <w:sz w:val="20"/>
          <w:szCs w:val="20"/>
          <w:color w:val="auto"/>
        </w:rPr>
      </w:pPr>
      <w:r>
        <w:rPr>
          <w:rFonts w:ascii="Arial" w:cs="Arial" w:eastAsia="Arial" w:hAnsi="Arial"/>
          <w:sz w:val="18"/>
          <w:szCs w:val="18"/>
          <w:color w:val="auto"/>
        </w:rPr>
        <w:t>We will have 12 months from the closing of this offering to complete an initial business combination. However, if we anticipate that we may not be able to consummate our initial business combination within 12 months, we may, by resolution of our board if requested by our sponsor, extend the period of time to consummate a business combination up to two times, each by an additional three months (for a total of up to 18 months to complete a business combination), subject to the sponsor depositing additional funds into the trust account as set out below. Pursuant to the terms of our amended and</w:t>
      </w:r>
    </w:p>
    <w:p>
      <w:pPr>
        <w:spacing w:after="0" w:line="200" w:lineRule="exact"/>
        <w:rPr>
          <w:sz w:val="20"/>
          <w:szCs w:val="20"/>
          <w:color w:val="auto"/>
        </w:rPr>
      </w:pPr>
    </w:p>
    <w:p>
      <w:pPr>
        <w:sectPr>
          <w:pgSz w:w="11900" w:h="16838" w:orient="portrait"/>
          <w:cols w:equalWidth="0" w:num="2">
            <w:col w:w="3760" w:space="540"/>
            <w:col w:w="5579"/>
          </w:cols>
          <w:pgMar w:left="580" w:top="131" w:right="1440" w:bottom="1440" w:gutter="0" w:footer="0" w:header="0"/>
          <w:type w:val="continuous"/>
        </w:sectPr>
      </w:pPr>
    </w:p>
    <w:p>
      <w:pPr>
        <w:spacing w:after="0" w:line="1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93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399"/>
        <w:spacing w:after="0" w:line="266" w:lineRule="auto"/>
        <w:rPr>
          <w:sz w:val="20"/>
          <w:szCs w:val="20"/>
          <w:color w:val="auto"/>
        </w:rPr>
      </w:pPr>
      <w:r>
        <w:rPr>
          <w:rFonts w:ascii="Arial" w:cs="Arial" w:eastAsia="Arial" w:hAnsi="Arial"/>
          <w:sz w:val="17"/>
          <w:szCs w:val="17"/>
          <w:color w:val="auto"/>
        </w:rPr>
        <w:t>restated certificate of incorporation and the trust agreement to be entered into between us and Continental Stock Transfer &amp; Trust Company on the date of this prospectus, in order for the time available for us to consummate our initial business combination to be extended, our sponsor or its affiliates or designees, upon five days advance notice prior to the applicable deadline, must deposit into the trust account $1,000,000, or $1,150,000 if the underwriters’ over-allotment option is exercised in full ($0.10 per share in either case), on or prior to the date of the applicable deadline, for each of the available three month extensions providing a total possible business combination period of 18 months at a total payment value of $2,000,000, or $2,300,000 if the underwriters’ over-allotment option is exercised in full. Any such payments would be made in the form of non-interest bearing loans, evidenced by an unsecured promissory note equal to the amount of any such deposit, which will not be repaid in the event that we are unable to close a business combination unless there are funds available outside the trust account to do so. Our sponsor and its affiliates or designees are not obligated to fund the trust account to extend the time for us to complete our initial business combination. Our public stockholders will not be entitled to vote or redeem their shares in connection with any such extension. As a result, we may conduct such an extension even though a majority of our public stockholders do not support such an extension and will not be able to redeem their shares in connection therewith.</w:t>
      </w:r>
    </w:p>
    <w:p>
      <w:pPr>
        <w:spacing w:after="0" w:line="88"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Conflict of Interest</w:t>
      </w:r>
      <w:r>
        <w:rPr>
          <w:sz w:val="20"/>
          <w:szCs w:val="20"/>
          <w:color w:val="auto"/>
        </w:rPr>
        <w:tab/>
      </w:r>
      <w:r>
        <w:rPr>
          <w:rFonts w:ascii="Arial" w:cs="Arial" w:eastAsia="Arial" w:hAnsi="Arial"/>
          <w:sz w:val="17"/>
          <w:szCs w:val="17"/>
          <w:color w:val="auto"/>
        </w:rPr>
        <w:t>Both we and our sponsor are affiliates of Chardan, the</w:t>
      </w:r>
    </w:p>
    <w:p>
      <w:pPr>
        <w:spacing w:after="0" w:line="27" w:lineRule="exact"/>
        <w:rPr>
          <w:sz w:val="20"/>
          <w:szCs w:val="20"/>
          <w:color w:val="auto"/>
        </w:rPr>
      </w:pPr>
    </w:p>
    <w:p>
      <w:pPr>
        <w:ind w:left="4300" w:right="419"/>
        <w:spacing w:after="0" w:line="252" w:lineRule="auto"/>
        <w:rPr>
          <w:sz w:val="20"/>
          <w:szCs w:val="20"/>
          <w:color w:val="auto"/>
        </w:rPr>
      </w:pPr>
      <w:r>
        <w:rPr>
          <w:rFonts w:ascii="Arial" w:cs="Arial" w:eastAsia="Arial" w:hAnsi="Arial"/>
          <w:sz w:val="18"/>
          <w:szCs w:val="18"/>
          <w:color w:val="auto"/>
        </w:rPr>
        <w:t>representative of the underwriters in this offering, and certain of our officers and directors are affiliated with Chardan. As a result, Chardan is deemed to have a “conflict of interest” within the meaning of FINRA Rule 5121(f)(5), or Rule 5121. Accordingly, this offering is being made in compliance with the applicable requirements of Rule 5121.</w:t>
      </w:r>
    </w:p>
    <w:p>
      <w:pPr>
        <w:spacing w:after="0" w:line="113" w:lineRule="exact"/>
        <w:rPr>
          <w:sz w:val="20"/>
          <w:szCs w:val="20"/>
          <w:color w:val="auto"/>
        </w:rPr>
      </w:pPr>
    </w:p>
    <w:p>
      <w:pPr>
        <w:ind w:left="4300" w:right="419"/>
        <w:spacing w:after="0" w:line="252" w:lineRule="auto"/>
        <w:rPr>
          <w:sz w:val="20"/>
          <w:szCs w:val="20"/>
          <w:color w:val="auto"/>
        </w:rPr>
      </w:pPr>
      <w:r>
        <w:rPr>
          <w:rFonts w:ascii="Arial" w:cs="Arial" w:eastAsia="Arial" w:hAnsi="Arial"/>
          <w:sz w:val="18"/>
          <w:szCs w:val="18"/>
          <w:color w:val="auto"/>
        </w:rPr>
        <w:t>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from the total underwriting discount,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30" w:lineRule="exact"/>
        <w:rPr>
          <w:sz w:val="20"/>
          <w:szCs w:val="20"/>
          <w:color w:val="auto"/>
        </w:rPr>
      </w:pPr>
    </w:p>
    <w:p>
      <w:pPr>
        <w:ind w:left="4300" w:right="399"/>
        <w:spacing w:after="0" w:line="271"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59"/>
        <w:spacing w:after="0" w:line="261" w:lineRule="auto"/>
        <w:rPr>
          <w:sz w:val="20"/>
          <w:szCs w:val="20"/>
          <w:color w:val="auto"/>
        </w:rPr>
      </w:pPr>
      <w:r>
        <w:rPr>
          <w:rFonts w:ascii="Arial" w:cs="Arial" w:eastAsia="Arial" w:hAnsi="Arial"/>
          <w:sz w:val="18"/>
          <w:szCs w:val="18"/>
          <w:color w:val="auto"/>
        </w:rPr>
        <w:t>opportunities to other entities to which they owe duties or clients of affiliates of our sponsor.</w:t>
      </w:r>
    </w:p>
    <w:p>
      <w:pPr>
        <w:spacing w:after="0" w:line="90" w:lineRule="exact"/>
        <w:rPr>
          <w:sz w:val="20"/>
          <w:szCs w:val="20"/>
          <w:color w:val="auto"/>
        </w:rPr>
      </w:pPr>
    </w:p>
    <w:p>
      <w:pPr>
        <w:ind w:left="4300" w:right="439"/>
        <w:spacing w:after="0" w:line="251" w:lineRule="auto"/>
        <w:rPr>
          <w:sz w:val="20"/>
          <w:szCs w:val="20"/>
          <w:color w:val="auto"/>
        </w:rPr>
      </w:pPr>
      <w:r>
        <w:rPr>
          <w:rFonts w:ascii="Arial" w:cs="Arial" w:eastAsia="Arial" w:hAnsi="Arial"/>
          <w:sz w:val="17"/>
          <w:szCs w:val="17"/>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18" w:lineRule="exact"/>
        <w:rPr>
          <w:sz w:val="20"/>
          <w:szCs w:val="20"/>
          <w:color w:val="auto"/>
        </w:rPr>
      </w:pPr>
    </w:p>
    <w:p>
      <w:pPr>
        <w:ind w:left="4300" w:right="539"/>
        <w:spacing w:after="0" w:line="252" w:lineRule="auto"/>
        <w:rPr>
          <w:sz w:val="20"/>
          <w:szCs w:val="20"/>
          <w:color w:val="auto"/>
        </w:rPr>
      </w:pPr>
      <w:r>
        <w:rPr>
          <w:rFonts w:ascii="Arial" w:cs="Arial" w:eastAsia="Arial" w:hAnsi="Arial"/>
          <w:sz w:val="17"/>
          <w:szCs w:val="17"/>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16" w:lineRule="exact"/>
        <w:rPr>
          <w:sz w:val="20"/>
          <w:szCs w:val="20"/>
          <w:color w:val="auto"/>
        </w:rPr>
      </w:pPr>
    </w:p>
    <w:p>
      <w:pPr>
        <w:ind w:left="4300" w:right="419"/>
        <w:spacing w:after="0" w:line="268" w:lineRule="auto"/>
        <w:rPr>
          <w:sz w:val="20"/>
          <w:szCs w:val="20"/>
          <w:color w:val="auto"/>
        </w:rPr>
      </w:pPr>
      <w:r>
        <w:rPr>
          <w:rFonts w:ascii="Arial" w:cs="Arial" w:eastAsia="Arial" w:hAnsi="Arial"/>
          <w:sz w:val="17"/>
          <w:szCs w:val="17"/>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9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 addition, we may, at our option, pursue an Affiliated Joint</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Acquisition. We do not expect that we would pursue any such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opportunity with an Affiliated SPAC. This would only occur,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though, if (i) permitted by applicable regulatory and other legal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limitations; (ii) we and Chardan considered a transaction to be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mutually beneficial to us as well as the affiliated entity; and</w:t>
      </w:r>
    </w:p>
    <w:p>
      <w:pPr>
        <w:spacing w:after="0" w:line="9" w:lineRule="exact"/>
        <w:rPr>
          <w:sz w:val="20"/>
          <w:szCs w:val="20"/>
          <w:color w:val="auto"/>
        </w:rPr>
      </w:pPr>
    </w:p>
    <w:p>
      <w:pPr>
        <w:ind w:left="4300" w:right="879" w:firstLine="2"/>
        <w:spacing w:after="0" w:line="260" w:lineRule="auto"/>
        <w:tabs>
          <w:tab w:leader="none" w:pos="4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business reasons exist to do so, such as the strategic merits of including such</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399"/>
        <w:spacing w:after="0" w:line="254" w:lineRule="auto"/>
        <w:rPr>
          <w:sz w:val="20"/>
          <w:szCs w:val="20"/>
          <w:color w:val="auto"/>
        </w:rPr>
      </w:pPr>
      <w:r>
        <w:rPr>
          <w:rFonts w:ascii="Arial" w:cs="Arial" w:eastAsia="Arial" w:hAnsi="Arial"/>
          <w:sz w:val="18"/>
          <w:szCs w:val="18"/>
          <w:color w:val="auto"/>
        </w:rPr>
        <w:t>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w:t>
      </w:r>
    </w:p>
    <w:p>
      <w:pPr>
        <w:spacing w:after="0" w:line="114" w:lineRule="exact"/>
        <w:rPr>
          <w:sz w:val="20"/>
          <w:szCs w:val="20"/>
          <w:color w:val="auto"/>
        </w:rPr>
      </w:pPr>
    </w:p>
    <w:p>
      <w:pPr>
        <w:ind w:left="4300" w:right="399"/>
        <w:spacing w:after="0" w:line="255"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ind w:left="1280" w:right="399" w:firstLine="360"/>
        <w:spacing w:after="0" w:line="269"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our offering, please see “</w:t>
      </w:r>
      <w:r>
        <w:rPr>
          <w:rFonts w:ascii="Arial" w:cs="Arial" w:eastAsia="Arial" w:hAnsi="Arial"/>
          <w:sz w:val="17"/>
          <w:szCs w:val="17"/>
          <w:i w:val="1"/>
          <w:iCs w:val="1"/>
          <w:color w:val="auto"/>
        </w:rPr>
        <w:t>Proposed Business — Comparison to offerings of blank check</w:t>
      </w:r>
      <w:r>
        <w:rPr>
          <w:rFonts w:ascii="Arial" w:cs="Arial" w:eastAsia="Arial" w:hAnsi="Arial"/>
          <w:sz w:val="17"/>
          <w:szCs w:val="17"/>
          <w:color w:val="auto"/>
        </w:rPr>
        <w:t xml:space="preserve"> </w:t>
      </w:r>
      <w:r>
        <w:rPr>
          <w:rFonts w:ascii="Arial" w:cs="Arial" w:eastAsia="Arial" w:hAnsi="Arial"/>
          <w:sz w:val="17"/>
          <w:szCs w:val="17"/>
          <w:i w:val="1"/>
          <w:iCs w:val="1"/>
          <w:color w:val="auto"/>
        </w:rPr>
        <w:t>companies subject to Rule 419</w:t>
      </w:r>
      <w:r>
        <w:rPr>
          <w:rFonts w:ascii="Arial" w:cs="Arial" w:eastAsia="Arial" w:hAnsi="Arial"/>
          <w:sz w:val="17"/>
          <w:szCs w:val="17"/>
          <w:color w:val="auto"/>
        </w:rPr>
        <w:t>.” You should carefully consider these and the other risks set forth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ind w:left="1280" w:right="399" w:firstLine="360"/>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21"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 2021</w:t>
            </w:r>
          </w:p>
        </w:tc>
      </w:tr>
      <w:tr>
        <w:trPr>
          <w:trHeight w:val="26"/>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8"/>
              </w:rPr>
              <w:t>Actual</w:t>
            </w:r>
          </w:p>
        </w:tc>
        <w:tc>
          <w:tcPr>
            <w:tcW w:w="1020" w:type="dxa"/>
            <w:vAlign w:val="bottom"/>
            <w:tcBorders>
              <w:top w:val="single" w:sz="8" w:color="auto"/>
            </w:tcBorders>
            <w:gridSpan w:val="2"/>
          </w:tcPr>
          <w:p>
            <w:pPr>
              <w:jc w:val="right"/>
              <w:spacing w:after="0" w:line="237" w:lineRule="exact"/>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21"/>
                <w:szCs w:val="21"/>
                <w:b w:val="1"/>
                <w:bCs w:val="1"/>
                <w:color w:val="auto"/>
                <w:w w:val="93"/>
                <w:vertAlign w:val="superscript"/>
              </w:rPr>
              <w:t>(1)</w:t>
            </w:r>
          </w:p>
        </w:tc>
        <w:tc>
          <w:tcPr>
            <w:tcW w:w="20" w:type="dxa"/>
            <w:vAlign w:val="bottom"/>
          </w:tcPr>
          <w:p>
            <w:pPr>
              <w:spacing w:after="0"/>
              <w:rPr>
                <w:sz w:val="20"/>
                <w:szCs w:val="20"/>
                <w:color w:val="auto"/>
              </w:rPr>
            </w:pPr>
          </w:p>
        </w:tc>
      </w:tr>
      <w:tr>
        <w:trPr>
          <w:trHeight w:val="25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628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(53,118)</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109,947,981</w:t>
            </w:r>
          </w:p>
        </w:tc>
      </w:tr>
      <w:tr>
        <w:trPr>
          <w:trHeight w:val="25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150,000</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113,001,000</w:t>
            </w:r>
          </w:p>
        </w:tc>
        <w:tc>
          <w:tcPr>
            <w:tcW w:w="20" w:type="dxa"/>
            <w:vAlign w:val="bottom"/>
          </w:tcPr>
          <w:p>
            <w:pPr>
              <w:spacing w:after="0"/>
              <w:rPr>
                <w:sz w:val="22"/>
                <w:szCs w:val="22"/>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126,000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3,053,019</w:t>
            </w:r>
          </w:p>
        </w:tc>
      </w:tr>
      <w:tr>
        <w:trPr>
          <w:trHeight w:val="27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of common stock subject to possible redemption/tender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104,947,971</w:t>
            </w:r>
          </w:p>
        </w:tc>
        <w:tc>
          <w:tcPr>
            <w:tcW w:w="20" w:type="dxa"/>
            <w:vAlign w:val="bottom"/>
          </w:tcPr>
          <w:p>
            <w:pPr>
              <w:spacing w:after="0"/>
              <w:rPr>
                <w:sz w:val="23"/>
                <w:szCs w:val="23"/>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24,000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5,000,010</w:t>
            </w:r>
          </w:p>
        </w:tc>
      </w:tr>
    </w:tbl>
    <w:p>
      <w:pPr>
        <w:spacing w:after="0" w:line="377" w:lineRule="exact"/>
        <w:rPr>
          <w:sz w:val="20"/>
          <w:szCs w:val="20"/>
          <w:color w:val="auto"/>
        </w:rPr>
      </w:pPr>
    </w:p>
    <w:p>
      <w:pPr>
        <w:ind w:left="1640" w:right="399" w:hanging="362"/>
        <w:spacing w:after="0" w:line="263"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 adjusted” working capital and total assets amounts include the $4,052,000 we will receive from the sale of the private warrants, and the “as adjusted” total liabilities of $3,053,019 relates to the warrant liability.</w:t>
      </w:r>
    </w:p>
    <w:p>
      <w:pPr>
        <w:spacing w:after="0" w:line="11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“as adjusted” information gives effect to the sale of the units we are offering, including the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application of the related gross proceeds and the payment of the estimated remaining costs from such sale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the repayment of the accrued and other liabilities required to be repaid such that we have at least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$5,000,001 of net tangible assets upon consummation of this offering and upon consummation of our initial</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business combination.</w:t>
      </w:r>
    </w:p>
    <w:p>
      <w:pPr>
        <w:spacing w:after="0" w:line="130" w:lineRule="exact"/>
        <w:rPr>
          <w:sz w:val="20"/>
          <w:szCs w:val="20"/>
          <w:color w:val="auto"/>
        </w:rPr>
      </w:pPr>
    </w:p>
    <w:p>
      <w:pPr>
        <w:ind w:left="1280" w:right="499" w:firstLine="360"/>
        <w:spacing w:after="0" w:line="259" w:lineRule="auto"/>
        <w:rPr>
          <w:sz w:val="20"/>
          <w:szCs w:val="20"/>
          <w:color w:val="auto"/>
        </w:rPr>
      </w:pPr>
      <w:r>
        <w:rPr>
          <w:rFonts w:ascii="Arial" w:cs="Arial" w:eastAsia="Arial" w:hAnsi="Arial"/>
          <w:sz w:val="18"/>
          <w:szCs w:val="18"/>
          <w:color w:val="auto"/>
        </w:rPr>
        <w:t>The “as adjusted” working capital and total assets amounts include the $111,650,000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1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consummate our initial business combination only if we have net tangible assets of at least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$5,000,001 either immediately prior to or upon such consummation and a majority of the outstanding shares</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 common stock voted are voted in favor of the business combination (if a vote is required or being</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obtained).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CAUTIONARY NOTE REGARDING FORWARD-LOOKING STATEMENTS AND RISK FACTOR</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43"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8"/>
          <w:szCs w:val="18"/>
          <w:color w:val="auto"/>
        </w:rPr>
        <w:t>Some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risks and uncertainties include, but are not limited to the following risks, uncertainties and other factors:</w:t>
      </w:r>
    </w:p>
    <w:p>
      <w:pPr>
        <w:spacing w:after="0" w:line="86" w:lineRule="exact"/>
        <w:rPr>
          <w:sz w:val="20"/>
          <w:szCs w:val="20"/>
          <w:color w:val="auto"/>
        </w:rPr>
      </w:pPr>
    </w:p>
    <w:p>
      <w:pPr>
        <w:ind w:left="1820" w:hanging="182"/>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17" w:lineRule="exact"/>
        <w:rPr>
          <w:rFonts w:ascii="Arial" w:cs="Arial" w:eastAsia="Arial" w:hAnsi="Arial"/>
          <w:sz w:val="18"/>
          <w:szCs w:val="18"/>
          <w:color w:val="auto"/>
        </w:rPr>
      </w:pPr>
    </w:p>
    <w:p>
      <w:pPr>
        <w:ind w:left="1820" w:right="599" w:hanging="182"/>
        <w:spacing w:after="0" w:line="27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even if an appropriate target business is selected;</w:t>
      </w:r>
    </w:p>
    <w:p>
      <w:pPr>
        <w:spacing w:after="0" w:line="62"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62" w:lineRule="exact"/>
        <w:rPr>
          <w:rFonts w:ascii="Arial" w:cs="Arial" w:eastAsia="Arial" w:hAnsi="Arial"/>
          <w:sz w:val="18"/>
          <w:szCs w:val="18"/>
          <w:color w:val="auto"/>
        </w:rPr>
      </w:pPr>
    </w:p>
    <w:p>
      <w:pPr>
        <w:jc w:val="both"/>
        <w:ind w:left="1820" w:right="459" w:hanging="182"/>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pool of prospective target businesses in the disruptive technology sectors;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disruptive technology sectors;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128" w:lineRule="exact"/>
        <w:rPr>
          <w:rFonts w:ascii="Arial" w:cs="Arial" w:eastAsia="Arial" w:hAnsi="Arial"/>
          <w:sz w:val="17"/>
          <w:szCs w:val="17"/>
          <w:color w:val="auto"/>
        </w:rPr>
      </w:pPr>
    </w:p>
    <w:p>
      <w:pPr>
        <w:ind w:left="1820" w:right="479" w:hanging="182"/>
        <w:spacing w:after="0" w:line="27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delisting of our securities from the Nasdaq or an inability to have our securities listed on Nasdaq following a business combination;</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17" w:lineRule="exact"/>
        <w:rPr>
          <w:rFonts w:ascii="Arial" w:cs="Arial" w:eastAsia="Arial" w:hAnsi="Arial"/>
          <w:sz w:val="18"/>
          <w:szCs w:val="18"/>
          <w:color w:val="auto"/>
        </w:rPr>
      </w:pPr>
    </w:p>
    <w:p>
      <w:pPr>
        <w:ind w:left="1820" w:right="579" w:hanging="182"/>
        <w:spacing w:after="0" w:line="27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 or</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58" w:lineRule="exact"/>
        <w:rPr>
          <w:sz w:val="20"/>
          <w:szCs w:val="20"/>
          <w:color w:val="auto"/>
        </w:rPr>
      </w:pPr>
    </w:p>
    <w:p>
      <w:pPr>
        <w:ind w:left="1280" w:right="439" w:firstLine="360"/>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18" w:lineRule="exact"/>
        <w:rPr>
          <w:sz w:val="20"/>
          <w:szCs w:val="20"/>
          <w:color w:val="auto"/>
        </w:rPr>
      </w:pPr>
    </w:p>
    <w:p>
      <w:pPr>
        <w:ind w:left="1620" w:right="539" w:hanging="360"/>
        <w:spacing w:after="0" w:line="282" w:lineRule="auto"/>
        <w:tabs>
          <w:tab w:leader="none" w:pos="16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166" w:lineRule="exact"/>
        <w:rPr>
          <w:sz w:val="20"/>
          <w:szCs w:val="20"/>
          <w:color w:val="auto"/>
        </w:rPr>
      </w:pPr>
    </w:p>
    <w:p>
      <w:pPr>
        <w:jc w:val="both"/>
        <w:ind w:left="1260" w:right="559"/>
        <w:spacing w:after="0" w:line="248" w:lineRule="auto"/>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0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83" w:lineRule="exact"/>
        <w:rPr>
          <w:sz w:val="20"/>
          <w:szCs w:val="20"/>
          <w:color w:val="auto"/>
        </w:rPr>
      </w:pPr>
    </w:p>
    <w:p>
      <w:pPr>
        <w:ind w:left="1260" w:right="479"/>
        <w:spacing w:after="0" w:line="362"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3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4,125,001, or 37.5%, of the 11,000,000 public shares sold in this offering to be voted in favor of an initial business combination (assuming all outstanding shares are voted) in order to have our initial business combination approved (assuming the over-allotment option is not exercised). Our initial stockholders and their permitted transferees will own shares representing 20% of our outstanding shares of common stock immediately following the completion of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91" w:lineRule="exact"/>
        <w:rPr>
          <w:sz w:val="20"/>
          <w:szCs w:val="20"/>
          <w:color w:val="auto"/>
        </w:rPr>
      </w:pPr>
    </w:p>
    <w:p>
      <w:pPr>
        <w:jc w:val="both"/>
        <w:ind w:left="1260" w:right="479"/>
        <w:spacing w:after="0" w:line="248"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14"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91"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may seek to enter into an initial business combination agreement with a prospective target that requires as a closing condition that we have a minimum net worth or a certain amount of cash. While we will have access to the proceeds from the $4,052,000 (or up to $4,299,500 depending on the extent to which the underwriters’ over-allotment option is exercised) private placement from our sponsor, if too many public stockholders exercise their redemption rights, we would not be able to meet such closing condition and, as a result, would not be able to proceed with the initial business combination. If too many public stockholders exercise their redemption rights, we would not be able to meet such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188" w:lineRule="exact"/>
        <w:rPr>
          <w:sz w:val="20"/>
          <w:szCs w:val="20"/>
          <w:color w:val="auto"/>
        </w:rPr>
      </w:pPr>
    </w:p>
    <w:p>
      <w:pPr>
        <w:ind w:left="1260" w:right="739"/>
        <w:spacing w:after="0" w:line="465" w:lineRule="auto"/>
        <w:rPr>
          <w:sz w:val="20"/>
          <w:szCs w:val="20"/>
          <w:color w:val="auto"/>
        </w:rPr>
      </w:pPr>
      <w:r>
        <w:rPr>
          <w:rFonts w:ascii="Arial" w:cs="Arial" w:eastAsia="Arial" w:hAnsi="Arial"/>
          <w:sz w:val="13"/>
          <w:szCs w:val="13"/>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82" w:lineRule="exact"/>
        <w:rPr>
          <w:sz w:val="20"/>
          <w:szCs w:val="20"/>
          <w:color w:val="auto"/>
        </w:rPr>
      </w:pPr>
    </w:p>
    <w:p>
      <w:pPr>
        <w:ind w:left="1260" w:right="479"/>
        <w:spacing w:after="0" w:line="286" w:lineRule="auto"/>
        <w:rPr>
          <w:sz w:val="20"/>
          <w:szCs w:val="20"/>
          <w:color w:val="auto"/>
        </w:rPr>
      </w:pPr>
      <w:r>
        <w:rPr>
          <w:rFonts w:ascii="Arial" w:cs="Arial" w:eastAsia="Arial" w:hAnsi="Arial"/>
          <w:sz w:val="17"/>
          <w:szCs w:val="17"/>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9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9" w:lineRule="auto"/>
        <w:rPr>
          <w:sz w:val="20"/>
          <w:szCs w:val="20"/>
          <w:color w:val="auto"/>
        </w:rPr>
      </w:pPr>
      <w:r>
        <w:rPr>
          <w:rFonts w:ascii="Arial" w:cs="Arial" w:eastAsia="Arial" w:hAnsi="Arial"/>
          <w:sz w:val="16"/>
          <w:szCs w:val="16"/>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7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12 months (or up to 18 months, as applicable)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91" w:lineRule="exact"/>
        <w:rPr>
          <w:sz w:val="20"/>
          <w:szCs w:val="20"/>
          <w:color w:val="auto"/>
        </w:rPr>
      </w:pPr>
    </w:p>
    <w:p>
      <w:pPr>
        <w:ind w:left="1260" w:right="459"/>
        <w:spacing w:after="0" w:line="284"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$10.15 per share, or less than such amount in certain circumstances, and our warrants will expire worthless.</w:t>
      </w:r>
    </w:p>
    <w:p>
      <w:pPr>
        <w:spacing w:after="0" w:line="8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7"/>
          <w:szCs w:val="17"/>
          <w:color w:val="auto"/>
        </w:rPr>
        <w:t>Our sponsor, officers and directors have agreed that we must complete our initial business combination within 12 months from the closing of this offering to consummate an initial business combination. In addition,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as described in more detail in this prospectus.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outbreak of COVID-19 continues to grow both in the United States and globally and, while the extent of the impact of the outbreak on us will depend on future developments, it could limit our ability to complete our initial business combination, including as a result of increased market volatility, decreased market liquidity and third -party financing being unavailable on terms acceptable to us or at all. Additionally, the continued outbreak of COVID -19 may negatively impact businesses we may seek to acquire. If we have not completed our initial business combination within such 12-month (or up to 18-month) period, we will:</w:t>
      </w:r>
    </w:p>
    <w:p>
      <w:pPr>
        <w:spacing w:after="0" w:line="11" w:lineRule="exact"/>
        <w:rPr>
          <w:sz w:val="20"/>
          <w:szCs w:val="20"/>
          <w:color w:val="auto"/>
        </w:rPr>
      </w:pPr>
    </w:p>
    <w:p>
      <w:pPr>
        <w:ind w:left="1260" w:right="419"/>
        <w:spacing w:after="0" w:line="250" w:lineRule="auto"/>
        <w:tabs>
          <w:tab w:leader="none" w:pos="1489"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our public stockholders may only receive $10.15 per share, or less than such amount in certain circumstances, and our warrants will expire worthless. See “— If third parties bring claims against us, the proceeds held in the trust account could be reduced and the per-share redemption amount received by stockholders may be less than $10.15 per share” and other risk factors herein.</w:t>
      </w:r>
    </w:p>
    <w:p>
      <w:pPr>
        <w:spacing w:after="0" w:line="184"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In March 2020, the World Health Organization declared novel coronavirus disease 2019 (COVID-19) a global pandemic. The COVID -19 pandemic has negatively impacted the global economy, disrupted global supply chains, lowered equity market valuations, created significant volatility and disruption in financial</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2" w:lineRule="auto"/>
        <w:rPr>
          <w:sz w:val="20"/>
          <w:szCs w:val="20"/>
          <w:color w:val="auto"/>
        </w:rPr>
      </w:pPr>
      <w:r>
        <w:rPr>
          <w:rFonts w:ascii="Arial" w:cs="Arial" w:eastAsia="Arial" w:hAnsi="Arial"/>
          <w:sz w:val="17"/>
          <w:szCs w:val="17"/>
          <w:color w:val="auto"/>
        </w:rPr>
        <w:t>markets, and increased unemployment levels, all of which may become heightened concerns upon a second wave of infection or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9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2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87" w:lineRule="exact"/>
        <w:rPr>
          <w:sz w:val="20"/>
          <w:szCs w:val="20"/>
          <w:color w:val="auto"/>
        </w:rPr>
      </w:pPr>
    </w:p>
    <w:p>
      <w:pPr>
        <w:jc w:val="both"/>
        <w:ind w:left="1260" w:right="419"/>
        <w:spacing w:after="0" w:line="411" w:lineRule="auto"/>
        <w:rPr>
          <w:sz w:val="20"/>
          <w:szCs w:val="20"/>
          <w:color w:val="auto"/>
        </w:rPr>
      </w:pPr>
      <w:r>
        <w:rPr>
          <w:rFonts w:ascii="Arial" w:cs="Arial" w:eastAsia="Arial" w:hAnsi="Arial"/>
          <w:sz w:val="13"/>
          <w:szCs w:val="13"/>
          <w:b w:val="1"/>
          <w:bCs w:val="1"/>
          <w:i w:val="1"/>
          <w:iCs w:val="1"/>
          <w:color w:val="auto"/>
        </w:rPr>
        <w:t>If we seek stockholder approval of our initial business combination, our sponsor, directors, officers, advisors or any of their respective affiliates may elect to purchase shares or warrants from public stockholders, which may influence a vote on a proposed initial business combination and reduce the public “float” of our common stock or warrants.</w:t>
      </w:r>
    </w:p>
    <w:p>
      <w:pPr>
        <w:spacing w:after="0" w:line="2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11"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firstLine="360"/>
        <w:spacing w:after="0" w:line="248" w:lineRule="auto"/>
        <w:rPr>
          <w:sz w:val="20"/>
          <w:szCs w:val="20"/>
          <w:color w:val="auto"/>
        </w:rPr>
      </w:pPr>
      <w:r>
        <w:rPr>
          <w:rFonts w:ascii="Arial" w:cs="Arial" w:eastAsia="Arial" w:hAnsi="Arial"/>
          <w:sz w:val="18"/>
          <w:szCs w:val="18"/>
          <w:color w:val="auto"/>
        </w:rPr>
        <w:t>In addition, if such purchases are made, the public “float” of our common stock or public warrants and the number of beneficial holders of our securities may be reduced, possibly making it difficult to obtain or maintain the quotation, listing or trading of our securities on a national securities exchange.</w:t>
      </w:r>
    </w:p>
    <w:p>
      <w:pPr>
        <w:spacing w:after="0" w:line="182" w:lineRule="exact"/>
        <w:rPr>
          <w:sz w:val="20"/>
          <w:szCs w:val="20"/>
          <w:color w:val="auto"/>
        </w:rPr>
      </w:pPr>
    </w:p>
    <w:p>
      <w:pPr>
        <w:jc w:val="both"/>
        <w:ind w:left="1260" w:right="939"/>
        <w:spacing w:after="0" w:line="248"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01" w:lineRule="exact"/>
        <w:rPr>
          <w:sz w:val="20"/>
          <w:szCs w:val="20"/>
          <w:color w:val="auto"/>
        </w:rPr>
      </w:pPr>
    </w:p>
    <w:p>
      <w:pPr>
        <w:ind w:left="1260" w:right="499" w:firstLine="360"/>
        <w:spacing w:after="0" w:line="236" w:lineRule="auto"/>
        <w:rPr>
          <w:sz w:val="20"/>
          <w:szCs w:val="20"/>
          <w:color w:val="auto"/>
        </w:rPr>
      </w:pPr>
      <w:r>
        <w:rPr>
          <w:rFonts w:ascii="Arial" w:cs="Arial" w:eastAsia="Arial" w:hAnsi="Arial"/>
          <w:sz w:val="18"/>
          <w:szCs w:val="18"/>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Redemption/Tender Rights.”</w:t>
      </w:r>
    </w:p>
    <w:p>
      <w:pPr>
        <w:spacing w:after="0" w:line="200"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14"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and (iii) the redemption of our public shares if we are unable to complete an initial business combination within</w:t>
      </w:r>
    </w:p>
    <w:p>
      <w:pPr>
        <w:spacing w:after="0" w:line="5"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12 months (or up to 18 months, as applicable)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You will not be entitled to protections normally afforded to investors of many other blank check companies.</w:t>
      </w:r>
    </w:p>
    <w:p>
      <w:pPr>
        <w:spacing w:after="0" w:line="181" w:lineRule="exact"/>
        <w:rPr>
          <w:sz w:val="20"/>
          <w:szCs w:val="20"/>
          <w:color w:val="auto"/>
        </w:rPr>
      </w:pPr>
    </w:p>
    <w:p>
      <w:pPr>
        <w:ind w:left="1260" w:right="519" w:firstLine="360"/>
        <w:spacing w:after="0" w:line="237" w:lineRule="auto"/>
        <w:rPr>
          <w:sz w:val="20"/>
          <w:szCs w:val="20"/>
          <w:color w:val="auto"/>
        </w:rPr>
      </w:pPr>
      <w:r>
        <w:rPr>
          <w:rFonts w:ascii="Arial" w:cs="Arial" w:eastAsia="Arial" w:hAnsi="Arial"/>
          <w:sz w:val="18"/>
          <w:szCs w:val="18"/>
          <w:color w:val="auto"/>
        </w:rPr>
        <w:t>Since the net proceeds of this offering and the sale of the private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either immediately prior to or upon the successful completion of this offering and the sale of the private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color w:val="auto"/>
        </w:rPr>
        <w:t>detailed comparison of our offering to offerings that comply with Rule 419, please see the section of this prospectus entitled “Proposed Business — Comparison to Offerings of Blank Check Companies Subject to Rule 419.”</w:t>
      </w:r>
    </w:p>
    <w:p>
      <w:pPr>
        <w:spacing w:after="0" w:line="182" w:lineRule="exact"/>
        <w:rPr>
          <w:sz w:val="20"/>
          <w:szCs w:val="20"/>
          <w:color w:val="auto"/>
        </w:rPr>
      </w:pPr>
    </w:p>
    <w:p>
      <w:pPr>
        <w:ind w:left="1260" w:right="539"/>
        <w:spacing w:after="0" w:line="368" w:lineRule="auto"/>
        <w:rPr>
          <w:sz w:val="20"/>
          <w:szCs w:val="20"/>
          <w:color w:val="auto"/>
        </w:rPr>
      </w:pPr>
      <w:r>
        <w:rPr>
          <w:rFonts w:ascii="Arial" w:cs="Arial" w:eastAsia="Arial" w:hAnsi="Arial"/>
          <w:sz w:val="13"/>
          <w:szCs w:val="13"/>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$10.15 per share on our redemption of our public shares, or less than such amount in certain circumstances, and our warrants will expire worthless.</w:t>
      </w:r>
    </w:p>
    <w:p>
      <w:pPr>
        <w:spacing w:after="0" w:line="28"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$10.15 per share, or less in certain circumstances,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below.</w:t>
      </w:r>
    </w:p>
    <w:p>
      <w:pPr>
        <w:spacing w:after="0" w:line="193" w:lineRule="exact"/>
        <w:rPr>
          <w:sz w:val="20"/>
          <w:szCs w:val="20"/>
          <w:color w:val="auto"/>
        </w:rPr>
      </w:pPr>
    </w:p>
    <w:p>
      <w:pPr>
        <w:jc w:val="both"/>
        <w:ind w:left="1260" w:right="519"/>
        <w:spacing w:after="0" w:line="279" w:lineRule="auto"/>
        <w:rPr>
          <w:sz w:val="20"/>
          <w:szCs w:val="20"/>
          <w:color w:val="auto"/>
        </w:rPr>
      </w:pPr>
      <w:r>
        <w:rPr>
          <w:rFonts w:ascii="Arial" w:cs="Arial" w:eastAsia="Arial" w:hAnsi="Arial"/>
          <w:sz w:val="16"/>
          <w:szCs w:val="16"/>
          <w:b w:val="1"/>
          <w:bCs w:val="1"/>
          <w:i w:val="1"/>
          <w:iCs w:val="1"/>
          <w:color w:val="auto"/>
        </w:rPr>
        <w:t>If the net proceeds of this offering, the sale of the private warrants not being held in the trust account and the loan committed by our sponsor for working capital are insufficient to allow us to operate for at least the next 12 months (or up to 18 months, as applicable), we may be unable to complete our initial business combination, in which case our public stockholders may only receive $10.15 per share, or less than such amount in certain circumstances, and our warrants will expire worthless.</w:t>
      </w:r>
    </w:p>
    <w:p>
      <w:pPr>
        <w:spacing w:after="0" w:line="92"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7"/>
          <w:szCs w:val="17"/>
          <w:color w:val="auto"/>
        </w:rPr>
        <w:t>The funds available to us outside of the trust account, together with the loan committed by our sponsor for working capital, may not be sufficient to allow us to operate for at least the next 12 months (or up to</w:t>
      </w:r>
    </w:p>
    <w:p>
      <w:pPr>
        <w:spacing w:after="0" w:line="1" w:lineRule="exact"/>
        <w:rPr>
          <w:sz w:val="20"/>
          <w:szCs w:val="20"/>
          <w:color w:val="auto"/>
        </w:rPr>
      </w:pPr>
    </w:p>
    <w:p>
      <w:pPr>
        <w:ind w:left="1260" w:right="439"/>
        <w:spacing w:after="0" w:line="235" w:lineRule="auto"/>
        <w:rPr>
          <w:sz w:val="20"/>
          <w:szCs w:val="20"/>
          <w:color w:val="auto"/>
        </w:rPr>
      </w:pPr>
      <w:r>
        <w:rPr>
          <w:rFonts w:ascii="Arial" w:cs="Arial" w:eastAsia="Arial" w:hAnsi="Arial"/>
          <w:sz w:val="18"/>
          <w:szCs w:val="18"/>
          <w:color w:val="auto"/>
        </w:rPr>
        <w:t>18 months, as applicable), assuming that our initial business combination is not completed during that time.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We believe that, upon closing of this offering, the funds available to us outside of the trust account, together with funds available from loans from our sponsor will be sufficient to allow us to operate for at least the next 12 months (or up to 18 months, as applicable);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 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approximately $10.15 per share, or less in certain circumstances,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below.</w:t>
      </w:r>
    </w:p>
    <w:p>
      <w:pPr>
        <w:spacing w:after="0" w:line="189" w:lineRule="exact"/>
        <w:rPr>
          <w:sz w:val="20"/>
          <w:szCs w:val="20"/>
          <w:color w:val="auto"/>
        </w:rPr>
      </w:pPr>
    </w:p>
    <w:p>
      <w:pPr>
        <w:ind w:left="1260" w:right="479"/>
        <w:spacing w:after="0" w:line="297" w:lineRule="auto"/>
        <w:rPr>
          <w:sz w:val="20"/>
          <w:szCs w:val="20"/>
          <w:color w:val="auto"/>
        </w:rPr>
      </w:pPr>
      <w:r>
        <w:rPr>
          <w:rFonts w:ascii="Arial" w:cs="Arial" w:eastAsia="Arial" w:hAnsi="Arial"/>
          <w:sz w:val="15"/>
          <w:szCs w:val="15"/>
          <w:b w:val="1"/>
          <w:bCs w:val="1"/>
          <w:i w:val="1"/>
          <w:iCs w:val="1"/>
          <w:color w:val="auto"/>
        </w:rPr>
        <w:t>If the net proceeds from this offering and the sale of the private warrants, not being held in the trust account, and the loan committed by our sponsor for working capital are insufficient, it could limit the amount available to fund our search for a target business or businesses and complete our initial business combination and we will depend on additional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69"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Of the net proceeds of this offering and the sale of the private warrants, only approximately $ 1,327,000 will be available to us initially outside the trust account to fund our working capital requirements. In the event that our offering expenses exceed our estimate of $575,000,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$575,000,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In order to finance transaction costs in connection with an intended initial business combination, our sponsor has committed up to $250,000 to be provided to us to fund our expenses relating to investigating and selecting a target business and other working capital requirements after this offering and prior to our initial business combination.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$10.15 per share on our redemption of our public shares,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89" w:lineRule="exact"/>
        <w:rPr>
          <w:sz w:val="20"/>
          <w:szCs w:val="20"/>
          <w:color w:val="auto"/>
        </w:rPr>
      </w:pPr>
    </w:p>
    <w:p>
      <w:pPr>
        <w:ind w:left="1260" w:right="499"/>
        <w:spacing w:after="0" w:line="389" w:lineRule="auto"/>
        <w:rPr>
          <w:sz w:val="20"/>
          <w:szCs w:val="20"/>
          <w:color w:val="auto"/>
        </w:rPr>
      </w:pPr>
      <w:r>
        <w:rPr>
          <w:rFonts w:ascii="Arial" w:cs="Arial" w:eastAsia="Arial" w:hAnsi="Arial"/>
          <w:sz w:val="13"/>
          <w:szCs w:val="13"/>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29"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9" w:lineRule="auto"/>
        <w:rPr>
          <w:sz w:val="20"/>
          <w:szCs w:val="20"/>
          <w:color w:val="auto"/>
        </w:rPr>
      </w:pPr>
      <w:r>
        <w:rPr>
          <w:rFonts w:ascii="Arial" w:cs="Arial" w:eastAsia="Arial" w:hAnsi="Arial"/>
          <w:sz w:val="18"/>
          <w:szCs w:val="18"/>
          <w:color w:val="auto"/>
        </w:rPr>
        <w:t>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91" w:lineRule="exact"/>
        <w:rPr>
          <w:sz w:val="20"/>
          <w:szCs w:val="20"/>
          <w:color w:val="auto"/>
        </w:rPr>
      </w:pPr>
    </w:p>
    <w:p>
      <w:pPr>
        <w:ind w:left="1260" w:right="659"/>
        <w:spacing w:after="0" w:line="324" w:lineRule="auto"/>
        <w:rPr>
          <w:sz w:val="20"/>
          <w:szCs w:val="20"/>
          <w:color w:val="auto"/>
        </w:rPr>
      </w:pPr>
      <w:r>
        <w:rPr>
          <w:rFonts w:ascii="Arial" w:cs="Arial" w:eastAsia="Arial" w:hAnsi="Arial"/>
          <w:sz w:val="16"/>
          <w:szCs w:val="16"/>
          <w:b w:val="1"/>
          <w:bCs w:val="1"/>
          <w:i w:val="1"/>
          <w:iCs w:val="1"/>
          <w:color w:val="auto"/>
        </w:rPr>
        <w:t>If third parties bring claims against us, the proceeds held in the trust account could be reduced and the per-share redemption amount received by stockholders may be less than $10.15 per share.</w:t>
      </w:r>
    </w:p>
    <w:p>
      <w:pPr>
        <w:spacing w:after="0" w:line="4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offering, will not execute agreements with us waiving such claims to the monies held in the trust account.</w:t>
      </w:r>
    </w:p>
    <w:p>
      <w:pPr>
        <w:spacing w:after="0" w:line="11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$10.15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324" w:lineRule="auto"/>
        <w:rPr>
          <w:sz w:val="20"/>
          <w:szCs w:val="20"/>
          <w:color w:val="auto"/>
        </w:rPr>
      </w:pPr>
      <w:r>
        <w:rPr>
          <w:rFonts w:ascii="Arial" w:cs="Arial" w:eastAsia="Arial" w:hAnsi="Arial"/>
          <w:sz w:val="16"/>
          <w:szCs w:val="16"/>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43"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In the event that the proceeds in the trust account are reduced below the lesser of (i) $10.15 per share and (ii) the actual amount per share held in the trust account as of the date of the liquidation of the trust account if less than $10.15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$10.15 per share.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6" w:lineRule="exact"/>
        <w:rPr>
          <w:sz w:val="20"/>
          <w:szCs w:val="20"/>
          <w:color w:val="auto"/>
        </w:rPr>
      </w:pPr>
    </w:p>
    <w:p>
      <w:pPr>
        <w:jc w:val="both"/>
        <w:ind w:left="1260" w:right="419"/>
        <w:spacing w:after="0" w:line="294" w:lineRule="auto"/>
        <w:rPr>
          <w:sz w:val="20"/>
          <w:szCs w:val="20"/>
          <w:color w:val="auto"/>
        </w:rPr>
      </w:pPr>
      <w:r>
        <w:rPr>
          <w:rFonts w:ascii="Arial" w:cs="Arial" w:eastAsia="Arial" w:hAnsi="Arial"/>
          <w:sz w:val="16"/>
          <w:szCs w:val="16"/>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66"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94" w:lineRule="exact"/>
        <w:rPr>
          <w:sz w:val="20"/>
          <w:szCs w:val="20"/>
          <w:color w:val="auto"/>
        </w:rPr>
      </w:pPr>
    </w:p>
    <w:p>
      <w:pPr>
        <w:ind w:left="1260" w:right="459"/>
        <w:spacing w:after="0" w:line="308"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7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7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12 months (or up to 18 months, as applicable)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12th month (or up to the 18th month, as applicable) from the closing of this offering in the event we do not complete our initial business combination and, therefore, we do not intend to comply with the foregoing procedures.</w:t>
      </w:r>
    </w:p>
    <w:p>
      <w:pPr>
        <w:spacing w:after="0" w:line="120"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12 months (or up to 18 months, as applicable)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0" w:lineRule="exact"/>
        <w:rPr>
          <w:sz w:val="20"/>
          <w:szCs w:val="20"/>
          <w:color w:val="auto"/>
        </w:rPr>
      </w:pPr>
    </w:p>
    <w:p>
      <w:pPr>
        <w:ind w:left="1260" w:right="1259"/>
        <w:spacing w:after="0" w:line="324" w:lineRule="auto"/>
        <w:rPr>
          <w:sz w:val="20"/>
          <w:szCs w:val="20"/>
          <w:color w:val="auto"/>
        </w:rPr>
      </w:pPr>
      <w:r>
        <w:rPr>
          <w:rFonts w:ascii="Arial" w:cs="Arial" w:eastAsia="Arial" w:hAnsi="Arial"/>
          <w:sz w:val="16"/>
          <w:szCs w:val="16"/>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4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5" w:lineRule="exact"/>
        <w:rPr>
          <w:sz w:val="20"/>
          <w:szCs w:val="20"/>
          <w:color w:val="auto"/>
        </w:rPr>
      </w:pPr>
    </w:p>
    <w:p>
      <w:pPr>
        <w:ind w:left="1260" w:right="459"/>
        <w:spacing w:after="0" w:line="294" w:lineRule="auto"/>
        <w:rPr>
          <w:sz w:val="20"/>
          <w:szCs w:val="20"/>
          <w:color w:val="auto"/>
        </w:rPr>
      </w:pPr>
      <w:r>
        <w:rPr>
          <w:rFonts w:ascii="Arial" w:cs="Arial" w:eastAsia="Arial" w:hAnsi="Arial"/>
          <w:sz w:val="16"/>
          <w:szCs w:val="16"/>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53"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We will seek to complete an initial business combination with an operating company in any industry or sector, though we intend to focus on the financial services, healthcare, real estate services, technology and</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software industries, except that we are not, under our amended and restated certificate of incorporation,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1"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We may seek business combination opportunities in industries or sectors which may or may not be outside of our management’s area of expertise.</w:t>
      </w:r>
    </w:p>
    <w:p>
      <w:pPr>
        <w:spacing w:after="0" w:line="9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200" w:lineRule="exact"/>
        <w:rPr>
          <w:sz w:val="20"/>
          <w:szCs w:val="20"/>
          <w:color w:val="auto"/>
        </w:rPr>
      </w:pPr>
    </w:p>
    <w:p>
      <w:pPr>
        <w:ind w:left="1260" w:right="539"/>
        <w:spacing w:after="0" w:line="308" w:lineRule="auto"/>
        <w:rPr>
          <w:sz w:val="20"/>
          <w:szCs w:val="20"/>
          <w:color w:val="auto"/>
        </w:rPr>
      </w:pPr>
      <w:r>
        <w:rPr>
          <w:rFonts w:ascii="Arial" w:cs="Arial" w:eastAsia="Arial" w:hAnsi="Arial"/>
          <w:sz w:val="15"/>
          <w:szCs w:val="15"/>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7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business does not meet our general criteria and guidelines. If we are unable to complete our initial business combination, our public stockholders may receive only approximately $10.15 per share, or less in certain circumstances, on the liquidation of our trust account and our warrants will expire worthless. In certain circumstances, our public stockholders may receive less than $10.15 per share on the redemption of their shares. See “ — If third parties bring claims against us, the proceeds held in the trust account could be reduced and the per-share redemption amount received by stockholders may be less than $10.15 per share” and other risk factors below.</w:t>
      </w:r>
    </w:p>
    <w:p>
      <w:pPr>
        <w:spacing w:after="0" w:line="191" w:lineRule="exact"/>
        <w:rPr>
          <w:sz w:val="20"/>
          <w:szCs w:val="20"/>
          <w:color w:val="auto"/>
        </w:rPr>
      </w:pPr>
    </w:p>
    <w:p>
      <w:pPr>
        <w:ind w:left="1260" w:right="439"/>
        <w:spacing w:after="0" w:line="294" w:lineRule="auto"/>
        <w:rPr>
          <w:sz w:val="20"/>
          <w:szCs w:val="20"/>
          <w:color w:val="auto"/>
        </w:rPr>
      </w:pPr>
      <w:r>
        <w:rPr>
          <w:rFonts w:ascii="Arial" w:cs="Arial" w:eastAsia="Arial" w:hAnsi="Arial"/>
          <w:sz w:val="16"/>
          <w:szCs w:val="16"/>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66"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8" w:lineRule="exact"/>
        <w:rPr>
          <w:sz w:val="20"/>
          <w:szCs w:val="20"/>
          <w:color w:val="auto"/>
        </w:rPr>
      </w:pPr>
    </w:p>
    <w:p>
      <w:pPr>
        <w:ind w:left="1260" w:right="619"/>
        <w:spacing w:after="0" w:line="322"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4" w:lineRule="exact"/>
        <w:rPr>
          <w:sz w:val="20"/>
          <w:szCs w:val="20"/>
          <w:color w:val="auto"/>
        </w:rPr>
      </w:pPr>
    </w:p>
    <w:p>
      <w:pPr>
        <w:ind w:left="1260" w:right="859"/>
        <w:spacing w:after="0" w:line="465" w:lineRule="auto"/>
        <w:rPr>
          <w:sz w:val="20"/>
          <w:szCs w:val="20"/>
          <w:color w:val="auto"/>
        </w:rPr>
      </w:pPr>
      <w:r>
        <w:rPr>
          <w:rFonts w:ascii="Arial" w:cs="Arial" w:eastAsia="Arial" w:hAnsi="Arial"/>
          <w:sz w:val="13"/>
          <w:szCs w:val="13"/>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199" w:lineRule="exact"/>
        <w:rPr>
          <w:sz w:val="20"/>
          <w:szCs w:val="20"/>
          <w:color w:val="auto"/>
        </w:rPr>
      </w:pPr>
    </w:p>
    <w:p>
      <w:pPr>
        <w:ind w:left="1260" w:right="539"/>
        <w:spacing w:after="0" w:line="263"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3" w:lineRule="exact"/>
        <w:rPr>
          <w:sz w:val="20"/>
          <w:szCs w:val="20"/>
          <w:color w:val="auto"/>
        </w:rPr>
      </w:pPr>
    </w:p>
    <w:p>
      <w:pPr>
        <w:ind w:left="1260" w:right="579" w:firstLine="360"/>
        <w:spacing w:after="0" w:line="30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92"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03"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Our amended and restated certificate of incorporation does not provide a specified maximum redemption threshold, however,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80" w:lineRule="exact"/>
        <w:rPr>
          <w:sz w:val="20"/>
          <w:szCs w:val="20"/>
          <w:color w:val="auto"/>
        </w:rPr>
      </w:pPr>
    </w:p>
    <w:p>
      <w:pPr>
        <w:ind w:left="1260" w:right="539"/>
        <w:spacing w:after="0" w:line="275" w:lineRule="auto"/>
        <w:rPr>
          <w:sz w:val="20"/>
          <w:szCs w:val="20"/>
          <w:color w:val="auto"/>
        </w:rPr>
      </w:pPr>
      <w:r>
        <w:rPr>
          <w:rFonts w:ascii="Arial" w:cs="Arial" w:eastAsia="Arial" w:hAnsi="Arial"/>
          <w:sz w:val="17"/>
          <w:szCs w:val="17"/>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0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a vote of holders of at least a majority of the public warrants.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99"/>
        <w:spacing w:after="0" w:line="261" w:lineRule="auto"/>
        <w:rPr>
          <w:sz w:val="20"/>
          <w:szCs w:val="20"/>
          <w:color w:val="auto"/>
        </w:rPr>
      </w:pPr>
      <w:r>
        <w:rPr>
          <w:rFonts w:ascii="Arial" w:cs="Arial" w:eastAsia="Arial" w:hAnsi="Arial"/>
          <w:sz w:val="18"/>
          <w:szCs w:val="18"/>
          <w:color w:val="auto"/>
        </w:rPr>
        <w:t>amend our charter or governing instruments or extend the time to consummate an initial business combination in order to effectuate our initial business combination.</w:t>
      </w:r>
    </w:p>
    <w:p>
      <w:pPr>
        <w:spacing w:after="0" w:line="171" w:lineRule="exact"/>
        <w:rPr>
          <w:sz w:val="20"/>
          <w:szCs w:val="20"/>
          <w:color w:val="auto"/>
        </w:rPr>
      </w:pPr>
    </w:p>
    <w:p>
      <w:pPr>
        <w:ind w:left="1260" w:right="479"/>
        <w:spacing w:after="0" w:line="293" w:lineRule="auto"/>
        <w:rPr>
          <w:sz w:val="20"/>
          <w:szCs w:val="20"/>
          <w:color w:val="auto"/>
        </w:rPr>
      </w:pPr>
      <w:r>
        <w:rPr>
          <w:rFonts w:ascii="Arial" w:cs="Arial" w:eastAsia="Arial" w:hAnsi="Arial"/>
          <w:sz w:val="15"/>
          <w:szCs w:val="15"/>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7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amended and restated certificate of incorporation provides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that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2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9"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1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combination and/or the terms of negotiated transactions to purchase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$10.15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$10.15 per share,” under certain circumstances our public stockholders may receive less than $10.15 per share upon the liquidation of the trust account.</w:t>
      </w:r>
    </w:p>
    <w:p>
      <w:pPr>
        <w:spacing w:after="0" w:line="183" w:lineRule="exact"/>
        <w:rPr>
          <w:sz w:val="20"/>
          <w:szCs w:val="20"/>
          <w:color w:val="auto"/>
        </w:rPr>
      </w:pPr>
    </w:p>
    <w:p>
      <w:pPr>
        <w:ind w:left="1260" w:right="579"/>
        <w:spacing w:after="0" w:line="324" w:lineRule="auto"/>
        <w:rPr>
          <w:sz w:val="20"/>
          <w:szCs w:val="20"/>
          <w:color w:val="auto"/>
        </w:rPr>
      </w:pPr>
      <w:r>
        <w:rPr>
          <w:rFonts w:ascii="Arial" w:cs="Arial" w:eastAsia="Arial" w:hAnsi="Arial"/>
          <w:sz w:val="16"/>
          <w:szCs w:val="16"/>
          <w:b w:val="1"/>
          <w:bCs w:val="1"/>
          <w:i w:val="1"/>
          <w:iCs w:val="1"/>
          <w:color w:val="auto"/>
        </w:rPr>
        <w:t>Our initial stockholders will hold a substantial interest in us. As a result, they may exert a substantial influence on actions requiring a stockholder vote, potentially in a manner that you do not support.</w:t>
      </w:r>
    </w:p>
    <w:p>
      <w:pPr>
        <w:spacing w:after="0" w:line="43"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Upon the closing of this offering, our initial stockholders will own shares representing 20% of our issued and outstanding shares of common stock (including the shares of common stock underlying the private warrants and assuming they do not purchase any units in this offering) .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units in this offering or any additional shares of common stock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w:t>
      </w:r>
    </w:p>
    <w:p>
      <w:pPr>
        <w:spacing w:after="0" w:line="1"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 Please see “Proposed Business — Stockholders May Not Have the Ability to Approve an Initial Business Combination.”</w:t>
      </w:r>
    </w:p>
    <w:p>
      <w:pPr>
        <w:spacing w:after="0" w:line="181" w:lineRule="exact"/>
        <w:rPr>
          <w:sz w:val="20"/>
          <w:szCs w:val="20"/>
          <w:color w:val="auto"/>
        </w:rPr>
      </w:pPr>
    </w:p>
    <w:p>
      <w:pPr>
        <w:ind w:left="1260" w:right="519"/>
        <w:spacing w:after="0" w:line="259" w:lineRule="auto"/>
        <w:rPr>
          <w:sz w:val="20"/>
          <w:szCs w:val="20"/>
          <w:color w:val="auto"/>
        </w:rPr>
      </w:pPr>
      <w:r>
        <w:rPr>
          <w:rFonts w:ascii="Arial" w:cs="Arial" w:eastAsia="Arial" w:hAnsi="Arial"/>
          <w:sz w:val="17"/>
          <w:szCs w:val="17"/>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$10.15 per share, or less than such amount in certain circumstances, on the liquidation of our trust account and our warrants will expire worthless.</w:t>
      </w:r>
    </w:p>
    <w:p>
      <w:pPr>
        <w:spacing w:after="0" w:line="10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$ 10.15 per share, or less in certain circumstances, on the liquidation of our trust account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79"/>
        <w:spacing w:after="0" w:line="266"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75"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7"/>
          <w:szCs w:val="17"/>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9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2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 -combination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191" w:lineRule="exact"/>
        <w:rPr>
          <w:sz w:val="20"/>
          <w:szCs w:val="20"/>
          <w:color w:val="auto"/>
        </w:rPr>
      </w:pPr>
    </w:p>
    <w:p>
      <w:pPr>
        <w:ind w:left="1260" w:right="1139"/>
        <w:spacing w:after="0" w:line="324" w:lineRule="auto"/>
        <w:rPr>
          <w:sz w:val="20"/>
          <w:szCs w:val="20"/>
          <w:color w:val="auto"/>
        </w:rPr>
      </w:pPr>
      <w:r>
        <w:rPr>
          <w:rFonts w:ascii="Arial" w:cs="Arial" w:eastAsia="Arial" w:hAnsi="Arial"/>
          <w:sz w:val="16"/>
          <w:szCs w:val="16"/>
          <w:b w:val="1"/>
          <w:bCs w:val="1"/>
          <w:i w:val="1"/>
          <w:iCs w:val="1"/>
          <w:color w:val="auto"/>
        </w:rPr>
        <w:t>Unlike other blank check companies, we may extend the time to complete a business combination by up to six months without a stockholder vote or your ability to redeem your shares.</w:t>
      </w:r>
    </w:p>
    <w:p>
      <w:pPr>
        <w:spacing w:after="0" w:line="5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 xml:space="preserve">We will have until 12 months from the closing of this offering to consummate an initial business combination. However, unlike other similarly structured blank check companies,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8"/>
          <w:szCs w:val="18"/>
          <w:i w:val="1"/>
          <w:iCs w:val="1"/>
          <w:color w:val="auto"/>
        </w:rPr>
        <w:t>provided that</w:t>
      </w:r>
      <w:r>
        <w:rPr>
          <w:rFonts w:ascii="Arial" w:cs="Arial" w:eastAsia="Arial" w:hAnsi="Arial"/>
          <w:sz w:val="18"/>
          <w:szCs w:val="18"/>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w:t>
      </w:r>
    </w:p>
    <w:p>
      <w:pPr>
        <w:spacing w:after="0" w:line="189"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07" w:lineRule="exact"/>
        <w:rPr>
          <w:sz w:val="20"/>
          <w:szCs w:val="20"/>
          <w:color w:val="auto"/>
        </w:rPr>
      </w:pPr>
    </w:p>
    <w:p>
      <w:pPr>
        <w:ind w:left="1260" w:right="839" w:firstLine="360"/>
        <w:spacing w:after="0" w:line="324"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62" w:lineRule="auto"/>
        <w:rPr>
          <w:sz w:val="20"/>
          <w:szCs w:val="20"/>
          <w:color w:val="auto"/>
        </w:rPr>
      </w:pPr>
      <w:r>
        <w:rPr>
          <w:rFonts w:ascii="Arial" w:cs="Arial" w:eastAsia="Arial" w:hAnsi="Arial"/>
          <w:sz w:val="17"/>
          <w:szCs w:val="17"/>
          <w:color w:val="auto"/>
        </w:rPr>
        <w:t>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9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 business combination. This could increase the cost of, delay or otherwise complicate or frustrate our ability to find a suitable target for and/or complete our initial business combination.</w:t>
      </w:r>
    </w:p>
    <w:p>
      <w:pPr>
        <w:spacing w:after="0" w:line="194"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0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recent months,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122"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10"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91" w:lineRule="exact"/>
        <w:rPr>
          <w:sz w:val="20"/>
          <w:szCs w:val="20"/>
          <w:color w:val="auto"/>
        </w:rPr>
      </w:pPr>
    </w:p>
    <w:p>
      <w:pPr>
        <w:ind w:left="1260" w:right="539"/>
        <w:spacing w:after="0" w:line="362" w:lineRule="auto"/>
        <w:rPr>
          <w:sz w:val="20"/>
          <w:szCs w:val="20"/>
          <w:color w:val="auto"/>
        </w:rPr>
      </w:pPr>
      <w:r>
        <w:rPr>
          <w:rFonts w:ascii="Arial" w:cs="Arial" w:eastAsia="Arial" w:hAnsi="Arial"/>
          <w:sz w:val="15"/>
          <w:szCs w:val="15"/>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33"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22"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0" w:lineRule="exact"/>
        <w:rPr>
          <w:sz w:val="20"/>
          <w:szCs w:val="20"/>
          <w:color w:val="auto"/>
        </w:rPr>
      </w:pPr>
    </w:p>
    <w:p>
      <w:pPr>
        <w:ind w:left="1800" w:right="6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and trade barriers;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7" w:lineRule="exact"/>
        <w:rPr>
          <w:sz w:val="20"/>
          <w:szCs w:val="20"/>
          <w:color w:val="auto"/>
        </w:rPr>
      </w:pPr>
    </w:p>
    <w:p>
      <w:pPr>
        <w:ind w:left="1260" w:right="459"/>
        <w:spacing w:after="0" w:line="465" w:lineRule="auto"/>
        <w:rPr>
          <w:sz w:val="20"/>
          <w:szCs w:val="20"/>
          <w:color w:val="auto"/>
        </w:rPr>
      </w:pPr>
      <w:r>
        <w:rPr>
          <w:rFonts w:ascii="Arial" w:cs="Arial" w:eastAsia="Arial" w:hAnsi="Arial"/>
          <w:sz w:val="13"/>
          <w:szCs w:val="13"/>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92"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00" w:lineRule="exact"/>
        <w:rPr>
          <w:sz w:val="20"/>
          <w:szCs w:val="20"/>
          <w:color w:val="auto"/>
        </w:rPr>
      </w:pPr>
    </w:p>
    <w:p>
      <w:pPr>
        <w:ind w:left="1800" w:right="57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62" w:lineRule="exact"/>
        <w:rPr>
          <w:rFonts w:ascii="Arial" w:cs="Arial" w:eastAsia="Arial" w:hAnsi="Arial"/>
          <w:sz w:val="18"/>
          <w:szCs w:val="18"/>
          <w:color w:val="auto"/>
        </w:rPr>
      </w:pPr>
    </w:p>
    <w:p>
      <w:pPr>
        <w:ind w:left="1800" w:right="1139" w:hanging="180"/>
        <w:spacing w:after="0" w:line="308"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hanging="180"/>
        <w:spacing w:after="0" w:line="311" w:lineRule="auto"/>
        <w:tabs>
          <w:tab w:leader="none" w:pos="1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40" w:lineRule="exact"/>
        <w:rPr>
          <w:rFonts w:ascii="Arial" w:cs="Arial" w:eastAsia="Arial" w:hAnsi="Arial"/>
          <w:sz w:val="16"/>
          <w:szCs w:val="16"/>
          <w:color w:val="auto"/>
        </w:rPr>
      </w:pPr>
    </w:p>
    <w:p>
      <w:pPr>
        <w:ind w:left="1800" w:right="95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4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800" w:right="1279" w:hanging="180"/>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and execution of our strategy; and</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5"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the net proceeds from this offering and the sale of the private warrants, $111,650,000 (or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$128,397,500 if the underwriters’ over-allotment option is exercised in full) will be available to complete</w:t>
      </w:r>
    </w:p>
    <w:p>
      <w:pPr>
        <w:ind w:left="1260"/>
        <w:spacing w:after="0"/>
        <w:rPr>
          <w:sz w:val="20"/>
          <w:szCs w:val="20"/>
          <w:color w:val="auto"/>
        </w:rPr>
      </w:pPr>
      <w:r>
        <w:rPr>
          <w:rFonts w:ascii="Arial" w:cs="Arial" w:eastAsia="Arial" w:hAnsi="Arial"/>
          <w:sz w:val="18"/>
          <w:szCs w:val="18"/>
          <w:color w:val="auto"/>
        </w:rPr>
        <w:t>our initial business combination and pay related fees and expenses.</w:t>
      </w:r>
    </w:p>
    <w:p>
      <w:pPr>
        <w:spacing w:after="0" w:line="11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85"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17"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4" w:lineRule="exact"/>
        <w:rPr>
          <w:sz w:val="20"/>
          <w:szCs w:val="20"/>
          <w:color w:val="auto"/>
        </w:rPr>
      </w:pPr>
    </w:p>
    <w:p>
      <w:pPr>
        <w:ind w:left="1260" w:right="559"/>
        <w:spacing w:after="0" w:line="286"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8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87"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9"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90"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connection with our initial business combination, we may issue shares to investors in private placement transactions (so-called PIPE transactions) at a price of $10.15 per share or which approximates the per-share amounts in our trust account at such time, which is generally approximately $10.15.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91" w:lineRule="exact"/>
        <w:rPr>
          <w:sz w:val="20"/>
          <w:szCs w:val="20"/>
          <w:color w:val="auto"/>
        </w:rPr>
      </w:pPr>
    </w:p>
    <w:p>
      <w:pPr>
        <w:ind w:left="1620" w:hanging="360"/>
        <w:spacing w:after="0"/>
        <w:tabs>
          <w:tab w:leader="none" w:pos="1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Chardan, our Sponsor and Management Team</w:t>
      </w:r>
    </w:p>
    <w:p>
      <w:pPr>
        <w:spacing w:after="0" w:line="229" w:lineRule="exact"/>
        <w:rPr>
          <w:sz w:val="20"/>
          <w:szCs w:val="20"/>
          <w:color w:val="auto"/>
        </w:rPr>
      </w:pPr>
    </w:p>
    <w:p>
      <w:pPr>
        <w:jc w:val="both"/>
        <w:ind w:left="1260" w:right="579"/>
        <w:spacing w:after="0" w:line="389" w:lineRule="auto"/>
        <w:rPr>
          <w:sz w:val="20"/>
          <w:szCs w:val="20"/>
          <w:color w:val="auto"/>
        </w:rPr>
      </w:pPr>
      <w:r>
        <w:rPr>
          <w:rFonts w:ascii="Arial" w:cs="Arial" w:eastAsia="Arial" w:hAnsi="Arial"/>
          <w:sz w:val="13"/>
          <w:szCs w:val="13"/>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dependent upon our officers and directors and their departure could adversely affect our ability to operate.</w:t>
      </w:r>
    </w:p>
    <w:p>
      <w:pPr>
        <w:spacing w:after="0" w:line="15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74"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b w:val="1"/>
          <w:bCs w:val="1"/>
          <w:i w:val="1"/>
          <w:i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83" w:lineRule="exact"/>
        <w:rPr>
          <w:sz w:val="20"/>
          <w:szCs w:val="20"/>
          <w:color w:val="auto"/>
        </w:rPr>
      </w:pPr>
    </w:p>
    <w:p>
      <w:pPr>
        <w:ind w:left="1260" w:right="519" w:firstLine="360"/>
        <w:spacing w:after="0" w:line="324"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common stock being held by our sponsor. On August 10, 2021, we effectuated a 1.1-for-1 stock split, resulting in an aggregate of 3,162,500 founder shares outstanding. Such founder shares include an aggregate of up to 412,500 shares that are subject to forfeiture to the extent that the underwriters’ over-allotment option is not exercised in full or in part. The number of founder shares issued was determined based on the expectation that such founder shares would represent 20% of the outstanding shares after this offering. The founder shares will be worthless if we do not complete an initial business combination. In addition, Chardan NexTech 2 Warrant Holdings LLC, an affiliate of our sponsor, has committed to purchase 4,361,456 warrants (or up to 4,627,858 warrants depending on the extent to which the underwriters’ over-allotment option is exercised) at a price of approximately $0.93 per warrant ($4,052,000 (or up to $4,299,500 depending on the extent to which the underwriters’ over-allotment option is exercised)) that will also be worthless if we do not consummate our initial business combination. Holders of founder shares and private warrants have agreed (A) to vote any shares owned by them in favor of any proposed initial business combination and (B) not to redeem any founder shares in connection with a stockholder vote to approve a proposed initial business combination. In addition, any loans from our sponsor will not be repaid if our business combination is not consummated.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207" w:lineRule="exact"/>
        <w:rPr>
          <w:sz w:val="20"/>
          <w:szCs w:val="20"/>
          <w:color w:val="auto"/>
        </w:rPr>
      </w:pPr>
    </w:p>
    <w:p>
      <w:pPr>
        <w:ind w:left="1260" w:right="519"/>
        <w:spacing w:after="0" w:line="301" w:lineRule="auto"/>
        <w:rPr>
          <w:sz w:val="20"/>
          <w:szCs w:val="20"/>
          <w:color w:val="auto"/>
        </w:rPr>
      </w:pPr>
      <w:r>
        <w:rPr>
          <w:rFonts w:ascii="Arial" w:cs="Arial" w:eastAsia="Arial" w:hAnsi="Arial"/>
          <w:sz w:val="16"/>
          <w:szCs w:val="16"/>
          <w:b w:val="1"/>
          <w:bCs w:val="1"/>
          <w:i w:val="1"/>
          <w:iCs w:val="1"/>
          <w:color w:val="auto"/>
        </w:rPr>
        <w:t>Since our officers and directors will not be eligible to be reimbursed for their out-of-pocket expenses, and our sponsor will not be eligible to be repaid for loans our sponsor has provided to us, if our business combination is not completed, a conflict of interest may arise in determining whether a particular business combination target is appropriate for our initial business combination.</w:t>
      </w:r>
    </w:p>
    <w:p>
      <w:pPr>
        <w:spacing w:after="0" w:line="7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out-of-pocket expenses incurred in connection with activities on our behalf. In addition, at the closing of our initial business combination, our sponsor will be repaid an aggregate of up to $250,000 in loans, which our sponsor has committed to cover working capital costs and to finance transaction costs in connection with an intended initial business combination following this offering, in addition to any additional loans our sponsor chooses to make. These financial interests of our sponsor, officers and directors may influence their motivation in identifying and selecting a target business combination and completing an initial business combination.</w:t>
      </w:r>
    </w:p>
    <w:p>
      <w:pPr>
        <w:spacing w:after="0" w:line="192" w:lineRule="exact"/>
        <w:rPr>
          <w:sz w:val="20"/>
          <w:szCs w:val="20"/>
          <w:color w:val="auto"/>
        </w:rPr>
      </w:pPr>
    </w:p>
    <w:p>
      <w:pPr>
        <w:ind w:left="1260" w:right="459"/>
        <w:spacing w:after="0" w:line="286"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9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and Officers.”</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106"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1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an officer or director of any other special purpose acquisition company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27"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pacing w:after="0" w:line="111"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3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7"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103"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or we may acquire a target business through an Affiliated Joint Acquisition with one or more affiliates of Chardan. We do not have a policy that expressly prohibits any</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such persons from engaging for their own account in business activities of the types conducted by us.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Accordingly, such persons or entities may have a conflict between their interests and ours.</w:t>
      </w:r>
    </w:p>
    <w:p>
      <w:pPr>
        <w:spacing w:after="0" w:line="11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174"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14"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In light of the involvement of our sponsor, officers and directors with other businesses, we may decide to acquire one or more businesses affiliated or competitive with our sponsor, officers or directors or their respective affiliates. Our officers and directors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Effecting a Business Combination — Selection of a Target Business and Structuring of a Business Combination” and such transaction was approved by a majority of our independent and disinterested directors. Despite our agreement to obtain an opinion from an independent investment banking firm or another independent firm that commonly renders valuation opinions regarding the fairness to our stockholders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 In order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may acquire a target business through an Affiliated Joint Acquisition with one or more affiliates of Chardan.</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This may result in conflicts of interest as well as dilutive issuances of our securities.</w:t>
      </w:r>
    </w:p>
    <w:p>
      <w:pPr>
        <w:spacing w:after="0" w:line="14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92" w:lineRule="exact"/>
        <w:rPr>
          <w:sz w:val="20"/>
          <w:szCs w:val="20"/>
          <w:color w:val="auto"/>
        </w:rPr>
      </w:pPr>
    </w:p>
    <w:p>
      <w:pPr>
        <w:ind w:left="1260" w:right="939"/>
        <w:spacing w:after="0" w:line="308" w:lineRule="auto"/>
        <w:rPr>
          <w:sz w:val="20"/>
          <w:szCs w:val="20"/>
          <w:color w:val="auto"/>
        </w:rPr>
      </w:pPr>
      <w:r>
        <w:rPr>
          <w:rFonts w:ascii="Arial" w:cs="Arial" w:eastAsia="Arial" w:hAnsi="Arial"/>
          <w:sz w:val="17"/>
          <w:szCs w:val="17"/>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65"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7" w:lineRule="auto"/>
        <w:rPr>
          <w:sz w:val="20"/>
          <w:szCs w:val="20"/>
          <w:color w:val="auto"/>
        </w:rPr>
      </w:pPr>
      <w:r>
        <w:rPr>
          <w:rFonts w:ascii="Arial" w:cs="Arial" w:eastAsia="Arial" w:hAnsi="Arial"/>
          <w:sz w:val="18"/>
          <w:szCs w:val="18"/>
          <w:color w:val="auto"/>
        </w:rPr>
        <w:t>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business and none of our affiliates are required to refer any such opportunities to us. Our sponsor and its affiliates face conflicts of interest relating to performing services on our behalf and 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w:t>
      </w:r>
    </w:p>
    <w:p>
      <w:pPr>
        <w:spacing w:after="0" w:line="179"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III. Risks Relating to our Securities</w:t>
      </w:r>
    </w:p>
    <w:p>
      <w:pPr>
        <w:spacing w:after="0" w:line="229" w:lineRule="exact"/>
        <w:rPr>
          <w:sz w:val="20"/>
          <w:szCs w:val="20"/>
          <w:color w:val="auto"/>
        </w:rPr>
      </w:pPr>
    </w:p>
    <w:p>
      <w:pPr>
        <w:ind w:left="1260" w:right="479"/>
        <w:spacing w:after="0" w:line="322" w:lineRule="auto"/>
        <w:rPr>
          <w:sz w:val="20"/>
          <w:szCs w:val="20"/>
          <w:color w:val="auto"/>
        </w:rPr>
      </w:pPr>
      <w:r>
        <w:rPr>
          <w:rFonts w:ascii="Arial" w:cs="Arial" w:eastAsia="Arial" w:hAnsi="Arial"/>
          <w:sz w:val="15"/>
          <w:szCs w:val="15"/>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stockholders may be less than $10.15 per share.</w:t>
      </w:r>
    </w:p>
    <w:p>
      <w:pPr>
        <w:spacing w:after="0" w:line="6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net proceeds of this offering and certain proceeds from the sale of the private placement warrants, in the amount of $111,650,000 (or $128,397,500 if the over-allotment option is exercised in full), will be held in an interest-bearing trust account. The proceeds held in the trust account may only be invested only in U.S. government treasury bills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our public stockholders are entitled to receive their pro-rata share of the proceeds then held in the trust account, plus any interest income (less up to $100,000 of interest to pay dissolution expenses). If the balance of the trust account is reduced below $111,650,000 (or $128,397,500 if the over-allotment option is exercised in full) as a result of negative interest rates, the amount of funds in the trust account available for distribution to our public stockholders may be reduced below $10.15 per share.</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76"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31"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8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1"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w:t>
      </w:r>
    </w:p>
    <w:p>
      <w:pPr>
        <w:spacing w:after="0" w:line="114"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or</w:t>
      </w:r>
    </w:p>
    <w:p>
      <w:pPr>
        <w:spacing w:after="0" w:line="4" w:lineRule="exact"/>
        <w:rPr>
          <w:sz w:val="20"/>
          <w:szCs w:val="20"/>
          <w:color w:val="auto"/>
        </w:rPr>
      </w:pPr>
    </w:p>
    <w:p>
      <w:pPr>
        <w:ind w:left="1260" w:right="419"/>
        <w:spacing w:after="0" w:line="268" w:lineRule="auto"/>
        <w:tabs>
          <w:tab w:leader="none" w:pos="1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absent an initial business combination within 12 months (or up to 18 months, as applicable)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$10.15 per share, or less in certain circumstances, on the liquidation of our trust account and our warrants will expire worthless.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spacing w:after="0" w:line="322"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4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9" w:lineRule="exact"/>
        <w:rPr>
          <w:sz w:val="20"/>
          <w:szCs w:val="20"/>
          <w:color w:val="auto"/>
        </w:rPr>
      </w:pPr>
    </w:p>
    <w:p>
      <w:pPr>
        <w:ind w:left="1260" w:right="1119"/>
        <w:spacing w:after="0" w:line="324" w:lineRule="auto"/>
        <w:rPr>
          <w:sz w:val="20"/>
          <w:szCs w:val="20"/>
          <w:color w:val="auto"/>
        </w:rPr>
      </w:pPr>
      <w:r>
        <w:rPr>
          <w:rFonts w:ascii="Arial" w:cs="Arial" w:eastAsia="Arial" w:hAnsi="Arial"/>
          <w:sz w:val="16"/>
          <w:szCs w:val="16"/>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5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Our units will be listed on Nasdaq on or promptly after the date of this prospectus. Following the date the shares of our common stock and warrants are eligible to trade separately, we anticipate that the shares of our common stock and warrants will be separately listed on Nasdaq. Although after giving effect to this offering we expect to meet, on a pro forma basis, the minimum initial listing standards set forth in the Nasdaq listing standards,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18"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42"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our units are, and we expect that eventually our common stock and warrants will, be listed on Nasdaq, our units, common stock and warrants will be covered securities. Although the states are preempted</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91" w:lineRule="exact"/>
        <w:rPr>
          <w:sz w:val="20"/>
          <w:szCs w:val="20"/>
          <w:color w:val="auto"/>
        </w:rPr>
      </w:pPr>
    </w:p>
    <w:p>
      <w:pPr>
        <w:ind w:left="1260" w:right="539"/>
        <w:spacing w:after="0" w:line="324" w:lineRule="auto"/>
        <w:rPr>
          <w:sz w:val="20"/>
          <w:szCs w:val="20"/>
          <w:color w:val="auto"/>
        </w:rPr>
      </w:pPr>
      <w:r>
        <w:rPr>
          <w:rFonts w:ascii="Arial" w:cs="Arial" w:eastAsia="Arial" w:hAnsi="Arial"/>
          <w:sz w:val="16"/>
          <w:szCs w:val="16"/>
          <w:b w:val="1"/>
          <w:bCs w:val="1"/>
          <w:i w:val="1"/>
          <w:iCs w:val="1"/>
          <w:color w:val="auto"/>
        </w:rPr>
        <w:t>Our sponsor paid an aggregate of $25,000, or approximately $0.0079 per founder share, and, accordingly, you will experience immediate and substantial dilution from the purchase of the founder shares.</w:t>
      </w:r>
    </w:p>
    <w:p>
      <w:pPr>
        <w:spacing w:after="0" w:line="4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common stock and none to the warrant included in the unit) and the pro forma net tangible book value per share of our common stock after this offering constitutes the dilution to you and the other investors in this offering. Our initial stockholders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85.3% (or $8.53 per share, assuming no exercise of the underwriters’ over-allotment option), the difference between the pro forma net tangible book value per share of $1.47 and the initial offering price of $10.00 per unit. In addition, because of the anti-dilution rights of the founder shares, any equity or equity-linked securities issued or deemed issued in connection with our initial business combination would be disproportionately dilutive to our common stock.</w:t>
      </w:r>
    </w:p>
    <w:p>
      <w:pPr>
        <w:spacing w:after="0" w:line="186" w:lineRule="exact"/>
        <w:rPr>
          <w:sz w:val="20"/>
          <w:szCs w:val="20"/>
          <w:color w:val="auto"/>
        </w:rPr>
      </w:pPr>
    </w:p>
    <w:p>
      <w:pPr>
        <w:jc w:val="both"/>
        <w:ind w:left="1260" w:right="499"/>
        <w:spacing w:after="0" w:line="294" w:lineRule="auto"/>
        <w:rPr>
          <w:sz w:val="20"/>
          <w:szCs w:val="20"/>
          <w:color w:val="auto"/>
        </w:rPr>
      </w:pPr>
      <w:r>
        <w:rPr>
          <w:rFonts w:ascii="Arial" w:cs="Arial" w:eastAsia="Arial" w:hAnsi="Arial"/>
          <w:sz w:val="16"/>
          <w:szCs w:val="16"/>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the interest of our stockholders and likely present other risks.</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amended and restated certificate of incorporation will authorize the issuance of up to 50,000,000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of common stock, par value $0.0001 per share, and 1,000,000 shares of preferred stock, par value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$0.0001 per share. Immediately after this offering, there will be 36,250,000 (assuming that the underwriters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have not exercised their over-allotment option) authorized but unissued shares of common stock, which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amount takes into account the shares of common stock reserved for issuance upon exercise of outstanding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warrants. Immediately after the consummation of this offering, there will be no shares of preferred stock</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issued and outstanding.</w:t>
      </w:r>
    </w:p>
    <w:p>
      <w:pPr>
        <w:spacing w:after="0" w:line="12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may issue a substantial number of additional shares of common or preferred stock to complete our initial business combination (including pursuant to a specified future issuance) or under an employee incentive plan after completion of our initial business combination (although our amended and restated certificate of incorporation provides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provides,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These provisions of our amended and restated certificate of incorporation, like all provisions of our amended and restated certificate of incorporation, may be amended with the approval of our stockholders. However, our officers and directors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color w:val="auto"/>
        </w:rPr>
        <w:t>the trust account, including interest (which interest shall be net of taxes payable), divided by the number of then outstanding public shares.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117"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30"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62"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ind w:left="1260" w:right="519"/>
        <w:spacing w:after="0" w:line="279" w:lineRule="auto"/>
        <w:rPr>
          <w:sz w:val="20"/>
          <w:szCs w:val="20"/>
          <w:color w:val="auto"/>
        </w:rPr>
      </w:pPr>
      <w:r>
        <w:rPr>
          <w:rFonts w:ascii="Arial" w:cs="Arial" w:eastAsia="Arial" w:hAnsi="Arial"/>
          <w:sz w:val="17"/>
          <w:szCs w:val="17"/>
          <w:b w:val="1"/>
          <w:bCs w:val="1"/>
          <w:i w:val="1"/>
          <w:iCs w:val="1"/>
          <w:color w:val="auto"/>
        </w:rPr>
        <w:t>We are registering the offer and sale of the shares of common stock underlying the public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90"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Under the terms of the warrant agreement, we have agreed that as soon as practicable, but in no event later than 15 business days after the closing of our initial business combination, we will use our commercially reasonable best efforts to file with the SEC a registration statement for the registration under the Securities Act of the offer and sale of the shares of common stock issuable upon exercise of the warrants and thereafter will use our commercially reasonable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w:t>
      </w:r>
    </w:p>
    <w:p>
      <w:pPr>
        <w:spacing w:after="0" w:line="3" w:lineRule="exact"/>
        <w:rPr>
          <w:sz w:val="20"/>
          <w:szCs w:val="20"/>
          <w:color w:val="auto"/>
        </w:rPr>
      </w:pPr>
    </w:p>
    <w:p>
      <w:pPr>
        <w:ind w:left="1260" w:right="439"/>
        <w:spacing w:after="0" w:line="266" w:lineRule="auto"/>
        <w:tabs>
          <w:tab w:leader="none" w:pos="1529" w:val="left"/>
        </w:tabs>
        <w:numPr>
          <w:ilvl w:val="0"/>
          <w:numId w:val="27"/>
        </w:numPr>
        <w:rPr>
          <w:rFonts w:ascii="Arial" w:cs="Arial" w:eastAsia="Arial" w:hAnsi="Arial"/>
          <w:sz w:val="17"/>
          <w:szCs w:val="17"/>
          <w:color w:val="auto"/>
        </w:rPr>
      </w:pPr>
      <w:r>
        <w:rPr>
          <w:rFonts w:ascii="Arial" w:cs="Arial" w:eastAsia="Arial" w:hAnsi="Arial"/>
          <w:sz w:val="17"/>
          <w:szCs w:val="17"/>
          <w:color w:val="auto"/>
        </w:rPr>
        <w:t>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90"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91" w:lineRule="exact"/>
        <w:rPr>
          <w:sz w:val="20"/>
          <w:szCs w:val="20"/>
          <w:color w:val="auto"/>
        </w:rPr>
      </w:pPr>
    </w:p>
    <w:p>
      <w:pPr>
        <w:ind w:left="1260" w:right="559"/>
        <w:spacing w:after="0" w:line="248" w:lineRule="auto"/>
        <w:rPr>
          <w:sz w:val="20"/>
          <w:szCs w:val="20"/>
          <w:color w:val="auto"/>
        </w:rPr>
      </w:pPr>
      <w:r>
        <w:rPr>
          <w:rFonts w:ascii="Arial" w:cs="Arial" w:eastAsia="Arial" w:hAnsi="Arial"/>
          <w:sz w:val="18"/>
          <w:szCs w:val="18"/>
          <w:b w:val="1"/>
          <w:bCs w:val="1"/>
          <w:i w:val="1"/>
          <w:iCs w:val="1"/>
          <w:color w:val="auto"/>
        </w:rPr>
        <w:t>Since our sponsor paid only approximately $0.0079 per share for the founder shares, certain of our officers and directors could potentially make a substantial profit even if we acquire a target business that subsequently declines in value.</w:t>
      </w:r>
    </w:p>
    <w:p>
      <w:pPr>
        <w:spacing w:after="0" w:line="11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July 2020, we issued 1,000,000 founder shares to our sponsor in exchange for a capital contribution of $25,000. In March and August 2021, we effected a 2.875-for-1 stock split and a 1.1- for-1 stock split respectively, resulting in 3,162,500 founder shares outstanding upon completion of the stock split in August 2021, resulting in a purchase price of approximately $0.0079 per share. Certain of our officers and directors have a significant economic interest in our sponsor. As a result, the low acquisition cost of the founder shares creates an economic incentive whereby our officers and directors could potentially make a substantial profit even if we complete a business combination with a target business that subsequently declines in value and is unprofitable for public investors.</w:t>
      </w:r>
    </w:p>
    <w:p>
      <w:pPr>
        <w:spacing w:after="0" w:line="194" w:lineRule="exact"/>
        <w:rPr>
          <w:sz w:val="20"/>
          <w:szCs w:val="20"/>
          <w:color w:val="auto"/>
        </w:rPr>
      </w:pPr>
    </w:p>
    <w:p>
      <w:pPr>
        <w:ind w:left="1260" w:right="779"/>
        <w:spacing w:after="0" w:line="362" w:lineRule="auto"/>
        <w:rPr>
          <w:sz w:val="20"/>
          <w:szCs w:val="20"/>
          <w:color w:val="auto"/>
        </w:rPr>
      </w:pPr>
      <w:r>
        <w:rPr>
          <w:rFonts w:ascii="Arial" w:cs="Arial" w:eastAsia="Arial" w:hAnsi="Arial"/>
          <w:sz w:val="15"/>
          <w:szCs w:val="15"/>
          <w:b w:val="1"/>
          <w:bCs w:val="1"/>
          <w:i w:val="1"/>
          <w:iCs w:val="1"/>
          <w:color w:val="auto"/>
        </w:rPr>
        <w:t>The nominal purchase price paid by our sponsor for the founder shares may result in significant dilution to the implied value of your public shares upon the consummation of our initial business combination.</w:t>
      </w:r>
    </w:p>
    <w:p>
      <w:pPr>
        <w:spacing w:after="0" w:line="3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are offering our units at an offering price of $10.00 per unit, implying an initial value of $10.00 per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public share. However, prior to this offering, our sponsor paid a nominal aggregate purchase price of</w:t>
      </w:r>
    </w:p>
    <w:p>
      <w:pPr>
        <w:ind w:left="1260"/>
        <w:spacing w:after="0"/>
        <w:rPr>
          <w:sz w:val="20"/>
          <w:szCs w:val="20"/>
          <w:color w:val="auto"/>
        </w:rPr>
      </w:pPr>
      <w:r>
        <w:rPr>
          <w:rFonts w:ascii="Arial" w:cs="Arial" w:eastAsia="Arial" w:hAnsi="Arial"/>
          <w:sz w:val="17"/>
          <w:szCs w:val="17"/>
          <w:color w:val="auto"/>
        </w:rPr>
        <w:t>$25,000 for the founder shares, or approximately $0.0079 per share. As a result, the value of your public</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may be significantly diluted upon the consummation of our initial business combination, when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founder shares are converted into public shares. For example, the following table shows the dilutive effect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the founder shares on the implied value of the public shares upon the consummation of our initial</w:t>
      </w:r>
    </w:p>
    <w:p>
      <w:pPr>
        <w:ind w:left="1260"/>
        <w:spacing w:after="0"/>
        <w:rPr>
          <w:sz w:val="20"/>
          <w:szCs w:val="20"/>
          <w:color w:val="auto"/>
        </w:rPr>
      </w:pPr>
      <w:r>
        <w:rPr>
          <w:rFonts w:ascii="Arial" w:cs="Arial" w:eastAsia="Arial" w:hAnsi="Arial"/>
          <w:sz w:val="17"/>
          <w:szCs w:val="17"/>
          <w:color w:val="auto"/>
        </w:rPr>
        <w:t>business combination, assuming that our equity value at that time is $107,800,000, which is the amount we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would have for our initial business combination in the trust account after payment of $3,850,000 pursuant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business combination marketing agreement, assuming the underwriters’ over-allotment option is not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exercised, no interest is earned on the funds held in the trust account, and no public shares are redeemed in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connection with our initial business combination, and without taking into account any other potential</w:t>
      </w:r>
    </w:p>
    <w:p>
      <w:pPr>
        <w:ind w:left="1260"/>
        <w:spacing w:after="0" w:line="234" w:lineRule="auto"/>
        <w:rPr>
          <w:sz w:val="20"/>
          <w:szCs w:val="20"/>
          <w:color w:val="auto"/>
        </w:rPr>
      </w:pPr>
      <w:r>
        <w:rPr>
          <w:rFonts w:ascii="Arial" w:cs="Arial" w:eastAsia="Arial" w:hAnsi="Arial"/>
          <w:sz w:val="18"/>
          <w:szCs w:val="18"/>
          <w:color w:val="auto"/>
        </w:rPr>
        <w:t>impacts on our valuation at such time, such as the trading price of our public shares, the business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combination transaction costs, any equity issued or cash paid to the target’s sellers or other third parties, 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target’s business itself, including its assets, liabilities, management and prospects, as well as the value of</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public and private warrants. At such valuation, each of our shares of common stock would have an</w:t>
      </w:r>
    </w:p>
    <w:p>
      <w:pPr>
        <w:ind w:left="1260"/>
        <w:spacing w:after="0"/>
        <w:rPr>
          <w:sz w:val="20"/>
          <w:szCs w:val="20"/>
          <w:color w:val="auto"/>
        </w:rPr>
      </w:pPr>
      <w:r>
        <w:rPr>
          <w:rFonts w:ascii="Arial" w:cs="Arial" w:eastAsia="Arial" w:hAnsi="Arial"/>
          <w:sz w:val="18"/>
          <w:szCs w:val="18"/>
          <w:color w:val="auto"/>
        </w:rPr>
        <w:t>implied value of $7.84 per</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share upon consummation of our initial business combination, which would be a 21.6% decrease as compared to the initial implied value per public share of $10.00 (the price per unit in this offering, assuming no value to the public warrants).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Public shares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11,000,000</w:t>
            </w:r>
          </w:p>
        </w:tc>
      </w:tr>
      <w:tr>
        <w:trPr>
          <w:trHeight w:val="283"/>
        </w:trPr>
        <w:tc>
          <w:tcPr>
            <w:tcW w:w="6480" w:type="dxa"/>
            <w:vAlign w:val="bottom"/>
            <w:tcBorders>
              <w:bottom w:val="single" w:sz="8" w:color="CCEEFF"/>
            </w:tcBorders>
          </w:tcPr>
          <w:p>
            <w:pPr>
              <w:spacing w:after="0" w:line="283" w:lineRule="exact"/>
              <w:rPr>
                <w:sz w:val="20"/>
                <w:szCs w:val="20"/>
                <w:color w:val="auto"/>
              </w:rPr>
            </w:pPr>
            <w:r>
              <w:rPr>
                <w:rFonts w:ascii="Arial" w:cs="Arial" w:eastAsia="Arial" w:hAnsi="Arial"/>
                <w:sz w:val="18"/>
                <w:szCs w:val="18"/>
                <w:color w:val="auto"/>
              </w:rPr>
              <w:t>Founder shares</w:t>
            </w:r>
            <w:r>
              <w:rPr>
                <w:rFonts w:ascii="Arial" w:cs="Arial" w:eastAsia="Arial" w:hAnsi="Arial"/>
                <w:sz w:val="26"/>
                <w:szCs w:val="26"/>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2,750,000</w:t>
            </w:r>
          </w:p>
        </w:tc>
      </w:tr>
      <w:tr>
        <w:trPr>
          <w:trHeight w:val="25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shares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13,750,000</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Total funds in trust available for initial business combination (less business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combination marketing agreement)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107,800,000</w:t>
            </w:r>
          </w:p>
        </w:tc>
      </w:tr>
      <w:tr>
        <w:trPr>
          <w:trHeight w:val="27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Initial implied value per public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Implied value per share upon consummation of initial business combination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-814070</wp:posOffset>
            </wp:positionV>
            <wp:extent cx="41148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7" w:lineRule="exact"/>
        <w:rPr>
          <w:sz w:val="20"/>
          <w:szCs w:val="20"/>
          <w:color w:val="auto"/>
        </w:rPr>
      </w:pPr>
    </w:p>
    <w:p>
      <w:pPr>
        <w:ind w:left="1620" w:right="899" w:hanging="360"/>
        <w:spacing w:after="0" w:line="308"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Assumes the full forfeiture of 412,500 founder shares that are subject to forfeiture by our sponsor depending on the extent to which the underwriters’ over-allotment option is exercised.</w:t>
      </w:r>
    </w:p>
    <w:p>
      <w:pPr>
        <w:spacing w:after="0" w:line="106"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The value of the founder shares following completion of our initial business combination is likely to be substantially higher than the nominal price paid for them, even if the trading price of our common stock at such time is substantially less than $10.00 per share.</w:t>
      </w:r>
    </w:p>
    <w:p>
      <w:pPr>
        <w:spacing w:after="0" w:line="87"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Upon the closing of this offering, assuming no exercise of the underwriters’ over-allotment option, our sponsor and its affiliates will have invested in us an aggregate of $ 4,077,000, comprised of the $25,000 purchase price for the founder shares and the $4,052,000 purchase price for the private placement warrants. Assuming a trading price of $10.00 per share upon consummation of our initial business combination, the 2,750,000 founder shares (assuming the underwriters’ option to purchase additional units is not exercised) would have an aggregate implied value of $27,500,000. Even if the trading price of our common stock was as low as $1.48 per share, and the private placement warrants were worthless, the value of the founder shares would be equal to the sponsor’s initial investment in us. As a result, our sponsor is likely to be able to recoup its investment in us and make a substantial profit on that investment, even if our public shares have lost significant value. Accordingly, our management team, which owns interests in our sponsor, may have an economic incentive that differs from that of the public stockholders to pursue and consummate an initial business combination rather than to liquidate and to return all of the cash in the trust to the public stockholders, even if that business combination were with a riskier or less-established target business. For the foregoing reasons, you should consider our management team’s financial incentive to complete an initial business combination when evaluating whether to redeem your shares prior to or in connection with the initial business combination.</w:t>
      </w:r>
    </w:p>
    <w:p>
      <w:pPr>
        <w:spacing w:after="0" w:line="185" w:lineRule="exact"/>
        <w:rPr>
          <w:sz w:val="20"/>
          <w:szCs w:val="20"/>
          <w:color w:val="auto"/>
        </w:rPr>
      </w:pPr>
    </w:p>
    <w:p>
      <w:pPr>
        <w:jc w:val="both"/>
        <w:ind w:left="1260" w:right="599"/>
        <w:spacing w:after="0" w:line="243" w:lineRule="auto"/>
        <w:rPr>
          <w:sz w:val="20"/>
          <w:szCs w:val="20"/>
          <w:color w:val="auto"/>
        </w:rPr>
      </w:pPr>
      <w:r>
        <w:rPr>
          <w:rFonts w:ascii="Arial" w:cs="Arial" w:eastAsia="Arial" w:hAnsi="Arial"/>
          <w:sz w:val="18"/>
          <w:szCs w:val="18"/>
          <w:b w:val="1"/>
          <w:bCs w:val="1"/>
          <w:i w:val="1"/>
          <w:iCs w:val="1"/>
          <w:color w:val="auto"/>
        </w:rPr>
        <w:t>Our private placement warrants are expected to be accounted for as a warrant liability and will be recorded at fair value upon issuance with any changes in fair value each period reported in earnings, which may have an adverse effect on the market price of our securities or may make it more difficult for us to consummate an initial business combination.</w:t>
      </w:r>
    </w:p>
    <w:p>
      <w:pPr>
        <w:spacing w:after="0" w:line="9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Following the consummation of this offering and the concurrent private placement of warrants, we will have 4,361,456 private placement warrants outstanding, assuming the underwriters’ option to purchase additional units is not exercised. We currently expect to account for these private placement warrants as a warrant liability, which means that we will record them at fair value upon issuance with any changes in fair value each period reported in earnings. The impact of changes in fair value on earnings may have an adverse effect on the market price of our securities. In addition, potential targets may seek a business combination partner that does not have warrants that are accounted for as a warrant liability, which may make it more difficult for us to consummate an initial business combination with a target business.</w:t>
      </w:r>
    </w:p>
    <w:p>
      <w:pPr>
        <w:spacing w:after="0" w:line="167" w:lineRule="exact"/>
        <w:rPr>
          <w:sz w:val="20"/>
          <w:szCs w:val="20"/>
          <w:color w:val="auto"/>
        </w:rPr>
      </w:pPr>
    </w:p>
    <w:p>
      <w:pPr>
        <w:ind w:left="1260" w:right="459"/>
        <w:spacing w:after="0" w:line="279"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78" w:lineRule="exact"/>
        <w:rPr>
          <w:sz w:val="20"/>
          <w:szCs w:val="20"/>
          <w:color w:val="auto"/>
        </w:rPr>
      </w:pPr>
    </w:p>
    <w:p>
      <w:pPr>
        <w:ind w:left="1260" w:right="579" w:firstLine="360"/>
        <w:spacing w:after="0" w:line="324"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w:t>
      </w:r>
    </w:p>
    <w:p>
      <w:pPr>
        <w:sectPr>
          <w:pgSz w:w="11900" w:h="16838" w:orient="portrait"/>
          <w:cols w:equalWidth="0" w:num="1">
            <w:col w:w="9879"/>
          </w:cols>
          <w:pgMar w:left="580" w:top="132" w:right="1440" w:bottom="1440" w:gutter="0" w:footer="0" w:header="0"/>
        </w:sect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39"/>
        <w:spacing w:after="0" w:line="255" w:lineRule="auto"/>
        <w:rPr>
          <w:sz w:val="20"/>
          <w:szCs w:val="20"/>
          <w:color w:val="auto"/>
        </w:rPr>
      </w:pPr>
      <w:r>
        <w:rPr>
          <w:rFonts w:ascii="Arial" w:cs="Arial" w:eastAsia="Arial" w:hAnsi="Arial"/>
          <w:sz w:val="17"/>
          <w:szCs w:val="17"/>
          <w:color w:val="auto"/>
        </w:rPr>
        <w:t>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ind w:left="1260" w:right="439"/>
        <w:spacing w:after="0" w:line="236" w:lineRule="auto"/>
        <w:rPr>
          <w:sz w:val="20"/>
          <w:szCs w:val="20"/>
          <w:color w:val="auto"/>
        </w:rPr>
      </w:pPr>
      <w:r>
        <w:rPr>
          <w:rFonts w:ascii="Arial" w:cs="Arial" w:eastAsia="Arial" w:hAnsi="Arial"/>
          <w:sz w:val="18"/>
          <w:szCs w:val="18"/>
          <w:color w:val="auto"/>
        </w:rPr>
        <w:t>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112"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Our initial stockholders may purchase public warrants with the intention of reducing the number of public warrants outstanding or to vote such warrants on any matters submitted to warrant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88" w:lineRule="exact"/>
        <w:rPr>
          <w:sz w:val="20"/>
          <w:szCs w:val="20"/>
          <w:color w:val="auto"/>
        </w:rPr>
      </w:pPr>
    </w:p>
    <w:p>
      <w:pPr>
        <w:ind w:left="1260" w:right="739"/>
        <w:spacing w:after="0" w:line="308" w:lineRule="auto"/>
        <w:rPr>
          <w:sz w:val="20"/>
          <w:szCs w:val="20"/>
          <w:color w:val="auto"/>
        </w:rPr>
      </w:pPr>
      <w:r>
        <w:rPr>
          <w:rFonts w:ascii="Arial" w:cs="Arial" w:eastAsia="Arial" w:hAnsi="Arial"/>
          <w:sz w:val="15"/>
          <w:szCs w:val="15"/>
          <w:b w:val="1"/>
          <w:bCs w:val="1"/>
          <w:i w:val="1"/>
          <w:iCs w:val="1"/>
          <w:color w:val="auto"/>
        </w:rPr>
        <w:t>Our warrant agreement will designate the courts of 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w:t>
      </w:r>
    </w:p>
    <w:p>
      <w:pPr>
        <w:spacing w:after="0" w:line="7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located in the Borough of Manhattan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3"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process made upon such warrant holder in any such enforcement action by service upon such warrantholder’s counsel in such action as agent for such warrantholder.</w:t>
      </w:r>
    </w:p>
    <w:p>
      <w:pPr>
        <w:spacing w:after="0" w:line="9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choice-of-forum provision in our warrant agreement may (1) result in increased costs for investors to bring a claim or (2) 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Section 22 of the Securities Act creates concurrent jurisdiction for state and federal courts over all suits brought to enforce any duty or liability created by the Securities Act or the rules and regulations thereunder. Section 27 of the Exchange Act creates exclusive federal jurisdiction over all suits brought to enforce any duty or liability created by the Exchange Act or the rules and regulations thereunder.</w:t>
      </w:r>
    </w:p>
    <w:p>
      <w:pPr>
        <w:spacing w:after="0" w:line="188"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9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 -day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 -current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sponsor or its permitted transferees.</w:t>
      </w:r>
    </w:p>
    <w:p>
      <w:pPr>
        <w:spacing w:after="0" w:line="183"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will be issuing warrants to purchase 8,250,000 shares of our common stock (or up to 9,487,500</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of common stock if the underwriters’ over-allotment option is exercised in full) as part of the units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offered by this prospectus and, simultaneously with the closing of this offering, we will be issuing, in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private placement, an aggregate of 4,361,456 (or up to 4,627,858 depending on the extent to which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underwriters’ over-allotmentoption is exercised) warrants at a price of approximately $0.93 per warrant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($4,052,000 (or up to $4,299,500 depending on theextent to which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with each warrant exercisable for one share of common stock at an exercise price of $11.50.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initial stockholders currently own an aggregate of 3,162,500 founder shares. Such founder shares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include an aggregate of up to 412,500 shares that are subject to forfeiture to the extent that the underwriters’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over-allotment option is not exercised in full or in part.</w:t>
      </w:r>
    </w:p>
    <w:p>
      <w:pPr>
        <w:spacing w:after="0" w:line="143"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96"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private warrants and warrants underlying the units issuable pursuant to the forward purchase contract are identical to the warrants sold as part of the units in this offering except that, so long as they are held by our sponsor or its permitted transferees, (i) they will not be redeemable by us, (ii) they (including the common stock issuable upon exercise of these warrants) may not, subject to certain limited exceptions, be transferred, assigned or sold by our sponsor until 30 days after the completion of our initial business combination, (iii) they may be exercised by the holders on a cashless basis, (iv) will be entitled to registration rights and (v) for so long as they are held by our sponsor, will not be exercisable more than five years from the effective date of the registration statement of which this prospectus forms a part in accordance with FINRA Rule 5110(g).</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91" w:lineRule="auto"/>
        <w:rPr>
          <w:sz w:val="20"/>
          <w:szCs w:val="20"/>
          <w:color w:val="auto"/>
        </w:rPr>
      </w:pPr>
      <w:r>
        <w:rPr>
          <w:rFonts w:ascii="Arial" w:cs="Arial" w:eastAsia="Arial" w:hAnsi="Arial"/>
          <w:sz w:val="17"/>
          <w:szCs w:val="17"/>
          <w:b w:val="1"/>
          <w:bCs w:val="1"/>
          <w:i w:val="1"/>
          <w:iCs w:val="1"/>
          <w:color w:val="auto"/>
        </w:rPr>
        <w:t>Because each unit contains three-quarters of one redeemable warrant and only a whole warrant may be exercised, the units may be worth less than units of other blank check companies.</w:t>
      </w:r>
    </w:p>
    <w:p>
      <w:pPr>
        <w:spacing w:after="0" w:line="66" w:lineRule="exact"/>
        <w:rPr>
          <w:sz w:val="20"/>
          <w:szCs w:val="20"/>
          <w:color w:val="auto"/>
        </w:rPr>
      </w:pPr>
    </w:p>
    <w:p>
      <w:pPr>
        <w:ind w:left="1260" w:right="599" w:firstLine="360"/>
        <w:spacing w:after="0" w:line="237" w:lineRule="auto"/>
        <w:rPr>
          <w:sz w:val="20"/>
          <w:szCs w:val="20"/>
          <w:color w:val="auto"/>
        </w:rPr>
      </w:pPr>
      <w:r>
        <w:rPr>
          <w:rFonts w:ascii="Arial" w:cs="Arial" w:eastAsia="Arial" w:hAnsi="Arial"/>
          <w:sz w:val="18"/>
          <w:szCs w:val="18"/>
          <w:color w:val="auto"/>
        </w:rPr>
        <w:t>Each unit contains three-quarters of one redeemable warrant.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three-quarters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195" w:lineRule="exact"/>
        <w:rPr>
          <w:sz w:val="20"/>
          <w:szCs w:val="20"/>
          <w:color w:val="auto"/>
        </w:rPr>
      </w:pPr>
    </w:p>
    <w:p>
      <w:pPr>
        <w:ind w:left="1260" w:right="1139"/>
        <w:spacing w:after="0" w:line="261" w:lineRule="auto"/>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w:t>
      </w:r>
    </w:p>
    <w:p>
      <w:pPr>
        <w:spacing w:after="0" w:line="104" w:lineRule="exact"/>
        <w:rPr>
          <w:sz w:val="20"/>
          <w:szCs w:val="20"/>
          <w:color w:val="auto"/>
        </w:rPr>
      </w:pPr>
    </w:p>
    <w:p>
      <w:pPr>
        <w:ind w:left="1800" w:right="539" w:hanging="180"/>
        <w:spacing w:after="0" w:line="254"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reorganizations, recapitalizations and the like),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83" w:lineRule="exact"/>
        <w:rPr>
          <w:rFonts w:ascii="Arial" w:cs="Arial" w:eastAsia="Arial" w:hAnsi="Arial"/>
          <w:sz w:val="18"/>
          <w:szCs w:val="18"/>
          <w:color w:val="auto"/>
        </w:rPr>
      </w:pPr>
    </w:p>
    <w:p>
      <w:pPr>
        <w:ind w:left="1800" w:right="145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Value is below $9.20 per share (as adjusted for stock splits, stock dividends, reorganizations, recapitalizations and the like),</w:t>
      </w:r>
    </w:p>
    <w:p>
      <w:pPr>
        <w:spacing w:after="0" w:line="89"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89" w:lineRule="exact"/>
        <w:rPr>
          <w:sz w:val="20"/>
          <w:szCs w:val="20"/>
          <w:color w:val="auto"/>
        </w:rPr>
      </w:pPr>
    </w:p>
    <w:p>
      <w:pPr>
        <w:jc w:val="both"/>
        <w:ind w:left="1260" w:right="459"/>
        <w:spacing w:after="0" w:line="248"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1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stockholders and their permitted transferees can demand that we register the private warrants and the founder shares held, or to be held, by them, and may demand that we register such warrants or the common stock issuable upon exercise of such warrants. We will bear the cost of registering these securities.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or their respective permitted transferees are registered.</w:t>
      </w:r>
    </w:p>
    <w:p>
      <w:pPr>
        <w:spacing w:after="0" w:line="186" w:lineRule="exact"/>
        <w:rPr>
          <w:sz w:val="20"/>
          <w:szCs w:val="20"/>
          <w:color w:val="auto"/>
        </w:rPr>
      </w:pPr>
    </w:p>
    <w:p>
      <w:pPr>
        <w:ind w:left="1260" w:right="439"/>
        <w:spacing w:after="0" w:line="262"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05"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41" w:lineRule="auto"/>
        <w:rPr>
          <w:sz w:val="20"/>
          <w:szCs w:val="20"/>
          <w:color w:val="auto"/>
        </w:rPr>
      </w:pPr>
      <w:r>
        <w:rPr>
          <w:rFonts w:ascii="Arial" w:cs="Arial" w:eastAsia="Arial" w:hAnsi="Arial"/>
          <w:sz w:val="18"/>
          <w:szCs w:val="18"/>
          <w:color w:val="auto"/>
        </w:rPr>
        <w:t>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68" w:lineRule="exact"/>
        <w:rPr>
          <w:sz w:val="20"/>
          <w:szCs w:val="20"/>
          <w:color w:val="auto"/>
        </w:rPr>
      </w:pPr>
    </w:p>
    <w:p>
      <w:pPr>
        <w:ind w:left="1800" w:right="12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2"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0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89" w:lineRule="exact"/>
        <w:rPr>
          <w:sz w:val="20"/>
          <w:szCs w:val="20"/>
          <w:color w:val="auto"/>
        </w:rPr>
      </w:pPr>
    </w:p>
    <w:p>
      <w:pPr>
        <w:jc w:val="both"/>
        <w:ind w:left="1260" w:right="479"/>
        <w:spacing w:after="0" w:line="24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01"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2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Section 203 of the DGCL affects the ability of an “interested stockholder” to engage in certain business combinations, for a period of three years following the time that the stockholder becomes an “interested stockholder.” We elect in our certificate of incorporation not to be subject to Section 203 of the DGCL. Nevertheless, our certificate of incorporation contains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share of common stock and the three-quarters of one warrant to purchase common stock included in each unit</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could be challenged by the IRS or the courts. Furthermore, the U.S. federal income tax consequences of a cashless exercise of warrants included in the units we are issuing in this offering is unclear under current law. It is also unclear whether the redemption rights with respect to our shares of common stock suspend the running of a U.S. holder’s holding period for purposes of determining whether any gain or loss realized by such holder on the sale or exchange of common stock is long-term capital gain or loss and for determining whether any dividend we pay would be considered “qualified dividends” for federal income tax purposes. See the section titled “U.S. Federal Income Tax Considerations” for a summary of certain material U.S. federal income tax consequences of an investment in our securities. Prospective investors are urged to consult their tax advisors with respect to these and other tax consequences when purchasing, holding or disposing of our securities.</w:t>
      </w:r>
    </w:p>
    <w:p>
      <w:pPr>
        <w:spacing w:after="0" w:line="194"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89"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Our amended and restated certificate of incorporation requires, subject to certain exceptions, unless we consent in writing to the selection of an alternative forum, the sole and exclusive forum for (a) any derivative action or proceeding brought on our behalf, (b) any action asserting a claim of breach of a fiduciary duty owed by any current or former director, officer, employee, agent to us or our stockholders,</w:t>
      </w:r>
    </w:p>
    <w:p>
      <w:pPr>
        <w:spacing w:after="0" w:line="2" w:lineRule="exact"/>
        <w:rPr>
          <w:sz w:val="20"/>
          <w:szCs w:val="20"/>
          <w:color w:val="auto"/>
        </w:rPr>
      </w:pPr>
    </w:p>
    <w:p>
      <w:pPr>
        <w:ind w:left="1260" w:right="419"/>
        <w:spacing w:after="0" w:line="252" w:lineRule="auto"/>
        <w:tabs>
          <w:tab w:leader="none" w:pos="15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2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Further,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 In addition, our amended and restated certificate of incorporation, states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w:t>
      </w:r>
    </w:p>
    <w:p>
      <w:pPr>
        <w:spacing w:after="0" w:line="12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IV.  General Risk Factors</w:t>
      </w:r>
    </w:p>
    <w:p>
      <w:pPr>
        <w:spacing w:after="0" w:line="229"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b w:val="1"/>
          <w:bCs w:val="1"/>
          <w:i w:val="1"/>
          <w:iCs w:val="1"/>
          <w:color w:val="auto"/>
        </w:rPr>
        <w:t>We are a company with no operating history and no revenues, and you have no basis on which to evaluate our ability to achieve our business objective.</w:t>
      </w:r>
    </w:p>
    <w:p>
      <w:pPr>
        <w:spacing w:after="0" w:line="103"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We are a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48" w:lineRule="auto"/>
        <w:rPr>
          <w:sz w:val="20"/>
          <w:szCs w:val="20"/>
          <w:color w:val="auto"/>
        </w:rPr>
      </w:pPr>
      <w:r>
        <w:rPr>
          <w:rFonts w:ascii="Arial" w:cs="Arial" w:eastAsia="Arial" w:hAnsi="Arial"/>
          <w:sz w:val="18"/>
          <w:szCs w:val="18"/>
          <w:color w:val="auto"/>
        </w:rPr>
        <w:t>business concerning an initial business combination and may be unable to complete our initial business combination. If we fail to complete our initial business combination, we will never generate any operating revenues.</w:t>
      </w:r>
    </w:p>
    <w:p>
      <w:pPr>
        <w:spacing w:after="0" w:line="182"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90"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191"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b w:val="1"/>
          <w:bCs w:val="1"/>
          <w:i w:val="1"/>
          <w:iCs w:val="1"/>
          <w:color w:val="auto"/>
        </w:rPr>
        <w:t>Cyber incidents or attacks directed at us could result in information theft, data corruption, operational disruption and/or financial loss.</w:t>
      </w:r>
    </w:p>
    <w:p>
      <w:pPr>
        <w:spacing w:after="0" w:line="10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1" w:lineRule="exact"/>
        <w:rPr>
          <w:sz w:val="20"/>
          <w:szCs w:val="20"/>
          <w:color w:val="auto"/>
        </w:rPr>
      </w:pPr>
    </w:p>
    <w:p>
      <w:pPr>
        <w:ind w:left="1260" w:right="499"/>
        <w:spacing w:after="0" w:line="444" w:lineRule="auto"/>
        <w:rPr>
          <w:sz w:val="20"/>
          <w:szCs w:val="20"/>
          <w:color w:val="auto"/>
        </w:rPr>
      </w:pPr>
      <w:r>
        <w:rPr>
          <w:rFonts w:ascii="Arial" w:cs="Arial" w:eastAsia="Arial" w:hAnsi="Arial"/>
          <w:sz w:val="13"/>
          <w:szCs w:val="13"/>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ind w:left="1260" w:right="559" w:firstLine="360"/>
        <w:spacing w:after="0" w:line="248"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01"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80"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invest in new lines of business that could fail to attract or retain users or generate revenue;</w:t>
      </w:r>
    </w:p>
    <w:p>
      <w:pPr>
        <w:spacing w:after="0" w:line="128" w:lineRule="exact"/>
        <w:rPr>
          <w:rFonts w:ascii="Arial" w:cs="Arial" w:eastAsia="Arial" w:hAnsi="Arial"/>
          <w:sz w:val="17"/>
          <w:szCs w:val="17"/>
          <w:color w:val="auto"/>
        </w:rPr>
      </w:pPr>
    </w:p>
    <w:p>
      <w:pPr>
        <w:ind w:left="1800" w:right="5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62" w:lineRule="exact"/>
        <w:rPr>
          <w:rFonts w:ascii="Arial" w:cs="Arial" w:eastAsia="Arial" w:hAnsi="Arial"/>
          <w:sz w:val="18"/>
          <w:szCs w:val="18"/>
          <w:color w:val="auto"/>
        </w:rPr>
      </w:pPr>
    </w:p>
    <w:p>
      <w:pPr>
        <w:ind w:left="1800" w:right="63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48"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48"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103"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7"/>
          <w:szCs w:val="17"/>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74" w:lineRule="exact"/>
        <w:rPr>
          <w:sz w:val="20"/>
          <w:szCs w:val="20"/>
          <w:color w:val="auto"/>
        </w:rPr>
      </w:pPr>
    </w:p>
    <w:p>
      <w:pPr>
        <w:ind w:left="1260" w:right="659"/>
        <w:spacing w:after="0" w:line="308"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6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Additionally, we are a “smaller reporting company” as defined in Rule 10(f)(1) of Regulation S-K.</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Smaller reporting companies may take advantage of certain reduced disclosure obligations, including,</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55" w:lineRule="auto"/>
        <w:rPr>
          <w:sz w:val="20"/>
          <w:szCs w:val="20"/>
          <w:color w:val="auto"/>
        </w:rPr>
      </w:pPr>
      <w:r>
        <w:rPr>
          <w:rFonts w:ascii="Arial" w:cs="Arial" w:eastAsia="Arial" w:hAnsi="Arial"/>
          <w:sz w:val="17"/>
          <w:szCs w:val="17"/>
          <w:color w:val="auto"/>
        </w:rPr>
        <w:t>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w:t>
      </w:r>
    </w:p>
    <w:p>
      <w:pPr>
        <w:ind w:left="1260" w:right="479"/>
        <w:spacing w:after="0" w:line="238" w:lineRule="auto"/>
        <w:tabs>
          <w:tab w:leader="none" w:pos="15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04" w:lineRule="exact"/>
        <w:rPr>
          <w:sz w:val="20"/>
          <w:szCs w:val="20"/>
          <w:color w:val="auto"/>
        </w:rPr>
      </w:pPr>
    </w:p>
    <w:p>
      <w:pPr>
        <w:ind w:left="1620" w:hanging="360"/>
        <w:spacing w:after="0"/>
        <w:tabs>
          <w:tab w:leader="none" w:pos="16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effect our initial business combination with a company located outside of the United States.</w:t>
      </w:r>
    </w:p>
    <w:p>
      <w:pPr>
        <w:spacing w:after="0" w:line="156"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74" w:lineRule="exact"/>
        <w:rPr>
          <w:sz w:val="20"/>
          <w:szCs w:val="20"/>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101" w:lineRule="exact"/>
        <w:rPr>
          <w:rFonts w:ascii="Arial" w:cs="Arial" w:eastAsia="Arial" w:hAnsi="Arial"/>
          <w:sz w:val="17"/>
          <w:szCs w:val="17"/>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90"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144" w:lineRule="exact"/>
        <w:rPr>
          <w:sz w:val="20"/>
          <w:szCs w:val="20"/>
          <w:color w:val="auto"/>
        </w:rPr>
      </w:pPr>
    </w:p>
    <w:p>
      <w:pPr>
        <w:ind w:left="1260" w:right="419" w:firstLine="360"/>
        <w:spacing w:after="0" w:line="276" w:lineRule="auto"/>
        <w:rPr>
          <w:sz w:val="20"/>
          <w:szCs w:val="20"/>
          <w:color w:val="auto"/>
        </w:rPr>
      </w:pPr>
      <w:r>
        <w:rPr>
          <w:rFonts w:ascii="Arial" w:cs="Arial" w:eastAsia="Arial" w:hAnsi="Arial"/>
          <w:sz w:val="16"/>
          <w:szCs w:val="16"/>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61" w:lineRule="exact"/>
        <w:rPr>
          <w:sz w:val="20"/>
          <w:szCs w:val="20"/>
          <w:color w:val="auto"/>
        </w:rPr>
      </w:pPr>
    </w:p>
    <w:p>
      <w:pPr>
        <w:ind w:left="1260" w:right="859"/>
        <w:spacing w:after="0" w:line="248" w:lineRule="auto"/>
        <w:rPr>
          <w:sz w:val="20"/>
          <w:szCs w:val="20"/>
          <w:color w:val="auto"/>
        </w:rPr>
      </w:pPr>
      <w:r>
        <w:rPr>
          <w:rFonts w:ascii="Arial" w:cs="Arial" w:eastAsia="Arial" w:hAnsi="Arial"/>
          <w:sz w:val="18"/>
          <w:szCs w:val="18"/>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14" w:lineRule="exact"/>
        <w:rPr>
          <w:sz w:val="20"/>
          <w:szCs w:val="20"/>
          <w:color w:val="auto"/>
        </w:rPr>
      </w:pPr>
    </w:p>
    <w:p>
      <w:pPr>
        <w:jc w:val="both"/>
        <w:ind w:left="1260" w:right="699" w:firstLine="360"/>
        <w:spacing w:after="0" w:line="270"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42"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36"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49" w:lineRule="exact"/>
        <w:rPr>
          <w:sz w:val="20"/>
          <w:szCs w:val="20"/>
          <w:color w:val="auto"/>
        </w:rPr>
      </w:pPr>
    </w:p>
    <w:p>
      <w:pPr>
        <w:jc w:val="both"/>
        <w:ind w:left="1260" w:right="619" w:firstLine="360"/>
        <w:spacing w:after="0" w:line="263"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62"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49"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50" w:lineRule="exact"/>
        <w:rPr>
          <w:sz w:val="20"/>
          <w:szCs w:val="20"/>
          <w:color w:val="auto"/>
        </w:rPr>
      </w:pPr>
    </w:p>
    <w:p>
      <w:pPr>
        <w:ind w:left="1260" w:right="479"/>
        <w:spacing w:after="0" w:line="308" w:lineRule="auto"/>
        <w:rPr>
          <w:sz w:val="20"/>
          <w:szCs w:val="20"/>
          <w:color w:val="auto"/>
        </w:rPr>
      </w:pPr>
      <w:r>
        <w:rPr>
          <w:rFonts w:ascii="Arial" w:cs="Arial" w:eastAsia="Arial" w:hAnsi="Arial"/>
          <w:sz w:val="17"/>
          <w:szCs w:val="17"/>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2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Currency policies may cause a target business’ ability to succeed in the international markets to be diminished.</w:t>
      </w:r>
    </w:p>
    <w:p>
      <w:pPr>
        <w:spacing w:after="0" w:line="125"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59"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Because foreign law could govern our material agreements, we may not be able to enforce our rights within such jurisdiction or elsewhere.</w:t>
      </w:r>
    </w:p>
    <w:p>
      <w:pPr>
        <w:spacing w:after="0" w:line="4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We are offering 11,000,000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Without</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Over-Allotment</w:t>
            </w:r>
          </w:p>
        </w:tc>
      </w:tr>
      <w:tr>
        <w:trPr>
          <w:trHeight w:val="162"/>
        </w:trPr>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w:t>
            </w:r>
          </w:p>
        </w:tc>
      </w:tr>
      <w:tr>
        <w:trPr>
          <w:trHeight w:val="186"/>
        </w:trPr>
        <w:tc>
          <w:tcPr>
            <w:tcW w:w="19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Exercised</w:t>
            </w:r>
          </w:p>
        </w:tc>
      </w:tr>
      <w:tr>
        <w:trPr>
          <w:trHeight w:val="26"/>
        </w:trPr>
        <w:tc>
          <w:tcPr>
            <w:tcW w:w="19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56"/>
        </w:trPr>
        <w:tc>
          <w:tcPr>
            <w:tcW w:w="5980" w:type="dxa"/>
            <w:vAlign w:val="bottom"/>
            <w:gridSpan w:val="3"/>
          </w:tcPr>
          <w:p>
            <w:pPr>
              <w:spacing w:after="0"/>
              <w:rPr>
                <w:sz w:val="20"/>
                <w:szCs w:val="20"/>
                <w:color w:val="auto"/>
              </w:rPr>
            </w:pPr>
            <w:r>
              <w:rPr>
                <w:rFonts w:ascii="Arial" w:cs="Arial" w:eastAsia="Arial" w:hAnsi="Arial"/>
                <w:sz w:val="18"/>
                <w:szCs w:val="18"/>
                <w:color w:val="auto"/>
              </w:rPr>
              <w:t>From offering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110,000,000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126,500,000</w:t>
            </w:r>
          </w:p>
        </w:tc>
      </w:tr>
      <w:tr>
        <w:trPr>
          <w:trHeight w:val="264"/>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From sale of private warrants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4,052,000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4,299,500</w:t>
            </w:r>
          </w:p>
        </w:tc>
        <w:tc>
          <w:tcPr>
            <w:tcW w:w="160" w:type="dxa"/>
            <w:vAlign w:val="bottom"/>
          </w:tcPr>
          <w:p>
            <w:pPr>
              <w:spacing w:after="0"/>
              <w:rPr>
                <w:sz w:val="22"/>
                <w:szCs w:val="22"/>
                <w:color w:val="auto"/>
              </w:rPr>
            </w:pP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Total gross proceeds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114,052,000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130,799,500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598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i w:val="1"/>
                <w:iCs w:val="1"/>
                <w:color w:val="auto"/>
              </w:rPr>
              <w:t>Offering expenses</w:t>
            </w:r>
            <w:r>
              <w:rPr>
                <w:rFonts w:ascii="Arial" w:cs="Arial" w:eastAsia="Arial" w:hAnsi="Arial"/>
                <w:sz w:val="25"/>
                <w:szCs w:val="25"/>
                <w:i w:val="1"/>
                <w:iCs w:val="1"/>
                <w:color w:val="auto"/>
                <w:vertAlign w:val="superscript"/>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5980" w:type="dxa"/>
            <w:vAlign w:val="bottom"/>
            <w:gridSpan w:val="3"/>
          </w:tcPr>
          <w:p>
            <w:pPr>
              <w:spacing w:after="0"/>
              <w:rPr>
                <w:sz w:val="20"/>
                <w:szCs w:val="20"/>
                <w:color w:val="auto"/>
              </w:rPr>
            </w:pPr>
            <w:r>
              <w:rPr>
                <w:rFonts w:ascii="Arial" w:cs="Arial" w:eastAsia="Arial" w:hAnsi="Arial"/>
                <w:sz w:val="18"/>
                <w:szCs w:val="18"/>
                <w:color w:val="auto"/>
              </w:rPr>
              <w:t>Underwriting and qualified independent underwriter fees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r>
      <w:tr>
        <w:trPr>
          <w:trHeight w:val="257"/>
        </w:trPr>
        <w:tc>
          <w:tcPr>
            <w:tcW w:w="5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Company legal fees and expenses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r>
      <w:tr>
        <w:trPr>
          <w:trHeight w:val="25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fees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Nasdaq listing and filing fees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r>
      <w:tr>
        <w:trPr>
          <w:trHeight w:val="257"/>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r>
      <w:tr>
        <w:trPr>
          <w:trHeight w:val="25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35,841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35,841</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25,705</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25,705</w:t>
            </w:r>
          </w:p>
        </w:tc>
      </w:tr>
      <w:tr>
        <w:trPr>
          <w:trHeight w:val="264"/>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82,454</w:t>
            </w:r>
          </w:p>
        </w:tc>
        <w:tc>
          <w:tcPr>
            <w:tcW w:w="160" w:type="dxa"/>
            <w:vAlign w:val="bottom"/>
          </w:tcPr>
          <w:p>
            <w:pPr>
              <w:spacing w:after="0"/>
              <w:rPr>
                <w:sz w:val="22"/>
                <w:szCs w:val="22"/>
                <w:color w:val="auto"/>
              </w:rPr>
            </w:pPr>
          </w:p>
        </w:tc>
      </w:tr>
      <w:tr>
        <w:trPr>
          <w:trHeight w:val="256"/>
        </w:trPr>
        <w:tc>
          <w:tcPr>
            <w:tcW w:w="5980" w:type="dxa"/>
            <w:vAlign w:val="bottom"/>
            <w:gridSpan w:val="3"/>
          </w:tcPr>
          <w:p>
            <w:pPr>
              <w:spacing w:after="0"/>
              <w:rPr>
                <w:sz w:val="20"/>
                <w:szCs w:val="20"/>
                <w:color w:val="auto"/>
              </w:rPr>
            </w:pPr>
            <w:r>
              <w:rPr>
                <w:rFonts w:ascii="Arial" w:cs="Arial" w:eastAsia="Arial" w:hAnsi="Arial"/>
                <w:sz w:val="18"/>
                <w:szCs w:val="18"/>
                <w:color w:val="auto"/>
              </w:rPr>
              <w:t>Total offering expenses (excluding underwriter commissions)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575,000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575,000</w:t>
            </w:r>
          </w:p>
        </w:tc>
      </w:tr>
      <w:tr>
        <w:trPr>
          <w:trHeight w:val="257"/>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proceeds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83"/>
        </w:trPr>
        <w:tc>
          <w:tcPr>
            <w:tcW w:w="5980" w:type="dxa"/>
            <w:vAlign w:val="bottom"/>
            <w:gridSpan w:val="3"/>
          </w:tcPr>
          <w:p>
            <w:pPr>
              <w:spacing w:after="0" w:line="283" w:lineRule="exact"/>
              <w:rPr>
                <w:sz w:val="20"/>
                <w:szCs w:val="20"/>
                <w:color w:val="auto"/>
              </w:rPr>
            </w:pPr>
            <w:r>
              <w:rPr>
                <w:rFonts w:ascii="Arial" w:cs="Arial" w:eastAsia="Arial" w:hAnsi="Arial"/>
                <w:sz w:val="18"/>
                <w:szCs w:val="18"/>
                <w:color w:val="auto"/>
              </w:rPr>
              <w:t>Held in trust</w:t>
            </w:r>
            <w:r>
              <w:rPr>
                <w:rFonts w:ascii="Arial" w:cs="Arial" w:eastAsia="Arial" w:hAnsi="Arial"/>
                <w:sz w:val="26"/>
                <w:szCs w:val="26"/>
                <w:color w:val="auto"/>
                <w:vertAlign w:val="superscript"/>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111,650,000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128,397,500</w:t>
            </w:r>
          </w:p>
        </w:tc>
      </w:tr>
      <w:tr>
        <w:trPr>
          <w:trHeight w:val="277"/>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 held in trust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1,327,000</w:t>
            </w:r>
          </w:p>
        </w:tc>
        <w:tc>
          <w:tcPr>
            <w:tcW w:w="160" w:type="dxa"/>
            <w:vAlign w:val="bottom"/>
          </w:tcPr>
          <w:p>
            <w:pPr>
              <w:spacing w:after="0"/>
              <w:rPr>
                <w:sz w:val="24"/>
                <w:szCs w:val="24"/>
                <w:color w:val="auto"/>
              </w:rPr>
            </w:pPr>
          </w:p>
        </w:tc>
      </w:tr>
      <w:tr>
        <w:trPr>
          <w:trHeight w:val="283"/>
        </w:trPr>
        <w:tc>
          <w:tcPr>
            <w:tcW w:w="5980" w:type="dxa"/>
            <w:vAlign w:val="bottom"/>
            <w:gridSpan w:val="3"/>
          </w:tcPr>
          <w:p>
            <w:pPr>
              <w:spacing w:after="0"/>
              <w:rPr>
                <w:sz w:val="20"/>
                <w:szCs w:val="20"/>
                <w:color w:val="auto"/>
              </w:rPr>
            </w:pPr>
            <w:r>
              <w:rPr>
                <w:rFonts w:ascii="Arial" w:cs="Arial" w:eastAsia="Arial" w:hAnsi="Arial"/>
                <w:sz w:val="18"/>
                <w:szCs w:val="18"/>
                <w:color w:val="auto"/>
              </w:rPr>
              <w:t>Total net proceeds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112,977,000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129,724,500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980" w:type="dxa"/>
            <w:vAlign w:val="bottom"/>
            <w:gridSpan w:val="3"/>
            <w:shd w:val="clear" w:color="auto" w:fill="CCEEFF"/>
          </w:tcPr>
          <w:p>
            <w:pPr>
              <w:spacing w:after="0" w:line="237" w:lineRule="exact"/>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6"/>
                <w:szCs w:val="26"/>
                <w:color w:val="auto"/>
                <w:vertAlign w:val="superscript"/>
              </w:rPr>
              <w:t>(3) (4)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42"/>
        </w:trPr>
        <w:tc>
          <w:tcPr>
            <w:tcW w:w="5980" w:type="dxa"/>
            <w:vAlign w:val="bottom"/>
            <w:gridSpan w:val="3"/>
          </w:tcPr>
          <w:p>
            <w:pPr>
              <w:spacing w:after="0"/>
              <w:rPr>
                <w:sz w:val="20"/>
                <w:szCs w:val="20"/>
                <w:color w:val="auto"/>
              </w:rPr>
            </w:pPr>
            <w:r>
              <w:rPr>
                <w:rFonts w:ascii="Arial" w:cs="Arial" w:eastAsia="Arial" w:hAnsi="Arial"/>
                <w:sz w:val="18"/>
                <w:szCs w:val="18"/>
                <w:color w:val="auto"/>
                <w:w w:val="98"/>
              </w:rPr>
              <w:t>Legal, accounting and other third party expenses attendant to the search for</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target businesses and to the due diligence investigation, structuring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negotiation of a business combination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56"/>
        </w:trPr>
        <w:tc>
          <w:tcPr>
            <w:tcW w:w="5980" w:type="dxa"/>
            <w:vAlign w:val="bottom"/>
            <w:gridSpan w:val="3"/>
          </w:tcPr>
          <w:p>
            <w:pPr>
              <w:spacing w:after="0"/>
              <w:rPr>
                <w:sz w:val="20"/>
                <w:szCs w:val="20"/>
                <w:color w:val="auto"/>
              </w:rPr>
            </w:pPr>
            <w:r>
              <w:rPr>
                <w:rFonts w:ascii="Arial" w:cs="Arial" w:eastAsia="Arial" w:hAnsi="Arial"/>
                <w:sz w:val="18"/>
                <w:szCs w:val="18"/>
                <w:color w:val="auto"/>
              </w:rPr>
              <w:t>Due diligence of prospective target businesses by officers, directors and</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initial stockholders</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83"/>
        </w:trPr>
        <w:tc>
          <w:tcPr>
            <w:tcW w:w="5980" w:type="dxa"/>
            <w:vAlign w:val="bottom"/>
            <w:gridSpan w:val="3"/>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Nasdaq continued listing fees</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Payment of administrative fee to an affiliate of our sponsor</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Director and officer liability insurance premiums</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28.3%</w:t>
            </w:r>
          </w:p>
        </w:tc>
      </w:tr>
      <w:tr>
        <w:trPr>
          <w:trHeight w:val="242"/>
        </w:trPr>
        <w:tc>
          <w:tcPr>
            <w:tcW w:w="5980" w:type="dxa"/>
            <w:vAlign w:val="bottom"/>
            <w:gridSpan w:val="3"/>
          </w:tcPr>
          <w:p>
            <w:pPr>
              <w:spacing w:after="0"/>
              <w:rPr>
                <w:sz w:val="20"/>
                <w:szCs w:val="20"/>
                <w:color w:val="auto"/>
              </w:rPr>
            </w:pPr>
            <w:r>
              <w:rPr>
                <w:rFonts w:ascii="Arial" w:cs="Arial" w:eastAsia="Arial" w:hAnsi="Arial"/>
                <w:sz w:val="18"/>
                <w:szCs w:val="18"/>
                <w:color w:val="auto"/>
              </w:rPr>
              <w:t>Working capital to cover miscellaneous expenses, general corporate</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purposes, liquidation obligations and reserves</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19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1,327,000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1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-1602105</wp:posOffset>
            </wp:positionV>
            <wp:extent cx="5212080"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-1122045</wp:posOffset>
            </wp:positionV>
            <wp:extent cx="52120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-779145</wp:posOffset>
            </wp:positionV>
            <wp:extent cx="52120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-4602480</wp:posOffset>
            </wp:positionV>
            <wp:extent cx="45777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-5640070</wp:posOffset>
            </wp:positionV>
            <wp:extent cx="45688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4" w:lineRule="exact"/>
        <w:rPr>
          <w:sz w:val="20"/>
          <w:szCs w:val="20"/>
          <w:color w:val="auto"/>
        </w:rPr>
      </w:pPr>
    </w:p>
    <w:p>
      <w:pPr>
        <w:ind w:left="1620" w:right="599" w:hanging="360"/>
        <w:spacing w:after="0" w:line="259"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borrowed from our sponsor. These funds will be repaid out of the proceeds of this offering available to us.</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hanging="360"/>
        <w:spacing w:after="0" w:line="255"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redeem or sell their shares for a portion of the funds held in the trust account, to pay the Marketing Fee of $3,850,000 (or $4,427,500 if the underwriters’ over-allotment option is exercised in full), or for general corporate purposes, including payment of principal or interest on indebtedness incurred in connection with our initial business combination, to fund the purchases of other companies or for working capital.</w:t>
      </w:r>
    </w:p>
    <w:p>
      <w:pPr>
        <w:spacing w:after="0" w:line="43"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estimated amount of proceeds not held in trust will remain constant at $1,327,000 even if the over-allotment is exercised.</w:t>
      </w:r>
    </w:p>
    <w:p>
      <w:pPr>
        <w:spacing w:after="0" w:line="21" w:lineRule="exact"/>
        <w:rPr>
          <w:rFonts w:ascii="Arial" w:cs="Arial" w:eastAsia="Arial" w:hAnsi="Arial"/>
          <w:sz w:val="18"/>
          <w:szCs w:val="18"/>
          <w:color w:val="auto"/>
        </w:rPr>
      </w:pPr>
    </w:p>
    <w:p>
      <w:pPr>
        <w:ind w:left="1620" w:right="499" w:hanging="360"/>
        <w:spacing w:after="0" w:line="254"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2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an affiliate of our sponsor for our benefit. We believe that the fee charged by the affiliate of our sponsor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9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 xml:space="preserve">A total of $10.15 per share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We estimate that the interest earned on the trust account will be approximately $111,650 per year, assuming an interest rate of 0.1% per year; </w:t>
      </w:r>
      <w:r>
        <w:rPr>
          <w:rFonts w:ascii="Arial" w:cs="Arial" w:eastAsia="Arial" w:hAnsi="Arial"/>
          <w:sz w:val="17"/>
          <w:szCs w:val="17"/>
          <w:i w:val="1"/>
          <w:iCs w:val="1"/>
          <w:color w:val="auto"/>
        </w:rPr>
        <w:t>however</w:t>
      </w:r>
      <w:r>
        <w:rPr>
          <w:rFonts w:ascii="Arial" w:cs="Arial" w:eastAsia="Arial" w:hAnsi="Arial"/>
          <w:sz w:val="17"/>
          <w:szCs w:val="17"/>
          <w:color w:val="auto"/>
        </w:rPr>
        <w:t>, we can provide no assurance regarding this amount. Except for all interest income that may be released to us to pay our tax obligations, as discussed below, none of the funds held in the trust account will be released from the trust account until the earlier of: (i) the consummation of our initial business combination within 12 months (or up to 18 months, as applicable) from the closing of this offering and (ii) a redemption to public stockholders prior to any voluntary winding-up in the event we do not consummate our initial business combination within the applicable period.</w:t>
      </w:r>
    </w:p>
    <w:p>
      <w:pPr>
        <w:spacing w:after="0" w:line="119"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principal or interest due on indebtedness incurred in consummating the initial business combination, to fund the purchase of other companies or for working capital.</w:t>
      </w:r>
    </w:p>
    <w:p>
      <w:pPr>
        <w:spacing w:after="0" w:line="8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11"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As of the date of this prospectus, our sponsor has not loaned us any amounts to be used for a portion of the expenses of this offering. Any loans will be non-interest bearing and payable on the date on which we consummate the offering.</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11"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11"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12 months (or up to 18 months, as applicable) following the closing of this offering, subject to applicable law, or (iii) if we seek to amend our certificate of incorporation to affect the substance or timing of our obligation to redeem all public shares if we cannot complete an initial business combination within 12 months (or up to 18 months, as applicable) of the closing of this offering and such amendment is duly approved. In no other circumstances will a public stockholder have any right or interest of any kind to or in the trust account.</w:t>
      </w:r>
    </w:p>
    <w:p>
      <w:pPr>
        <w:spacing w:after="0" w:line="127"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Our initial stockholders have agreed to waive their redemption rights with respect to any shares they own in connection with the consummation of our initial business combination, including their founder shares and public shares that they purchase during or after the offering, if any. In addition, our initial stockholders have agreed to waive their rights to liquidating distributions with respect to their founder shares if we fail to consummate our initial business combination within 12 months (or up to 18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27"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At March 31, 2021, our net tangible book deficit was $(53,118) or approximately $(0.02) per share. After giving effect to the sale of 11,000,000 shares of common stock included in the units we are offering by this prospectus and the proceeds received from the sale of the private warrants, the deduction of underwriting discounts and estimated expenses of this offering, our pro forma net tangible book value at March 31, 2021 would have been $5,000,010 or $1.47 per share (or $1.30 per share if the underwriters’ over-allotment if the underwriters’ over-allotment option is exercised in full), representing an immediate increase in net tangible book value of $1.49 per share (or $1.32 per share if the underwriters’ over-allotment if the underwriters’ over-allotment option is exercised in full) to the initial stockholders and an immediate dilution of $8.53 per share or 85.3% (or $8.70 per share or 87.0% if the underwriters’ over-allotment if the underwriters’ over-allotment option is exercised in full) to new investors not exercising their redemption/ tender rights. For purposes of presentation, our pro forma net tangible book value after this offering is $104,947,971 (or $121,508,990 if the underwriters’ over-allotment if the underwriters’ over-allotment option is exercised in full) less than it otherwise would have been because, if we effect a business combination, the ability of public stockholders to exercise redemption rights or sell their shares to us in any tender offer may result in the redemption or tender of up to 10,339,702 shares (or 11,971,329 if the underwriters’ over-allotment if the underwriters’ over-allotment option is exercised in full) sold in this offering.</w:t>
      </w:r>
    </w:p>
    <w:p>
      <w:pPr>
        <w:spacing w:after="0" w:line="126"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redeemable warrants, including the private warrants: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4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Without</w:t>
            </w:r>
          </w:p>
        </w:tc>
        <w:tc>
          <w:tcPr>
            <w:tcW w:w="78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8"/>
              </w:rPr>
              <w:t>With</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6"/>
        </w:trPr>
        <w:tc>
          <w:tcPr>
            <w:tcW w:w="5600" w:type="dxa"/>
            <w:vAlign w:val="bottom"/>
          </w:tcPr>
          <w:p>
            <w:pPr>
              <w:spacing w:after="0"/>
              <w:rPr>
                <w:sz w:val="16"/>
                <w:szCs w:val="16"/>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Over-Allotment</w:t>
            </w: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Over-Allotment</w:t>
            </w:r>
          </w:p>
        </w:tc>
      </w:tr>
      <w:tr>
        <w:trPr>
          <w:trHeight w:val="25"/>
        </w:trPr>
        <w:tc>
          <w:tcPr>
            <w:tcW w:w="5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60" w:type="dxa"/>
            <w:vAlign w:val="bottom"/>
          </w:tcPr>
          <w:p>
            <w:pPr>
              <w:spacing w:after="0"/>
              <w:rPr>
                <w:sz w:val="21"/>
                <w:szCs w:val="2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$(0.02)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$(0.02)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29"/>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new investors, private sales and capital</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56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56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1.30</w:t>
            </w:r>
          </w:p>
        </w:tc>
      </w:tr>
      <w:tr>
        <w:trPr>
          <w:trHeight w:val="20"/>
        </w:trPr>
        <w:tc>
          <w:tcPr>
            <w:tcW w:w="56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0"/>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8.70</w:t>
            </w:r>
          </w:p>
        </w:tc>
        <w:tc>
          <w:tcPr>
            <w:tcW w:w="160" w:type="dxa"/>
            <w:vAlign w:val="bottom"/>
          </w:tcPr>
          <w:p>
            <w:pPr>
              <w:spacing w:after="0"/>
              <w:rPr>
                <w:sz w:val="24"/>
                <w:szCs w:val="24"/>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Percentage of dilution to new investors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85.3%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w w:val="86"/>
              </w:rPr>
              <w:t>87.0%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-367665</wp:posOffset>
            </wp:positionV>
            <wp:extent cx="4894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-1190625</wp:posOffset>
            </wp:positionV>
            <wp:extent cx="44488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28"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6"/>
                <w:szCs w:val="16"/>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Average Price</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Percentage</w:t>
            </w:r>
          </w:p>
        </w:tc>
        <w:tc>
          <w:tcPr>
            <w:tcW w:w="8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40" w:type="dxa"/>
            <w:vAlign w:val="bottom"/>
            <w:tcBorders>
              <w:right w:val="single" w:sz="8" w:color="CCEEFF"/>
            </w:tcBorders>
            <w:gridSpan w:val="2"/>
            <w:shd w:val="clear" w:color="auto" w:fill="CCEEFF"/>
          </w:tcPr>
          <w:p>
            <w:pPr>
              <w:spacing w:after="0" w:line="263" w:lineRule="exact"/>
              <w:rPr>
                <w:sz w:val="20"/>
                <w:szCs w:val="20"/>
                <w:color w:val="auto"/>
              </w:rPr>
            </w:pPr>
            <w:r>
              <w:rPr>
                <w:rFonts w:ascii="Arial" w:cs="Arial" w:eastAsia="Arial" w:hAnsi="Arial"/>
                <w:sz w:val="18"/>
                <w:szCs w:val="18"/>
                <w:color w:val="auto"/>
              </w:rPr>
              <w:t>Initial stockholders</w:t>
            </w:r>
            <w:r>
              <w:rPr>
                <w:rFonts w:ascii="Arial" w:cs="Arial" w:eastAsia="Arial" w:hAnsi="Arial"/>
                <w:sz w:val="26"/>
                <w:szCs w:val="26"/>
                <w:color w:val="auto"/>
                <w:vertAlign w:val="superscript"/>
              </w:rPr>
              <w:t>(1)(2)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2,750,000</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11,000,000</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110,000,000</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99.98%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940" w:type="dxa"/>
            <w:vAlign w:val="bottom"/>
            <w:shd w:val="clear" w:color="auto" w:fill="CCEEFF"/>
          </w:tcPr>
          <w:p>
            <w:pPr>
              <w:spacing w:after="0"/>
              <w:rPr>
                <w:sz w:val="24"/>
                <w:szCs w:val="24"/>
                <w:color w:val="auto"/>
              </w:rPr>
            </w:pPr>
          </w:p>
        </w:tc>
        <w:tc>
          <w:tcPr>
            <w:tcW w:w="1400" w:type="dxa"/>
            <w:vAlign w:val="bottom"/>
            <w:tcBorders>
              <w:right w:val="single" w:sz="8" w:color="CCEEFF"/>
            </w:tcBorders>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13,750,000</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110,025,000</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4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-290830</wp:posOffset>
            </wp:positionV>
            <wp:extent cx="12426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42695" cy="88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-290830</wp:posOffset>
            </wp:positionV>
            <wp:extent cx="1968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2820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20035" cy="889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-641985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-641985</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-641985</wp:posOffset>
            </wp:positionV>
            <wp:extent cx="27686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-641985</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right="959" w:hanging="360"/>
        <w:spacing w:after="0" w:line="308"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412,500 shares of common stock held by our initial stockholders have been forfeited as a result thereof.</w:t>
      </w:r>
    </w:p>
    <w:p>
      <w:pPr>
        <w:spacing w:after="0" w:line="11" w:lineRule="exact"/>
        <w:rPr>
          <w:rFonts w:ascii="Arial" w:cs="Arial" w:eastAsia="Arial" w:hAnsi="Arial"/>
          <w:sz w:val="17"/>
          <w:szCs w:val="17"/>
          <w:color w:val="auto"/>
        </w:rPr>
      </w:pPr>
    </w:p>
    <w:p>
      <w:pPr>
        <w:ind w:left="1620" w:right="559" w:hanging="360"/>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May and June 2021, our sponsor transferred 20,000 founder shares to each of Messrs. Biele, Boyle, Hardamon, Thakrar and Thomson and Ms. Jardins.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 forma net tangible book value after the offering is calculated as follows: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With</w:t>
            </w:r>
          </w:p>
        </w:tc>
      </w:tr>
      <w:tr>
        <w:trPr>
          <w:trHeight w:val="229"/>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Numerator:</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2"/>
          </w:tcPr>
          <w:p>
            <w:pPr>
              <w:spacing w:after="0" w:line="230" w:lineRule="exact"/>
              <w:rPr>
                <w:sz w:val="20"/>
                <w:szCs w:val="20"/>
                <w:color w:val="auto"/>
              </w:rPr>
            </w:pPr>
            <w:r>
              <w:rPr>
                <w:rFonts w:ascii="Arial" w:cs="Arial" w:eastAsia="Arial" w:hAnsi="Arial"/>
                <w:sz w:val="14"/>
                <w:szCs w:val="14"/>
                <w:b w:val="1"/>
                <w:bCs w:val="1"/>
                <w:color w:val="auto"/>
                <w:w w:val="87"/>
              </w:rPr>
              <w:t>Over-Allotment</w:t>
            </w:r>
            <w:r>
              <w:rPr>
                <w:rFonts w:ascii="Arial" w:cs="Arial" w:eastAsia="Arial" w:hAnsi="Arial"/>
                <w:sz w:val="21"/>
                <w:szCs w:val="21"/>
                <w:b w:val="1"/>
                <w:bCs w:val="1"/>
                <w:color w:val="auto"/>
                <w:w w:val="87"/>
                <w:vertAlign w:val="superscript"/>
              </w:rPr>
              <w:t>(1)</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Over-Allotment</w:t>
            </w:r>
          </w:p>
        </w:tc>
        <w:tc>
          <w:tcPr>
            <w:tcW w:w="60" w:type="dxa"/>
            <w:vAlign w:val="bottom"/>
          </w:tcPr>
          <w:p>
            <w:pPr>
              <w:spacing w:after="0"/>
              <w:rPr>
                <w:sz w:val="19"/>
                <w:szCs w:val="19"/>
                <w:color w:val="auto"/>
              </w:rPr>
            </w:pPr>
          </w:p>
        </w:tc>
      </w:tr>
      <w:tr>
        <w:trPr>
          <w:trHeight w:val="250"/>
        </w:trPr>
        <w:tc>
          <w:tcPr>
            <w:tcW w:w="58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tangible book deficit before this offering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60" w:type="dxa"/>
            <w:vAlign w:val="bottom"/>
          </w:tcPr>
          <w:p>
            <w:pPr>
              <w:spacing w:after="0"/>
              <w:rPr>
                <w:sz w:val="21"/>
                <w:szCs w:val="21"/>
                <w:color w:val="auto"/>
              </w:rPr>
            </w:pPr>
          </w:p>
        </w:tc>
      </w:tr>
      <w:tr>
        <w:trPr>
          <w:trHeight w:val="229"/>
        </w:trPr>
        <w:tc>
          <w:tcPr>
            <w:tcW w:w="5860" w:type="dxa"/>
            <w:vAlign w:val="bottom"/>
            <w:gridSpan w:val="3"/>
          </w:tcPr>
          <w:p>
            <w:pPr>
              <w:spacing w:after="0"/>
              <w:rPr>
                <w:sz w:val="20"/>
                <w:szCs w:val="20"/>
                <w:color w:val="auto"/>
              </w:rPr>
            </w:pPr>
            <w:r>
              <w:rPr>
                <w:rFonts w:ascii="Arial" w:cs="Arial" w:eastAsia="Arial" w:hAnsi="Arial"/>
                <w:sz w:val="18"/>
                <w:szCs w:val="18"/>
                <w:color w:val="auto"/>
              </w:rPr>
              <w:t>Net proceeds from this offering and private placement of private</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860" w:type="dxa"/>
            <w:vAlign w:val="bottom"/>
            <w:gridSpan w:val="3"/>
          </w:tcPr>
          <w:p>
            <w:pPr>
              <w:ind w:left="18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112,977,000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129,724,500</w:t>
            </w:r>
          </w:p>
        </w:tc>
      </w:tr>
      <w:tr>
        <w:trPr>
          <w:trHeight w:val="235"/>
        </w:trPr>
        <w:tc>
          <w:tcPr>
            <w:tcW w:w="58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Plus: Offering costs accrued for or paid in advance; excluding from</w:t>
            </w: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58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tangible book value before this offering</w:t>
            </w:r>
          </w:p>
        </w:tc>
        <w:tc>
          <w:tcPr>
            <w:tcW w:w="1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77,118</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77,118</w:t>
            </w:r>
          </w:p>
        </w:tc>
        <w:tc>
          <w:tcPr>
            <w:tcW w:w="60" w:type="dxa"/>
            <w:vAlign w:val="bottom"/>
          </w:tcPr>
          <w:p>
            <w:pPr>
              <w:spacing w:after="0"/>
              <w:rPr>
                <w:sz w:val="21"/>
                <w:szCs w:val="21"/>
                <w:color w:val="auto"/>
              </w:rPr>
            </w:pPr>
          </w:p>
        </w:tc>
      </w:tr>
      <w:tr>
        <w:trPr>
          <w:trHeight w:val="270"/>
        </w:trPr>
        <w:tc>
          <w:tcPr>
            <w:tcW w:w="5860" w:type="dxa"/>
            <w:vAlign w:val="bottom"/>
            <w:gridSpan w:val="3"/>
          </w:tcPr>
          <w:p>
            <w:pPr>
              <w:spacing w:after="0" w:line="270" w:lineRule="exact"/>
              <w:rPr>
                <w:sz w:val="20"/>
                <w:szCs w:val="20"/>
                <w:color w:val="auto"/>
              </w:rPr>
            </w:pPr>
            <w:r>
              <w:rPr>
                <w:rFonts w:ascii="Arial" w:cs="Arial" w:eastAsia="Arial" w:hAnsi="Arial"/>
                <w:sz w:val="18"/>
                <w:szCs w:val="18"/>
                <w:color w:val="auto"/>
              </w:rPr>
              <w:t>Less: Warrant liabilities</w:t>
            </w:r>
            <w:r>
              <w:rPr>
                <w:rFonts w:ascii="Arial" w:cs="Arial" w:eastAsia="Arial" w:hAnsi="Arial"/>
                <w:sz w:val="26"/>
                <w:szCs w:val="26"/>
                <w:color w:val="auto"/>
                <w:vertAlign w:val="superscript"/>
              </w:rPr>
              <w:t>(2)</w:t>
            </w:r>
          </w:p>
        </w:tc>
        <w:tc>
          <w:tcPr>
            <w:tcW w:w="10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(3,053,019)</w:t>
            </w:r>
          </w:p>
        </w:tc>
        <w:tc>
          <w:tcPr>
            <w:tcW w:w="10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(3,239,501)</w:t>
            </w:r>
          </w:p>
        </w:tc>
      </w:tr>
      <w:tr>
        <w:trPr>
          <w:trHeight w:val="192"/>
        </w:trPr>
        <w:tc>
          <w:tcPr>
            <w:tcW w:w="56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5"/>
              </w:rPr>
              <w:t>Less: Proceeds held in trust subject to redemption to maintain net tangible</w:t>
            </w: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308"/>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 of $5,000,001</w:t>
            </w:r>
            <w:r>
              <w:rPr>
                <w:rFonts w:ascii="Arial" w:cs="Arial" w:eastAsia="Arial" w:hAnsi="Arial"/>
                <w:sz w:val="26"/>
                <w:szCs w:val="26"/>
                <w:color w:val="auto"/>
                <w:vertAlign w:val="superscript"/>
              </w:rPr>
              <w:t>(3)(4)</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(104,947,971)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(121,508,990)</w:t>
            </w:r>
          </w:p>
        </w:tc>
        <w:tc>
          <w:tcPr>
            <w:tcW w:w="60" w:type="dxa"/>
            <w:vAlign w:val="bottom"/>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19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5,000,010</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5,000,010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8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5860" w:type="dxa"/>
            <w:vAlign w:val="bottom"/>
            <w:gridSpan w:val="3"/>
          </w:tcPr>
          <w:p>
            <w:pPr>
              <w:spacing w:after="0"/>
              <w:rPr>
                <w:sz w:val="20"/>
                <w:szCs w:val="20"/>
                <w:color w:val="auto"/>
              </w:rPr>
            </w:pPr>
            <w:r>
              <w:rPr>
                <w:rFonts w:ascii="Arial" w:cs="Arial" w:eastAsia="Arial" w:hAnsi="Arial"/>
                <w:sz w:val="18"/>
                <w:szCs w:val="18"/>
                <w:color w:val="auto"/>
              </w:rPr>
              <w:t>Shares of common stock issued and outstanding prior to this offering</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2,750,000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3,162,500</w:t>
            </w:r>
          </w:p>
        </w:tc>
      </w:tr>
      <w:tr>
        <w:trPr>
          <w:trHeight w:val="257"/>
        </w:trPr>
        <w:tc>
          <w:tcPr>
            <w:tcW w:w="58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Shares of common stock to be sold in this offering</w:t>
            </w:r>
          </w:p>
        </w:tc>
        <w:tc>
          <w:tcPr>
            <w:tcW w:w="100" w:type="dxa"/>
            <w:vAlign w:val="bottom"/>
            <w:shd w:val="clear" w:color="auto" w:fill="CCEEFF"/>
          </w:tcPr>
          <w:p>
            <w:pPr>
              <w:spacing w:after="0"/>
              <w:rPr>
                <w:sz w:val="22"/>
                <w:szCs w:val="2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12,650,000</w:t>
            </w:r>
          </w:p>
        </w:tc>
        <w:tc>
          <w:tcPr>
            <w:tcW w:w="60" w:type="dxa"/>
            <w:vAlign w:val="bottom"/>
          </w:tcPr>
          <w:p>
            <w:pPr>
              <w:spacing w:after="0"/>
              <w:rPr>
                <w:sz w:val="22"/>
                <w:szCs w:val="22"/>
                <w:color w:val="auto"/>
              </w:rPr>
            </w:pPr>
          </w:p>
        </w:tc>
      </w:tr>
      <w:tr>
        <w:trPr>
          <w:trHeight w:val="263"/>
        </w:trPr>
        <w:tc>
          <w:tcPr>
            <w:tcW w:w="5860" w:type="dxa"/>
            <w:vAlign w:val="bottom"/>
            <w:gridSpan w:val="3"/>
          </w:tcPr>
          <w:p>
            <w:pPr>
              <w:spacing w:after="0"/>
              <w:rPr>
                <w:sz w:val="20"/>
                <w:szCs w:val="20"/>
                <w:color w:val="auto"/>
              </w:rPr>
            </w:pPr>
            <w:r>
              <w:rPr>
                <w:rFonts w:ascii="Arial" w:cs="Arial" w:eastAsia="Arial" w:hAnsi="Arial"/>
                <w:sz w:val="18"/>
                <w:szCs w:val="18"/>
                <w:color w:val="auto"/>
              </w:rPr>
              <w:t>Less: Shares subject to redemption/tender</w:t>
            </w:r>
          </w:p>
        </w:tc>
        <w:tc>
          <w:tcPr>
            <w:tcW w:w="10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(10,339,702)</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(11,971,329)</w:t>
            </w:r>
          </w:p>
        </w:tc>
      </w:tr>
      <w:tr>
        <w:trPr>
          <w:trHeight w:val="20"/>
        </w:trPr>
        <w:tc>
          <w:tcPr>
            <w:tcW w:w="194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194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3,410,298</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3,841,171</w:t>
            </w:r>
          </w:p>
        </w:tc>
        <w:tc>
          <w:tcPr>
            <w:tcW w:w="60" w:type="dxa"/>
            <w:vAlign w:val="bottom"/>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45345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-2399665</wp:posOffset>
            </wp:positionV>
            <wp:extent cx="120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-2399665</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1" w:lineRule="exact"/>
        <w:rPr>
          <w:sz w:val="20"/>
          <w:szCs w:val="20"/>
          <w:color w:val="auto"/>
        </w:rPr>
      </w:pPr>
    </w:p>
    <w:p>
      <w:pPr>
        <w:ind w:left="1620" w:right="959" w:hanging="360"/>
        <w:spacing w:after="0" w:line="308"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412,500 shares of common stock held by our initial stockholders have been forfeited by us as a result thereof.</w:t>
      </w:r>
    </w:p>
    <w:p>
      <w:pPr>
        <w:spacing w:after="0" w:line="11" w:lineRule="exact"/>
        <w:rPr>
          <w:rFonts w:ascii="Arial" w:cs="Arial" w:eastAsia="Arial" w:hAnsi="Arial"/>
          <w:sz w:val="17"/>
          <w:szCs w:val="17"/>
          <w:color w:val="auto"/>
        </w:rPr>
      </w:pPr>
    </w:p>
    <w:p>
      <w:pPr>
        <w:ind w:left="1620" w:right="639" w:hanging="360"/>
        <w:spacing w:after="0" w:line="259"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38" w:lineRule="exact"/>
        <w:rPr>
          <w:rFonts w:ascii="Arial" w:cs="Arial" w:eastAsia="Arial" w:hAnsi="Arial"/>
          <w:sz w:val="18"/>
          <w:szCs w:val="18"/>
          <w:color w:val="auto"/>
        </w:rPr>
      </w:pPr>
    </w:p>
    <w:p>
      <w:pPr>
        <w:ind w:left="1620" w:right="439" w:hanging="360"/>
        <w:spacing w:after="0" w:line="25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initial stockholders,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common stock subject to redemption will be reduced by the amount of any such purchases, increasing the pro forma net tangible book value per share.</w:t>
      </w:r>
    </w:p>
    <w:p>
      <w:pPr>
        <w:spacing w:after="0" w:line="124" w:lineRule="exact"/>
        <w:rPr>
          <w:rFonts w:ascii="Arial" w:cs="Arial" w:eastAsia="Arial" w:hAnsi="Arial"/>
          <w:sz w:val="18"/>
          <w:szCs w:val="18"/>
          <w:color w:val="auto"/>
        </w:rPr>
      </w:pPr>
    </w:p>
    <w:p>
      <w:pPr>
        <w:ind w:left="1620" w:right="519" w:hanging="360"/>
        <w:spacing w:after="0" w:line="308"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actual number of shares subject to redemption may exceed this amount so long as we have at least $5,000,001 immediately prior to or upon consummation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The following table sets forth our capitalization at March 31, 2021, and as adjusted to give effect to the sale of our units and the private warrants and the application of the estimated net proceeds derived from the sale of such securities.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March 31, 2021</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tcPr>
          <w:p>
            <w:pPr>
              <w:spacing w:after="0"/>
              <w:rPr>
                <w:sz w:val="20"/>
                <w:szCs w:val="20"/>
                <w:color w:val="auto"/>
              </w:rPr>
            </w:pPr>
          </w:p>
        </w:tc>
        <w:tc>
          <w:tcPr>
            <w:tcW w:w="4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spacing w:after="0" w:line="237"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21"/>
                <w:szCs w:val="21"/>
                <w:b w:val="1"/>
                <w:bCs w:val="1"/>
                <w:color w:val="auto"/>
                <w:w w:val="91"/>
                <w:vertAlign w:val="superscript"/>
              </w:rPr>
              <w:t>(1)</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gridSpan w:val="2"/>
            <w:shd w:val="clear" w:color="auto" w:fill="CCEEFF"/>
          </w:tcPr>
          <w:p>
            <w:pPr>
              <w:spacing w:after="0" w:line="277" w:lineRule="exact"/>
              <w:rPr>
                <w:sz w:val="20"/>
                <w:szCs w:val="20"/>
                <w:color w:val="auto"/>
              </w:rPr>
            </w:pPr>
            <w:r>
              <w:rPr>
                <w:rFonts w:ascii="Arial" w:cs="Arial" w:eastAsia="Arial" w:hAnsi="Arial"/>
                <w:sz w:val="18"/>
                <w:szCs w:val="18"/>
                <w:color w:val="auto"/>
              </w:rPr>
              <w:t>Promissory note – related party</w:t>
            </w:r>
            <w:r>
              <w:rPr>
                <w:rFonts w:ascii="Arial" w:cs="Arial" w:eastAsia="Arial" w:hAnsi="Arial"/>
                <w:sz w:val="26"/>
                <w:szCs w:val="26"/>
                <w:color w:val="auto"/>
                <w:vertAlign w:val="superscript"/>
              </w:rPr>
              <w:t>(2)</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60" w:type="dxa"/>
            <w:vAlign w:val="bottom"/>
            <w:gridSpan w:val="2"/>
          </w:tcPr>
          <w:p>
            <w:pPr>
              <w:spacing w:after="0" w:line="277" w:lineRule="exact"/>
              <w:rPr>
                <w:sz w:val="20"/>
                <w:szCs w:val="20"/>
                <w:color w:val="auto"/>
              </w:rPr>
            </w:pPr>
            <w:r>
              <w:rPr>
                <w:rFonts w:ascii="Arial" w:cs="Arial" w:eastAsia="Arial" w:hAnsi="Arial"/>
                <w:sz w:val="18"/>
                <w:szCs w:val="18"/>
                <w:color w:val="auto"/>
              </w:rPr>
              <w:t>Warrant liabilities</w:t>
            </w:r>
            <w:r>
              <w:rPr>
                <w:rFonts w:ascii="Arial" w:cs="Arial" w:eastAsia="Arial" w:hAnsi="Arial"/>
                <w:sz w:val="26"/>
                <w:szCs w:val="26"/>
                <w:color w:val="auto"/>
                <w:vertAlign w:val="superscript"/>
              </w:rPr>
              <w:t>(3)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3,053,019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Shares of common stock, $0.0001 par value, none and 10,339,702 shares are</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subject to possible redemption/tender,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104,947,971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3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Shares of common stock, $0.0001 par value, 50,000,000 shares authorized,</w:t>
            </w: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300" w:type="dxa"/>
            <w:vAlign w:val="bottom"/>
            <w:gridSpan w:val="4"/>
          </w:tcPr>
          <w:p>
            <w:pPr>
              <w:ind w:left="180"/>
              <w:spacing w:after="0" w:line="179" w:lineRule="exact"/>
              <w:rPr>
                <w:sz w:val="20"/>
                <w:szCs w:val="20"/>
                <w:color w:val="auto"/>
              </w:rPr>
            </w:pPr>
            <w:r>
              <w:rPr>
                <w:rFonts w:ascii="Arial" w:cs="Arial" w:eastAsia="Arial" w:hAnsi="Arial"/>
                <w:sz w:val="18"/>
                <w:szCs w:val="18"/>
                <w:color w:val="auto"/>
              </w:rPr>
              <w:t>3,162,500 shares issued and outstanding, actual; 50,000,000 shares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300" w:type="dxa"/>
            <w:vAlign w:val="bottom"/>
            <w:gridSpan w:val="4"/>
          </w:tcPr>
          <w:p>
            <w:pPr>
              <w:ind w:left="180"/>
              <w:spacing w:after="0" w:line="266" w:lineRule="exact"/>
              <w:rPr>
                <w:sz w:val="20"/>
                <w:szCs w:val="20"/>
                <w:color w:val="auto"/>
              </w:rPr>
            </w:pPr>
            <w:r>
              <w:rPr>
                <w:rFonts w:ascii="Arial" w:cs="Arial" w:eastAsia="Arial" w:hAnsi="Arial"/>
                <w:sz w:val="18"/>
                <w:szCs w:val="18"/>
                <w:color w:val="auto"/>
              </w:rPr>
              <w:t>authorized</w:t>
            </w:r>
            <w:r>
              <w:rPr>
                <w:rFonts w:ascii="Arial" w:cs="Arial" w:eastAsia="Arial" w:hAnsi="Arial"/>
                <w:sz w:val="26"/>
                <w:szCs w:val="26"/>
                <w:color w:val="auto"/>
                <w:vertAlign w:val="superscript"/>
              </w:rPr>
              <w:t>(6)</w:t>
            </w:r>
            <w:r>
              <w:rPr>
                <w:rFonts w:ascii="Arial" w:cs="Arial" w:eastAsia="Arial" w:hAnsi="Arial"/>
                <w:sz w:val="18"/>
                <w:szCs w:val="18"/>
                <w:color w:val="auto"/>
              </w:rPr>
              <w:t>, 3,410,298 shares issued and outstanding</w:t>
            </w:r>
            <w:r>
              <w:rPr>
                <w:rFonts w:ascii="Arial" w:cs="Arial" w:eastAsia="Arial" w:hAnsi="Arial"/>
                <w:sz w:val="26"/>
                <w:szCs w:val="26"/>
                <w:color w:val="auto"/>
                <w:vertAlign w:val="superscript"/>
              </w:rPr>
              <w:t>(4) (5)</w:t>
            </w:r>
            <w:r>
              <w:rPr>
                <w:rFonts w:ascii="Arial" w:cs="Arial" w:eastAsia="Arial" w:hAnsi="Arial"/>
                <w:sz w:val="18"/>
                <w:szCs w:val="18"/>
                <w:color w:val="auto"/>
              </w:rPr>
              <w:t xml:space="preserve"> (excluding</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00" w:type="dxa"/>
            <w:vAlign w:val="bottom"/>
            <w:gridSpan w:val="4"/>
          </w:tcPr>
          <w:p>
            <w:pPr>
              <w:ind w:left="180"/>
              <w:spacing w:after="0"/>
              <w:rPr>
                <w:sz w:val="20"/>
                <w:szCs w:val="20"/>
                <w:color w:val="auto"/>
              </w:rPr>
            </w:pPr>
            <w:r>
              <w:rPr>
                <w:rFonts w:ascii="Arial" w:cs="Arial" w:eastAsia="Arial" w:hAnsi="Arial"/>
                <w:sz w:val="18"/>
                <w:szCs w:val="18"/>
                <w:color w:val="auto"/>
              </w:rPr>
              <w:t>10,339,702 shares subject to possible redemption/tender), as adjusted</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5,013,970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0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63"/>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00" w:type="dxa"/>
            <w:vAlign w:val="bottom"/>
            <w:gridSpan w:val="4"/>
          </w:tcPr>
          <w:p>
            <w:pPr>
              <w:spacing w:after="0"/>
              <w:rPr>
                <w:sz w:val="20"/>
                <w:szCs w:val="20"/>
                <w:color w:val="auto"/>
              </w:rPr>
            </w:pPr>
            <w:r>
              <w:rPr>
                <w:rFonts w:ascii="Arial" w:cs="Arial" w:eastAsia="Arial" w:hAnsi="Arial"/>
                <w:sz w:val="18"/>
                <w:szCs w:val="18"/>
                <w:color w:val="auto"/>
              </w:rPr>
              <w:t>Total capitalization</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$149,000</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113,001,000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-462280</wp:posOffset>
            </wp:positionV>
            <wp:extent cx="45777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-822325</wp:posOffset>
            </wp:positionV>
            <wp:extent cx="45777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-1739265</wp:posOffset>
            </wp:positionV>
            <wp:extent cx="45777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-2116455</wp:posOffset>
            </wp:positionV>
            <wp:extent cx="45688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4" w:lineRule="exact"/>
        <w:rPr>
          <w:sz w:val="20"/>
          <w:szCs w:val="20"/>
          <w:color w:val="auto"/>
        </w:rPr>
      </w:pPr>
    </w:p>
    <w:p>
      <w:pPr>
        <w:ind w:left="1620" w:right="539" w:hanging="360"/>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the $4,052,000 we will receive from the sale of the private warrants (assuming no exercise of the over-allotment option).</w:t>
      </w:r>
    </w:p>
    <w:p>
      <w:pPr>
        <w:spacing w:after="0" w:line="21" w:lineRule="exact"/>
        <w:rPr>
          <w:rFonts w:ascii="Arial" w:cs="Arial" w:eastAsia="Arial" w:hAnsi="Arial"/>
          <w:sz w:val="18"/>
          <w:szCs w:val="18"/>
          <w:color w:val="auto"/>
        </w:rPr>
      </w:pPr>
    </w:p>
    <w:p>
      <w:pPr>
        <w:jc w:val="both"/>
        <w:ind w:left="1620" w:right="579" w:hanging="360"/>
        <w:spacing w:after="0" w:line="263"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sponsor has agreed to loan us an aggregate of $250,000 to be used to pay formation and a portion of the expenses of this offering. The loan is non-interest bearing and payable on the date on which we consummate the offering.</w:t>
      </w:r>
    </w:p>
    <w:p>
      <w:pPr>
        <w:spacing w:after="0" w:line="48" w:lineRule="exact"/>
        <w:rPr>
          <w:rFonts w:ascii="Arial" w:cs="Arial" w:eastAsia="Arial" w:hAnsi="Arial"/>
          <w:sz w:val="18"/>
          <w:szCs w:val="18"/>
          <w:color w:val="auto"/>
        </w:rPr>
      </w:pPr>
    </w:p>
    <w:p>
      <w:pPr>
        <w:ind w:left="1620" w:right="639" w:hanging="360"/>
        <w:spacing w:after="0" w:line="259"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38" w:lineRule="exact"/>
        <w:rPr>
          <w:rFonts w:ascii="Arial" w:cs="Arial" w:eastAsia="Arial" w:hAnsi="Arial"/>
          <w:sz w:val="18"/>
          <w:szCs w:val="18"/>
          <w:color w:val="auto"/>
        </w:rPr>
      </w:pPr>
    </w:p>
    <w:p>
      <w:pPr>
        <w:ind w:left="1620" w:right="959" w:hanging="360"/>
        <w:spacing w:after="0" w:line="306"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412,500 shares of common stock held by our initial stockholders have been forfeited as a result thereof.</w:t>
      </w:r>
    </w:p>
    <w:p>
      <w:pPr>
        <w:spacing w:after="0" w:line="1" w:lineRule="exact"/>
        <w:rPr>
          <w:rFonts w:ascii="Arial" w:cs="Arial" w:eastAsia="Arial" w:hAnsi="Arial"/>
          <w:sz w:val="17"/>
          <w:szCs w:val="17"/>
          <w:color w:val="auto"/>
        </w:rPr>
      </w:pPr>
    </w:p>
    <w:p>
      <w:pPr>
        <w:ind w:left="1620" w:right="419" w:hanging="360"/>
        <w:spacing w:after="0" w:line="270"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initial business combination. The actual number of shares subject to redemption may exceed this amount so long as we have at least $5,000,001 immediately prior to or upon consummation of our initial business combination.</w:t>
      </w:r>
    </w:p>
    <w:p>
      <w:pPr>
        <w:spacing w:after="0" w:line="45" w:lineRule="exact"/>
        <w:rPr>
          <w:rFonts w:ascii="Arial" w:cs="Arial" w:eastAsia="Arial" w:hAnsi="Arial"/>
          <w:sz w:val="17"/>
          <w:szCs w:val="17"/>
          <w:color w:val="auto"/>
        </w:rPr>
      </w:pPr>
    </w:p>
    <w:p>
      <w:pPr>
        <w:ind w:left="1620" w:right="479" w:hanging="360"/>
        <w:spacing w:after="0" w:line="263"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were incorporated on June 23, 2020, as a Delaware corporation, and we were formed to serve as a vehicle to effect a merger, share exchange, asset acquisition, share purchase, recapitalization, reorganization or similar business combination with one or more target businesses. We have not selected any specific business combination target and we have not, nor has anyone on our behalf, initiated any substantive discussions, directly or indirectly, with any business combination target regarding an initial business combination with our company. We intend to effectuate our initial business combination using cash from the proceeds of this offering and the private placement of the private warrants, the proceeds of the sale of our securities in connection with our initial business combination, shares issued to the owners of the target, debt issued to bank or other lenders or the owners of the target, or a combination of the foregoing.</w:t>
      </w:r>
    </w:p>
    <w:p>
      <w:pPr>
        <w:spacing w:after="0" w:line="11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issuance of additional shares in connection with our business combination to the owners of the target or other investors:</w:t>
      </w:r>
    </w:p>
    <w:p>
      <w:pPr>
        <w:spacing w:after="0" w:line="62"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3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62"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70" w:lineRule="exact"/>
        <w:rPr>
          <w:rFonts w:ascii="Arial" w:cs="Arial" w:eastAsia="Arial" w:hAnsi="Arial"/>
          <w:sz w:val="17"/>
          <w:szCs w:val="17"/>
          <w:color w:val="auto"/>
        </w:rPr>
      </w:pPr>
    </w:p>
    <w:p>
      <w:pPr>
        <w:ind w:left="1800" w:right="111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securities.</w:t>
      </w:r>
    </w:p>
    <w:p>
      <w:pPr>
        <w:spacing w:after="0" w:line="15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62" w:lineRule="exact"/>
        <w:rPr>
          <w:sz w:val="20"/>
          <w:szCs w:val="20"/>
          <w:color w:val="auto"/>
        </w:rPr>
      </w:pPr>
    </w:p>
    <w:p>
      <w:pPr>
        <w:ind w:left="1800" w:right="89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62"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7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75" w:lineRule="exact"/>
        <w:rPr>
          <w:rFonts w:ascii="Arial" w:cs="Arial" w:eastAsia="Arial" w:hAnsi="Arial"/>
          <w:sz w:val="18"/>
          <w:szCs w:val="18"/>
          <w:color w:val="auto"/>
        </w:rPr>
      </w:pPr>
    </w:p>
    <w:p>
      <w:pPr>
        <w:ind w:left="1800" w:right="1139" w:hanging="180"/>
        <w:spacing w:after="0" w:line="308"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additional financing while such security is outstanding;</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17" w:lineRule="exact"/>
        <w:rPr>
          <w:rFonts w:ascii="Arial" w:cs="Arial" w:eastAsia="Arial" w:hAnsi="Arial"/>
          <w:sz w:val="18"/>
          <w:szCs w:val="18"/>
          <w:color w:val="auto"/>
        </w:rPr>
      </w:pPr>
    </w:p>
    <w:p>
      <w:pPr>
        <w:ind w:left="1800" w:right="739" w:hanging="180"/>
        <w:spacing w:after="0" w:line="311" w:lineRule="auto"/>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40" w:lineRule="exact"/>
        <w:rPr>
          <w:rFonts w:ascii="Arial" w:cs="Arial" w:eastAsia="Arial" w:hAnsi="Arial"/>
          <w:sz w:val="16"/>
          <w:szCs w:val="16"/>
          <w:color w:val="auto"/>
        </w:rPr>
      </w:pPr>
    </w:p>
    <w:p>
      <w:pPr>
        <w:ind w:left="1800" w:right="95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800" w:right="1319" w:hanging="180"/>
        <w:spacing w:after="0" w:line="308"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imitations on our ability to borrow additional amounts for expenses, capital expenditures, acquisitions, debt service requirements, and execution of our strategy; and</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459" w:firstLine="360"/>
        <w:spacing w:after="0" w:line="231" w:lineRule="auto"/>
        <w:rPr>
          <w:sz w:val="20"/>
          <w:szCs w:val="20"/>
          <w:color w:val="auto"/>
        </w:rPr>
      </w:pPr>
      <w:r>
        <w:rPr>
          <w:rFonts w:ascii="Arial" w:cs="Arial" w:eastAsia="Arial" w:hAnsi="Arial"/>
          <w:sz w:val="18"/>
          <w:szCs w:val="18"/>
          <w:color w:val="auto"/>
        </w:rPr>
        <w:t>As indicated in the accompanying financial statements, at March 31, 2021, we had $72,882 in cash and $77,118 in deferred offering costs. Further, we expect to continue to incur significant costs in the pursuit of our acquisition plans. We cannot assure you that our plans to raise capital or to complete our initial business combination will be successful.</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35" w:lineRule="exact"/>
        <w:rPr>
          <w:sz w:val="20"/>
          <w:szCs w:val="20"/>
          <w:color w:val="auto"/>
        </w:rPr>
      </w:pPr>
    </w:p>
    <w:p>
      <w:pPr>
        <w:ind w:left="1260" w:right="459" w:firstLine="360"/>
        <w:spacing w:after="0" w:line="223"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1260" w:right="479" w:firstLine="360"/>
        <w:spacing w:after="0" w:line="231" w:lineRule="auto"/>
        <w:rPr>
          <w:sz w:val="20"/>
          <w:szCs w:val="20"/>
          <w:color w:val="auto"/>
        </w:rPr>
      </w:pPr>
      <w:r>
        <w:rPr>
          <w:rFonts w:ascii="Arial" w:cs="Arial" w:eastAsia="Arial" w:hAnsi="Arial"/>
          <w:sz w:val="18"/>
          <w:szCs w:val="18"/>
          <w:color w:val="auto"/>
        </w:rPr>
        <w:t>As indicated in the accompanying financial statements, at March 31, 2021, we had $72,882 in cash and a working capital deficit of $(53,118). Further, we have incurred and expect to continue to incur significant costs in pursuit of our financing and acquisition plans. Management’s plans to address this uncertainty through this offering are discussed above.</w:t>
      </w:r>
    </w:p>
    <w:p>
      <w:pPr>
        <w:spacing w:after="0" w:line="108"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7"/>
          <w:szCs w:val="17"/>
          <w:color w:val="auto"/>
        </w:rPr>
        <w:t>Our liquidity needs have been satisfied to date through receipt of $ 25,000 from the sale of the founder shares and loans from our sponsor in an aggregate amount of $250,000. We estimate that the net proceeds from (1) the sale of the units in this offering, after deducting offering expenses of approximately $575,000 and underwriting discounts and commissions of $500,000 and (2) the sale of the private warrants for a purchase price of $ 4,052,000 (or up to $4,299,500 depending on the extent to which the underwriters’ over-allotment option is exercised) will be $112,977,000 (or $129,724,500 if the over-allotment option is exercised in full). Of this amount, $111,650,000 (or $128,397,500 if the over-allotment option is exercised in full) will be held in the trust account. The proceeds held in the trust account will be invested only in U.S. government treasury obligations with a maturity of 185 days or less or in money market funds meeting certain conditions under Rule 2a- 7 under the Investment Company Act which invest only in direct U.S. government treasury obligations. The remaining $1,327,000 (whether or not the over-allotment option is exercised in full) will not be held in the trust account.</w:t>
      </w:r>
    </w:p>
    <w:p>
      <w:pPr>
        <w:spacing w:after="0" w:line="11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13"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Over the next 12 months (or up to 18 months, as applicable),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58" w:lineRule="exact"/>
        <w:rPr>
          <w:sz w:val="20"/>
          <w:szCs w:val="20"/>
          <w:color w:val="auto"/>
        </w:rPr>
      </w:pPr>
    </w:p>
    <w:p>
      <w:pPr>
        <w:ind w:left="1800" w:right="699" w:hanging="180"/>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7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$250,000 of expenses for the due diligence and investigation of a target business by our officers, directors and initial stockholders;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$75,000 of expenses in Nasdaq continued listing fees;</w:t>
      </w:r>
    </w:p>
    <w:p>
      <w:pPr>
        <w:spacing w:after="0" w:line="117"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$120,000 for the payment of the administrative fee to an affiliate of our sponsor (of $10,000 per month for up to 12 months);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$375,000 for director and officer liability insurance premiums;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$207,000 for general working capital that will be used for miscellaneous expenses</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On August 10, 2021, we effectuated a 1.1-for-1 stock split, resulting in an aggregate of 3,162,500 founder shares outstanding. Such number of shares includes an aggregate of up to 412,500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Commencing on the date that our securities are first listed on the NASDAQ through the earlier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consummation of our initial business combination and our liquidation, we will pay our sponsor a total of</w:t>
      </w:r>
    </w:p>
    <w:p>
      <w:pPr>
        <w:ind w:left="1260"/>
        <w:spacing w:after="0"/>
        <w:rPr>
          <w:sz w:val="20"/>
          <w:szCs w:val="20"/>
          <w:color w:val="auto"/>
        </w:rPr>
      </w:pPr>
      <w:r>
        <w:rPr>
          <w:rFonts w:ascii="Arial" w:cs="Arial" w:eastAsia="Arial" w:hAnsi="Arial"/>
          <w:sz w:val="17"/>
          <w:szCs w:val="17"/>
          <w:color w:val="auto"/>
        </w:rPr>
        <w:t>$10,000 per month for office space, administrative and shared personnel support services. Upon completion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our initial business combination or our liquidation, we will cease paying these monthly fees.</w:t>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sponsor has transferred 22,000 founder shares to each of our independent directors.</w:t>
      </w:r>
    </w:p>
    <w:p>
      <w:pPr>
        <w:spacing w:after="0" w:line="15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10"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Our sponsor has agreed to loan us an aggregate of $250,000 on a non-interest bearing basis, for payment of offering expenses on our behalf.</w:t>
      </w:r>
    </w:p>
    <w:p>
      <w:pPr>
        <w:spacing w:after="0" w:line="10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4,361,456 (or up to 4,627,858, depending on the extent to which the underwriters’ over-allotment option is exercised) private warrants at a price of approximately $0.93 per warrant ( $4,052,000 (or up to $ 4,299,500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for sale under the Securities Act. These holders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 holders have certain “piggy-back” registration rights on registration statements filed after the consummation of our initial business combination. We will bear the costs and expenses of filing any such registration statements. See the section of this prospectus entitled “Certain Relationships and Related Party Transactions.” Notwithstanding the foregoing, our sponsor may not exercise its demand and “piggyback” registration rights after five and seven years, respectively, after the effective date of the registration statement of which this prospectus forms a part and may not exercise its demand rights on more than one occasion.</w:t>
      </w:r>
    </w:p>
    <w:p>
      <w:pPr>
        <w:spacing w:after="0" w:line="105"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have engaged Chardan as an advisor in connection with our business combination, pursuant to the Business Combination Marketing Agreement described under “Underwriting (Conflicts of Interest) —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2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needed to finance transaction costs in connection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repaid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Controls and Procedures</w:t>
      </w:r>
    </w:p>
    <w:p>
      <w:pPr>
        <w:spacing w:after="0" w:line="162"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0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6" w:lineRule="exact"/>
        <w:rPr>
          <w:sz w:val="20"/>
          <w:szCs w:val="20"/>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documentation of accounting policies and procedures.</w:t>
      </w:r>
    </w:p>
    <w:p>
      <w:pPr>
        <w:spacing w:after="0" w:line="14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60"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promulgated by the SEC and did not have any commitments or contractual obligations. No unaudited quarterly operating data is included in this prospectus as we have conducted no operations to date.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ind w:left="1260" w:right="439" w:firstLine="360"/>
        <w:spacing w:after="0" w:line="276" w:lineRule="auto"/>
        <w:rPr>
          <w:sz w:val="20"/>
          <w:szCs w:val="20"/>
          <w:color w:val="auto"/>
        </w:rPr>
      </w:pPr>
      <w:r>
        <w:rPr>
          <w:rFonts w:ascii="Arial" w:cs="Arial" w:eastAsia="Arial" w:hAnsi="Arial"/>
          <w:sz w:val="16"/>
          <w:szCs w:val="16"/>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9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26" w:lineRule="exact"/>
        <w:rPr>
          <w:sz w:val="20"/>
          <w:szCs w:val="20"/>
          <w:color w:val="auto"/>
        </w:rPr>
      </w:pPr>
    </w:p>
    <w:p>
      <w:pPr>
        <w:jc w:val="both"/>
        <w:ind w:left="1260" w:right="459" w:firstLine="360"/>
        <w:spacing w:after="0" w:line="270" w:lineRule="auto"/>
        <w:rPr>
          <w:sz w:val="20"/>
          <w:szCs w:val="20"/>
          <w:color w:val="auto"/>
        </w:rPr>
      </w:pPr>
      <w:r>
        <w:rPr>
          <w:rFonts w:ascii="Arial" w:cs="Arial" w:eastAsia="Arial" w:hAnsi="Arial"/>
          <w:sz w:val="17"/>
          <w:szCs w:val="17"/>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Opportunity</w:t>
      </w:r>
    </w:p>
    <w:p>
      <w:pPr>
        <w:spacing w:after="0" w:line="148"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Having founded the third -ever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 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1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Team</w:t>
      </w:r>
    </w:p>
    <w:p>
      <w:pPr>
        <w:spacing w:after="0" w:line="16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41" w:lineRule="auto"/>
        <w:rPr>
          <w:sz w:val="20"/>
          <w:szCs w:val="20"/>
          <w:color w:val="auto"/>
        </w:rPr>
      </w:pPr>
      <w:r>
        <w:rPr>
          <w:rFonts w:ascii="Arial" w:cs="Arial" w:eastAsia="Arial" w:hAnsi="Arial"/>
          <w:sz w:val="18"/>
          <w:szCs w:val="18"/>
          <w:color w:val="auto"/>
        </w:rPr>
        <w:t>of our sponsor.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10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b w:val="1"/>
          <w:bCs w:val="1"/>
          <w:i w:val="1"/>
          <w:iCs w:val="1"/>
          <w:color w:val="auto"/>
        </w:rPr>
        <w:t xml:space="preserve">Kerry Propper </w:t>
      </w:r>
      <w:r>
        <w:rPr>
          <w:rFonts w:ascii="Arial" w:cs="Arial" w:eastAsia="Arial" w:hAnsi="Arial"/>
          <w:sz w:val="17"/>
          <w:szCs w:val="17"/>
          <w:color w:val="auto"/>
        </w:rPr>
        <w:t>is our co-founder and Chairman of the board of directors. Mr. Propper was co-founder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 founder and managing partner of ATW Partners, a growth-focused investment firm. Mr. Propper also sits on the board of 340 Basics, Credit Sesame, and PierianDx among other boards.</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Jonas Grossman </w:t>
      </w:r>
      <w:r>
        <w:rPr>
          <w:rFonts w:ascii="Arial" w:cs="Arial" w:eastAsia="Arial" w:hAnsi="Arial"/>
          <w:sz w:val="17"/>
          <w:szCs w:val="17"/>
          <w:color w:val="auto"/>
        </w:rPr>
        <w:t>is our co-founder and has been our Chief Executive Officer and a member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June 2020 and our President, Secretary, and Treasurer since July 2020. Mr. Grossman has nearly two decades of special purpose acquisition company expertise. He has provided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 and CleanTech Acquisition Corp since May 2021.</w:t>
      </w:r>
    </w:p>
    <w:p>
      <w:pPr>
        <w:spacing w:after="0" w:line="12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is a member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Mr. Weil has spent over two decades on Wall Street providing strategic advisory services to global companies, senior executives, boards of directors, and investors. Since March 2021, he has served as chief financial officer and director of Chardan NexTech Acquisition Corp., and he has agreed to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7"/>
          <w:szCs w:val="17"/>
          <w:i w:val="1"/>
          <w:iCs w:val="1"/>
          <w:color w:val="auto"/>
        </w:rPr>
        <w:t>e.g.</w:t>
      </w:r>
      <w:r>
        <w:rPr>
          <w:rFonts w:ascii="Arial" w:cs="Arial" w:eastAsia="Arial" w:hAnsi="Arial"/>
          <w:sz w:val="17"/>
          <w:szCs w:val="17"/>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Chardan</w:t>
      </w:r>
    </w:p>
    <w:p>
      <w:pPr>
        <w:spacing w:after="0" w:line="144" w:lineRule="exact"/>
        <w:rPr>
          <w:sz w:val="20"/>
          <w:szCs w:val="20"/>
          <w:color w:val="auto"/>
        </w:rPr>
      </w:pPr>
    </w:p>
    <w:p>
      <w:pPr>
        <w:jc w:val="both"/>
        <w:ind w:left="1260" w:right="699" w:firstLine="360"/>
        <w:spacing w:after="0" w:line="248"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14"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Chardan has an extensive track record in the special purpose acquisition company market as underwriter, sponsor and advisor. Since 2004, Chardan has been lead or co -lead underwriter on 82 special purpose acquisition company initial public offerings. Since 2018, Chardan has been a mergers and acquisition advisor to 12 special purpose acquisition companies, helping them close transactions valued at approximately</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14"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103"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b w:val="1"/>
          <w:bCs w:val="1"/>
          <w:i w:val="1"/>
          <w:iCs w:val="1"/>
          <w:color w:val="auto"/>
        </w:rPr>
        <w:t xml:space="preserve">Jonathan C. “Jon” Biele </w:t>
      </w:r>
      <w:r>
        <w:rPr>
          <w:rFonts w:ascii="Arial" w:cs="Arial" w:eastAsia="Arial" w:hAnsi="Arial"/>
          <w:sz w:val="18"/>
          <w:szCs w:val="18"/>
          <w:color w:val="auto"/>
        </w:rPr>
        <w:t>is a member of our board of directors. Mr. Biele has over 28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banking experience serving in a variety of roles. He recently joined PREEM Inc.,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32"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is a member of our board of directors. Mr. Boyle helped lead the launch of Point72 Asset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109"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is a member of our board of directors. Mr. Hardamon has over two decades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1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b w:val="1"/>
          <w:bCs w:val="1"/>
          <w:i w:val="1"/>
          <w:iCs w:val="1"/>
          <w:color w:val="auto"/>
        </w:rPr>
        <w:t xml:space="preserve">Jory Des Jardins </w:t>
      </w:r>
      <w:r>
        <w:rPr>
          <w:rFonts w:ascii="Arial" w:cs="Arial" w:eastAsia="Arial" w:hAnsi="Arial"/>
          <w:sz w:val="18"/>
          <w:szCs w:val="18"/>
          <w:color w:val="auto"/>
        </w:rPr>
        <w:t>is a member of our board of directors. Ms. Jardins has decades of startup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 -founder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32"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is a member of our board of directors. Mr. Thakrar is an experienced investor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sector, having spent over 20 years investing in public equities in the life sciences, information technology and innovation sectors. Since 2015, he has been active in early stage venture investing.</w:t>
      </w:r>
    </w:p>
    <w:p>
      <w:pPr>
        <w:ind w:left="1260" w:right="459"/>
        <w:spacing w:after="0" w:line="250" w:lineRule="auto"/>
        <w:rPr>
          <w:sz w:val="20"/>
          <w:szCs w:val="20"/>
          <w:color w:val="auto"/>
        </w:rPr>
      </w:pPr>
      <w:r>
        <w:rPr>
          <w:rFonts w:ascii="Arial" w:cs="Arial" w:eastAsia="Arial" w:hAnsi="Arial"/>
          <w:sz w:val="17"/>
          <w:szCs w:val="17"/>
          <w:color w:val="auto"/>
        </w:rPr>
        <w:t>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b w:val="1"/>
          <w:bCs w:val="1"/>
          <w:i w:val="1"/>
          <w:iCs w:val="1"/>
          <w:color w:val="auto"/>
        </w:rPr>
        <w:t xml:space="preserve">Todd Thomson </w:t>
      </w:r>
      <w:r>
        <w:rPr>
          <w:rFonts w:ascii="Arial" w:cs="Arial" w:eastAsia="Arial" w:hAnsi="Arial"/>
          <w:sz w:val="17"/>
          <w:szCs w:val="17"/>
          <w:color w:val="auto"/>
        </w:rPr>
        <w:t>is a member of our board of directors. Mr. Thomson is currently the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1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believe our management team’s operating, SPAC,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2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20"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01"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14"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Our executive officer and director Jonas Grossman also serves as a director of CleanTech Acquisition Corp., or CleanTech, a blank check company that consummated its initial public offering in July 2021.</w:t>
      </w:r>
    </w:p>
    <w:p>
      <w:pPr>
        <w:spacing w:after="0" w:line="79"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that has publicly filed its registration statement on Form S-1, but is not expected to consummate its initial public offering before the consummation of this offering.</w:t>
      </w:r>
    </w:p>
    <w:p>
      <w:pPr>
        <w:spacing w:after="0" w:line="107"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receives equity in the form of private placement securities. Some of those special purpose acquisition companies may be competitive with our company as they look for targets in the same industries and geographies.</w:t>
      </w:r>
    </w:p>
    <w:p>
      <w:pPr>
        <w:spacing w:after="0" w:line="120"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and Weil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CleanTech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rPr>
          <w:sz w:val="20"/>
          <w:szCs w:val="20"/>
          <w:color w:val="auto"/>
        </w:rPr>
      </w:pPr>
      <w:r>
        <w:rPr>
          <w:rFonts w:ascii="Arial" w:cs="Arial" w:eastAsia="Arial" w:hAnsi="Arial"/>
          <w:sz w:val="18"/>
          <w:szCs w:val="18"/>
          <w:color w:val="auto"/>
        </w:rPr>
        <w:t>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2"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104" w:lineRule="exact"/>
        <w:rPr>
          <w:sz w:val="20"/>
          <w:szCs w:val="20"/>
          <w:color w:val="auto"/>
        </w:rPr>
      </w:pPr>
    </w:p>
    <w:p>
      <w:pPr>
        <w:ind w:left="1800" w:right="71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sponsoring, underwriting and mergers and acquisitions advisory;</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62" w:lineRule="exact"/>
        <w:rPr>
          <w:rFonts w:ascii="Arial" w:cs="Arial" w:eastAsia="Arial" w:hAnsi="Arial"/>
          <w:sz w:val="18"/>
          <w:szCs w:val="18"/>
          <w:color w:val="auto"/>
        </w:rPr>
      </w:pPr>
    </w:p>
    <w:p>
      <w:pPr>
        <w:jc w:val="both"/>
        <w:ind w:left="1800" w:right="1099" w:hanging="180"/>
        <w:spacing w:after="0" w:line="263"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17"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89"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5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48"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62" w:lineRule="exact"/>
        <w:rPr>
          <w:rFonts w:ascii="Arial" w:cs="Arial" w:eastAsia="Arial" w:hAnsi="Arial"/>
          <w:sz w:val="18"/>
          <w:szCs w:val="18"/>
          <w:color w:val="auto"/>
        </w:rPr>
      </w:pPr>
    </w:p>
    <w:p>
      <w:pPr>
        <w:jc w:val="both"/>
        <w:ind w:left="1800" w:right="439" w:hanging="180"/>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 Strategy</w:t>
      </w:r>
    </w:p>
    <w:p>
      <w:pPr>
        <w:spacing w:after="0" w:line="14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1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08"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Business Combination</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13"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52" w:lineRule="auto"/>
        <w:rPr>
          <w:sz w:val="20"/>
          <w:szCs w:val="20"/>
          <w:color w:val="auto"/>
        </w:rPr>
      </w:pPr>
      <w:r>
        <w:rPr>
          <w:rFonts w:ascii="Arial" w:cs="Arial" w:eastAsia="Arial" w:hAnsi="Arial"/>
          <w:sz w:val="17"/>
          <w:szCs w:val="17"/>
          <w:color w:val="auto"/>
        </w:rPr>
        <w:t>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02"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14"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1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07"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Our sponsor has transferred 22,000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06"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1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2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Chardan Health SPAC 2.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Chardan Health SPAC 2,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13"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 xml:space="preserve">We will have 12 months from the closing of this offering to consummate an initial business combination.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0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13"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58"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0" w:lineRule="auto"/>
        <w:rPr>
          <w:sz w:val="20"/>
          <w:szCs w:val="20"/>
          <w:color w:val="auto"/>
        </w:rPr>
      </w:pPr>
      <w:r>
        <w:rPr>
          <w:rFonts w:ascii="Arial" w:cs="Arial" w:eastAsia="Arial" w:hAnsi="Arial"/>
          <w:sz w:val="17"/>
          <w:szCs w:val="17"/>
          <w:color w:val="auto"/>
        </w:rPr>
        <w:t>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1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Chardan or its affiliates or our sponsor, officers or directors, including an Affiliated Joint Acquisition.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Chardan Healthcare Acquisition 2 Corp., Ventoux CCM Acquisition Corp., CleanTech Acquisition Corp. and Chardan NexTech Acquisition Corp. Our officers and directors also may become aware of business opportunities which may be appropriate for presentation to us and the other entities to which they owe certain fiduciary, contractual or other duties. Accordingly, if any of our officers or directors becomes aware of a business combination opportunity which is suitable for one or more entities to which he or she has fiduciary, contractual or other obligations or duties, including Chardan Healthcare Acquisition 2 Corp., Ventoux CCM Acquisition Corp., CleanTech Acquisition Corp. and Chardan NexTech Acquisition Corp.,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26"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44" w:lineRule="exact"/>
        <w:rPr>
          <w:sz w:val="20"/>
          <w:szCs w:val="20"/>
          <w:color w:val="auto"/>
        </w:rPr>
      </w:pPr>
    </w:p>
    <w:p>
      <w:pPr>
        <w:ind w:left="1260" w:right="499" w:firstLine="360"/>
        <w:spacing w:after="0" w:line="267" w:lineRule="auto"/>
        <w:rPr>
          <w:sz w:val="20"/>
          <w:szCs w:val="20"/>
          <w:color w:val="auto"/>
        </w:rPr>
      </w:pPr>
      <w:r>
        <w:rPr>
          <w:rFonts w:ascii="Arial" w:cs="Arial" w:eastAsia="Arial" w:hAnsi="Arial"/>
          <w:sz w:val="17"/>
          <w:szCs w:val="17"/>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our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1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in this offering to evaluate the possible merits or risks of any target business with which we may ultimately complete our initial business combination.</w:t>
      </w:r>
    </w:p>
    <w:p>
      <w:pPr>
        <w:spacing w:after="0" w:line="124"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07"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119"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44"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81" w:lineRule="exact"/>
        <w:rPr>
          <w:sz w:val="20"/>
          <w:szCs w:val="20"/>
          <w:color w:val="auto"/>
        </w:rPr>
      </w:pPr>
    </w:p>
    <w:p>
      <w:pPr>
        <w:ind w:left="1800" w:right="55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75"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02"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5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00"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12 months (or up to 18 months, as applicable) from the closing of this offering in order to be able to receive a pro rata share of the trust account.</w:t>
      </w:r>
    </w:p>
    <w:p>
      <w:pPr>
        <w:spacing w:after="0" w:line="11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w:t>
      </w:r>
    </w:p>
    <w:p>
      <w:pPr>
        <w:ind w:left="1260" w:right="539"/>
        <w:spacing w:after="0" w:line="237" w:lineRule="auto"/>
        <w:tabs>
          <w:tab w:leader="none" w:pos="15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sell any shares of common stock in any tender in connection with a proposed initial business combination. As a result, if we sought stockholder approval of a proposed transaction, we would need only 4,125,001, or 37.5%, of the 11,000,000 public shares sold in this offering to be voted in favor of an initial business combination (assuming all outstanding shares are voted) in order to have our initial business combination approved (assuming the over-allotment option is not exercised).</w:t>
      </w:r>
    </w:p>
    <w:p>
      <w:pPr>
        <w:spacing w:after="0" w:line="12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4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124"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 public information not disclosed to the seller or if such purchases are prohibited by Regulation M under the Exchange Act. Such a purchase may include a contractual acknowledgement that such stockholder, although still the record holder of our shares, is no longer the</w:t>
      </w:r>
    </w:p>
    <w:p>
      <w:pPr>
        <w:sectPr>
          <w:pgSz w:w="11900" w:h="16838" w:orient="portrait"/>
          <w:cols w:equalWidth="0" w:num="1">
            <w:col w:w="9879"/>
          </w:cols>
          <w:pgMar w:left="580" w:top="131"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4" w:lineRule="auto"/>
        <w:rPr>
          <w:sz w:val="20"/>
          <w:szCs w:val="20"/>
          <w:color w:val="auto"/>
        </w:rPr>
      </w:pPr>
      <w:r>
        <w:rPr>
          <w:rFonts w:ascii="Arial" w:cs="Arial" w:eastAsia="Arial" w:hAnsi="Arial"/>
          <w:sz w:val="17"/>
          <w:szCs w:val="17"/>
          <w:color w:val="auto"/>
        </w:rPr>
        <w:t>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0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2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120"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Any purchases by our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10b- 5 of the Exchange Act. Rule 10b-18 has certain technical requirements that must be complied with in order for the safe harbor to be available to the purchaser. Our sponsor, officers, directors, advisors and/or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w:t>
      </w:r>
    </w:p>
    <w:p>
      <w:pPr>
        <w:spacing w:after="0" w:line="2"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pro rata share of the aggregate amount then on deposit in the trust account. If we hold a meeting to approve an initial business combination, a holder will always have the ability to vote against a proposed business combination and not seek redemption of his shares.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08"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Our initial stockholders, officers and directors will not have redemption rights with respect to any shares of common stock owned by them, directly or indirectly, whether acquired prior to this offering or purchased by them in this offering or in the aftermarket.</w:t>
      </w:r>
    </w:p>
    <w:p>
      <w:pPr>
        <w:spacing w:after="0" w:line="114"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redemption rights. Under Delaware law and our bylaws, we are required to provide at least 10 days’ advance notice of any stockholder meeting, which would be the minimum amount of time a stockholder would have to determine whether to exercise redemption rights. As a result, if we require public stockholders who wish to redeem their shares of common stock into the right to receive a pro rata portion of the funds in the trust account to comply with the foregoing delivery requirements, holders may not have sufficient time to receive the notice and deliver their shares for redemption. Accordingly, investors may not be able to exercise their redemption rights and may be forced to retain our securities when they otherwise would not want to. The redemption rights will include the requirement that a beneficial holder must identify itself in order to validly redeem its shares.</w:t>
      </w:r>
    </w:p>
    <w:p>
      <w:pPr>
        <w:spacing w:after="0" w:line="131"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redeeming holder. However, this fee would be incurred regardless of whether or not we require holders seeking to exercise redemption rights. The need to deliver shares is a requirement of exercising redemption rights regardless of the timing of when such delivery must be effectuated. However, in the event we require stockholders seeking to exercise redemption rights to deliver their shares prior to the consummation of the proposed business combination and the proposed business combination is not consummated, this may result in an increased cost to stockholders.</w:t>
      </w:r>
    </w:p>
    <w:p>
      <w:pPr>
        <w:spacing w:after="0" w:line="110"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Any request to redeem or tender such shares once made, may be withdrawn at any time up to the vote on the proposed business combination or expiration of the tender offer. Furthermore, if a holder of a public share delivered his certificate in connection with an election of their redemption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2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Our amended and restated certificate of incorporation provides that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common stock submitted for redemption will be returned to the holders thereof.</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 -current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 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1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or tender rights would not be entitled to redeem their shares for the applicable pro rata share of the trust account. In such case, we will promptly return any shares delivered by public holders.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158"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 xml:space="preserve">If we do not complete a business combination within 12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w:t>
      </w: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w:t>
      </w:r>
    </w:p>
    <w:p>
      <w:pPr>
        <w:spacing w:after="0" w:line="113"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12 months (or up to</w:t>
      </w:r>
    </w:p>
    <w:p>
      <w:pPr>
        <w:ind w:left="1260" w:right="499"/>
        <w:spacing w:after="0" w:line="238" w:lineRule="auto"/>
        <w:rPr>
          <w:sz w:val="20"/>
          <w:szCs w:val="20"/>
          <w:color w:val="auto"/>
        </w:rPr>
      </w:pPr>
      <w:r>
        <w:rPr>
          <w:rFonts w:ascii="Arial" w:cs="Arial" w:eastAsia="Arial" w:hAnsi="Arial"/>
          <w:sz w:val="18"/>
          <w:szCs w:val="18"/>
          <w:color w:val="auto"/>
        </w:rPr>
        <w:t>18 months, as applicable)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time period.</w:t>
      </w:r>
    </w:p>
    <w:p>
      <w:pPr>
        <w:spacing w:after="0" w:line="12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18"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60 -day notice period during which any third-party claims can be brought against the corporation, a 90- 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0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12th month (or up to the 18th month, as applicable) from the closing of this offering,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1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19"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$10.15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$10.15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2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5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color w:val="auto"/>
        </w:rPr>
        <w:t>to pay our taxes. The proceeds deposited in the trust account could, however, become subject to claims of our creditors that are in preference to the claims of public stockholders.</w:t>
      </w:r>
    </w:p>
    <w:p>
      <w:pPr>
        <w:spacing w:after="0" w:line="90"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2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$10.15.</w:t>
      </w:r>
    </w:p>
    <w:p>
      <w:pPr>
        <w:spacing w:after="0" w:line="106"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amended and restated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and any public shares they may hold in connection with any vote to amend our certificate of incorporation. Specifically, our certificate of incorporation provides, among other things, that:</w:t>
      </w:r>
    </w:p>
    <w:p>
      <w:pPr>
        <w:spacing w:after="0" w:line="75" w:lineRule="exact"/>
        <w:rPr>
          <w:sz w:val="20"/>
          <w:szCs w:val="20"/>
          <w:color w:val="auto"/>
        </w:rPr>
      </w:pPr>
    </w:p>
    <w:p>
      <w:pPr>
        <w:ind w:left="1800" w:right="459" w:hanging="180"/>
        <w:spacing w:after="0" w:line="254"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83" w:lineRule="exact"/>
        <w:rPr>
          <w:rFonts w:ascii="Arial" w:cs="Arial" w:eastAsia="Arial" w:hAnsi="Arial"/>
          <w:sz w:val="18"/>
          <w:szCs w:val="18"/>
          <w:color w:val="auto"/>
        </w:rPr>
      </w:pPr>
    </w:p>
    <w:p>
      <w:pPr>
        <w:ind w:left="1800" w:right="659" w:hanging="180"/>
        <w:spacing w:after="0" w:line="259"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78" w:lineRule="exact"/>
        <w:rPr>
          <w:rFonts w:ascii="Arial" w:cs="Arial" w:eastAsia="Arial" w:hAnsi="Arial"/>
          <w:sz w:val="18"/>
          <w:szCs w:val="18"/>
          <w:color w:val="auto"/>
        </w:rPr>
      </w:pPr>
    </w:p>
    <w:p>
      <w:pPr>
        <w:ind w:left="1800" w:right="479" w:hanging="180"/>
        <w:spacing w:after="0" w:line="286" w:lineRule="auto"/>
        <w:tabs>
          <w:tab w:leader="none" w:pos="1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our initial business combination is not consummated within 12 months (or up to 18 months, as applicable) of the closing of this offering, then our existence will terminate and we will distribute all amounts in the trust account to all of our public holders of shares of common stock;</w:t>
      </w:r>
    </w:p>
    <w:p>
      <w:pPr>
        <w:spacing w:after="0" w:line="57" w:lineRule="exact"/>
        <w:rPr>
          <w:rFonts w:ascii="Arial" w:cs="Arial" w:eastAsia="Arial" w:hAnsi="Arial"/>
          <w:sz w:val="17"/>
          <w:szCs w:val="17"/>
          <w:color w:val="auto"/>
        </w:rPr>
      </w:pPr>
    </w:p>
    <w:p>
      <w:pPr>
        <w:ind w:left="1800" w:right="51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the consummation of this offering, $111,650,000, or $128,397,500 if the over-allotment option is exercised in full, shall be placed into the trust account;</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99" w:hanging="180"/>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79" w:lineRule="exact"/>
        <w:rPr>
          <w:sz w:val="20"/>
          <w:szCs w:val="20"/>
          <w:color w:val="auto"/>
        </w:rPr>
      </w:pPr>
    </w:p>
    <w:p>
      <w:pPr>
        <w:ind w:left="1800" w:right="1039" w:hanging="180"/>
        <w:spacing w:after="0" w:line="263"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75"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89"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78"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75" w:lineRule="exact"/>
        <w:rPr>
          <w:rFonts w:ascii="Arial" w:cs="Arial" w:eastAsia="Arial" w:hAnsi="Arial"/>
          <w:sz w:val="18"/>
          <w:szCs w:val="18"/>
          <w:color w:val="auto"/>
        </w:rPr>
      </w:pPr>
    </w:p>
    <w:p>
      <w:pPr>
        <w:ind w:left="1800" w:right="1379" w:hanging="180"/>
        <w:spacing w:after="0" w:line="308"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obligation of insiders to not receive any compensation in connection with a business combination could be modified in order to allow them to receive such compensation;</w:t>
      </w:r>
    </w:p>
    <w:p>
      <w:pPr>
        <w:spacing w:after="0" w:line="38"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03"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62" w:lineRule="exact"/>
        <w:rPr>
          <w:sz w:val="20"/>
          <w:szCs w:val="20"/>
          <w:color w:val="auto"/>
        </w:rPr>
      </w:pPr>
    </w:p>
    <w:p>
      <w:pPr>
        <w:jc w:val="both"/>
        <w:ind w:left="1800" w:right="479" w:hanging="180"/>
        <w:spacing w:after="0" w:line="263"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75"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25" w:lineRule="exact"/>
        <w:rPr>
          <w:sz w:val="20"/>
          <w:szCs w:val="20"/>
          <w:color w:val="auto"/>
        </w:rPr>
      </w:pPr>
    </w:p>
    <w:p>
      <w:pPr>
        <w:jc w:val="both"/>
        <w:ind w:left="1260" w:right="559" w:firstLine="360"/>
        <w:spacing w:after="0" w:line="230"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10004. Our sponsor is making this space available to us for a fee of $10,000 per month. We consider our current office space adequate for our current operations.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We currently have two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With funds available for an initial business combination initially in the amount of $107,800,000, after payment of the Marketing Fee of $3,850,000 (or $123,970,000 after payment of the Marketing Fee of up to $4,427,500 if the underwriters’ over-allotment option is exercised in full),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62"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We have registered the offer and sale of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5"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0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2022.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4"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27"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7"/>
          <w:szCs w:val="17"/>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w:t>
      </w:r>
    </w:p>
    <w:p>
      <w:pPr>
        <w:spacing w:after="0" w:line="1" w:lineRule="exact"/>
        <w:rPr>
          <w:sz w:val="20"/>
          <w:szCs w:val="20"/>
          <w:color w:val="auto"/>
        </w:rPr>
      </w:pPr>
    </w:p>
    <w:p>
      <w:pPr>
        <w:ind w:left="1260" w:right="779"/>
        <w:spacing w:after="0" w:line="260" w:lineRule="auto"/>
        <w:rPr>
          <w:sz w:val="20"/>
          <w:szCs w:val="20"/>
          <w:color w:val="auto"/>
        </w:rPr>
      </w:pPr>
      <w:r>
        <w:rPr>
          <w:rFonts w:ascii="Arial" w:cs="Arial" w:eastAsia="Arial" w:hAnsi="Arial"/>
          <w:sz w:val="18"/>
          <w:szCs w:val="18"/>
          <w:color w:val="auto"/>
        </w:rPr>
        <w:t>$100 million during such completed fiscal year and the market value of our common stock held by non-affiliates exceeds $700 million as of the end of that year’s second fiscal quarter.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80" w:lineRule="exact"/>
        <w:rPr>
          <w:sz w:val="20"/>
          <w:szCs w:val="20"/>
          <w:color w:val="auto"/>
        </w:rPr>
      </w:pPr>
    </w:p>
    <w:p>
      <w:pPr>
        <w:ind w:left="1260" w:right="459"/>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85"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color w:val="auto"/>
        </w:rPr>
        <w:t>to complete our initial business combination within 12 months (or up to 18 months, as applicable) from the closing of this offering.</w:t>
      </w:r>
    </w:p>
    <w:p>
      <w:pPr>
        <w:sectPr>
          <w:pgSz w:w="11900" w:h="16838" w:orient="portrait"/>
          <w:cols w:equalWidth="0" w:num="1">
            <w:col w:w="9879"/>
          </w:cols>
          <w:pgMar w:left="580" w:top="131" w:right="1440" w:bottom="1440" w:gutter="0" w:footer="0" w:header="0"/>
        </w:sectPr>
      </w:pP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Redemptions</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in Connection with our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Initial Business</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Combination</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0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6"/>
              </w:rPr>
              <w:t>Redemptions at the time</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redemption price</w:t>
            </w:r>
          </w:p>
        </w:tc>
        <w:tc>
          <w:tcPr>
            <w:tcW w:w="1900" w:type="dxa"/>
            <w:vAlign w:val="bottom"/>
          </w:tcPr>
          <w:p>
            <w:pPr>
              <w:spacing w:after="0"/>
              <w:rPr>
                <w:sz w:val="20"/>
                <w:szCs w:val="20"/>
                <w:color w:val="auto"/>
              </w:rPr>
            </w:pPr>
            <w:r>
              <w:rPr>
                <w:rFonts w:ascii="Arial" w:cs="Arial" w:eastAsia="Arial" w:hAnsi="Arial"/>
                <w:sz w:val="18"/>
                <w:szCs w:val="18"/>
                <w:color w:val="auto"/>
              </w:rPr>
              <w:t>of our 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may be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made pursuant to a</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tender offer or in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connection with a</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 vote.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9"/>
              </w:rPr>
              <w:t>redemption price will be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same whether we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conduct redemptions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pursuant to a tender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offer or in connection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9"/>
              </w:rPr>
              <w:t>with a stockholder vote.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In either case, our public</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stockholders may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redeem their public</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shares for cash equal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aggregate amount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then on deposit in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trust account as of two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business days prior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the consummation of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(which is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initially anticipated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 $10.15 per public</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share), including interest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4"/>
              </w:rPr>
              <w:t>earned on the funds held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 the trust account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not previously released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 us to pay our taxes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divided by the number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of then outstanding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public shares, subject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limitation that we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may only redeem our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public shares so long 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our net tangible assets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are at least $5,000,001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either immediately prior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 or upon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consummation of our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and any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limitations (including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but not limited to cash</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requirements) agreed to</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 connection with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Other Permitted</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Purchases of Public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Shares by us or our</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2001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we seek stockholder approval of our initial business combination, our sponsor, directors, officers, advisors or their affiliates may purchase shares in privately negotiated transactions or in the open market prior to or following completion of our initial business combination. There is no limit to the prices that our sponsor, directors, officers, advisors or their affiliates may pay in these transactions.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Redemptions if we</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fail to Complete an</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Initial Business</w:t>
      </w:r>
    </w:p>
    <w:p>
      <w:pPr>
        <w:spacing w:after="0" w:line="1"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1200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ind w:right="459"/>
        <w:spacing w:after="0" w:line="284" w:lineRule="auto"/>
        <w:rPr>
          <w:sz w:val="20"/>
          <w:szCs w:val="20"/>
          <w:color w:val="auto"/>
        </w:rPr>
      </w:pPr>
      <w:r>
        <w:rPr>
          <w:rFonts w:ascii="Arial" w:cs="Arial" w:eastAsia="Arial" w:hAnsi="Arial"/>
          <w:sz w:val="16"/>
          <w:szCs w:val="16"/>
          <w:color w:val="auto"/>
        </w:rPr>
        <w:t>If we are unable to complete our initial business combination within 12 months (or up to 18 months, as applicable) from the closing of this offering, we will redeem all public shares at a per-share price, payable in cash, equal to the aggregate amount, then on deposit in the trust account (which is initially anticipated to be $10.15 per public share) including interest earned on the funds held in the trust account and not previously released to us to pay our taxes (less up to $100,000 of interest to pay dissolution expenses), divided by the number of then outstanding public shares.</w:t>
      </w:r>
    </w:p>
    <w:p>
      <w:pPr>
        <w:spacing w:after="0" w:line="4704" w:lineRule="exact"/>
        <w:rPr>
          <w:sz w:val="20"/>
          <w:szCs w:val="20"/>
          <w:color w:val="auto"/>
        </w:rPr>
      </w:pPr>
    </w:p>
    <w:p>
      <w:pPr>
        <w:sectPr>
          <w:pgSz w:w="11900" w:h="16838" w:orient="portrait"/>
          <w:cols w:equalWidth="0" w:num="3">
            <w:col w:w="5260" w:space="220"/>
            <w:col w:w="1880" w:space="220"/>
            <w:col w:w="2299"/>
          </w:cols>
          <w:pgMar w:left="580" w:top="131" w:right="1440" w:bottom="1440" w:gutter="0" w:footer="0" w:header="0"/>
          <w:type w:val="continuous"/>
        </w:sect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620" w:type="dxa"/>
        <w:tblCellMar>
          <w:top w:w="0" w:type="dxa"/>
          <w:left w:w="0" w:type="dxa"/>
          <w:bottom w:w="0" w:type="dxa"/>
          <w:right w:w="0" w:type="dxa"/>
        </w:tblCellMar>
      </w:tblPr>
      <w:tr>
        <w:trPr>
          <w:trHeight w:val="162"/>
        </w:trPr>
        <w:tc>
          <w:tcPr>
            <w:tcW w:w="1780" w:type="dxa"/>
            <w:vAlign w:val="bottom"/>
          </w:tcPr>
          <w:p>
            <w:pPr>
              <w:jc w:val="center"/>
              <w:ind w:right="368"/>
              <w:spacing w:after="0"/>
              <w:rPr>
                <w:sz w:val="20"/>
                <w:szCs w:val="20"/>
                <w:color w:val="auto"/>
              </w:rPr>
            </w:pPr>
            <w:r>
              <w:rPr>
                <w:rFonts w:ascii="Arial" w:cs="Arial" w:eastAsia="Arial" w:hAnsi="Arial"/>
                <w:sz w:val="14"/>
                <w:szCs w:val="14"/>
                <w:b w:val="1"/>
                <w:bCs w:val="1"/>
                <w:color w:val="auto"/>
                <w:w w:val="87"/>
              </w:rPr>
              <w:t>Redemptions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Other Permitted</w:t>
            </w:r>
          </w:p>
        </w:tc>
        <w:tc>
          <w:tcPr>
            <w:tcW w:w="1600" w:type="dxa"/>
            <w:vAlign w:val="bottom"/>
          </w:tcPr>
          <w:p>
            <w:pPr>
              <w:jc w:val="center"/>
              <w:ind w:left="428"/>
              <w:spacing w:after="0"/>
              <w:rPr>
                <w:sz w:val="20"/>
                <w:szCs w:val="20"/>
                <w:color w:val="auto"/>
              </w:rPr>
            </w:pPr>
            <w:r>
              <w:rPr>
                <w:rFonts w:ascii="Arial" w:cs="Arial" w:eastAsia="Arial" w:hAnsi="Arial"/>
                <w:sz w:val="14"/>
                <w:szCs w:val="14"/>
                <w:b w:val="1"/>
                <w:bCs w:val="1"/>
                <w:color w:val="auto"/>
                <w:w w:val="88"/>
              </w:rPr>
              <w:t>Redemptions if we</w:t>
            </w:r>
          </w:p>
        </w:tc>
      </w:tr>
      <w:tr>
        <w:trPr>
          <w:trHeight w:val="162"/>
        </w:trPr>
        <w:tc>
          <w:tcPr>
            <w:tcW w:w="1780" w:type="dxa"/>
            <w:vAlign w:val="bottom"/>
          </w:tcPr>
          <w:p>
            <w:pPr>
              <w:jc w:val="center"/>
              <w:ind w:right="348"/>
              <w:spacing w:after="0"/>
              <w:rPr>
                <w:sz w:val="20"/>
                <w:szCs w:val="20"/>
                <w:color w:val="auto"/>
              </w:rPr>
            </w:pPr>
            <w:r>
              <w:rPr>
                <w:rFonts w:ascii="Arial" w:cs="Arial" w:eastAsia="Arial" w:hAnsi="Arial"/>
                <w:sz w:val="14"/>
                <w:szCs w:val="14"/>
                <w:b w:val="1"/>
                <w:bCs w:val="1"/>
                <w:color w:val="auto"/>
                <w:w w:val="89"/>
              </w:rPr>
              <w:t>in Connection with our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Purchases of Public</w:t>
            </w:r>
          </w:p>
        </w:tc>
        <w:tc>
          <w:tcPr>
            <w:tcW w:w="160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fail to Complete an</w:t>
            </w:r>
          </w:p>
        </w:tc>
      </w:tr>
      <w:tr>
        <w:trPr>
          <w:trHeight w:val="162"/>
        </w:trPr>
        <w:tc>
          <w:tcPr>
            <w:tcW w:w="1780" w:type="dxa"/>
            <w:vAlign w:val="bottom"/>
          </w:tcPr>
          <w:p>
            <w:pPr>
              <w:jc w:val="center"/>
              <w:ind w:right="368"/>
              <w:spacing w:after="0"/>
              <w:rPr>
                <w:sz w:val="20"/>
                <w:szCs w:val="20"/>
                <w:color w:val="auto"/>
              </w:rPr>
            </w:pPr>
            <w:r>
              <w:rPr>
                <w:rFonts w:ascii="Arial" w:cs="Arial" w:eastAsia="Arial" w:hAnsi="Arial"/>
                <w:sz w:val="14"/>
                <w:szCs w:val="14"/>
                <w:b w:val="1"/>
                <w:bCs w:val="1"/>
                <w:color w:val="auto"/>
                <w:w w:val="87"/>
              </w:rPr>
              <w:t>Initial Business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Shares by us or our</w:t>
            </w:r>
          </w:p>
        </w:tc>
        <w:tc>
          <w:tcPr>
            <w:tcW w:w="1600" w:type="dxa"/>
            <w:vAlign w:val="bottom"/>
          </w:tcPr>
          <w:p>
            <w:pPr>
              <w:jc w:val="center"/>
              <w:ind w:left="428"/>
              <w:spacing w:after="0"/>
              <w:rPr>
                <w:sz w:val="20"/>
                <w:szCs w:val="20"/>
                <w:color w:val="auto"/>
              </w:rPr>
            </w:pPr>
            <w:r>
              <w:rPr>
                <w:rFonts w:ascii="Arial" w:cs="Arial" w:eastAsia="Arial" w:hAnsi="Arial"/>
                <w:sz w:val="14"/>
                <w:szCs w:val="14"/>
                <w:b w:val="1"/>
                <w:bCs w:val="1"/>
                <w:color w:val="auto"/>
                <w:w w:val="87"/>
              </w:rPr>
              <w:t>Initial Business</w:t>
            </w:r>
          </w:p>
        </w:tc>
      </w:tr>
      <w:tr>
        <w:trPr>
          <w:trHeight w:val="186"/>
        </w:trPr>
        <w:tc>
          <w:tcPr>
            <w:tcW w:w="1780" w:type="dxa"/>
            <w:vAlign w:val="bottom"/>
          </w:tcPr>
          <w:p>
            <w:pPr>
              <w:jc w:val="center"/>
              <w:ind w:right="328"/>
              <w:spacing w:after="0"/>
              <w:rPr>
                <w:sz w:val="20"/>
                <w:szCs w:val="20"/>
                <w:color w:val="auto"/>
              </w:rPr>
            </w:pPr>
            <w:r>
              <w:rPr>
                <w:rFonts w:ascii="Arial" w:cs="Arial" w:eastAsia="Arial" w:hAnsi="Arial"/>
                <w:sz w:val="14"/>
                <w:szCs w:val="14"/>
                <w:b w:val="1"/>
                <w:bCs w:val="1"/>
                <w:color w:val="auto"/>
                <w:w w:val="91"/>
              </w:rPr>
              <w:t>Combination</w:t>
            </w:r>
          </w:p>
        </w:tc>
        <w:tc>
          <w:tcPr>
            <w:tcW w:w="2060" w:type="dxa"/>
            <w:vAlign w:val="bottom"/>
          </w:tcPr>
          <w:p>
            <w:pPr>
              <w:ind w:left="760"/>
              <w:spacing w:after="0"/>
              <w:rPr>
                <w:sz w:val="20"/>
                <w:szCs w:val="20"/>
                <w:color w:val="auto"/>
              </w:rPr>
            </w:pPr>
            <w:r>
              <w:rPr>
                <w:rFonts w:ascii="Arial" w:cs="Arial" w:eastAsia="Arial" w:hAnsi="Arial"/>
                <w:sz w:val="14"/>
                <w:szCs w:val="14"/>
                <w:b w:val="1"/>
                <w:bCs w:val="1"/>
                <w:color w:val="auto"/>
              </w:rPr>
              <w:t>Affiliates</w:t>
            </w:r>
          </w:p>
        </w:tc>
        <w:tc>
          <w:tcPr>
            <w:tcW w:w="1600" w:type="dxa"/>
            <w:vAlign w:val="bottom"/>
          </w:tcPr>
          <w:p>
            <w:pPr>
              <w:ind w:left="680"/>
              <w:spacing w:after="0"/>
              <w:rPr>
                <w:sz w:val="20"/>
                <w:szCs w:val="20"/>
                <w:color w:val="auto"/>
              </w:rPr>
            </w:pPr>
            <w:r>
              <w:rPr>
                <w:rFonts w:ascii="Arial" w:cs="Arial" w:eastAsia="Arial" w:hAnsi="Arial"/>
                <w:sz w:val="14"/>
                <w:szCs w:val="14"/>
                <w:b w:val="1"/>
                <w:bCs w:val="1"/>
                <w:color w:val="auto"/>
              </w:rPr>
              <w:t>Combination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16510</wp:posOffset>
            </wp:positionV>
            <wp:extent cx="38747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32"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negotiation of terms of a</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proposed initial business</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combination.</w:t>
      </w:r>
    </w:p>
    <w:p>
      <w:pPr>
        <w:sectPr>
          <w:pgSz w:w="11900" w:h="16838" w:orient="portrait"/>
          <w:cols w:equalWidth="0" w:num="1">
            <w:col w:w="9879"/>
          </w:cols>
          <w:pgMar w:left="580" w:top="131" w:right="1440" w:bottom="1440" w:gutter="0" w:footer="0" w:header="0"/>
        </w:sectPr>
      </w:pPr>
    </w:p>
    <w:p>
      <w:pPr>
        <w:spacing w:after="0" w:line="24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Redemptions</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in Connection with our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Initial Business</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Combination</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auto"/>
              </w:rPr>
              <w:t>Impact to remaining</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0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redemptions in</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1900" w:type="dxa"/>
            <w:vAlign w:val="bottom"/>
          </w:tcPr>
          <w:p>
            <w:pPr>
              <w:spacing w:after="0"/>
              <w:rPr>
                <w:sz w:val="20"/>
                <w:szCs w:val="20"/>
                <w:color w:val="auto"/>
              </w:rPr>
            </w:pPr>
            <w:r>
              <w:rPr>
                <w:rFonts w:ascii="Arial" w:cs="Arial" w:eastAsia="Arial" w:hAnsi="Arial"/>
                <w:sz w:val="18"/>
                <w:szCs w:val="18"/>
                <w:color w:val="auto"/>
              </w:rPr>
              <w:t>connection with our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will reduce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4"/>
              </w:rPr>
              <w:t>the book value per share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for our remaining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stockholders, who will</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bear the burden of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Marketing Fee, taxes</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payable.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Other Permitted</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Purchases of Public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Shares by us or our</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2001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Redemptions if we</w:t>
      </w:r>
    </w:p>
    <w:p>
      <w:pPr>
        <w:spacing w:after="0" w:line="17"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fail to Complete an</w:t>
      </w:r>
    </w:p>
    <w:p>
      <w:pPr>
        <w:spacing w:after="0" w:line="1"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Initial Business</w:t>
      </w:r>
    </w:p>
    <w:p>
      <w:pPr>
        <w:spacing w:after="0" w:line="1"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12001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ind w:right="439"/>
        <w:spacing w:after="0" w:line="269"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200" w:lineRule="exact"/>
        <w:rPr>
          <w:sz w:val="20"/>
          <w:szCs w:val="20"/>
          <w:color w:val="auto"/>
        </w:rPr>
      </w:pPr>
    </w:p>
    <w:p>
      <w:pPr>
        <w:sectPr>
          <w:pgSz w:w="11900" w:h="16838" w:orient="portrait"/>
          <w:cols w:equalWidth="0" w:num="3">
            <w:col w:w="5260" w:space="220"/>
            <w:col w:w="1860" w:space="240"/>
            <w:col w:w="2299"/>
          </w:cols>
          <w:pgMar w:left="580" w:top="131" w:right="1440" w:bottom="1440" w:gutter="0" w:footer="0" w:header="0"/>
          <w:type w:val="continuous"/>
        </w:sectPr>
      </w:pP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either immediately prior to or upon the successful consummation of this offering and will file a Current Report on Form 8-K, including an audited balance sheet demonstrating this fact.</w:t>
      </w:r>
    </w:p>
    <w:p>
      <w:pPr>
        <w:sectPr>
          <w:pgSz w:w="11900" w:h="16838" w:orient="portrait"/>
          <w:cols w:equalWidth="0" w:num="1">
            <w:col w:w="9879"/>
          </w:cols>
          <w:pgMar w:left="580" w:top="131" w:right="1440" w:bottom="1440" w:gutter="0" w:footer="0" w:header="0"/>
          <w:type w:val="continuous"/>
        </w:sectPr>
      </w:pP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2600" w:type="dxa"/>
            <w:vAlign w:val="bottom"/>
          </w:tcPr>
          <w:p>
            <w:pPr>
              <w:ind w:left="660"/>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5"/>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00" w:type="dxa"/>
            <w:vAlign w:val="bottom"/>
            <w:vMerge w:val="continue"/>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$111,650,000 of the net offering</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proceeds and proceeds from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sale of the private warrants will</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be deposited into a trust account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 the United States, maintained</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by Continental Stock Transfer &amp;</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Trust Company, acting as trustee.</w:t>
            </w:r>
          </w:p>
        </w:tc>
        <w:tc>
          <w:tcPr>
            <w:tcW w:w="0" w:type="dxa"/>
            <w:vAlign w:val="bottom"/>
          </w:tcPr>
          <w:p>
            <w:pPr>
              <w:spacing w:after="0"/>
              <w:rPr>
                <w:sz w:val="1"/>
                <w:szCs w:val="1"/>
                <w:color w:val="auto"/>
              </w:rPr>
            </w:pPr>
          </w:p>
        </w:tc>
      </w:tr>
      <w:tr>
        <w:trPr>
          <w:trHeight w:val="877"/>
        </w:trPr>
        <w:tc>
          <w:tcPr>
            <w:tcW w:w="280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2600" w:type="dxa"/>
            <w:vAlign w:val="bottom"/>
          </w:tcPr>
          <w:p>
            <w:pPr>
              <w:spacing w:after="0"/>
              <w:rPr>
                <w:sz w:val="20"/>
                <w:szCs w:val="20"/>
                <w:color w:val="auto"/>
              </w:rPr>
            </w:pPr>
            <w:r>
              <w:rPr>
                <w:rFonts w:ascii="Arial" w:cs="Arial" w:eastAsia="Arial" w:hAnsi="Arial"/>
                <w:sz w:val="18"/>
                <w:szCs w:val="18"/>
                <w:color w:val="auto"/>
              </w:rPr>
              <w:t>The $111,650,000 of the net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offering proceeds and proceeds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from the sale of the private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warrants held in trust will only be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invested in United States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government treasury bills, bonds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or notes with a maturity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185 days or less or in money</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market funds meeting the</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applicable conditions under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459"/>
        <w:spacing w:after="0" w:line="253" w:lineRule="auto"/>
        <w:rPr>
          <w:sz w:val="20"/>
          <w:szCs w:val="20"/>
          <w:color w:val="auto"/>
        </w:rPr>
      </w:pPr>
      <w:r>
        <w:rPr>
          <w:rFonts w:ascii="Arial" w:cs="Arial" w:eastAsia="Arial" w:hAnsi="Arial"/>
          <w:sz w:val="18"/>
          <w:szCs w:val="18"/>
          <w:color w:val="auto"/>
        </w:rPr>
        <w:t>$90,405,000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 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415" w:lineRule="exact"/>
        <w:rPr>
          <w:sz w:val="20"/>
          <w:szCs w:val="20"/>
          <w:color w:val="auto"/>
        </w:rPr>
      </w:pPr>
    </w:p>
    <w:p>
      <w:pPr>
        <w:sectPr>
          <w:pgSz w:w="11900" w:h="16838" w:orient="portrait"/>
          <w:cols w:equalWidth="0" w:num="2">
            <w:col w:w="6660" w:space="220"/>
            <w:col w:w="2999"/>
          </w:cols>
          <w:pgMar w:left="580" w:top="131" w:right="1440" w:bottom="1440" w:gutter="0" w:footer="0" w:header="0"/>
          <w:type w:val="continuous"/>
        </w:sectPr>
      </w:pPr>
    </w:p>
    <w:p>
      <w:pPr>
        <w:spacing w:after="0" w:line="1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719"/>
        <w:spacing w:after="0"/>
        <w:tabs>
          <w:tab w:leader="none" w:pos="1960" w:val="left"/>
        </w:tabs>
        <w:rPr>
          <w:sz w:val="20"/>
          <w:szCs w:val="20"/>
          <w:color w:val="auto"/>
        </w:rPr>
      </w:pPr>
      <w:r>
        <w:rPr>
          <w:rFonts w:ascii="Arial" w:cs="Arial" w:eastAsia="Arial" w:hAnsi="Arial"/>
          <w:sz w:val="14"/>
          <w:szCs w:val="14"/>
          <w:b w:val="1"/>
          <w:bCs w:val="1"/>
          <w:color w:val="auto"/>
        </w:rPr>
        <w:t>Terms of the Offering</w:t>
      </w:r>
      <w:r>
        <w:rPr>
          <w:sz w:val="20"/>
          <w:szCs w:val="20"/>
          <w:color w:val="auto"/>
        </w:rPr>
        <w:tab/>
      </w:r>
      <w:r>
        <w:rPr>
          <w:rFonts w:ascii="Arial" w:cs="Arial" w:eastAsia="Arial" w:hAnsi="Arial"/>
          <w:sz w:val="12"/>
          <w:szCs w:val="12"/>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32385</wp:posOffset>
            </wp:positionV>
            <wp:extent cx="34290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Rule 2a-7 promulgated under the</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Investment Company Act and that</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invest solely in United States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government treasuries.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260"/>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60" w:right="60"/>
        <w:spacing w:after="0" w:line="347" w:lineRule="auto"/>
        <w:rPr>
          <w:sz w:val="20"/>
          <w:szCs w:val="20"/>
          <w:color w:val="auto"/>
        </w:rPr>
      </w:pPr>
      <w:r>
        <w:rPr>
          <w:rFonts w:ascii="Arial" w:cs="Arial" w:eastAsia="Arial" w:hAnsi="Arial"/>
          <w:sz w:val="16"/>
          <w:szCs w:val="16"/>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6459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Interest on proceeds from the trust 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 The initial target business that we acquire must have a fair market value equal to at least 80% of the balance in our trust account net of taxes payable at the time of the execution of a definitive agreement for our initial business combination.</w:t>
      </w:r>
    </w:p>
    <w:p>
      <w:pPr>
        <w:spacing w:after="0" w:line="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units may commence trading on or promptly after the date of this prospectus. The shares of common stock and warrants comprising the units will begin to trade separately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 unless Chardan informs us of its decision to allow earlier separate trading (based upon its assessment of the relative strengths of the securities markets and small capitalization and blank check companies in general, and the trading pattern of, and demand for, our securities in particular), provided we have filed with the SEC a Current Report on Form 8-K, which includes an audited balance sheet reflecting our receipt of the proceeds of this offering.</w:t>
      </w:r>
    </w:p>
    <w:p>
      <w:pPr>
        <w:spacing w:after="0" w:line="1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warrants cannot be exercised until the completion of a business combination and, accordingly,</w:t>
      </w:r>
    </w:p>
    <w:p>
      <w:pPr>
        <w:spacing w:after="0" w:line="3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250825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599"/>
        <w:spacing w:after="0" w:line="272" w:lineRule="auto"/>
        <w:rPr>
          <w:sz w:val="20"/>
          <w:szCs w:val="20"/>
          <w:color w:val="auto"/>
        </w:rPr>
      </w:pPr>
      <w:r>
        <w:rPr>
          <w:rFonts w:ascii="Arial" w:cs="Arial" w:eastAsia="Arial" w:hAnsi="Arial"/>
          <w:sz w:val="17"/>
          <w:szCs w:val="17"/>
          <w:color w:val="auto"/>
        </w:rPr>
        <w:t>Interest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19"/>
        <w:spacing w:after="0" w:line="273" w:lineRule="auto"/>
        <w:rPr>
          <w:sz w:val="20"/>
          <w:szCs w:val="20"/>
          <w:color w:val="auto"/>
        </w:rPr>
      </w:pPr>
      <w:r>
        <w:rPr>
          <w:rFonts w:ascii="Arial" w:cs="Arial" w:eastAsia="Arial" w:hAnsi="Arial"/>
          <w:sz w:val="17"/>
          <w:szCs w:val="17"/>
          <w:color w:val="auto"/>
        </w:rPr>
        <w:t>We would be restricted from acquiring a target business unless the fair value of such business or net assets to be acquired represent at least 80% of the maximum offering proceeds.</w:t>
      </w:r>
    </w:p>
    <w:p>
      <w:pPr>
        <w:spacing w:after="0" w:line="200" w:lineRule="exact"/>
        <w:rPr>
          <w:sz w:val="20"/>
          <w:szCs w:val="20"/>
          <w:color w:val="auto"/>
        </w:rPr>
      </w:pPr>
    </w:p>
    <w:p>
      <w:pPr>
        <w:spacing w:after="0" w:line="221" w:lineRule="exact"/>
        <w:rPr>
          <w:sz w:val="20"/>
          <w:szCs w:val="20"/>
          <w:color w:val="auto"/>
        </w:rPr>
      </w:pPr>
    </w:p>
    <w:p>
      <w:pPr>
        <w:ind w:right="499"/>
        <w:spacing w:after="0" w:line="254" w:lineRule="auto"/>
        <w:rPr>
          <w:sz w:val="20"/>
          <w:szCs w:val="20"/>
          <w:color w:val="auto"/>
        </w:rPr>
      </w:pPr>
      <w:r>
        <w:rPr>
          <w:rFonts w:ascii="Arial" w:cs="Arial" w:eastAsia="Arial" w:hAnsi="Arial"/>
          <w:sz w:val="18"/>
          <w:szCs w:val="18"/>
          <w:color w:val="auto"/>
        </w:rPr>
        <w:t>No trading of the units or the underlying securities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59"/>
        <w:spacing w:after="0" w:line="311" w:lineRule="auto"/>
        <w:rPr>
          <w:sz w:val="20"/>
          <w:szCs w:val="20"/>
          <w:color w:val="auto"/>
        </w:rPr>
      </w:pPr>
      <w:r>
        <w:rPr>
          <w:rFonts w:ascii="Arial" w:cs="Arial" w:eastAsia="Arial" w:hAnsi="Arial"/>
          <w:sz w:val="16"/>
          <w:szCs w:val="16"/>
          <w:color w:val="auto"/>
        </w:rPr>
        <w:t>The warrants could be exercised prior to the completion of a business combination, but</w:t>
      </w:r>
    </w:p>
    <w:p>
      <w:pPr>
        <w:sectPr>
          <w:pgSz w:w="11900" w:h="16838" w:orient="portrait"/>
          <w:cols w:equalWidth="0" w:num="3">
            <w:col w:w="3540" w:space="520"/>
            <w:col w:w="2580" w:space="240"/>
            <w:col w:w="299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32385</wp:posOffset>
            </wp:positionV>
            <wp:extent cx="16459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will be exercised only after the</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trust account has been terminated</w:t>
      </w:r>
    </w:p>
    <w:p>
      <w:pPr>
        <w:spacing w:after="0" w:line="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and distributed.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479"/>
        <w:spacing w:after="0" w:line="259" w:lineRule="auto"/>
        <w:rPr>
          <w:sz w:val="20"/>
          <w:szCs w:val="20"/>
          <w:color w:val="auto"/>
        </w:rPr>
      </w:pPr>
      <w:r>
        <w:rPr>
          <w:rFonts w:ascii="Arial" w:cs="Arial" w:eastAsia="Arial" w:hAnsi="Arial"/>
          <w:sz w:val="18"/>
          <w:szCs w:val="18"/>
          <w:color w:val="auto"/>
        </w:rPr>
        <w:t>securities received and cash paid in connection with the exercise would be deposited in the escrow or trust account.</w:t>
      </w:r>
    </w:p>
    <w:p>
      <w:pPr>
        <w:spacing w:after="0" w:line="200" w:lineRule="exact"/>
        <w:rPr>
          <w:sz w:val="20"/>
          <w:szCs w:val="20"/>
          <w:color w:val="auto"/>
        </w:rPr>
      </w:pPr>
    </w:p>
    <w:p>
      <w:pPr>
        <w:sectPr>
          <w:pgSz w:w="11900" w:h="16838" w:orient="portrait"/>
          <w:cols w:equalWidth="0" w:num="2">
            <w:col w:w="6600" w:space="280"/>
            <w:col w:w="2999"/>
          </w:cols>
          <w:pgMar w:left="580" w:top="131" w:right="1440" w:bottom="1440" w:gutter="0" w:footer="0" w:header="0"/>
          <w:type w:val="continuous"/>
        </w:sectPr>
      </w:pPr>
    </w:p>
    <w:p>
      <w:pPr>
        <w:spacing w:after="0" w:line="19"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6"/>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Election to remain an investor</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20" w:type="dxa"/>
            <w:vAlign w:val="bottom"/>
            <w:vMerge w:val="continue"/>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We will either (1) give our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stockholders the opportunity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6"/>
              </w:rPr>
              <w:t>vote on the business combination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or (2) provide our public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stockholders with the opportunity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to sell their public shares to us in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 tender offer for cash equal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 xml:space="preserve">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4"/>
              </w:rPr>
              <w:t>aggregate amount then on deposit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in the trust account, less taxes. If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we hold a meeting to approve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proposed business combination,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we will send each stockholder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proxy statement containing</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information required by the SEC.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Under our certificate of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incorporation, we must provide at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least 10 days advance notice of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any meeting of stockholders.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Accordingly, this is the minimum</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amount of time we would need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provide holders to determine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whether to exercise their rights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redeem their shares into cash at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such a meeting or to remain an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investor in our company.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Alternatively, if we do not hold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meeting and instead conduct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6"/>
              </w:rPr>
              <w:t>tender offer, we will conduct such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tender offer in accordance with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the tender offer rules of the SEC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and file tender offer documents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with the SEC which will contain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substantially the same financial</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and other information about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initial business combination as we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would have included in a proxy</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 tender offer rules require us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to hold the tender offer open for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at least 20 business days.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Accordingly, this is the minimum</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amount of time we would need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provide holders to determine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whether they want to sell their</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shares to us in the tender offer or</w:t>
            </w:r>
          </w:p>
        </w:tc>
        <w:tc>
          <w:tcPr>
            <w:tcW w:w="0" w:type="dxa"/>
            <w:vAlign w:val="bottom"/>
          </w:tcPr>
          <w:p>
            <w:pPr>
              <w:spacing w:after="0"/>
              <w:rPr>
                <w:sz w:val="1"/>
                <w:szCs w:val="1"/>
                <w:color w:val="auto"/>
              </w:rPr>
            </w:pPr>
          </w:p>
        </w:tc>
      </w:tr>
      <w:tr>
        <w:trPr>
          <w:trHeight w:val="608"/>
        </w:trPr>
        <w:tc>
          <w:tcPr>
            <w:tcW w:w="2620" w:type="dxa"/>
            <w:vAlign w:val="bottom"/>
          </w:tcPr>
          <w:p>
            <w:pPr>
              <w:spacing w:after="0"/>
              <w:rPr>
                <w:sz w:val="24"/>
                <w:szCs w:val="24"/>
                <w:color w:val="auto"/>
              </w:rPr>
            </w:pPr>
          </w:p>
        </w:tc>
        <w:tc>
          <w:tcPr>
            <w:tcW w:w="2600" w:type="dxa"/>
            <w:vAlign w:val="bottom"/>
          </w:tcPr>
          <w:p>
            <w:pPr>
              <w:ind w:left="11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459"/>
        <w:spacing w:after="0" w:line="262" w:lineRule="auto"/>
        <w:rPr>
          <w:sz w:val="20"/>
          <w:szCs w:val="20"/>
          <w:color w:val="auto"/>
        </w:rPr>
      </w:pPr>
      <w:r>
        <w:rPr>
          <w:rFonts w:ascii="Arial" w:cs="Arial" w:eastAsia="Arial" w:hAnsi="Arial"/>
          <w:sz w:val="17"/>
          <w:szCs w:val="17"/>
          <w:color w:val="auto"/>
        </w:rPr>
        <w:t>A prospectus containing information required by the SEC would be sent to each investor. Each investor would be given the opportunity to notify the company, in writing, within a period of no less than 20 business days and no more than 45 business days from the effective date of the post-effective amendment, to decide whether he or she elects to remain a stockholder of the company or require the return of his or her investment. If the company has not received the notification by the end of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business day, funds and interest or dividends, if any, held in the trust or escrow account would automatically be returned to the stockholder. Unless a sufficient number of investors elect to remain investors, all of the deposited funds in the escrow account must be returned to all investors and none of the securities will be issued.</w:t>
      </w:r>
    </w:p>
    <w:p>
      <w:pPr>
        <w:sectPr>
          <w:pgSz w:w="11900" w:h="16838" w:orient="portrait"/>
          <w:cols w:equalWidth="0" w:num="2">
            <w:col w:w="6660" w:space="220"/>
            <w:col w:w="299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Terms of the Offering</w:t>
            </w:r>
          </w:p>
        </w:tc>
      </w:tr>
      <w:tr>
        <w:trPr>
          <w:trHeight w:val="26"/>
        </w:trPr>
        <w:tc>
          <w:tcPr>
            <w:tcW w:w="26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remain an investor in our</w:t>
            </w: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company.</w:t>
            </w:r>
          </w:p>
        </w:tc>
      </w:tr>
      <w:tr>
        <w:trPr>
          <w:trHeight w:val="242"/>
        </w:trPr>
        <w:tc>
          <w:tcPr>
            <w:tcW w:w="2620" w:type="dxa"/>
            <w:vAlign w:val="bottom"/>
          </w:tcPr>
          <w:p>
            <w:pPr>
              <w:spacing w:after="0"/>
              <w:rPr>
                <w:sz w:val="20"/>
                <w:szCs w:val="20"/>
                <w:color w:val="auto"/>
              </w:rPr>
            </w:pPr>
            <w:r>
              <w:rPr>
                <w:rFonts w:ascii="Arial" w:cs="Arial" w:eastAsia="Arial" w:hAnsi="Arial"/>
                <w:sz w:val="18"/>
                <w:szCs w:val="18"/>
                <w:b w:val="1"/>
                <w:bCs w:val="1"/>
                <w:color w:val="auto"/>
                <w:w w:val="96"/>
              </w:rPr>
              <w:t>Business combination deadline</w:t>
            </w:r>
          </w:p>
        </w:tc>
        <w:tc>
          <w:tcPr>
            <w:tcW w:w="2600" w:type="dxa"/>
            <w:vAlign w:val="bottom"/>
          </w:tcPr>
          <w:p>
            <w:pPr>
              <w:spacing w:after="0"/>
              <w:rPr>
                <w:sz w:val="20"/>
                <w:szCs w:val="20"/>
                <w:color w:val="auto"/>
              </w:rPr>
            </w:pPr>
            <w:r>
              <w:rPr>
                <w:rFonts w:ascii="Arial" w:cs="Arial" w:eastAsia="Arial" w:hAnsi="Arial"/>
                <w:sz w:val="18"/>
                <w:szCs w:val="18"/>
                <w:color w:val="auto"/>
              </w:rPr>
              <w:t>Pursuant to our certificate of</w:t>
            </w: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incorporation, if we do not</w:t>
            </w: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complete an initial business</w:t>
            </w: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combination within 12 months (or</w:t>
            </w: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up to 18 months, as applicable)</w:t>
            </w: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from the consummation of this</w:t>
            </w: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offering, it will trigger our</w:t>
            </w: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automatic winding up, dissolution</w:t>
            </w: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and liquidation.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559"/>
        <w:spacing w:after="0" w:line="254" w:lineRule="auto"/>
        <w:rPr>
          <w:sz w:val="20"/>
          <w:szCs w:val="20"/>
          <w:color w:val="auto"/>
        </w:rPr>
      </w:pPr>
      <w:r>
        <w:rPr>
          <w:rFonts w:ascii="Arial" w:cs="Arial" w:eastAsia="Arial" w:hAnsi="Arial"/>
          <w:sz w:val="18"/>
          <w:szCs w:val="18"/>
          <w:color w:val="auto"/>
        </w:rPr>
        <w:t>If an acquisition has not been consummated within 18 months after the effective date of the initial registration statement, funds held in the trust or escrow account would be returned to investors.</w:t>
      </w:r>
    </w:p>
    <w:p>
      <w:pPr>
        <w:spacing w:after="0" w:line="624" w:lineRule="exact"/>
        <w:rPr>
          <w:sz w:val="20"/>
          <w:szCs w:val="20"/>
          <w:color w:val="auto"/>
        </w:rPr>
      </w:pPr>
    </w:p>
    <w:p>
      <w:pPr>
        <w:sectPr>
          <w:pgSz w:w="11900" w:h="16838" w:orient="portrait"/>
          <w:cols w:equalWidth="0" w:num="2">
            <w:col w:w="6660" w:space="220"/>
            <w:col w:w="2999"/>
          </w:cols>
          <w:pgMar w:left="580" w:top="131" w:right="1440" w:bottom="1440" w:gutter="0" w:footer="0" w:header="0"/>
        </w:sectPr>
      </w:pPr>
    </w:p>
    <w:p>
      <w:pPr>
        <w:spacing w:after="0" w:line="241" w:lineRule="exact"/>
        <w:rPr>
          <w:sz w:val="20"/>
          <w:szCs w:val="20"/>
          <w:color w:val="auto"/>
        </w:rPr>
      </w:pPr>
    </w:p>
    <w:p>
      <w:pPr>
        <w:ind w:left="1260"/>
        <w:spacing w:after="0" w:line="258" w:lineRule="auto"/>
        <w:rPr>
          <w:sz w:val="20"/>
          <w:szCs w:val="20"/>
          <w:color w:val="auto"/>
        </w:rPr>
      </w:pPr>
      <w:r>
        <w:rPr>
          <w:rFonts w:ascii="Arial" w:cs="Arial" w:eastAsia="Arial" w:hAnsi="Arial"/>
          <w:sz w:val="18"/>
          <w:szCs w:val="18"/>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6459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519"/>
        <w:spacing w:after="0" w:line="272" w:lineRule="auto"/>
        <w:rPr>
          <w:sz w:val="20"/>
          <w:szCs w:val="20"/>
          <w:color w:val="auto"/>
        </w:rPr>
      </w:pPr>
      <w:r>
        <w:rPr>
          <w:rFonts w:ascii="Arial" w:cs="Arial" w:eastAsia="Arial" w:hAnsi="Arial"/>
          <w:sz w:val="17"/>
          <w:szCs w:val="17"/>
          <w:color w:val="auto"/>
        </w:rPr>
        <w:t>Many blank check companies provide no restrictions on the ability of stockholders to redeem shares based on the number of shares held by such stockholders in connection with an initial business combination</w:t>
      </w:r>
    </w:p>
    <w:p>
      <w:pPr>
        <w:spacing w:after="0" w:line="5148" w:lineRule="exact"/>
        <w:rPr>
          <w:sz w:val="20"/>
          <w:szCs w:val="20"/>
          <w:color w:val="auto"/>
        </w:rPr>
      </w:pPr>
    </w:p>
    <w:p>
      <w:pPr>
        <w:sectPr>
          <w:pgSz w:w="11900" w:h="16838" w:orient="portrait"/>
          <w:cols w:equalWidth="0" w:num="3">
            <w:col w:w="3820" w:space="240"/>
            <w:col w:w="2580" w:space="240"/>
            <w:col w:w="299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line="266"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6459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559"/>
        <w:spacing w:after="0" w:line="268"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5160" w:lineRule="exact"/>
        <w:rPr>
          <w:sz w:val="20"/>
          <w:szCs w:val="20"/>
          <w:color w:val="auto"/>
        </w:rPr>
      </w:pPr>
    </w:p>
    <w:p>
      <w:pPr>
        <w:sectPr>
          <w:pgSz w:w="11900" w:h="16838" w:orient="portrait"/>
          <w:cols w:equalWidth="0" w:num="3">
            <w:col w:w="3660" w:space="400"/>
            <w:col w:w="2600" w:space="220"/>
            <w:col w:w="299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6"/>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4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8"/>
              </w:rPr>
              <w:t>Except for interest earned on the funds held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3"/>
              </w:rPr>
              <w:t>in the trust account that may be released to us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to pay our tax obligations, the proceeds from</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this offering and the sale of the private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8"/>
              </w:rPr>
              <w:t>warrants held in the trust account will not be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released until the earliest to occur of: (i)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completion of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(ii) the redemption of any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public shares properly submitted in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connection with a stockholder vote to amend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our amended and restated certificate of</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8"/>
              </w:rPr>
              <w:t>incorporation (A) to modify the substance or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timing of our obligation to allow redemption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 connection with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combination or to redeem 100% of our public</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shares if we do not complete our initial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business combination within 12 months (or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up to 18 months, as applicable) from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closing of this offering or (B) with respect to</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any other provision relating to stockholders’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rights or pre-business combination activity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and (iii) the redemption of 100% of our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5"/>
              </w:rPr>
              <w:t>public shares if we are unable to complete an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initial business combination within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required time frame (subject to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requirements of applicable law). On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completion of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all amounts held in the trust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account will be released to us, less amounts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released to a separate account controlled by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the trustee for disbursal to redeeming</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stockholders. We will use these funds to pay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amounts due to any public stockholders who</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exercise their redemption rights as described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above under “Redemption rights for public</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stockholders upon completion of our initial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business combination,” to pay all or a portion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of the consideration payable to the target or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owners of the target of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and to pay other expenses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associated with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including the Marketing Fee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pursuant to the Business Combination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Marketing Agreement described under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Underwriting (Conflicts of Interest) —</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Business Combination Marketing</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459"/>
        <w:spacing w:after="0" w:line="254" w:lineRule="auto"/>
        <w:rPr>
          <w:sz w:val="20"/>
          <w:szCs w:val="20"/>
          <w:color w:val="auto"/>
        </w:rPr>
      </w:pPr>
      <w:r>
        <w:rPr>
          <w:rFonts w:ascii="Arial" w:cs="Arial" w:eastAsia="Arial" w:hAnsi="Arial"/>
          <w:sz w:val="18"/>
          <w:szCs w:val="18"/>
          <w:color w:val="auto"/>
        </w:rPr>
        <w:t>The proceeds held in the escrow account would not be released until the earlier of the completion of a business combination or the failure to effect a business combination within the allotted time.</w:t>
      </w:r>
    </w:p>
    <w:p>
      <w:pPr>
        <w:sectPr>
          <w:pgSz w:w="11900" w:h="16838" w:orient="portrait"/>
          <w:cols w:equalWidth="0" w:num="2">
            <w:col w:w="6660" w:space="220"/>
            <w:col w:w="299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Officers and Directors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officers and directors are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20" w:type="dxa"/>
            <w:vAlign w:val="bottom"/>
          </w:tcPr>
          <w:p>
            <w:pPr>
              <w:ind w:left="26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5820" w:type="dxa"/>
            <w:vAlign w:val="bottom"/>
          </w:tcPr>
          <w:p>
            <w:pPr>
              <w:spacing w:after="0"/>
              <w:rPr>
                <w:sz w:val="20"/>
                <w:szCs w:val="20"/>
                <w:color w:val="auto"/>
              </w:rPr>
            </w:pPr>
            <w:r>
              <w:rPr>
                <w:rFonts w:ascii="Arial" w:cs="Arial" w:eastAsia="Arial" w:hAnsi="Arial"/>
                <w:sz w:val="18"/>
                <w:szCs w:val="18"/>
                <w:color w:val="auto"/>
              </w:rPr>
              <w:t>Co-Founder and Director (Chairman)</w:t>
            </w: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Jonas Grossman</w:t>
            </w:r>
          </w:p>
        </w:tc>
        <w:tc>
          <w:tcPr>
            <w:tcW w:w="5820" w:type="dxa"/>
            <w:vAlign w:val="bottom"/>
          </w:tcPr>
          <w:p>
            <w:pPr>
              <w:spacing w:after="0"/>
              <w:rPr>
                <w:sz w:val="20"/>
                <w:szCs w:val="20"/>
                <w:color w:val="auto"/>
              </w:rPr>
            </w:pPr>
            <w:r>
              <w:rPr>
                <w:rFonts w:ascii="Arial" w:cs="Arial" w:eastAsia="Arial" w:hAnsi="Arial"/>
                <w:sz w:val="18"/>
                <w:szCs w:val="18"/>
                <w:color w:val="auto"/>
                <w:w w:val="99"/>
              </w:rPr>
              <w:t>Co-Founder, Chief Executive Officer, President, Secretary, Treasurer and</w:t>
            </w: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582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Jonathan Biele</w:t>
            </w: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Roderick Hardamon</w:t>
            </w: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Jory Des Jardins</w:t>
            </w: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Hitesh Thakrar</w:t>
            </w: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Todd Thomson</w:t>
            </w: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b w:val="1"/>
          <w:bCs w:val="1"/>
          <w:i w:val="1"/>
          <w:iCs w:val="1"/>
          <w:color w:val="auto"/>
        </w:rPr>
        <w:t>Kerry Propper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46</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our co-founder and Chairman of the board of directors.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been the chairman of Chardan’s board of directors and the co-founder and managing partner of ATW Partners, a growth-focused investment firm. Mr. Propper also sits on the board of 340Basics, Credit Sesame, PierianDx, and China Networks. Mr. Propper dedicates much of his time to philanthropy and is a founding member of Nadia’s Initiative. He also serves on the board of trustees of the International Crisis Group and sits on the executive boards of Keep A Child Alive, Voices of Rwanda, Yazda and Digital Citizens Fund.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16"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7"/>
          <w:szCs w:val="17"/>
          <w:b w:val="1"/>
          <w:bCs w:val="1"/>
          <w:i w:val="1"/>
          <w:iCs w:val="1"/>
          <w:color w:val="auto"/>
        </w:rPr>
        <w:t>Jonas Grossman</w:t>
      </w:r>
      <w:r>
        <w:rPr>
          <w:rFonts w:ascii="Arial" w:cs="Arial" w:eastAsia="Arial" w:hAnsi="Arial"/>
          <w:sz w:val="17"/>
          <w:szCs w:val="17"/>
          <w:color w:val="auto"/>
        </w:rPr>
        <w:t>, 47, is our co-founder and has been our Chief Executive Officer and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June 2020 and our President, Secretary, and Treasurer since July 2020. Since July 2020, Mr. Grossman has served as Chief Executive Officer and director of Chardan NexTech Acquisition Corp. Since April 2020, Mr. Grossman has been the Chief Executive Officer and president of Chardan Healthcare Acquisition 2 Corp., a special purpose acquisition company, which announced its merger with Renovacor, Inc in March 2021. He was the Chief Executive officer and President of Chardan Healthcare Acquisition Corp. from March 2018 until its merger in October 2019 with BiomX (NYSE: PHGE). Mr. Grossman is currently a director of BiomX. He was a co-founder and director for LifeSci Acquisition Corp., a special purpose acquisition company from March 2020 until its merger with Vincera Pharma, Inc. in December of 2020. Since December 2020, Mr. Grossman has served as a director of Ventoux CCM Acquisition Corp., a special purpose acquisition company. Since May 2021, Mr. Grossman has served as a director of CleanTech Acquisition Corp., a special purpose acquisition company.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500 transactions during his tenure at Chardan. Since December 2006, Mr. Grossman has served as a founding partner for Cornix Advisors, LLC, a New York based hedge fund. From 2001 until 2003,</w:t>
      </w:r>
    </w:p>
    <w:p>
      <w:pPr>
        <w:spacing w:after="0" w:line="11" w:lineRule="exact"/>
        <w:rPr>
          <w:sz w:val="20"/>
          <w:szCs w:val="20"/>
          <w:color w:val="auto"/>
        </w:rPr>
      </w:pPr>
    </w:p>
    <w:p>
      <w:pPr>
        <w:ind w:left="1260" w:right="499"/>
        <w:spacing w:after="0" w:line="236" w:lineRule="auto"/>
        <w:rPr>
          <w:sz w:val="20"/>
          <w:szCs w:val="20"/>
          <w:color w:val="auto"/>
        </w:rPr>
      </w:pPr>
      <w:r>
        <w:rPr>
          <w:rFonts w:ascii="Arial" w:cs="Arial" w:eastAsia="Arial" w:hAnsi="Arial"/>
          <w:sz w:val="18"/>
          <w:szCs w:val="18"/>
          <w:color w:val="auto"/>
        </w:rPr>
        <w:t>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 for UNICEF since December 2016. We believe Mr. Grossman is qualified to serve on our board of directors because of his long-running capital markets experience as well as his previous company board positions.</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49, has served as our Chief Financial Officer since April 2021 and is a member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March 2021, Mr. Weil has served as chief financial officer of Chardan NexTech Acquisition Corp., and he has agreed to serve on the board of directors. Mr. Weil has served as managing director and co-head of FinTech investment banking at Chardan, a New York headquartered broker/dealer, since March 2020 and as a director of Ventoux CCM Acquisition Corp., a special purpose acquisition company, since December 2020. From January 2018 to March 2020, he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05"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b w:val="1"/>
          <w:bCs w:val="1"/>
          <w:i w:val="1"/>
          <w:iCs w:val="1"/>
          <w:color w:val="auto"/>
        </w:rPr>
        <w:t>Jonathan C. “Jon” Biele</w:t>
      </w:r>
      <w:r>
        <w:rPr>
          <w:rFonts w:ascii="Arial" w:cs="Arial" w:eastAsia="Arial" w:hAnsi="Arial"/>
          <w:sz w:val="17"/>
          <w:szCs w:val="17"/>
          <w:color w:val="auto"/>
        </w:rPr>
        <w:t>, 51, is a member of our board of directors. Mr. Biele recently joined PREEM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vertical technology platform, as head of business and corporate development after a 28-year career in investment banking serving in a variety of leadership roles. Most recently, Mr. Biele served as head of technology and services investment banking after rejuvenating the equity capital markets practice at SunTrust Robinson Humphrey, where he worked from July 2013 to February 2020. During his career,</w:t>
      </w:r>
    </w:p>
    <w:p>
      <w:pPr>
        <w:spacing w:after="0" w:line="3" w:lineRule="exact"/>
        <w:rPr>
          <w:sz w:val="20"/>
          <w:szCs w:val="20"/>
          <w:color w:val="auto"/>
        </w:rPr>
      </w:pPr>
    </w:p>
    <w:p>
      <w:pPr>
        <w:ind w:left="1260" w:right="459"/>
        <w:spacing w:after="0" w:line="267" w:lineRule="auto"/>
        <w:rPr>
          <w:sz w:val="20"/>
          <w:szCs w:val="20"/>
          <w:color w:val="auto"/>
        </w:rPr>
      </w:pPr>
      <w:r>
        <w:rPr>
          <w:rFonts w:ascii="Arial" w:cs="Arial" w:eastAsia="Arial" w:hAnsi="Arial"/>
          <w:sz w:val="17"/>
          <w:szCs w:val="17"/>
          <w:color w:val="auto"/>
        </w:rPr>
        <w:t>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is an extremely valuable contribution to our board of directors.</w:t>
      </w:r>
    </w:p>
    <w:p>
      <w:pPr>
        <w:spacing w:after="0" w:line="115"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b w:val="1"/>
          <w:bCs w:val="1"/>
          <w:i w:val="1"/>
          <w:iCs w:val="1"/>
          <w:color w:val="auto"/>
        </w:rPr>
        <w:t>Perry Boyle</w:t>
      </w:r>
      <w:r>
        <w:rPr>
          <w:rFonts w:ascii="Arial" w:cs="Arial" w:eastAsia="Arial" w:hAnsi="Arial"/>
          <w:sz w:val="17"/>
          <w:szCs w:val="17"/>
          <w:color w:val="auto"/>
        </w:rPr>
        <w:t>, 57, is as a member of our board of directors. Mr. Boyle was with Point72 Asset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L.P., or Point 72, and Point 72 affiliates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 He received his B.A. in Economics from Stanford University, his M.B.A. from Dartmouth College and a M.A. from the Fletcher School at Tufts University. He has lectured on investing at Brown, Yale, Dartmouth, Harvard, Cambridge and UNC, and delivered testimony to Congress on financial regulation. We believe Mr. Boyle is qualified to serve on our board of directors because of industry leadership and capital markets experience from research to fundraising.</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b w:val="1"/>
          <w:bCs w:val="1"/>
          <w:i w:val="1"/>
          <w:iCs w:val="1"/>
          <w:color w:val="auto"/>
        </w:rPr>
        <w:t>Roderick Hardamon</w:t>
      </w:r>
      <w:r>
        <w:rPr>
          <w:rFonts w:ascii="Arial" w:cs="Arial" w:eastAsia="Arial" w:hAnsi="Arial"/>
          <w:sz w:val="18"/>
          <w:szCs w:val="18"/>
          <w:color w:val="auto"/>
        </w:rPr>
        <w:t>, 44, is a member of our board of directors. Mr. Hardamon has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1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is a member of our board of directors. Ms. Jardins is the chief marketing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 Company, a position she has held since 2020. She has also served as VC-in-Residence at the W Fund since 2020. Ms. Jardins recently served as the head of global startup marketing at Amazon Web Services from 2019 to 2020. Before her time at Amazon Web Services, she served as the global head of community at ConsenSys from 2018 to 2019. Ms. Jardins served as an advisor at Tribal Advisors from 2016 to 2018. In 2005, she co-founded BlogHer and served as the company’s president until its acquisition in 2015.</w:t>
      </w:r>
    </w:p>
    <w:p>
      <w:pPr>
        <w:spacing w:after="0" w:line="3" w:lineRule="exact"/>
        <w:rPr>
          <w:sz w:val="20"/>
          <w:szCs w:val="20"/>
          <w:color w:val="auto"/>
        </w:rPr>
      </w:pPr>
    </w:p>
    <w:p>
      <w:pPr>
        <w:ind w:left="1260" w:right="899"/>
        <w:spacing w:after="0" w:line="238" w:lineRule="auto"/>
        <w:rPr>
          <w:sz w:val="20"/>
          <w:szCs w:val="20"/>
          <w:color w:val="auto"/>
        </w:rPr>
      </w:pPr>
      <w:r>
        <w:rPr>
          <w:rFonts w:ascii="Arial" w:cs="Arial" w:eastAsia="Arial" w:hAnsi="Arial"/>
          <w:sz w:val="18"/>
          <w:szCs w:val="18"/>
          <w:color w:val="auto"/>
        </w:rPr>
        <w:t>Ms. Jardins graduated from the University of Illinois at Urbana -Champaign in 1993 where she studied history, literature, and psychology. We believe that Ms. Jardins is qualified to serve on our board of directors given her exposure to dozens of scaling startups as well as her experience with disruptiv</w:t>
      </w:r>
      <w:r>
        <w:rPr>
          <w:rFonts w:ascii="Arial" w:cs="Arial" w:eastAsia="Arial" w:hAnsi="Arial"/>
          <w:sz w:val="18"/>
          <w:szCs w:val="18"/>
          <w:b w:val="1"/>
          <w:bCs w:val="1"/>
          <w:color w:val="auto"/>
        </w:rPr>
        <w:t>e</w:t>
      </w:r>
      <w:r>
        <w:rPr>
          <w:rFonts w:ascii="Arial" w:cs="Arial" w:eastAsia="Arial" w:hAnsi="Arial"/>
          <w:sz w:val="18"/>
          <w:szCs w:val="18"/>
          <w:color w:val="auto"/>
        </w:rPr>
        <w:t xml:space="preserve"> technology</w:t>
      </w:r>
      <w:r>
        <w:rPr>
          <w:rFonts w:ascii="Arial" w:cs="Arial" w:eastAsia="Arial" w:hAnsi="Arial"/>
          <w:sz w:val="18"/>
          <w:szCs w:val="18"/>
          <w:b w:val="1"/>
          <w:bCs w:val="1"/>
          <w:color w:val="auto"/>
        </w:rPr>
        <w:t>.</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b w:val="1"/>
          <w:bCs w:val="1"/>
          <w:i w:val="1"/>
          <w:iCs w:val="1"/>
          <w:color w:val="auto"/>
        </w:rPr>
        <w:t>Hitesh Thakrar</w:t>
      </w:r>
      <w:r>
        <w:rPr>
          <w:rFonts w:ascii="Arial" w:cs="Arial" w:eastAsia="Arial" w:hAnsi="Arial"/>
          <w:sz w:val="17"/>
          <w:szCs w:val="17"/>
          <w:color w:val="auto"/>
        </w:rPr>
        <w:t>, 59, is a member of our board of directors. Mr. Thakrar is an experienced investor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sector, having spent over 20 years investing in public equities in the life sciences, information technology and innovation sectors. Since 2015, he has been active in early stage venture investing.</w:t>
      </w:r>
    </w:p>
    <w:p>
      <w:pPr>
        <w:ind w:left="1260" w:right="459"/>
        <w:spacing w:after="0" w:line="249" w:lineRule="auto"/>
        <w:rPr>
          <w:sz w:val="20"/>
          <w:szCs w:val="20"/>
          <w:color w:val="auto"/>
        </w:rPr>
      </w:pPr>
      <w:r>
        <w:rPr>
          <w:rFonts w:ascii="Arial" w:cs="Arial" w:eastAsia="Arial" w:hAnsi="Arial"/>
          <w:sz w:val="17"/>
          <w:szCs w:val="17"/>
          <w:color w:val="auto"/>
        </w:rPr>
        <w:t>Mr. Thakrar is currently a Venture Partner at Syncona Limited, a Wellcome Trust backed early stage venture fund, a position he has held since February 2016. He has also served as a Governance Board Member of KQ Labs at the Francis Crick Institute since December 2018. Since August 2020, he has been the main Board Trustee of the Alan Turing Institute which is the UK National Institute for Artificial Intelligence and Data Science research. Additionally, since November 2016, Mr. Thakrar has been the Chair of the Investment Committee for Newable Ventures, a pre-Series A fund focused on deep technology. He has also served as an advisor to UKRI’s Science and Technology Funding Council (SFTC), which helps early stage companies spin out from UK universities, since July 2020. He has previously served as a non-executive director for Desktop Genetics and Tropic Biosciences since 2015 and 2017 respectively, both of which specialize in the use of CRISPR technology in gene editing. Previously, Mr. Thakrar held the position of Portfolio Manager, Global Innovation Fund with the Abu Dhabi Investment Authority (ADIA), from 2009 until 2015. He has worked at several other public market institutions in global equity research and fund management including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 We believe Mr. Thakrar is qualified to serve as a member of our board of directors given his decades of technology investing and public company expertise.</w:t>
      </w:r>
    </w:p>
    <w:p>
      <w:pPr>
        <w:spacing w:after="0" w:line="12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b w:val="1"/>
          <w:bCs w:val="1"/>
          <w:i w:val="1"/>
          <w:iCs w:val="1"/>
          <w:color w:val="auto"/>
        </w:rPr>
        <w:t>Todd Thomson</w:t>
      </w:r>
      <w:r>
        <w:rPr>
          <w:rFonts w:ascii="Arial" w:cs="Arial" w:eastAsia="Arial" w:hAnsi="Arial"/>
          <w:sz w:val="17"/>
          <w:szCs w:val="17"/>
          <w:color w:val="auto"/>
        </w:rPr>
        <w:t>, 60, is a member of our board of directors. He is currently the chief operating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w:t>
      </w:r>
    </w:p>
    <w:p>
      <w:pPr>
        <w:spacing w:after="0" w:line="2" w:lineRule="exact"/>
        <w:rPr>
          <w:sz w:val="20"/>
          <w:szCs w:val="20"/>
          <w:color w:val="auto"/>
        </w:rPr>
      </w:pPr>
    </w:p>
    <w:p>
      <w:pPr>
        <w:ind w:left="1260" w:right="479"/>
        <w:spacing w:after="0" w:line="251" w:lineRule="auto"/>
        <w:rPr>
          <w:sz w:val="20"/>
          <w:szCs w:val="20"/>
          <w:color w:val="auto"/>
        </w:rPr>
      </w:pPr>
      <w:r>
        <w:rPr>
          <w:rFonts w:ascii="Arial" w:cs="Arial" w:eastAsia="Arial" w:hAnsi="Arial"/>
          <w:sz w:val="17"/>
          <w:szCs w:val="17"/>
          <w:color w:val="auto"/>
        </w:rPr>
        <w:t>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w:t>
      </w: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5" w:lineRule="auto"/>
        <w:rPr>
          <w:sz w:val="20"/>
          <w:szCs w:val="20"/>
          <w:color w:val="auto"/>
        </w:rPr>
      </w:pPr>
      <w:r>
        <w:rPr>
          <w:rFonts w:ascii="Arial" w:cs="Arial" w:eastAsia="Arial" w:hAnsi="Arial"/>
          <w:sz w:val="17"/>
          <w:szCs w:val="17"/>
          <w:color w:val="auto"/>
        </w:rPr>
        <w:t>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 We believe Mr. Thomson is qualified to serve on our board of directors because of his experience in public company corporate finance and early-stage investing.</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Messrs. Biele, Boyle, Hardamon, Thakrar and Thomson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We have nine directors. Our board of directors is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Hardamon, Thakrar and Thomson and Ms. Jardins will expire at our first annual meeting of stockholders. The term of office of the second class of directors, consisting of Messrs. Grossman,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Officer and Director Compensation</w:t>
      </w:r>
    </w:p>
    <w:p>
      <w:pPr>
        <w:spacing w:after="0" w:line="148"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7"/>
          <w:szCs w:val="17"/>
          <w:color w:val="auto"/>
        </w:rPr>
        <w:t>None of our officers or directors has received any cash compensation for services rendered to us. Except as described below, to date, no compensation of any kind, including any finder’s fee, reimbursement,</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consulting fee or monies in respect of any payment of a loan, will be paid by us to our officers and directors, or, other than as described herein, to our sponsor or any affiliate of our sponsor or officers, prior to, or in connection with any services rendered in order to effectuate, the consummation of our initial business combination (regardless of the type of transaction that it is). However, in May and June 2021, our sponsor transferred 20,000 founder shares to each of Messrs. Biele, Boyle, Hardamon, Thakrar and Thomson and Ms. Jardins. On August 10, 2021, we effectuated a 1.1-for-1 stock split, resulting in each of our independent directors receiving an addition 2,000 shares of common stock. In addition, commencing on the date our securities are first listed on Nasdaq, we will pay an amount equal to $10,000 per month to our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1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Our board of directors has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4"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We have established an audit committee of the board of directors. Messrs. Hardamon, Boyle and Grossman are the members of our audit committee, and Mr. Hardamon chairs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59" w:firstLine="360"/>
        <w:spacing w:after="0" w:line="308"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Mr. Hardamon qualifies as an “audit committee financial expert” as defined in applicable SEC rules.</w:t>
      </w:r>
    </w:p>
    <w:p>
      <w:pPr>
        <w:spacing w:after="0" w:line="65"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76" w:lineRule="exact"/>
        <w:rPr>
          <w:sz w:val="20"/>
          <w:szCs w:val="20"/>
          <w:color w:val="auto"/>
        </w:rPr>
      </w:pPr>
    </w:p>
    <w:p>
      <w:pPr>
        <w:ind w:left="1800" w:right="45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62"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pre-approving all audit and permitted non-audit services to be provided by the independent registered public accounting firm engaged by us, and establishing pre-approval policies and procedures;</w:t>
      </w:r>
    </w:p>
    <w:p>
      <w:pPr>
        <w:spacing w:after="0" w:line="38" w:lineRule="exact"/>
        <w:rPr>
          <w:rFonts w:ascii="Arial" w:cs="Arial" w:eastAsia="Arial" w:hAnsi="Arial"/>
          <w:sz w:val="17"/>
          <w:szCs w:val="17"/>
          <w:color w:val="auto"/>
        </w:rPr>
      </w:pPr>
    </w:p>
    <w:p>
      <w:pPr>
        <w:ind w:left="1800" w:right="51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setting clear hiring policies for employees or former employees of the independent registered public accounting firm, including but not limited to, as required by applicable laws and regulations;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w:t>
      </w:r>
    </w:p>
    <w:p>
      <w:pPr>
        <w:spacing w:after="0" w:line="128" w:lineRule="exact"/>
        <w:rPr>
          <w:rFonts w:ascii="Arial" w:cs="Arial" w:eastAsia="Arial" w:hAnsi="Arial"/>
          <w:sz w:val="17"/>
          <w:szCs w:val="17"/>
          <w:color w:val="auto"/>
        </w:rPr>
      </w:pPr>
    </w:p>
    <w:p>
      <w:pPr>
        <w:ind w:left="1800" w:right="519" w:hanging="180"/>
        <w:spacing w:after="0" w:line="254"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83" w:lineRule="exact"/>
        <w:rPr>
          <w:rFonts w:ascii="Arial" w:cs="Arial" w:eastAsia="Arial" w:hAnsi="Arial"/>
          <w:sz w:val="18"/>
          <w:szCs w:val="18"/>
          <w:color w:val="auto"/>
        </w:rPr>
      </w:pPr>
    </w:p>
    <w:p>
      <w:pPr>
        <w:ind w:left="1800" w:right="53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reviewing and approving any related party transaction required to be disclosed pursuant to Item 404 of Regulation S-K promulgated by the SEC prior to us entering into such transaction; and</w:t>
      </w:r>
    </w:p>
    <w:p>
      <w:pPr>
        <w:spacing w:after="0" w:line="38" w:lineRule="exact"/>
        <w:rPr>
          <w:rFonts w:ascii="Arial" w:cs="Arial" w:eastAsia="Arial" w:hAnsi="Arial"/>
          <w:sz w:val="17"/>
          <w:szCs w:val="17"/>
          <w:color w:val="auto"/>
        </w:rPr>
      </w:pPr>
    </w:p>
    <w:p>
      <w:pPr>
        <w:ind w:left="1800" w:right="479" w:hanging="180"/>
        <w:spacing w:after="0" w:line="255"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We have established a compensation committee of the board of directors. Ms. Jardins, Mr. Biele and Mr. Thomson are the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 Mr. Biele and Mr. Thomson are independent, and Ms. Jardins chairs the compensation committee.</w:t>
      </w:r>
    </w:p>
    <w:p>
      <w:pPr>
        <w:spacing w:after="0" w:line="125"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62" w:lineRule="exact"/>
        <w:rPr>
          <w:sz w:val="20"/>
          <w:szCs w:val="20"/>
          <w:color w:val="auto"/>
        </w:rPr>
      </w:pPr>
    </w:p>
    <w:p>
      <w:pPr>
        <w:ind w:left="1800" w:right="519" w:hanging="180"/>
        <w:spacing w:after="0" w:line="259"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7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17" w:lineRule="exact"/>
        <w:rPr>
          <w:rFonts w:ascii="Arial" w:cs="Arial" w:eastAsia="Arial" w:hAnsi="Arial"/>
          <w:sz w:val="18"/>
          <w:szCs w:val="18"/>
          <w:color w:val="auto"/>
        </w:rPr>
      </w:pPr>
    </w:p>
    <w:p>
      <w:pPr>
        <w:ind w:left="1800" w:right="125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62"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16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Nominations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do not have a standing nominating committee, although we intend to form a corporate governance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nominating committee as and when required to do so by law or Nasdaq rules. In accordance with</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Rule 5605 of the Nasdaq rules, a majority of the independent directors may recommend a director nominee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selection by the board of directors. The board of directors believes that the independent directors can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satisfactorily carry out the responsibility of properly selecting or approving director nominees without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formation of a standing nominating committee. All of our independent directors will participate in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consideration and recommendation of director nominees. In accordance with Rule 5605 of the Nasdaq rules,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each of Messrs. Biele, Boyle, Hardamon, Thakrar and Thomson and Ms. Jardins is independent. As there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 standing nominating committee, we do not have a nominating committee charter in place.</w:t>
      </w:r>
    </w:p>
    <w:p>
      <w:pPr>
        <w:spacing w:after="0" w:line="143"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110"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We have adopted a Code of Ethics applicable to our directors, officers and employees. We have filed a copy of our Code of Ethics and our audit and compensation committee charters as exhibits to the registration statement of which this prospectus is a part.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 See the section of this prospectus entitled “</w:t>
      </w:r>
      <w:r>
        <w:rPr>
          <w:rFonts w:ascii="Arial" w:cs="Arial" w:eastAsia="Arial" w:hAnsi="Arial"/>
          <w:sz w:val="17"/>
          <w:szCs w:val="17"/>
          <w:i w:val="1"/>
          <w:iCs w:val="1"/>
          <w:color w:val="auto"/>
        </w:rPr>
        <w:t>Where You Can Find Additional Information</w:t>
      </w:r>
      <w:r>
        <w:rPr>
          <w:rFonts w:ascii="Arial" w:cs="Arial" w:eastAsia="Arial" w:hAnsi="Arial"/>
          <w:sz w:val="17"/>
          <w:szCs w:val="17"/>
          <w:color w:val="auto"/>
        </w:rPr>
        <w:t>” for more information.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99"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Our sponsor, officers, directors, Chardan and their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26"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22"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7"/>
          <w:szCs w:val="17"/>
          <w:color w:val="auto"/>
        </w:rPr>
        <w:t>Notwithstanding the foregoing, we may, at our option, pursue an Affiliated Joint Acquisition. We do not expect that we would pursue any such opportunity with an Affiliated SPAC. This would only occur, though, if (i) permitted by applicable regulatory and other legal limitations; (ii) we and our sponsor considered a transaction to be mutually beneficial to us as well as the affiliated entity; and (iii) other business reasons exist to do so, such as the strategic merits of including such co- 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 Any such Affiliated Joint Acquisition or specified future issuance would be in addition to, and would not include, the forward purchase securities issued pursuant to the forward purchase contract.</w:t>
      </w:r>
    </w:p>
    <w:p>
      <w:pPr>
        <w:spacing w:after="0" w:line="105"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Potential investors should be aware of the additional following potential conflicts of interest:</w:t>
      </w:r>
    </w:p>
    <w:p>
      <w:pPr>
        <w:spacing w:after="0" w:line="117" w:lineRule="exact"/>
        <w:rPr>
          <w:sz w:val="20"/>
          <w:szCs w:val="20"/>
          <w:color w:val="auto"/>
        </w:rPr>
      </w:pPr>
    </w:p>
    <w:p>
      <w:pPr>
        <w:ind w:left="1800" w:right="879" w:hanging="180"/>
        <w:spacing w:after="0" w:line="26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62" w:lineRule="exact"/>
        <w:rPr>
          <w:rFonts w:ascii="Arial" w:cs="Arial" w:eastAsia="Arial" w:hAnsi="Arial"/>
          <w:sz w:val="18"/>
          <w:szCs w:val="18"/>
          <w:color w:val="auto"/>
        </w:rPr>
      </w:pPr>
    </w:p>
    <w:p>
      <w:pPr>
        <w:ind w:left="1800" w:right="519" w:hanging="180"/>
        <w:spacing w:after="0" w:line="286"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management has pre-existing fiduciary</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539"/>
        <w:spacing w:after="0" w:line="248" w:lineRule="auto"/>
        <w:rPr>
          <w:sz w:val="20"/>
          <w:szCs w:val="20"/>
          <w:color w:val="auto"/>
        </w:rPr>
      </w:pPr>
      <w:r>
        <w:rPr>
          <w:rFonts w:ascii="Arial" w:cs="Arial" w:eastAsia="Arial" w:hAnsi="Arial"/>
          <w:sz w:val="18"/>
          <w:szCs w:val="18"/>
          <w:color w:val="auto"/>
        </w:rPr>
        <w:t>duties and contractual obligations and if there is a conflict of interest in determining to which entity a particular business opportunity should be presented, any pre-existing fiduciary obligation will be presented the opportunity before we are presented with it.</w:t>
      </w:r>
    </w:p>
    <w:p>
      <w:pPr>
        <w:spacing w:after="0" w:line="60" w:lineRule="exact"/>
        <w:rPr>
          <w:sz w:val="20"/>
          <w:szCs w:val="20"/>
          <w:color w:val="auto"/>
        </w:rPr>
      </w:pPr>
    </w:p>
    <w:p>
      <w:pPr>
        <w:jc w:val="both"/>
        <w:ind w:left="1800" w:right="739" w:hanging="180"/>
        <w:spacing w:after="0" w:line="263"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75"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founder shares owned by our officers and directors will be released from escrow only if a business combination is successfully completed and subject to certain other limitations. Additionally, our officers and directors will not receive distributions from the trust account with respect to any of their founder shares if we do not complete a business combination. In addition, our officers and directors may loan funds to us after this offering and may be owed reimbursement for expenses incurred in connection with certain activities on our behalf which would only be repaid if we complete an initial business combination. For the foregoing reasons, the personal and financial interests of our directors and executive officers may influence their motivation in identifying and selecting a target business, completing a business combination in a timely manner and securing the release of their shares.</w:t>
      </w:r>
    </w:p>
    <w:p>
      <w:pPr>
        <w:spacing w:after="0" w:line="72" w:lineRule="exact"/>
        <w:rPr>
          <w:rFonts w:ascii="Arial" w:cs="Arial" w:eastAsia="Arial" w:hAnsi="Arial"/>
          <w:sz w:val="18"/>
          <w:szCs w:val="18"/>
          <w:color w:val="auto"/>
        </w:rPr>
      </w:pPr>
    </w:p>
    <w:p>
      <w:pPr>
        <w:ind w:left="1800" w:right="419" w:hanging="180"/>
        <w:spacing w:after="0" w:line="267"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75" w:lineRule="exact"/>
        <w:rPr>
          <w:rFonts w:ascii="Arial" w:cs="Arial" w:eastAsia="Arial" w:hAnsi="Arial"/>
          <w:sz w:val="17"/>
          <w:szCs w:val="17"/>
          <w:color w:val="auto"/>
        </w:rPr>
      </w:pPr>
    </w:p>
    <w:p>
      <w:pPr>
        <w:ind w:left="1800" w:right="479" w:hanging="180"/>
        <w:spacing w:after="0" w:line="286"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57" w:lineRule="exact"/>
        <w:rPr>
          <w:rFonts w:ascii="Arial" w:cs="Arial" w:eastAsia="Arial" w:hAnsi="Arial"/>
          <w:sz w:val="17"/>
          <w:szCs w:val="17"/>
          <w:color w:val="auto"/>
        </w:rPr>
      </w:pPr>
    </w:p>
    <w:p>
      <w:pPr>
        <w:ind w:left="1800" w:right="419" w:hanging="180"/>
        <w:spacing w:after="0" w:line="259"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w:t>
      </w:r>
    </w:p>
    <w:p>
      <w:pPr>
        <w:spacing w:after="0" w:line="78" w:lineRule="exact"/>
        <w:rPr>
          <w:rFonts w:ascii="Arial" w:cs="Arial" w:eastAsia="Arial" w:hAnsi="Arial"/>
          <w:sz w:val="18"/>
          <w:szCs w:val="18"/>
          <w:color w:val="auto"/>
        </w:rPr>
      </w:pPr>
    </w:p>
    <w:p>
      <w:pPr>
        <w:ind w:left="1800" w:right="639" w:hanging="180"/>
        <w:spacing w:after="0" w:line="273"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56" w:lineRule="exact"/>
        <w:rPr>
          <w:rFonts w:ascii="Arial" w:cs="Arial" w:eastAsia="Arial" w:hAnsi="Arial"/>
          <w:sz w:val="17"/>
          <w:szCs w:val="17"/>
          <w:color w:val="auto"/>
        </w:rPr>
      </w:pPr>
    </w:p>
    <w:p>
      <w:pPr>
        <w:ind w:left="1800" w:right="1039" w:hanging="180"/>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sponsor has transferred 22,000 founder shares to each of our independent directors. Such securities will be worthless if we do not complete an initial business combination.</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86" w:lineRule="auto"/>
        <w:tabs>
          <w:tab w:leader="none" w:pos="1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w:t>
      </w:r>
    </w:p>
    <w:p>
      <w:pPr>
        <w:spacing w:after="0" w:line="57" w:lineRule="exact"/>
        <w:rPr>
          <w:rFonts w:ascii="Arial" w:cs="Arial" w:eastAsia="Arial" w:hAnsi="Arial"/>
          <w:sz w:val="17"/>
          <w:szCs w:val="17"/>
          <w:color w:val="auto"/>
        </w:rPr>
      </w:pPr>
    </w:p>
    <w:p>
      <w:pPr>
        <w:ind w:left="1800" w:right="519" w:hanging="180"/>
        <w:spacing w:after="0" w:line="26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0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62" w:lineRule="exact"/>
        <w:rPr>
          <w:sz w:val="20"/>
          <w:szCs w:val="20"/>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12 months (or up to 18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33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following table summarizes the other relevant pre-existing fiduciary or contractual obligations of our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Affiliated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20574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340Basics d/b/a Nuvem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ATW Partners</w:t>
      </w:r>
    </w:p>
    <w:p>
      <w:pPr>
        <w:spacing w:after="0" w:line="9" w:lineRule="exact"/>
        <w:rPr>
          <w:sz w:val="20"/>
          <w:szCs w:val="20"/>
          <w:color w:val="auto"/>
        </w:rPr>
      </w:pPr>
    </w:p>
    <w:p>
      <w:pPr>
        <w:ind w:left="1260" w:right="60"/>
        <w:spacing w:after="0" w:line="250" w:lineRule="auto"/>
        <w:rPr>
          <w:sz w:val="20"/>
          <w:szCs w:val="20"/>
          <w:color w:val="auto"/>
        </w:rPr>
      </w:pPr>
      <w:r>
        <w:rPr>
          <w:rFonts w:ascii="Arial" w:cs="Arial" w:eastAsia="Arial" w:hAnsi="Arial"/>
          <w:sz w:val="18"/>
          <w:szCs w:val="18"/>
          <w:color w:val="auto"/>
        </w:rPr>
        <w:t>Chardan Capital Markets, LLC Chardan NexTech Acquisition Corp. China Networks International Holdings Ltd.</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Credit Sesame, Inc.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PierianDx, Inc.</w:t>
      </w:r>
    </w:p>
    <w:p>
      <w:pPr>
        <w:spacing w:after="0" w:line="35" w:lineRule="exact"/>
        <w:rPr>
          <w:sz w:val="20"/>
          <w:szCs w:val="20"/>
          <w:color w:val="auto"/>
        </w:rPr>
      </w:pPr>
    </w:p>
    <w:p>
      <w:pPr>
        <w:ind w:left="1260"/>
        <w:spacing w:after="0" w:line="253" w:lineRule="auto"/>
        <w:rPr>
          <w:sz w:val="20"/>
          <w:szCs w:val="20"/>
          <w:color w:val="auto"/>
        </w:rPr>
      </w:pPr>
      <w:r>
        <w:rPr>
          <w:rFonts w:ascii="Arial" w:cs="Arial" w:eastAsia="Arial" w:hAnsi="Arial"/>
          <w:sz w:val="18"/>
          <w:szCs w:val="18"/>
          <w:color w:val="auto"/>
        </w:rPr>
        <w:t>Chardan Capital Markets, LLC Chardan Healthcare Acquisition 2 Corp. Chardan NexTech Acquisition Corp. CleanTech Acquisition Corp. Cornix Advisers, LLC</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BiomX, Inc.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Ventoux CCM Acquisition Corp.</w:t>
      </w:r>
    </w:p>
    <w:p>
      <w:pPr>
        <w:spacing w:after="0" w:line="49" w:lineRule="exact"/>
        <w:rPr>
          <w:sz w:val="20"/>
          <w:szCs w:val="20"/>
          <w:color w:val="auto"/>
        </w:rPr>
      </w:pPr>
    </w:p>
    <w:p>
      <w:pPr>
        <w:ind w:left="1260" w:right="280"/>
        <w:spacing w:after="0" w:line="286" w:lineRule="auto"/>
        <w:rPr>
          <w:sz w:val="20"/>
          <w:szCs w:val="20"/>
          <w:color w:val="auto"/>
        </w:rPr>
      </w:pPr>
      <w:r>
        <w:rPr>
          <w:rFonts w:ascii="Arial" w:cs="Arial" w:eastAsia="Arial" w:hAnsi="Arial"/>
          <w:sz w:val="17"/>
          <w:szCs w:val="17"/>
          <w:color w:val="auto"/>
        </w:rPr>
        <w:t>Chardan Capital Markets, LLC Chardan NexTech Acquisition Corp. Ventoux CCM Acquisition Corp.</w:t>
      </w: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PREEM Inc.</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Chardan NexTech Acquisition Corp.</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URGE Development Group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URGE Imprint LLC</w:t>
      </w:r>
    </w:p>
    <w:p>
      <w:pPr>
        <w:spacing w:after="0" w:line="2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 Company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 Fund</w:t>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Syncona Limited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KQ Labs</w:t>
      </w:r>
    </w:p>
    <w:p>
      <w:pPr>
        <w:spacing w:after="0" w:line="49" w:lineRule="exact"/>
        <w:rPr>
          <w:sz w:val="20"/>
          <w:szCs w:val="20"/>
          <w:color w:val="auto"/>
        </w:rPr>
      </w:pPr>
    </w:p>
    <w:p>
      <w:pPr>
        <w:ind w:left="1260" w:right="280"/>
        <w:spacing w:after="0" w:line="308" w:lineRule="auto"/>
        <w:rPr>
          <w:sz w:val="20"/>
          <w:szCs w:val="20"/>
          <w:color w:val="auto"/>
        </w:rPr>
      </w:pPr>
      <w:r>
        <w:rPr>
          <w:rFonts w:ascii="Arial" w:cs="Arial" w:eastAsia="Arial" w:hAnsi="Arial"/>
          <w:sz w:val="17"/>
          <w:szCs w:val="17"/>
          <w:color w:val="auto"/>
        </w:rPr>
        <w:t>Kairos Ventures Investments, LLC Chardan NexTech Acquisition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8229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Kerry Propper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Jonas Grossman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Alex Weil</w:t>
      </w:r>
    </w:p>
    <w:p>
      <w:pPr>
        <w:spacing w:after="0" w:line="200" w:lineRule="exact"/>
        <w:rPr>
          <w:sz w:val="20"/>
          <w:szCs w:val="20"/>
          <w:color w:val="auto"/>
        </w:rPr>
      </w:pPr>
    </w:p>
    <w:p>
      <w:pPr>
        <w:spacing w:after="0" w:line="295" w:lineRule="exact"/>
        <w:rPr>
          <w:sz w:val="20"/>
          <w:szCs w:val="20"/>
          <w:color w:val="auto"/>
        </w:rPr>
      </w:pPr>
    </w:p>
    <w:p>
      <w:pPr>
        <w:ind w:right="140"/>
        <w:spacing w:after="0" w:line="535" w:lineRule="auto"/>
        <w:rPr>
          <w:sz w:val="20"/>
          <w:szCs w:val="20"/>
          <w:color w:val="auto"/>
        </w:rPr>
      </w:pPr>
      <w:r>
        <w:rPr>
          <w:rFonts w:ascii="Arial" w:cs="Arial" w:eastAsia="Arial" w:hAnsi="Arial"/>
          <w:sz w:val="16"/>
          <w:szCs w:val="16"/>
          <w:color w:val="auto"/>
        </w:rPr>
        <w:t>Jonathan Biele Perry Boyle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Roderick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Hardamon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Jory Des Jardins</w:t>
      </w:r>
    </w:p>
    <w:p>
      <w:pPr>
        <w:spacing w:after="0" w:line="30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Hitesh Thakrar</w:t>
      </w:r>
    </w:p>
    <w:p>
      <w:pPr>
        <w:spacing w:after="0" w:line="200" w:lineRule="exact"/>
        <w:rPr>
          <w:sz w:val="20"/>
          <w:szCs w:val="20"/>
          <w:color w:val="auto"/>
        </w:rPr>
      </w:pPr>
    </w:p>
    <w:p>
      <w:pPr>
        <w:spacing w:after="0" w:line="29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Todd Thomson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Priority/Preference relative to</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Chardan NexTech Acquisition 2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0574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41" w:lineRule="exact"/>
        <w:rPr>
          <w:sz w:val="20"/>
          <w:szCs w:val="20"/>
          <w:color w:val="auto"/>
        </w:rPr>
      </w:pPr>
    </w:p>
    <w:p>
      <w:pPr>
        <w:jc w:val="both"/>
        <w:ind w:right="419"/>
        <w:spacing w:after="0" w:line="254" w:lineRule="auto"/>
        <w:rPr>
          <w:sz w:val="20"/>
          <w:szCs w:val="20"/>
          <w:color w:val="auto"/>
        </w:rPr>
      </w:pPr>
      <w:r>
        <w:rPr>
          <w:rFonts w:ascii="Arial" w:cs="Arial" w:eastAsia="Arial" w:hAnsi="Arial"/>
          <w:sz w:val="18"/>
          <w:szCs w:val="18"/>
          <w:color w:val="auto"/>
        </w:rPr>
        <w:t>340Basics d/b/a Nuvem, ATW Partners, and Chardan Capital Markets, LLC, China Networks International Holdings Ltd., Credit Sesame, Inc., and PierianDx, Inc. will each have priority over us. We will have priority over Chardan NexTech Acquisition Corp.</w:t>
      </w:r>
    </w:p>
    <w:p>
      <w:pPr>
        <w:spacing w:after="0" w:line="235" w:lineRule="exact"/>
        <w:rPr>
          <w:sz w:val="20"/>
          <w:szCs w:val="20"/>
          <w:color w:val="auto"/>
        </w:rPr>
      </w:pPr>
    </w:p>
    <w:p>
      <w:pPr>
        <w:jc w:val="both"/>
        <w:ind w:right="419"/>
        <w:spacing w:after="0" w:line="272" w:lineRule="auto"/>
        <w:rPr>
          <w:sz w:val="20"/>
          <w:szCs w:val="20"/>
          <w:color w:val="auto"/>
        </w:rPr>
      </w:pPr>
      <w:r>
        <w:rPr>
          <w:rFonts w:ascii="Arial" w:cs="Arial" w:eastAsia="Arial" w:hAnsi="Arial"/>
          <w:sz w:val="17"/>
          <w:szCs w:val="17"/>
          <w:color w:val="auto"/>
        </w:rPr>
        <w:t>Chardan Capital Markets, LLC, Chardan Healthcare Acquisition 2 Corp., CleanTech Acquisition Corp., Cornix Advisers, LLC, BiomX, Inc. and Ventoux CCM Acquisition Corp. will each have priority over us. We will have priority over Chardan NexTech Acquisition Corp.</w:t>
      </w:r>
    </w:p>
    <w:p>
      <w:pPr>
        <w:spacing w:after="0" w:line="15" w:lineRule="exact"/>
        <w:rPr>
          <w:sz w:val="20"/>
          <w:szCs w:val="20"/>
          <w:color w:val="auto"/>
        </w:rPr>
      </w:pPr>
    </w:p>
    <w:p>
      <w:pPr>
        <w:jc w:val="both"/>
        <w:ind w:right="419"/>
        <w:spacing w:after="0" w:line="257" w:lineRule="auto"/>
        <w:rPr>
          <w:sz w:val="20"/>
          <w:szCs w:val="20"/>
          <w:color w:val="auto"/>
        </w:rPr>
      </w:pPr>
      <w:r>
        <w:rPr>
          <w:rFonts w:ascii="Arial" w:cs="Arial" w:eastAsia="Arial" w:hAnsi="Arial"/>
          <w:sz w:val="18"/>
          <w:szCs w:val="18"/>
          <w:color w:val="auto"/>
        </w:rPr>
        <w:t>Chardan Capital Markets, LLC, and Ventoux CCM Acquisition Corp. will each have priority over us. We will have priority over Chardan NexTech Acquisition Corp.</w:t>
      </w:r>
    </w:p>
    <w:p>
      <w:pPr>
        <w:spacing w:after="0" w:line="26" w:lineRule="exact"/>
        <w:rPr>
          <w:sz w:val="20"/>
          <w:szCs w:val="20"/>
          <w:color w:val="auto"/>
        </w:rPr>
      </w:pPr>
    </w:p>
    <w:p>
      <w:pPr>
        <w:ind w:right="419"/>
        <w:spacing w:after="0" w:line="279" w:lineRule="auto"/>
        <w:rPr>
          <w:sz w:val="20"/>
          <w:szCs w:val="20"/>
          <w:color w:val="auto"/>
        </w:rPr>
      </w:pPr>
      <w:r>
        <w:rPr>
          <w:rFonts w:ascii="Arial" w:cs="Arial" w:eastAsia="Arial" w:hAnsi="Arial"/>
          <w:sz w:val="18"/>
          <w:szCs w:val="18"/>
          <w:color w:val="auto"/>
        </w:rPr>
        <w:t>PREEM Inc. will have priority over us. We will have priority over Chardan NexTech Acquisition Corp.</w:t>
      </w:r>
    </w:p>
    <w:p>
      <w:pPr>
        <w:spacing w:after="0" w:line="7" w:lineRule="exact"/>
        <w:rPr>
          <w:sz w:val="20"/>
          <w:szCs w:val="20"/>
          <w:color w:val="auto"/>
        </w:rPr>
      </w:pPr>
    </w:p>
    <w:p>
      <w:pPr>
        <w:jc w:val="both"/>
        <w:ind w:right="419"/>
        <w:spacing w:after="0" w:line="263" w:lineRule="auto"/>
        <w:rPr>
          <w:sz w:val="20"/>
          <w:szCs w:val="20"/>
          <w:color w:val="auto"/>
        </w:rPr>
      </w:pPr>
      <w:r>
        <w:rPr>
          <w:rFonts w:ascii="Arial" w:cs="Arial" w:eastAsia="Arial" w:hAnsi="Arial"/>
          <w:sz w:val="18"/>
          <w:szCs w:val="18"/>
          <w:color w:val="auto"/>
        </w:rPr>
        <w:t>URGE Development Group and URGE Imprint LLC will each have priority over us.</w:t>
      </w:r>
    </w:p>
    <w:p>
      <w:pPr>
        <w:spacing w:after="0" w:line="22" w:lineRule="exact"/>
        <w:rPr>
          <w:sz w:val="20"/>
          <w:szCs w:val="20"/>
          <w:color w:val="auto"/>
        </w:rPr>
      </w:pPr>
    </w:p>
    <w:p>
      <w:pPr>
        <w:jc w:val="both"/>
        <w:ind w:right="419"/>
        <w:spacing w:after="0" w:line="277" w:lineRule="auto"/>
        <w:rPr>
          <w:sz w:val="20"/>
          <w:szCs w:val="20"/>
          <w:color w:val="auto"/>
        </w:rPr>
      </w:pPr>
      <w:r>
        <w:rPr>
          <w:rFonts w:ascii="Arial" w:cs="Arial" w:eastAsia="Arial" w:hAnsi="Arial"/>
          <w:sz w:val="18"/>
          <w:szCs w:val="18"/>
          <w:color w:val="auto"/>
        </w:rPr>
        <w:t>The @ Company and W Fund will each have priority over us.</w:t>
      </w:r>
    </w:p>
    <w:p>
      <w:pPr>
        <w:spacing w:after="0" w:line="8" w:lineRule="exact"/>
        <w:rPr>
          <w:sz w:val="20"/>
          <w:szCs w:val="20"/>
          <w:color w:val="auto"/>
        </w:rPr>
      </w:pPr>
    </w:p>
    <w:p>
      <w:pPr>
        <w:jc w:val="both"/>
        <w:ind w:right="419"/>
        <w:spacing w:after="0" w:line="277" w:lineRule="auto"/>
        <w:rPr>
          <w:sz w:val="20"/>
          <w:szCs w:val="20"/>
          <w:color w:val="auto"/>
        </w:rPr>
      </w:pPr>
      <w:r>
        <w:rPr>
          <w:rFonts w:ascii="Arial" w:cs="Arial" w:eastAsia="Arial" w:hAnsi="Arial"/>
          <w:sz w:val="18"/>
          <w:szCs w:val="18"/>
          <w:color w:val="auto"/>
        </w:rPr>
        <w:t>Syncona Limited and KQ Labs will each have priority over us.</w:t>
      </w:r>
    </w:p>
    <w:p>
      <w:pPr>
        <w:spacing w:after="0" w:line="8" w:lineRule="exact"/>
        <w:rPr>
          <w:sz w:val="20"/>
          <w:szCs w:val="20"/>
          <w:color w:val="auto"/>
        </w:rPr>
      </w:pPr>
    </w:p>
    <w:p>
      <w:pPr>
        <w:jc w:val="both"/>
        <w:ind w:right="419"/>
        <w:spacing w:after="0" w:line="259" w:lineRule="auto"/>
        <w:rPr>
          <w:sz w:val="20"/>
          <w:szCs w:val="20"/>
          <w:color w:val="auto"/>
        </w:rPr>
      </w:pPr>
      <w:r>
        <w:rPr>
          <w:rFonts w:ascii="Arial" w:cs="Arial" w:eastAsia="Arial" w:hAnsi="Arial"/>
          <w:sz w:val="18"/>
          <w:szCs w:val="18"/>
          <w:color w:val="auto"/>
        </w:rPr>
        <w:t>Kairos Ventures Investments, LLC will have priority over us. We will have priority over Chardan NexTech Acquisition Corp.</w:t>
      </w:r>
    </w:p>
    <w:p>
      <w:pPr>
        <w:spacing w:after="0" w:line="133" w:lineRule="exact"/>
        <w:rPr>
          <w:sz w:val="20"/>
          <w:szCs w:val="20"/>
          <w:color w:val="auto"/>
        </w:rPr>
      </w:pPr>
    </w:p>
    <w:p>
      <w:pPr>
        <w:sectPr>
          <w:pgSz w:w="11900" w:h="16838" w:orient="portrait"/>
          <w:cols w:equalWidth="0" w:num="3">
            <w:col w:w="4300" w:space="420"/>
            <w:col w:w="1240" w:space="260"/>
            <w:col w:w="3659"/>
          </w:cols>
          <w:pgMar w:left="580" w:top="131" w:right="1440" w:bottom="1440" w:gutter="0" w:footer="0" w:header="0"/>
        </w:sectPr>
      </w:pPr>
    </w:p>
    <w:p>
      <w:pPr>
        <w:ind w:left="1260" w:right="459" w:firstLine="360"/>
        <w:spacing w:after="0" w:line="255" w:lineRule="auto"/>
        <w:rPr>
          <w:sz w:val="20"/>
          <w:szCs w:val="20"/>
          <w:color w:val="auto"/>
        </w:rPr>
      </w:pPr>
      <w:r>
        <w:rPr>
          <w:rFonts w:ascii="Arial" w:cs="Arial" w:eastAsia="Arial" w:hAnsi="Arial"/>
          <w:sz w:val="18"/>
          <w:szCs w:val="18"/>
          <w:color w:val="auto"/>
        </w:rPr>
        <w:t>As noted above, some of our officers and directors are affiliated with Chardan, which is also our sponsor and the underwriter in this offering. Such officers and directors owe a pre-existing fiduciary duty to Chardan, meaning that they will present opportunities to Chardan prior to presenting them to us, if, for example, a potential target company is open to either raising funds in an offering or engaging in a transaction with a SPAC. This may limit the number of potential targets they present to us for purposes of completing a business combination.</w:t>
      </w:r>
    </w:p>
    <w:p>
      <w:pPr>
        <w:spacing w:after="0" w:line="11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connection with the vote required for any business combination, all of our existing stockholders, including all of our officers and directors, have agreed to vote their respective founder shares in favor of any proposed business combination. In addition, they have agreed to waive their respective rights to participate in any liquidation distribution with respect to those shares of common stock acquired by them prior to this offering. If they purchase shares of common stock in this offering or in the open market, however, they would be entitled to participate in any liquidation distribution in respect of such shares but have agreed not to redeem such shares (or sell their shares in any tender offer) in connection with the consummation of our initial business combination or an amendment to our certificate of incorporation relating to pre-business combination activity.</w:t>
      </w:r>
    </w:p>
    <w:p>
      <w:pPr>
        <w:spacing w:after="0" w:line="12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All ongoing and future transactions between us and any of our officers and directors or their respective affiliates will be on terms believed by us to be no less favorable to us than are available from unaffiliated third</w:t>
      </w:r>
    </w:p>
    <w:p>
      <w:pPr>
        <w:sectPr>
          <w:pgSz w:w="11900" w:h="16838" w:orient="portrait"/>
          <w:cols w:equalWidth="0" w:num="1">
            <w:col w:w="9879"/>
          </w:cols>
          <w:pgMar w:left="580" w:top="131" w:right="1440" w:bottom="1440" w:gutter="0" w:footer="0" w:header="0"/>
          <w:type w:val="continuous"/>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9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any of our initial stockholders, officers, directors, special advisors or their respective affiliates be paid any finder’s fee, consulting fee or other similar compensation prior to, or for any services they render in order to effectuate, the consummation of our initial business combination.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62"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Our amended and restated certificate of incorporation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1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1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1260" w:right="1320" w:firstLine="36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79" w:lineRule="exact"/>
        <w:rPr>
          <w:sz w:val="20"/>
          <w:szCs w:val="20"/>
          <w:color w:val="auto"/>
        </w:rPr>
      </w:pPr>
    </w:p>
    <w:p>
      <w:pPr>
        <w:ind w:left="1800" w:right="1440" w:hanging="180"/>
        <w:spacing w:after="0" w:line="277"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officers and directors that beneficially owns shares of our common stock;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58" w:lineRule="exact"/>
        <w:rPr>
          <w:sz w:val="20"/>
          <w:szCs w:val="20"/>
          <w:color w:val="auto"/>
        </w:rPr>
      </w:pPr>
    </w:p>
    <w:p>
      <w:pPr>
        <w:ind w:left="1260" w:right="1540"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warrants, as such warrants are not exercisable within 60 days of the date of this prospectus.</w:t>
      </w:r>
    </w:p>
    <w:p>
      <w:pPr>
        <w:spacing w:after="0" w:line="119" w:lineRule="exact"/>
        <w:rPr>
          <w:sz w:val="20"/>
          <w:szCs w:val="20"/>
          <w:color w:val="auto"/>
        </w:rPr>
      </w:pPr>
    </w:p>
    <w:p>
      <w:pPr>
        <w:ind w:left="1260" w:right="1260" w:firstLine="360"/>
        <w:spacing w:after="0" w:line="266"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In May and June 2021, our sponsor transferred 20,000 founder shares to each of Messrs. Biele, Boyle, Hardamon, Thakrar and Thomson and Ms. Jardins. On August 10, 2021, we effectuated a 1.1-for-1 stock split, resulting in an aggregate of 3,162,500 founder shares outstanding (up to 412,500 of which are subject to forfeiture if the underwriters’ over-allotment option is not exercised in full). In addition, Chardan NexTech 2 Warrant Holdings LLC, an affiliate of our sponsor, has committed, pursuant to a written agreement, to purchase an aggregate of 4,361,456 (or up to 4,627,858 depending on the extent to which the underwriters’ over-allotment option is exercised) private warrants for a purchase price of approximately $0.93 per private warrant in a private placement that will occur simultaneously with the closing of this offering. The following table presents the number of shares</w:t>
      </w:r>
    </w:p>
    <w:p>
      <w:pPr>
        <w:spacing w:after="0" w:line="7" w:lineRule="exact"/>
        <w:rPr>
          <w:sz w:val="20"/>
          <w:szCs w:val="20"/>
          <w:color w:val="auto"/>
        </w:rPr>
      </w:pPr>
    </w:p>
    <w:p>
      <w:pPr>
        <w:ind w:left="1260" w:right="1280"/>
        <w:spacing w:after="0" w:line="253" w:lineRule="auto"/>
        <w:rPr>
          <w:sz w:val="20"/>
          <w:szCs w:val="20"/>
          <w:color w:val="auto"/>
        </w:rPr>
      </w:pPr>
      <w:r>
        <w:rPr>
          <w:rFonts w:ascii="Arial" w:cs="Arial" w:eastAsia="Arial" w:hAnsi="Arial"/>
          <w:sz w:val="18"/>
          <w:szCs w:val="18"/>
          <w:color w:val="auto"/>
        </w:rPr>
        <w:t>and percentage of our common stock owned by our initial stockholders before and after this offering. The post-offering numbers and percentages presented assume that the underwriters do not exercise their over-allotment option, that our initial stockholders forfeit 412,500 founder shares on a pro rata basis, and that there are an aggregate of 13,750,000 shares of common stock, consisting of issued and outstanding after this offering.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Prior to Offering</w:t>
            </w:r>
          </w:p>
        </w:tc>
        <w:tc>
          <w:tcPr>
            <w:tcW w:w="220" w:type="dxa"/>
            <w:vAlign w:val="bottom"/>
          </w:tcPr>
          <w:p>
            <w:pPr>
              <w:spacing w:after="0"/>
              <w:rPr>
                <w:sz w:val="21"/>
                <w:szCs w:val="21"/>
                <w:color w:val="auto"/>
              </w:rPr>
            </w:pPr>
          </w:p>
        </w:tc>
        <w:tc>
          <w:tcPr>
            <w:tcW w:w="178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After Offering</w:t>
            </w:r>
            <w:r>
              <w:rPr>
                <w:rFonts w:ascii="Arial" w:cs="Arial" w:eastAsia="Arial" w:hAnsi="Arial"/>
                <w:sz w:val="21"/>
                <w:szCs w:val="21"/>
                <w:b w:val="1"/>
                <w:bCs w:val="1"/>
                <w:color w:val="auto"/>
                <w:vertAlign w:val="superscript"/>
              </w:rPr>
              <w:t>(2)</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Approximate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Percentage of</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Shares of</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Beneficially</w:t>
            </w: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Beneficially</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Common</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4"/>
              </w:rPr>
              <w:t>Owned</w:t>
            </w:r>
            <w:r>
              <w:rPr>
                <w:rFonts w:ascii="Arial" w:cs="Arial" w:eastAsia="Arial" w:hAnsi="Arial"/>
                <w:sz w:val="21"/>
                <w:szCs w:val="21"/>
                <w:b w:val="1"/>
                <w:bCs w:val="1"/>
                <w:color w:val="auto"/>
                <w:w w:val="84"/>
                <w:vertAlign w:val="superscript"/>
              </w:rPr>
              <w:t>(2)</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9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Chardan NexTech Investments 2 LLC</w:t>
            </w:r>
            <w:r>
              <w:rPr>
                <w:rFonts w:ascii="Arial" w:cs="Arial" w:eastAsia="Arial" w:hAnsi="Arial"/>
                <w:sz w:val="26"/>
                <w:szCs w:val="26"/>
                <w:color w:val="auto"/>
                <w:vertAlign w:val="superscript"/>
              </w:rPr>
              <w:t>(3)</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3,030,500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2,618,000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Kerry Propper</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Jonas Grossman</w:t>
            </w:r>
            <w:r>
              <w:rPr>
                <w:rFonts w:ascii="Arial" w:cs="Arial" w:eastAsia="Arial" w:hAnsi="Arial"/>
                <w:sz w:val="26"/>
                <w:szCs w:val="26"/>
                <w:color w:val="auto"/>
                <w:vertAlign w:val="superscript"/>
              </w:rPr>
              <w:t>(3)</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3,030,500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2,618,000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Alex Weil</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22,000</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22,000</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Perry Boyle</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22,000</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22,000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22,000</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22,000</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Jory Des Jardins</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22,000</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22,000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Hitesh Thakrar</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22,000</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22,000</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Todd Thomson</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22,000</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22,000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7"/>
              </w:rPr>
              <w:t>All officers and directors as a group (9 individuals)</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3,162,500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2,750,000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7"/>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122</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-2510790</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-2510790</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-2510790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-2510790</wp:posOffset>
            </wp:positionV>
            <wp:extent cx="1289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528320</wp:posOffset>
            </wp:positionV>
            <wp:extent cx="12344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779" w:hanging="360"/>
        <w:spacing w:after="0" w:line="25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Chardan NexTech Acquisition 2 Corp., 17 State Street,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10004.</w:t>
      </w:r>
    </w:p>
    <w:p>
      <w:pPr>
        <w:ind w:left="1620" w:hanging="360"/>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Interests shown consist of founder shares.</w:t>
      </w:r>
    </w:p>
    <w:p>
      <w:pPr>
        <w:spacing w:after="0" w:line="60" w:lineRule="exact"/>
        <w:rPr>
          <w:rFonts w:ascii="Arial" w:cs="Arial" w:eastAsia="Arial" w:hAnsi="Arial"/>
          <w:sz w:val="18"/>
          <w:szCs w:val="18"/>
          <w:color w:val="auto"/>
        </w:rPr>
      </w:pPr>
    </w:p>
    <w:p>
      <w:pPr>
        <w:ind w:left="1620" w:right="439" w:hanging="360"/>
        <w:spacing w:after="0" w:line="293" w:lineRule="auto"/>
        <w:tabs>
          <w:tab w:leader="none" w:pos="1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sponsor is the record holder of such shares. Jonas Grossman is the sole member of our sponsor. As such, Mr. Grossman may be deemed to have beneficial ownership of the common stock held directly by our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our sponsor, and thus have pecuniary interests in certain of the reported shares.</w:t>
      </w:r>
    </w:p>
    <w:p>
      <w:pPr>
        <w:spacing w:after="0" w:line="9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our initial stockholders will have up to an aggregate 412,500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4,361,456 (or up to 4,627,858, depending on the extent to which the underwriters’ over-allotment option is exercised) private warrants at a price of approximately $0.93 per warrant ($4,052,000 (or up to $4,299,500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w:t>
      </w:r>
    </w:p>
    <w:p>
      <w:pPr>
        <w:spacing w:after="0" w:line="127"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12 months (or up to 18 months, as applicable), the proceeds from the sale of the private warrants will be included in the liquidating distribution to the holders of our public shares.</w:t>
      </w:r>
    </w:p>
    <w:p>
      <w:pPr>
        <w:spacing w:after="0" w:line="10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29"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91" w:lineRule="auto"/>
        <w:rPr>
          <w:sz w:val="20"/>
          <w:szCs w:val="20"/>
          <w:color w:val="auto"/>
        </w:rPr>
      </w:pPr>
      <w:r>
        <w:rPr>
          <w:rFonts w:ascii="Arial" w:cs="Arial" w:eastAsia="Arial" w:hAnsi="Arial"/>
          <w:sz w:val="17"/>
          <w:szCs w:val="17"/>
          <w:color w:val="auto"/>
        </w:rPr>
        <w:t>or any of its related persons will not be convertible into any of our securities and Chardan and its related persons will have no recourse with respect to their ability to convert their loans into any of our securities.</w:t>
      </w:r>
    </w:p>
    <w:p>
      <w:pPr>
        <w:spacing w:after="0" w:line="66"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Each of our sponsor, officers and directors is our “promoter,” as that term is defined under the federal securities laws.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Transfers of Founder Shares and Private Warrants</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All of the founder shares issued and outstanding prior to the date of this prospectus will be placed in escrow with Continental Stock Transfer &amp; Trust Company, as escrow agent, until (1) with respect to 50% of the founder shares, the earlier of six months after the date of the consummation of our initial business combination and the date on which the closing price of our common stock equals or exceeds $ 12.50 per share (as adjusted for share splits, share capitalizations, reorganizations and recapitalizations) for any 10 trading days within any 30-trading day period commencing after our initial business combination and</w:t>
      </w:r>
    </w:p>
    <w:p>
      <w:pPr>
        <w:spacing w:after="0" w:line="4" w:lineRule="exact"/>
        <w:rPr>
          <w:sz w:val="20"/>
          <w:szCs w:val="20"/>
          <w:color w:val="auto"/>
        </w:rPr>
      </w:pPr>
    </w:p>
    <w:p>
      <w:pPr>
        <w:ind w:left="1260" w:right="539"/>
        <w:spacing w:after="0" w:line="253" w:lineRule="auto"/>
        <w:tabs>
          <w:tab w:leader="none" w:pos="1529"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with respect to the remaining 50% of the founder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412,500 of the founder shares may also be released from escrow earlier than this date for forfeiture and cancellation if the over-allotment option is not exercised in full as described above.</w:t>
      </w:r>
    </w:p>
    <w:p>
      <w:pPr>
        <w:spacing w:after="0" w:line="111"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During the escrow period, the holders of the founder shares will not be able to sell or transfer their securities except (1) to any parties (including their respective affiliates and stockholders) participating in the private placement of the private warrants,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(9) in the event of our liquidation prior to our completion of our initial business combination, (10) by virtue of the laws of the State of Delaware or our sponsor’s operating agreement upon dissolution of our sponsor or the organizational documents of Chardan upon dissolution of Chardan; or (11) for the cancellation of up to 412,500 founder shares subject to forfeiture to the extent that the underwriters’ over-allotment is not exercised in full or in part or in connection with the consummation of our initial business combination, in each case (except for clause 11 or with our prior consent) where the transferee agrees to the terms of the escrow agreement and the insider letter.</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 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In May and June 2021, our sponsor transferred 20,000 founder shares to each of Messrs. Biele, Boyle, Hardamon, Thakrar and Thomson and Ms. Jardins. On August 10, 2021, we effectuated a 1.1-for-1 stock split, resulting in an aggregate of 3,162,500 founder shares outstanding. If the underwriters do not exercise all or a portion of their over-allotment option, our initial stockholders have agreed to forfeit and immediately cancel up to an aggregate of 412,500 founder shares in proportion to the portion of the over-allotment option that was not exercised.</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Chardan NexTech 2 Warrant Holdings LLC, an affiliate of our sponsor, has committed to purchase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us an aggregate of 4,361,456 (or up to 4,627,858, depending on the extent to which the underwriters’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over-allotment option is exercised) private warrants at a price of approximately $0.93 per warrant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($4,052,000 (or up to $4,299,500 depending on the extent to which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with each warrant exercisable for one share of common stock at an exercise price of $11.50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 share. These purchases will take place on a private placement basis simultaneously with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consummation of this offering. If we do not complete our initial business combination within 12 months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the closing of this offering (or up to 18 months from the closing of this offering if we extend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period of time to consummate a business combination by the maximum amount as described in more detail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this prospectus), the proceeds from the sale of the private warrants will be included in the liquidating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distribution to the holders of our public shares. The private warrants are identical to the warrants sold 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part of the public units in this offering except that, so long as they are held by the initial purchasers or their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respective permitted transferees, the private warrants (i) will not be redeemable by us, (ii) may not, subject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certain limited exceptions, be transferred, assigned or sold by the initial purchaser until 30 days after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completion of our initial business combination, and (iii) may be exercised by the holders on a cashless basis.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private warrants purchased by Chardan NexTech 2 Warrant Holdings LLC will not be exercisable more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than five years from the effective date of the registration statement, of which this prospectus forms a part,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accordance with Financial Industry Regulatory Authority, or FINRA, Rule 5110(g), as long as Chardan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any of its related persons beneficially own these private warrants.</w:t>
      </w:r>
    </w:p>
    <w:p>
      <w:pPr>
        <w:spacing w:after="0" w:line="143"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96"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Our initial stockholders, holders of the private warrants (and all underlying securities) and holders of the warrants (and all underlying securities) issuable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 xml:space="preserve">We will have 12 months from the closing of this offering to consummate an initial business combination.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01"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our sponsor, its affiliates, or our officers or directors, including an Affiliated Joint Acquisition. In the event we seek to complete our initial business combination with a business that is affiliated with our sponsor, its affiliates or our officers or directors, we, or a committee of independent directors, will obtain an opinion from an independent 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113"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We will reimburse our officers and directors for any reasonable out- of- pocket business expenses incurred by them in connection with certain activities on our behalf such as identifying and investigating possible target businesses and business combinations. There is no limit on the amount of out- 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13"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07"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All ongoing and future transactions between us and any of our officers and directors or their respective affiliates will be on terms believed by us to be no less favorable to us than are available from unaffiliated third</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39" w:lineRule="auto"/>
        <w:rPr>
          <w:sz w:val="20"/>
          <w:szCs w:val="20"/>
          <w:color w:val="auto"/>
        </w:rPr>
      </w:pPr>
      <w:r>
        <w:rPr>
          <w:rFonts w:ascii="Arial" w:cs="Arial" w:eastAsia="Arial" w:hAnsi="Arial"/>
          <w:sz w:val="18"/>
          <w:szCs w:val="18"/>
          <w:color w:val="auto"/>
        </w:rPr>
        <w:t>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Commencing on the date our securities are first listed on Nasdaq, we will pay an amount equal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$10,000 per month to our sponsor for office space, administrative and shared personnel support services.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Upon completion of our initial business combination or our liquidation, we will cease paying these monthly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fees. Accordingly, in the event the consummation of our initial business combination takes 12 months, our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sponsor will be paid a total of $120,000 ($10,000 per month) and will be entitled to be reimbursed for any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out-of-pocket expenses.</w:t>
      </w:r>
    </w:p>
    <w:p>
      <w:pPr>
        <w:spacing w:after="0" w:line="128"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2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have engaged Chardan as an advisor in connection with our business combination, pursuant to the Business Combination Marketing Agreement described under “</w:t>
      </w:r>
      <w:r>
        <w:rPr>
          <w:rFonts w:ascii="Arial" w:cs="Arial" w:eastAsia="Arial" w:hAnsi="Arial"/>
          <w:sz w:val="18"/>
          <w:szCs w:val="18"/>
          <w:i w:val="1"/>
          <w:iCs w:val="1"/>
          <w:color w:val="auto"/>
        </w:rPr>
        <w:t>Underwriting (Conflicts of Interest) —</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Marketing Agreement</w:t>
      </w:r>
      <w:r>
        <w:rPr>
          <w:rFonts w:ascii="Arial" w:cs="Arial" w:eastAsia="Arial" w:hAnsi="Arial"/>
          <w:sz w:val="18"/>
          <w:szCs w:val="18"/>
          <w:color w:val="auto"/>
        </w:rPr>
        <w:t>.” We will pay Chardan a cash fee for such services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our initial business combination in an amount equal to, in the aggregate, 3.5% of the gross proceeds of this offering. As a result, Chardan will not be entitled to such fee unless we consummate our initial business combination.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We have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We have adopted the code of ethics, a form of which has been filed as an exhibit to the registration statement of which this prospectus is a part.</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addition, our audit committee, pursuant to a written charter that we have adopted,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have adopted has been filed as an exhibit to the registration statement of which this prospectus is a part. We also require each of our directors and officers to complete a directors’ and officers’ questionnaire that elicits information about related party transactions.</w:t>
      </w:r>
    </w:p>
    <w:p>
      <w:pPr>
        <w:spacing w:after="0" w:line="103"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79"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firm that commonly renders valuation opinions that our initial business</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combination is fair to our stockholders from a financial point of view. Furthermore, there will be no finder’s fees, reimbursement, consulting fee, non-cash payments,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other than the following payments, none of which will be made from the proceeds of this offering held in the trust account prior to the completion of our initial business combination:</w:t>
      </w:r>
    </w:p>
    <w:p>
      <w:pPr>
        <w:spacing w:after="0" w:line="87" w:lineRule="exact"/>
        <w:rPr>
          <w:sz w:val="20"/>
          <w:szCs w:val="20"/>
          <w:color w:val="auto"/>
        </w:rPr>
      </w:pPr>
    </w:p>
    <w:p>
      <w:pPr>
        <w:ind w:left="1800" w:right="479" w:hanging="180"/>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Repayment of up to an aggregate of $250,000 in loans made to us by our sponsor, which our sponsor has committed to cover offering-related and organizational expenses;</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Repayment to our sponsor for office space, administrative and shared personnel support services, in an amount equal to $10,000 per month;</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sponsor has transferred 22,000 founder shares to each of our independent directors;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w:t>
      </w:r>
    </w:p>
    <w:p>
      <w:pPr>
        <w:spacing w:after="0" w:line="62"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(provided that in no event will any loans provided by our sponsor be convertible into our securities); and</w:t>
      </w:r>
    </w:p>
    <w:p>
      <w:pPr>
        <w:spacing w:after="0" w:line="79" w:lineRule="exact"/>
        <w:rPr>
          <w:rFonts w:ascii="Arial" w:cs="Arial" w:eastAsia="Arial" w:hAnsi="Arial"/>
          <w:sz w:val="18"/>
          <w:szCs w:val="18"/>
          <w:color w:val="auto"/>
        </w:rPr>
      </w:pPr>
    </w:p>
    <w:p>
      <w:pPr>
        <w:ind w:left="1800" w:right="439" w:hanging="180"/>
        <w:spacing w:after="0" w:line="279" w:lineRule="auto"/>
        <w:tabs>
          <w:tab w:leader="none" w:pos="18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Payment to Chardan of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90"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Our audit committee will review on a quarterly basis all payments that were made to our sponsor, officers or directors, or our or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amended certificate of incorporation will authorize the issuance of 50,000,000 shares of common stock, $0.0001 par value per share, and 1,000,000 shares of preferred stock, $0.0001 par value per share. As of the date of this prospectus, 3,162,500 shares of common stock are issued and outstanding, which are held by our initial stockholders.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Units</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Each unit consists of one share of common stock and three -quarters of one warrant. Each whole warrant entitles the holder thereof to purchase one share of our common stock at a price of $11.50 per share, subject to adjustment as described in this prospectus. Pursuant to the warrant agreement, a warrant holder may exercise its warrants only for a whole number of shares of common stock. Thus, only a whole warrant may be exercised at any given time by a warrant holder.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w:t>
      </w:r>
    </w:p>
    <w:p>
      <w:pPr>
        <w:spacing w:after="0" w:line="126"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7"/>
          <w:szCs w:val="17"/>
          <w:color w:val="auto"/>
        </w:rPr>
        <w:t>We expect that the common stock and warrants comprising the units will begin separate trading on the 52nd day following the closing of this offering unless Chardan informs us of its decision to allow earlier separate trading,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securities. Holders will need to have their brokers contact our transfer agent in order to separate the units into shares of common stock and warrants.</w:t>
      </w:r>
    </w:p>
    <w:p>
      <w:pPr>
        <w:spacing w:after="0" w:line="99"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no event will the common stock and warrants be traded separately until we have filed with the SEC a Current Report on Form 8 -K that includes an audited balance sheet reflecting our receipt of the gross proceeds at the closing of this offering. We will file a Current Report on Form 8-K that includes this audited balance sheet upon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1019" w:firstLine="360"/>
        <w:spacing w:after="0" w:line="248" w:lineRule="auto"/>
        <w:rPr>
          <w:sz w:val="20"/>
          <w:szCs w:val="20"/>
          <w:color w:val="auto"/>
        </w:rPr>
      </w:pPr>
      <w:r>
        <w:rPr>
          <w:rFonts w:ascii="Arial" w:cs="Arial" w:eastAsia="Arial" w:hAnsi="Arial"/>
          <w:sz w:val="18"/>
          <w:szCs w:val="18"/>
          <w:color w:val="auto"/>
        </w:rPr>
        <w:t>Upon the closing of this offering, 13,750,000 shares of our common stock will be outstanding (assuming no exercise of the underwriters’ over-allotment option and the corresponding forfeiture of 412,500 founder shares by our initial stockholders), consisting of:</w:t>
      </w:r>
    </w:p>
    <w:p>
      <w:pPr>
        <w:spacing w:after="0" w:line="74" w:lineRule="exact"/>
        <w:rPr>
          <w:sz w:val="20"/>
          <w:szCs w:val="20"/>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11,000,000 shares of common stock underlying the units being offered in this offering;</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2,750,000 founder shares held by our initial stockholders.</w:t>
      </w:r>
    </w:p>
    <w:p>
      <w:pPr>
        <w:spacing w:after="0" w:line="158"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Our board of directors is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21"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Because our amended and restated certificate of incorporation authorizes the issuance of up to 50,000,000 shares of common stock, if we were to enter into an initial business combination, we may</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43" w:lineRule="auto"/>
        <w:rPr>
          <w:sz w:val="20"/>
          <w:szCs w:val="20"/>
          <w:color w:val="auto"/>
        </w:rPr>
      </w:pPr>
      <w:r>
        <w:rPr>
          <w:rFonts w:ascii="Arial" w:cs="Arial" w:eastAsia="Arial" w:hAnsi="Arial"/>
          <w:sz w:val="18"/>
          <w:szCs w:val="18"/>
          <w:color w:val="auto"/>
        </w:rPr>
        <w:t>(depending on the terms of such an initial business combination) be required to increase the number of shares of common stock that we are authorized to issue at the same time as our stockholders vote on the initial business combination to the extent we seek stockholder approval in connection with our initial business combination.</w:t>
      </w:r>
    </w:p>
    <w:p>
      <w:pPr>
        <w:spacing w:after="0" w:line="10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21"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$10.15 per public share.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3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113"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0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4,125,001, or 37.5%, of the 11,000,000 public shares sold in this offering to be voted in favor of an initial business combination (assuming all outstanding shares are voted) in order to have our initial business combination approved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21" w:lineRule="exact"/>
        <w:rPr>
          <w:sz w:val="20"/>
          <w:szCs w:val="20"/>
          <w:color w:val="auto"/>
        </w:rPr>
      </w:pPr>
    </w:p>
    <w:p>
      <w:pPr>
        <w:ind w:left="1260" w:right="619" w:firstLine="360"/>
        <w:spacing w:after="0" w:line="250" w:lineRule="auto"/>
        <w:rPr>
          <w:sz w:val="20"/>
          <w:szCs w:val="20"/>
          <w:color w:val="auto"/>
        </w:rPr>
      </w:pPr>
      <w:r>
        <w:rPr>
          <w:rFonts w:ascii="Arial" w:cs="Arial" w:eastAsia="Arial" w:hAnsi="Arial"/>
          <w:sz w:val="17"/>
          <w:szCs w:val="17"/>
          <w:color w:val="auto"/>
        </w:rPr>
        <w:t>Pursuant to our amended and restated certificate of incorporation, if we do not complete a business combination within 12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w:t>
      </w:r>
    </w:p>
    <w:p>
      <w:pPr>
        <w:spacing w:after="0" w:line="5" w:lineRule="exact"/>
        <w:rPr>
          <w:sz w:val="20"/>
          <w:szCs w:val="20"/>
          <w:color w:val="auto"/>
        </w:rPr>
      </w:pPr>
    </w:p>
    <w:p>
      <w:pPr>
        <w:ind w:left="1260" w:right="419"/>
        <w:spacing w:after="0" w:line="249" w:lineRule="auto"/>
        <w:rPr>
          <w:sz w:val="20"/>
          <w:szCs w:val="20"/>
          <w:color w:val="auto"/>
        </w:rPr>
      </w:pPr>
      <w:r>
        <w:rPr>
          <w:rFonts w:ascii="Arial" w:cs="Arial" w:eastAsia="Arial" w:hAnsi="Arial"/>
          <w:sz w:val="17"/>
          <w:szCs w:val="17"/>
          <w:color w:val="auto"/>
        </w:rPr>
        <w:t xml:space="preserve">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 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if we fail to complete our initial business combination within the allotted time period.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12 months from the closing of this offering (or up to 18 months from the closing of this offering if we extend the period of time to consummate a business combination by the maximum amount as described in more detail in this prospectus).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1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and holders of founder shares have the same stockholder rights as public stockholders, except that</w:t>
      </w:r>
    </w:p>
    <w:p>
      <w:pPr>
        <w:ind w:left="1260" w:right="419"/>
        <w:spacing w:after="0" w:line="251" w:lineRule="auto"/>
        <w:tabs>
          <w:tab w:leader="none" w:pos="14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 (ii) our sponsor, officers and directors have entered into a letter agreement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12 months (or up to 18 months, as applicable) from the closing of this offering, although they will be entitled to liquidating distributions from the trust account with respect to any public shares they hold if we fail to complete our initial business combination within such time period, and (iii)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With certain limited exceptions, 50% of the founder shares will not be transferred, assigned, sold or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released from escrow until the earlier of (i) six months after the date of the consummation of a business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combination or (ii) the date on which the closing price of our shares of common stock equals or exceeds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$12.50 per share (as adjusted for stock splits, stock dividends, reorganizations and recapitalizations) for any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 trading days within any 30-trading day period commencing after a business combination. The remaining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50% of the founder shares will not be transferred, assigned, sold or released from escrow until 6 months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after the date of the consummation of a business combination, or earlier, in either case, if, subsequent to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we consummate a subsequent liquidation, merger, stock exchange or other similar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transaction which results in all of the stockholders having the right to exchange their shares of common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for cash, securities or other property.</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559" w:firstLine="360"/>
        <w:spacing w:after="0" w:line="342" w:lineRule="auto"/>
        <w:rPr>
          <w:sz w:val="20"/>
          <w:szCs w:val="20"/>
          <w:color w:val="auto"/>
        </w:rPr>
      </w:pPr>
      <w:r>
        <w:rPr>
          <w:rFonts w:ascii="Arial" w:cs="Arial" w:eastAsia="Arial" w:hAnsi="Arial"/>
          <w:sz w:val="16"/>
          <w:szCs w:val="16"/>
          <w:color w:val="auto"/>
        </w:rPr>
        <w:t>There are no shares of preferred stock outstanding as of the date of this prospectus. Our amended and restated certificate of incorporation on file with the State of Delaware authorizes the issuance of 1,000,000</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3" w:lineRule="auto"/>
        <w:rPr>
          <w:sz w:val="20"/>
          <w:szCs w:val="20"/>
          <w:color w:val="auto"/>
        </w:rPr>
      </w:pPr>
      <w:r>
        <w:rPr>
          <w:rFonts w:ascii="Arial" w:cs="Arial" w:eastAsia="Arial" w:hAnsi="Arial"/>
          <w:sz w:val="17"/>
          <w:szCs w:val="17"/>
          <w:color w:val="auto"/>
        </w:rPr>
        <w:t>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that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used as a method of discouraging, delaying or preventing a change in control of us. Although we do not currently intend to issue any shares of preferred stock, we reserve the right to do so in the future.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44"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 The warrants will expire five years after the completion of our initial business combination, at 5:00 p.m., New York City time, or earlier upon redemption or liquidation.</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1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are registering the offer and sale of our common stock underlying the public warrants under the Securities Act. In addition, we have agreed that as soon as practicable, but in no event later than 15 business days after the closing of our initial business combination, we will use our commercially reasonable best efforts to file with the SEC a registration statement covering the shares of common stock issuable upon exercise of the warrants, to cause such registration statement to become effective within 60 business days after the closing of our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color w:val="auto"/>
        </w:rPr>
        <w:t>commercially reasonable best efforts to register or qualify the shares under applicable blue sky laws to the extent an exemption is not available.</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17" w:lineRule="exact"/>
        <w:rPr>
          <w:sz w:val="20"/>
          <w:szCs w:val="20"/>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we send the notice of redemption to warrant holders.</w:t>
      </w:r>
    </w:p>
    <w:p>
      <w:pPr>
        <w:spacing w:after="0" w:line="107"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w:t>
      </w:r>
    </w:p>
    <w:p>
      <w:pPr>
        <w:spacing w:after="0" w:line="125"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common stock may fall below the $16.00 redemption trigger price (as adjusted for stock splits, stock dividends, reorganizations, recapitalizations and the like) as well as the $11.50 warrant exercise price after the redemption notice is issued.</w:t>
      </w:r>
    </w:p>
    <w:p>
      <w:pPr>
        <w:spacing w:after="0" w:line="127"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03"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redemption and (ii) fair market value means the volume weighted average price of common stock as reported during the 10-trading day period ending on the trading day prior to the first date on which the shares of common stock trade on the applicable exchange or in the applicable market, regular way, without the right to receive such rights.</w:t>
      </w:r>
    </w:p>
    <w:p>
      <w:pPr>
        <w:spacing w:after="0" w:line="104"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(c) to satisfy the redemption rights of the holders of common stock in connection with a proposed initial business combination, (d) to satisfy the redemption rights of the holders of common stock in connection with a stockholder vote to amend our amended and restated certificate of incorporation (i) to modify the substance or timing of our obligation to allow redemption in connection with our initial business combination or to redeem 100% of our common stock if we do not complete our initial business combination within 12 months (or up to 18 months, as applicable) from the closing of this offering or (ii) with respect to any other provision relating to stockholders’ rights or pre- 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33"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120"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1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1" w:lineRule="auto"/>
        <w:rPr>
          <w:sz w:val="20"/>
          <w:szCs w:val="20"/>
          <w:color w:val="auto"/>
        </w:rPr>
      </w:pPr>
      <w:r>
        <w:rPr>
          <w:rFonts w:ascii="Arial" w:cs="Arial" w:eastAsia="Arial" w:hAnsi="Arial"/>
          <w:sz w:val="17"/>
          <w:szCs w:val="17"/>
          <w:color w:val="auto"/>
        </w:rPr>
        <w:t>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 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 Scholes model is an accepted pricing model for estimating fair market value where no quoted market price for an instrument is available.</w:t>
      </w:r>
    </w:p>
    <w:p>
      <w:pPr>
        <w:spacing w:after="0" w:line="106" w:lineRule="exact"/>
        <w:rPr>
          <w:sz w:val="20"/>
          <w:szCs w:val="20"/>
          <w:color w:val="auto"/>
        </w:rPr>
      </w:pPr>
    </w:p>
    <w:p>
      <w:pPr>
        <w:ind w:left="1260" w:right="639" w:firstLine="360"/>
        <w:spacing w:after="0" w:line="238"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You should review a copy of the warrant agreement, which has been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spacing w:after="0" w:line="126"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us to consummate an initial business combination with a target business.</w:t>
      </w:r>
    </w:p>
    <w:p>
      <w:pPr>
        <w:spacing w:after="0" w:line="121"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0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96"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in the Borough of Manhattan or the United States District Court for the Southern District of New York, and we irrevocably submit to such jurisdiction, which jurisdiction will be the exclusive forum for any such action, proceeding or claim. See “Risk Factors — Our warrant agreement will designate the courts of</w:t>
      </w: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The private warrants (including the common stock issuable upon exercise of the private warrants) will not be transferable, assignable or salable until 30 days after the completion of our initial business combination (except, among other limited exceptions as described under the section of this prospectus entitled “</w:t>
      </w:r>
      <w:r>
        <w:rPr>
          <w:rFonts w:ascii="Arial" w:cs="Arial" w:eastAsia="Arial" w:hAnsi="Arial"/>
          <w:sz w:val="17"/>
          <w:szCs w:val="17"/>
          <w:i w:val="1"/>
          <w:iCs w:val="1"/>
          <w:color w:val="auto"/>
        </w:rPr>
        <w:t>Principal Stockholders — Restrictions on Transfers of Founder Shares and Private Warrants</w:t>
      </w:r>
      <w:r>
        <w:rPr>
          <w:rFonts w:ascii="Arial" w:cs="Arial" w:eastAsia="Arial" w:hAnsi="Arial"/>
          <w:sz w:val="17"/>
          <w:szCs w:val="17"/>
          <w:color w:val="auto"/>
        </w:rPr>
        <w:t>” to our officers and directors and other persons or entities affiliated with our sponsor) and they will not be redeemable by us so long as they are held by our sponsor or its permitted transferees. Our sponsor, or its permitted transferees, has the option to exercise the private warrants on a cashless basis. Except as described below, the private warrants have terms and provisions that are identical to those of the warrants being sold as part of the units in this offering, including as to exercise price, exercisability and exercise period. If the private warrants are held by holders other than our sponsor or its permitted transferees, the private warrants will be redeemable by us and exercisable by the holders on the same basis as the warrants included in the units being sold in this offering.</w:t>
      </w:r>
    </w:p>
    <w:p>
      <w:pPr>
        <w:spacing w:after="0" w:line="116"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16"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In addition, holders of our private warrants are entitled to certain registration rights and any private warrants purchased by Chardan NexTech 2 Warrant Holdings LLC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107"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Pursuant to the letter agreement, the private warrants (including the common stock issuable upon exercise of any of the private warrants) are not transferable or salable until 30 days after the completion of our initial business combination, except (a) to our officers or directors, any affiliates or family members of any of our officers or directors, any members of Chardan NexTech 2 Warrant Holdings LLC, our sponsor,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w:t>
      </w: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8" w:lineRule="auto"/>
        <w:rPr>
          <w:sz w:val="20"/>
          <w:szCs w:val="20"/>
          <w:color w:val="auto"/>
        </w:rPr>
      </w:pPr>
      <w:r>
        <w:rPr>
          <w:rFonts w:ascii="Arial" w:cs="Arial" w:eastAsia="Arial" w:hAnsi="Arial"/>
          <w:sz w:val="17"/>
          <w:szCs w:val="17"/>
          <w:color w:val="auto"/>
        </w:rPr>
        <w:t>or (g) by virtue of the laws of Delaware or the applicable limited liability company agreement upon dissolution of Chardan NexTech 2 Warrant Holdings LLC, provided, however, that in the case of clauses</w:t>
      </w:r>
    </w:p>
    <w:p>
      <w:pPr>
        <w:spacing w:after="0" w:line="1" w:lineRule="exact"/>
        <w:rPr>
          <w:sz w:val="20"/>
          <w:szCs w:val="20"/>
          <w:color w:val="auto"/>
        </w:rPr>
      </w:pPr>
    </w:p>
    <w:p>
      <w:pPr>
        <w:ind w:left="1260" w:right="499"/>
        <w:spacing w:after="0" w:line="254" w:lineRule="auto"/>
        <w:tabs>
          <w:tab w:leader="none" w:pos="1519"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through (e) or (g), these permitted transferees must enter into a written agreement agreeing to be bound by these transfer restrictions and the other restrictions contained in the letter agreements and by the same agreements entered into by Chardan NexTech 2 Warrant Holdings LLC, our sponsor, officers, and directors of the Company, as the case may be, with respect to such securities (including provisions relating to voting, the trust account and liquidation distributions described elsewhere in this prospectus).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The transfer agent for our shares of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Our amended and restated certificate of incorporation contains certain requirements and restrictions relating to this offering that will apply to us until the completion of our initial business combination. These provisions cannot be amended without the approval of the holders of at least a majority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84" w:lineRule="exact"/>
        <w:rPr>
          <w:sz w:val="20"/>
          <w:szCs w:val="20"/>
          <w:color w:val="auto"/>
        </w:rPr>
      </w:pPr>
    </w:p>
    <w:p>
      <w:pPr>
        <w:ind w:left="1800" w:right="419" w:hanging="180"/>
        <w:spacing w:after="0" w:line="268" w:lineRule="auto"/>
        <w:tabs>
          <w:tab w:leader="none" w:pos="1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12 months (or up to 18 months, as applicable)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78" w:lineRule="exact"/>
        <w:rPr>
          <w:rFonts w:ascii="Arial" w:cs="Arial" w:eastAsia="Arial" w:hAnsi="Arial"/>
          <w:sz w:val="17"/>
          <w:szCs w:val="17"/>
          <w:color w:val="auto"/>
        </w:rPr>
      </w:pPr>
    </w:p>
    <w:p>
      <w:pPr>
        <w:ind w:left="1800" w:right="519" w:hanging="180"/>
        <w:spacing w:after="0" w:line="263"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75"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Although we do not intend to enter into an initial business combination with a target business that is affiliated with our sponsor, our directors or our officers, we are not prohibited from doing so. In</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spacing w:after="0" w:line="259" w:lineRule="auto"/>
        <w:rPr>
          <w:sz w:val="20"/>
          <w:szCs w:val="20"/>
          <w:color w:val="auto"/>
        </w:rPr>
      </w:pPr>
      <w:r>
        <w:rPr>
          <w:rFonts w:ascii="Arial" w:cs="Arial" w:eastAsia="Arial" w:hAnsi="Arial"/>
          <w:sz w:val="18"/>
          <w:szCs w:val="18"/>
          <w:color w:val="auto"/>
        </w:rPr>
        <w:t>the event we enter into such a transaction, we, or a committee of independent directors, will obtain an opinion from an independent investment banking firm or another independent firm that commonly renders valuation opinions that such an initial business combination is fair to our stockholders from a financial point of view;</w:t>
      </w:r>
    </w:p>
    <w:p>
      <w:pPr>
        <w:spacing w:after="0" w:line="79" w:lineRule="exact"/>
        <w:rPr>
          <w:sz w:val="20"/>
          <w:szCs w:val="20"/>
          <w:color w:val="auto"/>
        </w:rPr>
      </w:pPr>
    </w:p>
    <w:p>
      <w:pPr>
        <w:ind w:left="1800" w:right="479" w:hanging="180"/>
        <w:spacing w:after="0" w:line="253"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88"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w:t>
      </w:r>
    </w:p>
    <w:p>
      <w:pPr>
        <w:spacing w:after="0" w:line="93"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w:t>
      </w:r>
    </w:p>
    <w:p>
      <w:pPr>
        <w:spacing w:after="0" w:line="34" w:lineRule="exact"/>
        <w:rPr>
          <w:rFonts w:ascii="Arial" w:cs="Arial" w:eastAsia="Arial" w:hAnsi="Arial"/>
          <w:sz w:val="17"/>
          <w:szCs w:val="17"/>
          <w:color w:val="auto"/>
        </w:rPr>
      </w:pPr>
    </w:p>
    <w:p>
      <w:pPr>
        <w:ind w:left="1800" w:right="439"/>
        <w:spacing w:after="0" w:line="251" w:lineRule="auto"/>
        <w:rPr>
          <w:rFonts w:ascii="Arial" w:cs="Arial" w:eastAsia="Arial" w:hAnsi="Arial"/>
          <w:sz w:val="17"/>
          <w:szCs w:val="17"/>
          <w:color w:val="auto"/>
        </w:rPr>
      </w:pPr>
      <w:r>
        <w:rPr>
          <w:rFonts w:ascii="Arial" w:cs="Arial" w:eastAsia="Arial" w:hAnsi="Arial"/>
          <w:sz w:val="18"/>
          <w:szCs w:val="18"/>
          <w:color w:val="auto"/>
        </w:rPr>
        <w:t>(i)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(ii) with respect to any other provision relating to stockholders’ rights or pre-business combination activity, we will provide our public stockholders with the opportunity to redeem all or a portion of their shares of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w:t>
      </w:r>
    </w:p>
    <w:p>
      <w:pPr>
        <w:spacing w:after="0" w:line="89" w:lineRule="exact"/>
        <w:rPr>
          <w:rFonts w:ascii="Arial" w:cs="Arial" w:eastAsia="Arial" w:hAnsi="Arial"/>
          <w:sz w:val="17"/>
          <w:szCs w:val="17"/>
          <w:color w:val="auto"/>
        </w:rPr>
      </w:pPr>
    </w:p>
    <w:p>
      <w:pPr>
        <w:ind w:left="1800" w:right="93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will not effect our initial business combination unless our sponsor approves of such transaction.</w:t>
      </w:r>
    </w:p>
    <w:p>
      <w:pPr>
        <w:spacing w:after="0" w:line="169"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In addition, our amended and restated certificate of incorporation provides that we may only redeem our public shares so long as our net tangible assets are at least $5,000,001 either immediately prior to or upon consummation of our initial business combination and after payment of underwriters’ fees and commissions.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Certain Anti-Takeover Provisions of Delaware Law and our Certificate of Incorporation and By-Laws</w:t>
      </w:r>
    </w:p>
    <w:p>
      <w:pPr>
        <w:spacing w:after="0" w:line="169"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our board of directors will be classified into two classes of directors. As a result, in most circumstances, a person can gain control of our board only by successfully engaging in a proxy contest at two or more annual meetings.</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800" w:right="45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800" w:right="779" w:hanging="180"/>
        <w:spacing w:after="0" w:line="263"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53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1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2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44"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5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5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44"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8"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Our amended and restated certificate of incorporation requires, subject to certain exceptions and unless we consent in writing to the selection of an alternative forum, the sole and exclusive forum for (a) any derivative action or proceeding brought on our behalf, (b) any action asserting a claim of breach of a</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fiduciary duty owed by any current or former director, officer, employee, agent to us or out stockholders,</w:t>
      </w:r>
    </w:p>
    <w:p>
      <w:pPr>
        <w:spacing w:after="0" w:line="35" w:lineRule="exact"/>
        <w:rPr>
          <w:sz w:val="20"/>
          <w:szCs w:val="20"/>
          <w:color w:val="auto"/>
        </w:rPr>
      </w:pPr>
    </w:p>
    <w:p>
      <w:pPr>
        <w:ind w:left="1260" w:right="419"/>
        <w:spacing w:after="0" w:line="252" w:lineRule="auto"/>
        <w:tabs>
          <w:tab w:leader="none" w:pos="151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1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w:t>
      </w:r>
    </w:p>
    <w:p>
      <w:pPr>
        <w:spacing w:after="0" w:line="131"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In addition, our amended and restated certificate of incorporation states that unless we consent in writing to the selection of an alternative forum, the federal district courts of the United States of America shall be the exclusive forum for resolution of any complaint asserting a cause of action arising under the Securities Act. Section 22 of the Securities Act creates a concurrent jurisdiction for federal and state courts over all suits brought to enforce any duty or liability created by the Securities Act or the rules and regulations thereunder.</w:t>
      </w:r>
    </w:p>
    <w:p>
      <w:pPr>
        <w:spacing w:after="0" w:line="125"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 xml:space="preserve">Immediately after this consummation of this offering, we will have 13,750,000 shares of common stock issued and outstanding, or 15,812,500 shares of common stock if the over-allotment option is exercised in full. Of these shares, the 11,000,000 shares sold in this offering, or 12,650,000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2,750,000 (or 3,162,500 if the underwriters’ over-allotment is exercised in full) shares are restricted securities under Rule 144, in that they were issued in private transactions not involving a public offering. All of those shares will not be transferable except in limited circumstances described elsewhere in this prospectus, but these restricted securities will be entitled to registration rights as more fully described below under “— </w:t>
      </w:r>
      <w:r>
        <w:rPr>
          <w:rFonts w:ascii="Arial" w:cs="Arial" w:eastAsia="Arial" w:hAnsi="Arial"/>
          <w:sz w:val="17"/>
          <w:szCs w:val="17"/>
          <w:i w:val="1"/>
          <w:iCs w:val="1"/>
          <w:color w:val="auto"/>
        </w:rPr>
        <w:t>Registration Rights</w:t>
      </w:r>
      <w:r>
        <w:rPr>
          <w:rFonts w:ascii="Arial" w:cs="Arial" w:eastAsia="Arial" w:hAnsi="Arial"/>
          <w:sz w:val="17"/>
          <w:szCs w:val="17"/>
          <w:color w:val="auto"/>
        </w:rPr>
        <w: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Rule 144</w:t>
      </w:r>
    </w:p>
    <w:p>
      <w:pPr>
        <w:spacing w:after="0" w:line="158"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Pursuant to Rule 144, 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w:t>
      </w:r>
    </w:p>
    <w:p>
      <w:pPr>
        <w:spacing w:after="0" w:line="3"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63"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125,000 shares immediately after this offering (or 143,750 if the over-allotment option is exercised in full); and</w:t>
      </w:r>
    </w:p>
    <w:p>
      <w:pPr>
        <w:spacing w:after="0" w:line="75"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89"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9" w:lineRule="exact"/>
        <w:rPr>
          <w:sz w:val="20"/>
          <w:szCs w:val="20"/>
          <w:color w:val="auto"/>
        </w:rPr>
      </w:pPr>
    </w:p>
    <w:p>
      <w:pPr>
        <w:ind w:left="1800" w:hanging="180"/>
        <w:spacing w:after="0"/>
        <w:tabs>
          <w:tab w:leader="none" w:pos="1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28" w:lineRule="exact"/>
        <w:rPr>
          <w:rFonts w:ascii="Arial" w:cs="Arial" w:eastAsia="Arial" w:hAnsi="Arial"/>
          <w:sz w:val="17"/>
          <w:szCs w:val="17"/>
          <w:color w:val="auto"/>
        </w:rPr>
      </w:pPr>
    </w:p>
    <w:p>
      <w:pPr>
        <w:ind w:left="1800" w:right="899" w:hanging="180"/>
        <w:spacing w:after="0" w:line="27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75"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As a result, our initial stockholders will be able to sell their founder shares and private warrants, and the securities underlying the foregoing, as applicable, pursuant to Rule 144 without registration one year after we have completed our initial business combination.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4"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Our units have been approved for listing on Nasdaq under the symbol “CNTQU” on or promptly after the effective date of the registration statement. Following the date the shares of our common stock and warrants are eligible to trade separately, we anticipate that the shares of our common stock and warrants will be listed under the symbols “CNTQ” and “CNTQW” separately and as a unit on Nasdaq.</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following is a discussion of the material U.S. federal income tax considerations generally applicable to the acquisition, ownership and disposition of our units, shares of common stock and warrants, which we refer to collectively as our securities. Because once the shares of common stock and warrants commence separate trading, the components of a unit are separable at the option of the holder, the holder of a unit generally should be treated, for U.S. federal income tax purposes, as the owner of the underlying common stock and three-quarters of one redeemable warrant components of the unit, as the case may be. As a result, the discussion below with respect to actual holders of common stock and warrants should also apply to holders of units (as the deemed owners of the underlying common stock and warrants that comprise the units). This discussion applies only to securities that are held as capital assets for U.S. federal income tax purposes and is applicable only to holders who purchased units in this offering.</w:t>
      </w:r>
    </w:p>
    <w:p>
      <w:pPr>
        <w:spacing w:after="0" w:line="11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63" w:lineRule="exact"/>
        <w:rPr>
          <w:sz w:val="20"/>
          <w:szCs w:val="20"/>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 by vote or value;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dealers or traders subject to a mark-to-market method of accounting with respect to the securities;</w:t>
      </w:r>
    </w:p>
    <w:p>
      <w:pPr>
        <w:spacing w:after="0" w:line="128" w:lineRule="exact"/>
        <w:rPr>
          <w:rFonts w:ascii="Arial" w:cs="Arial" w:eastAsia="Arial" w:hAnsi="Arial"/>
          <w:sz w:val="17"/>
          <w:szCs w:val="17"/>
          <w:color w:val="auto"/>
        </w:rPr>
      </w:pPr>
    </w:p>
    <w:p>
      <w:pPr>
        <w:ind w:left="1800" w:right="107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58"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If you are a partnership or other entity or arrangement treated as a partnership for U.S. federal income tax purposes, the U.S. federal income tax treatment of your partners will generally depend on the status of the partners and your activities.</w:t>
      </w:r>
    </w:p>
    <w:p>
      <w:pPr>
        <w:spacing w:after="0" w:line="103"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25"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w:t>
      </w:r>
    </w:p>
    <w:p>
      <w:pPr>
        <w:sectPr>
          <w:pgSz w:w="11900" w:h="16838" w:orient="portrait"/>
          <w:cols w:equalWidth="0" w:num="1">
            <w:col w:w="9879"/>
          </w:cols>
          <w:pgMar w:left="580" w:top="131"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tax laws to your particular situation, as well as any tax consequences arising under the laws of any state, local or foreign jurisdiction.</w:t>
      </w:r>
    </w:p>
    <w:p>
      <w:pPr>
        <w:spacing w:after="0" w:line="9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WE URGE PROSPECTIVE HOLDERS TO CONSULT THEIR TAX ADVISORS CONCERNING THE U.S. FEDERAL INCOME TAX CONSEQUENCES TO THEM OF ACQUIRING, OWNING AND DISPOSING OF OUR SECURITIES, AS WELL AS THE APPLICATION OF ANY, STATE, LOCAL AND NON-U.S. INCOME, ESTATE AND OTHER TAX CONSIDERATIONS.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Personal Holding Company Status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1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Depending on the date and size of our initial business combination, it is possible that at least 60% of our adjusted ordinary gross income may consist of PHC income.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five or fewer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48"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No statutory, administrative or judicial authority directly addresses the treatment of the unit or instruments similar to the unit for U.S. federal income tax purposes and, therefore, that treatment is not entirely clear. The acquisition of a unit should be treated for U.S. federal income tax purposes as the acquisition of one share of our common stock and three-quarters of one warrant to acquire one share of our common stock. We intend to treat the acquisition of a unit in this manner and, by purchasing a unit, you agree to adopt such treatment for tax purposes. For U.S. federal income tax purposes, each holder of a unit must allocate the purchase price paid by such holder for such unit between the one share of common stock and the three-quarters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common stock and the three-quarters of one warrant should be the holder’s initial tax basis in such share or three-quarters of one warrant, as the case may be. Any disposition of a unit should be treated for U.S. federal income tax purposes as a disposition of the share of common stock and three-quarters of one warrant comprising the unit, and the amount realized on the disposition should be allocated between the common stock and the three -quarters of one warrant based on their respective relative fair market values (as determined by each such unit holder on all the relevant facts and circumstances) at the time of disposition. The separation of shares of common stock and warrants comprising units should not be a taxable event for U.S. federal income tax purposes.</w:t>
      </w:r>
    </w:p>
    <w:p>
      <w:pPr>
        <w:spacing w:after="0" w:line="11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foregoing treatment of the units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43" w:lineRule="auto"/>
        <w:rPr>
          <w:sz w:val="20"/>
          <w:szCs w:val="20"/>
          <w:color w:val="auto"/>
        </w:rPr>
      </w:pPr>
      <w:r>
        <w:rPr>
          <w:rFonts w:ascii="Arial" w:cs="Arial" w:eastAsia="Arial" w:hAnsi="Arial"/>
          <w:sz w:val="18"/>
          <w:szCs w:val="18"/>
          <w:color w:val="auto"/>
        </w:rPr>
        <w:t>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This section applies to you if you are a “U.S. holder.” A U.S. holder is a beneficial owner of our units, shares of common stock or warrants who or that is, for U.S. federal income tax purposes:</w:t>
      </w:r>
    </w:p>
    <w:p>
      <w:pPr>
        <w:spacing w:after="0" w:line="63" w:lineRule="exact"/>
        <w:rPr>
          <w:sz w:val="20"/>
          <w:szCs w:val="20"/>
          <w:color w:val="auto"/>
        </w:rPr>
      </w:pPr>
    </w:p>
    <w:p>
      <w:pPr>
        <w:ind w:left="1800" w:hanging="180"/>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1800" w:right="639" w:hanging="180"/>
        <w:spacing w:after="0" w:line="259"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 — Gain or Loss on Sale, Taxable Exchange or Other Taxable Disposition of Common Stock and Warrants” below.</w:t>
      </w:r>
    </w:p>
    <w:p>
      <w:pPr>
        <w:spacing w:after="0" w:line="124"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preferential tax rate accorded to long-term capital gains. It is unclear whether the redemption rights with respect to the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 and Warrants.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Upon a sale or other taxable disposition of our common stock or warrants which, in general, would include a redemption of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common stock or warrants so disposed of. Any such capital gain or loss generally will be long-term capital gain or loss if the U.S. holder’s holding period for the common stock or warrants so disposed of exceeds one year. It is unclear, however, whether the redemption rights with respect to the common stock described in this prospectus may suspend the running of the applicable holding period for this purpose. If</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the running of the holding period for the common stock is suspended, then non-corporate U.S. holders may not be able to satisfy the one-year holding period requirement for long -term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are currently eligible to be taxed at reduced rates. The deductibility of capital losses is subject to limitations.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Generally, the amount of gain or loss recognized by a U.S. holder is equal to the difference between</w:t>
      </w:r>
    </w:p>
    <w:p>
      <w:pPr>
        <w:spacing w:after="0" w:line="23" w:lineRule="exact"/>
        <w:rPr>
          <w:sz w:val="20"/>
          <w:szCs w:val="20"/>
          <w:color w:val="auto"/>
        </w:rPr>
      </w:pPr>
    </w:p>
    <w:p>
      <w:pPr>
        <w:ind w:left="1260" w:right="499"/>
        <w:spacing w:after="0" w:line="236" w:lineRule="auto"/>
        <w:tabs>
          <w:tab w:leader="none" w:pos="14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sum of the amount of cash and the fair market value of any property received in such disposition (or, if the common stock or warrants are held as part of units at the time of the disposition, the portion of the amount realized on such disposition that is allocated to the common stock or the warrants based upon the then fair market values of the common stock and the warrants included in the units) and (ii) the U.S. holder’s adjusted tax basis in its common stock or warrants so disposed of. A U.S. holder’s adjusted tax basis in its common stock or warrants generally will equal the U.S. holder’s acquisition cost (that is, as discussed above, the portion of the purchase price of a unit allocated to a share of common stock or three-quarters of one warrant or, as discussed below, the U.S. holder’s initial basis for common stock received upon exercise of warrants) less, in the case of a share of common stock, any prior distributions treated as a return of capital.</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In the event that a U.S. holder’s common stock is redeemed pursuant to the redemption provisions described under the section of this prospectus entitled “Description of Securities — Common Stock” or if we purchase a U.S. holder’s common stock in an open market transaction (each of which we refer to as a “redemption”), the treatment of the transaction for U.S. federal income tax purposes will depend on whether the redemption qualifies as a sale or exchange of the common stock under Section 302 of the Code. If the redemption qualifies as a sale or exchange of common stock, the U.S. holder will be treated as described under “U.S. Holders — Gain or Loss on Sale, Taxable Exchange or Other Taxable Disposition of Common Stock and Warrants” above. If the redemption does not qualify as a sale or exchange of common stock, the U.S. holder will be treated as receiving a corporate distribution with the tax consequences described above under “U.S. Holders — Taxation of Distributions”. Whether a redemption qualifies for sale or exchange treatment will depend largely on the total number of shares of our stock treated as owned by the U.S. holder (including any stock constructively owned by the U.S. holder described in the following paragraph) relative to all of our shares outstanding both before and after the redemption. The redemption of common stock generally will be treated as a sale of the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16"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of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common stock will not be essentially equivalent to a dividend with respect to a U.S. holder if the redemption results in a “meaningful reduction” of the U.S. holder’s proportionate interest in us. Whether the redemption will result in a meaningful reduction in a U.S. holder’s</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57" w:lineRule="auto"/>
        <w:rPr>
          <w:sz w:val="20"/>
          <w:szCs w:val="20"/>
          <w:color w:val="auto"/>
        </w:rPr>
      </w:pPr>
      <w:r>
        <w:rPr>
          <w:rFonts w:ascii="Arial" w:cs="Arial" w:eastAsia="Arial" w:hAnsi="Arial"/>
          <w:sz w:val="18"/>
          <w:szCs w:val="18"/>
          <w:color w:val="auto"/>
        </w:rPr>
        <w:t>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07"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common stock will be added to the U.S. holder’s adjusted tax basis in its remaining shares, or, if it has none, to the U.S. holder’s adjusted tax basis in its warrants or possibly in other stock constructively owned by it.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on the acquisition of common stock upon exercise of a warrant for cash. The U.S. holder’s tax basis in the share of our common stock received upon exercise of the warrant generally will be an amount equal to the sum of the U.S. holder’s initial investment in the warrant (i.e., the portion of the U.S. holder’s purchase price for the units that is allocated to the warrant, as described above under “— Allocation of Purchase Price and Characterization of a Unit”)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2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generally should equal the holder’s tax basis in the warrants exercised therefor. If the cashless exercise were treated as not being a realization event (and not a recapitalization), it is unclear whether a U.S. holder’s holding period for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0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It is also possible that a cashless exercise could be treated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adjusted tax basis in such warrants. Such gain or loss would be long-term or short-term, depending on the U.S. holder’s holding period in the warrants deemed surrendered. In this case, a U.S. holder’s tax basis in the common stock received would equal the sum of the U.S. holder’s tax basis in the warrants exercised (i.e., the portion of the U.S. holder’s purchase price for the units that is allocated to the warrants, as described above under “— Allocation of Purchase Price and Characterization of a Unit”) and the exercise price of such warrants. It is unclear whether a U.S. holder’s holding period for the common stock would commence on the date following the date of exercise or on the date of exercise of the warrants; in either case, the holding period would not include the period during which the U.S. holder held the warrants.</w:t>
      </w:r>
    </w:p>
    <w:p>
      <w:pPr>
        <w:spacing w:after="0" w:line="130"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If we redeem warrants for cash or if we purchase warrants in an open market transaction, such redemption or purchase generally will be treated as a taxable disposition to the U.S. holder, taxed as described above under “— Gain or Loss on Sale, Taxable Exchange or Other Taxable Disposition of Common Stock and Warrants.” The tax consequences of an exercise of a warrant occurring after our giving notice of an intention to redeem the warrant for $0.01 as described in the section of this prospectus entitled “Description of Securities — Redeemable Warrants — Public Warrants” are unclear under current law. In the case of a cashless exercise, the exercise may be treated either as if we redeemed such warrant for common stock or as an exercise of the warrant. If the cashless exercise of a warrant for common stock is treated as a redemption, then such redemption generally should be treated as a tax-deferred recapitalization for U.S. federal income tax purposes, in which case a U.S. holder should not recognize any gain or loss on such redemption, and accordingly, a U.S. holder’s basis in the common stock received should equal the U.S. holder’s basis in the warrant and the holding period of the shares of common stock would include the holding period of the warrant. If the cashless exercise of a warrant is treated as such, the tax consequences generally should be as described under the heading “U.S. Holders — Exercise, Lapse or Redemption of a Warrant.” In the case of an exercise of a warrant for cash, the tax treatment generally should be as described above under the heading “U.S. Holders — Exercise, Lapse or Redemption of a Warrant.” Due to the lack of clarity under current law regarding the treatment of an exercise of a warrant after our giving notice of an intention to redeem the warrant for $0.01,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44"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6"/>
          <w:szCs w:val="16"/>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U.S. holders of such shares as a distribution (as described under “U.S. Holders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 general, information reporting requirements may apply to dividends paid to a U.S. holder and to the proceeds of the sale or other disposition of our units,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0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 All U.S. holders should consult their tax advisors regarding the application of information reporting and backup withholding to them.</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148" w:lineRule="exact"/>
        <w:rPr>
          <w:sz w:val="20"/>
          <w:szCs w:val="20"/>
          <w:color w:val="auto"/>
        </w:rPr>
      </w:pPr>
    </w:p>
    <w:p>
      <w:pPr>
        <w:jc w:val="both"/>
        <w:ind w:left="1260" w:right="479" w:firstLine="360"/>
        <w:spacing w:after="0" w:line="286" w:lineRule="auto"/>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units, common stock or warrants who or that is for U.S. federal income tax purposes a non-resident alien individual (other than certain former citizens and residents of the</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United States subject to U.S. federal income tax as expatriates), a foreign corporation, or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In general, any distributions (including constructive distributions) we make to a Non- 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 -U.S.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and Warrants” below. In addition, if we determine that we are likely to be classified as a “U.S. real property holding corporation” (see “Non-U.S. Holders — Gain on Sale, Taxable Exchange or Other Taxable Disposition of Common Stock and Warrants” below), we will withhold 15% of any distribution that exceeds our current and accumulated earnings and profits, including a distribution in redemption of shares of our common stock. See also “Non -U.S. Holders — Possible Constructive Distributions” for potential U.S. federal tax consequences with respect to constructive distributions.</w:t>
      </w:r>
    </w:p>
    <w:p>
      <w:pPr>
        <w:spacing w:after="0" w:line="12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such Non -U.S. holder’s conduct of a trade or business within the United States (or, if an income tax treaty applies, are attributable to a U.S. permanent establishment or fixed base maintained by the non-U.S. holder). Instead, the effectively connected dividends will generally be subject to regular U.S. federal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 and Warrants</w:t>
      </w:r>
    </w:p>
    <w:p>
      <w:pPr>
        <w:spacing w:after="0" w:line="158"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Subject to the discussion of FATCA and backup withholding below, a Non-U.S. holder generally will not be subject to U.S. federal income or withholding tax in respect of gain recognized on a sale, taxable exchange or other taxable disposition of our common stock, which would include a dissolution and liquidation in the event we do not complete an initial business combination within the required period of time, or warrants (including an expiration or redemption of our warrants), in each case without regard to whether those securities were held as part of a unit, unless:</w:t>
      </w:r>
    </w:p>
    <w:p>
      <w:pPr>
        <w:spacing w:after="0" w:line="68" w:lineRule="exact"/>
        <w:rPr>
          <w:sz w:val="20"/>
          <w:szCs w:val="20"/>
          <w:color w:val="auto"/>
        </w:rPr>
      </w:pPr>
    </w:p>
    <w:p>
      <w:pPr>
        <w:ind w:left="1800" w:right="799" w:hanging="180"/>
        <w:spacing w:after="0" w:line="286" w:lineRule="auto"/>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57" w:lineRule="exact"/>
        <w:rPr>
          <w:rFonts w:ascii="Arial" w:cs="Arial" w:eastAsia="Arial" w:hAnsi="Arial"/>
          <w:sz w:val="17"/>
          <w:szCs w:val="17"/>
          <w:color w:val="auto"/>
        </w:rPr>
      </w:pPr>
    </w:p>
    <w:p>
      <w:pPr>
        <w:ind w:left="1800" w:right="459" w:hanging="180"/>
        <w:spacing w:after="0" w:line="296" w:lineRule="auto"/>
        <w:tabs>
          <w:tab w:leader="none" w:pos="18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(including through ownership of warrants), more than 5% of our common stock</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spacing w:after="0" w:line="270" w:lineRule="auto"/>
        <w:rPr>
          <w:sz w:val="20"/>
          <w:szCs w:val="20"/>
          <w:color w:val="auto"/>
        </w:rPr>
      </w:pPr>
      <w:r>
        <w:rPr>
          <w:rFonts w:ascii="Arial" w:cs="Arial" w:eastAsia="Arial" w:hAnsi="Arial"/>
          <w:sz w:val="17"/>
          <w:szCs w:val="17"/>
          <w:color w:val="auto"/>
        </w:rPr>
        <w:t>at any time within the shorter of the five -year period preceding the disposition or such Non- U.S. holder’s holding period for the shares of our common stock. There can be no assurance that our common stock will be treated as regularly traded on an established securities market for this purpose.</w:t>
      </w:r>
    </w:p>
    <w:p>
      <w:pPr>
        <w:spacing w:after="0" w:line="83"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05" w:lineRule="exact"/>
        <w:rPr>
          <w:sz w:val="20"/>
          <w:szCs w:val="20"/>
          <w:color w:val="auto"/>
        </w:rPr>
      </w:pPr>
    </w:p>
    <w:p>
      <w:pPr>
        <w:ind w:left="1260" w:right="659" w:firstLine="360"/>
        <w:spacing w:after="0" w:line="251" w:lineRule="auto"/>
        <w:rPr>
          <w:sz w:val="20"/>
          <w:szCs w:val="20"/>
          <w:color w:val="auto"/>
        </w:rPr>
      </w:pPr>
      <w:r>
        <w:rPr>
          <w:rFonts w:ascii="Arial" w:cs="Arial" w:eastAsia="Arial" w:hAnsi="Arial"/>
          <w:sz w:val="17"/>
          <w:szCs w:val="17"/>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 We cannot determine whether we will be a U.S. real property holding corporation in the future until we complete an initial business combination. We will be classified as a U.S. real property holding corporation if the fair market value of our “U.S. real property interests” equals or exceeds</w:t>
      </w:r>
    </w:p>
    <w:p>
      <w:pPr>
        <w:spacing w:after="0" w:line="2"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50 percent of the sum of the fair market value of our worldwide real property interests plus our other assets used or held for use in a trade or business, as determined for U.S. federal income tax purposes.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58"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7"/>
          <w:szCs w:val="17"/>
          <w:color w:val="auto"/>
        </w:rPr>
        <w:t>The characterization for U.S. federal income tax purposes of the redemption of a Non-U.S. holder’s common stock pursuant to the redemption provisions described in the section of this prospectus entitled “Description of Securities — Common Stock” generally will correspond to the U.S. federal income tax characterization of such a redemption of a U.S. holder’s common stock, as described under “U.S. Holders</w:t>
      </w:r>
    </w:p>
    <w:p>
      <w:pPr>
        <w:spacing w:after="0" w:line="2" w:lineRule="exact"/>
        <w:rPr>
          <w:sz w:val="20"/>
          <w:szCs w:val="20"/>
          <w:color w:val="auto"/>
        </w:rPr>
      </w:pPr>
    </w:p>
    <w:p>
      <w:pPr>
        <w:jc w:val="both"/>
        <w:ind w:left="1260" w:right="599"/>
        <w:spacing w:after="0" w:line="248" w:lineRule="auto"/>
        <w:rPr>
          <w:sz w:val="20"/>
          <w:szCs w:val="20"/>
          <w:color w:val="auto"/>
        </w:rPr>
      </w:pPr>
      <w:r>
        <w:rPr>
          <w:rFonts w:ascii="Arial" w:cs="Arial" w:eastAsia="Arial" w:hAnsi="Arial"/>
          <w:sz w:val="17"/>
          <w:szCs w:val="17"/>
          <w:color w:val="auto"/>
        </w:rPr>
        <w:t>— Redemption of Common Stock” above, and the consequences of the redemption to the Non-U.S. holder will be as described above under “Non-U.S. Holders — Taxation of Distributions” and “Non-U.S. Holders</w:t>
      </w:r>
    </w:p>
    <w:p>
      <w:pPr>
        <w:spacing w:after="0" w:line="1" w:lineRule="exact"/>
        <w:rPr>
          <w:sz w:val="20"/>
          <w:szCs w:val="20"/>
          <w:color w:val="auto"/>
        </w:rPr>
      </w:pPr>
    </w:p>
    <w:p>
      <w:pPr>
        <w:ind w:left="1260" w:right="899"/>
        <w:spacing w:after="0" w:line="243" w:lineRule="auto"/>
        <w:rPr>
          <w:sz w:val="20"/>
          <w:szCs w:val="20"/>
          <w:color w:val="auto"/>
        </w:rPr>
      </w:pPr>
      <w:r>
        <w:rPr>
          <w:rFonts w:ascii="Arial" w:cs="Arial" w:eastAsia="Arial" w:hAnsi="Arial"/>
          <w:sz w:val="18"/>
          <w:szCs w:val="18"/>
          <w:color w:val="auto"/>
        </w:rPr>
        <w:t>— Gain on Sale, Taxable Exchange or Other Taxable Disposition of Common Stock and Warrants,” as applicable.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Lapse or Redemption of a Warrant</w:t>
      </w:r>
    </w:p>
    <w:p>
      <w:pPr>
        <w:spacing w:after="0" w:line="14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above in “Non-U.S. Holders — Gain on Sale, Taxable Exchange or Other Taxable Disposition of Common Stock and Warrants.” The U.S. federal income tax treatment for a Non-U.S. holder of a redemption of warrants for common stock will correspond to the U.S. federal income tax treatment for a U.S. holder of a redemption of warrants for common stock, as described above in “U.S. Holders — Exercise, Lapse or Redemption of a Warrant.” The U.S. federal income tax treatment for a Non -U.S. holder of a redemption of warrants for cash (or if we purchase warrants in an open market transaction) would be similar to that described above in “Non-U.S. Holders — Gain on Sale, Taxable Exchange or Other Taxable Disposition of Common Stock and Warrants.”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Nevertheless, the Non-U.S. holders of the warrants would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(as</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86" w:lineRule="auto"/>
        <w:rPr>
          <w:sz w:val="20"/>
          <w:szCs w:val="20"/>
          <w:color w:val="auto"/>
        </w:rPr>
      </w:pPr>
      <w:r>
        <w:rPr>
          <w:rFonts w:ascii="Arial" w:cs="Arial" w:eastAsia="Arial" w:hAnsi="Arial"/>
          <w:sz w:val="17"/>
          <w:szCs w:val="17"/>
          <w:color w:val="auto"/>
        </w:rPr>
        <w:t>described under “Non-U.S. Holders — Taxation of Distributions” above). Such constructive distribution would be subject to tax in the same manner as if the Non-U.S. holders of the warrants received a cash distribution from us equal to the fair market value of such increased interest resulting from the adjustment.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Information returns will be filed with the IRS in connection with payments of dividends and the proceeds from a sale or other disposition of our units,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25"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All Non-U.S. holders should consult their tax advisors regarding the application of information reporting and backup withholding to them.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158"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or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securities.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03"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WARRANTS, INCLUDING THE TAX CONSEQUENCES UNDER STATE, LOCAL, ESTATE, NON-U.S. AND OTHER TAX LAWS AND TAX TREATIES AND THE POSSIBLE EFFECTS OF CHANGES IN 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148" w:lineRule="exact"/>
        <w:rPr>
          <w:sz w:val="20"/>
          <w:szCs w:val="20"/>
          <w:color w:val="auto"/>
        </w:rPr>
      </w:pPr>
    </w:p>
    <w:p>
      <w:pPr>
        <w:ind w:left="1260" w:right="1280" w:firstLine="360"/>
        <w:spacing w:after="0" w:line="279"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Chardan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ind w:right="22"/>
              <w:spacing w:after="0"/>
              <w:rPr>
                <w:sz w:val="20"/>
                <w:szCs w:val="20"/>
                <w:color w:val="auto"/>
              </w:rPr>
            </w:pPr>
            <w:r>
              <w:rPr>
                <w:rFonts w:ascii="Arial" w:cs="Arial" w:eastAsia="Arial" w:hAnsi="Arial"/>
                <w:sz w:val="14"/>
                <w:szCs w:val="14"/>
                <w:b w:val="1"/>
                <w:bCs w:val="1"/>
                <w:color w:val="auto"/>
                <w:w w:val="97"/>
              </w:rPr>
              <w:t>Number of</w:t>
            </w:r>
          </w:p>
        </w:tc>
      </w:tr>
      <w:tr>
        <w:trPr>
          <w:trHeight w:val="186"/>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6"/>
                <w:szCs w:val="16"/>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Units</w:t>
            </w:r>
          </w:p>
        </w:tc>
      </w:tr>
      <w:tr>
        <w:trPr>
          <w:trHeight w:val="26"/>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10,950,000</w:t>
            </w:r>
          </w:p>
        </w:tc>
      </w:tr>
      <w:tr>
        <w:trPr>
          <w:trHeight w:val="263"/>
        </w:trPr>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 Riley Securities, Inc.</w:t>
            </w:r>
          </w:p>
        </w:tc>
        <w:tc>
          <w:tcPr>
            <w:tcW w:w="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r>
      <w:tr>
        <w:trPr>
          <w:trHeight w:val="29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11,000,000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348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-556895</wp:posOffset>
            </wp:positionV>
            <wp:extent cx="137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1760" w:firstLine="360"/>
        <w:spacing w:after="0" w:line="277" w:lineRule="auto"/>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our Securities</w:t>
      </w:r>
    </w:p>
    <w:p>
      <w:pPr>
        <w:spacing w:after="0" w:line="162" w:lineRule="exact"/>
        <w:rPr>
          <w:sz w:val="20"/>
          <w:szCs w:val="20"/>
          <w:color w:val="auto"/>
        </w:rPr>
      </w:pPr>
    </w:p>
    <w:p>
      <w:pPr>
        <w:ind w:left="1260" w:right="1260" w:firstLine="360"/>
        <w:spacing w:after="0" w:line="279" w:lineRule="auto"/>
        <w:rPr>
          <w:sz w:val="20"/>
          <w:szCs w:val="20"/>
          <w:color w:val="auto"/>
        </w:rPr>
      </w:pPr>
      <w:r>
        <w:rPr>
          <w:rFonts w:ascii="Arial" w:cs="Arial" w:eastAsia="Arial" w:hAnsi="Arial"/>
          <w:sz w:val="17"/>
          <w:szCs w:val="17"/>
          <w:color w:val="auto"/>
        </w:rPr>
        <w:t>Our units have been approved for listing on the Nasdaq under the symbol “CNTQU” on or promptly after the effective date of the registration statement. Following the date the shares of our common stock and warrants are eligible to trade separately, we anticipate that the shares of our common stock and warrants will be listed under the symbols “CNTQ” and “CNTQW” separately and as a unit on Nasdaq.</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Over-allotment Option</w:t>
      </w:r>
    </w:p>
    <w:p>
      <w:pPr>
        <w:spacing w:after="0" w:line="148" w:lineRule="exact"/>
        <w:rPr>
          <w:sz w:val="20"/>
          <w:szCs w:val="20"/>
          <w:color w:val="auto"/>
        </w:rPr>
      </w:pPr>
    </w:p>
    <w:p>
      <w:pPr>
        <w:ind w:left="1260" w:right="1320" w:firstLine="360"/>
        <w:spacing w:after="0" w:line="257" w:lineRule="auto"/>
        <w:rPr>
          <w:sz w:val="20"/>
          <w:szCs w:val="20"/>
          <w:color w:val="auto"/>
        </w:rPr>
      </w:pPr>
      <w:r>
        <w:rPr>
          <w:rFonts w:ascii="Arial" w:cs="Arial" w:eastAsia="Arial" w:hAnsi="Arial"/>
          <w:sz w:val="18"/>
          <w:szCs w:val="18"/>
          <w:color w:val="auto"/>
        </w:rPr>
        <w:t>We have granted the underwriters an option to buy up to 1,650,000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62" w:lineRule="exact"/>
        <w:rPr>
          <w:sz w:val="20"/>
          <w:szCs w:val="20"/>
          <w:color w:val="auto"/>
        </w:rPr>
      </w:pPr>
    </w:p>
    <w:p>
      <w:pPr>
        <w:ind w:left="1260" w:right="1280" w:firstLine="360"/>
        <w:spacing w:after="0" w:line="267" w:lineRule="auto"/>
        <w:rPr>
          <w:sz w:val="20"/>
          <w:szCs w:val="20"/>
          <w:color w:val="auto"/>
        </w:rPr>
      </w:pPr>
      <w:r>
        <w:rPr>
          <w:rFonts w:ascii="Arial" w:cs="Arial" w:eastAsia="Arial" w:hAnsi="Arial"/>
          <w:sz w:val="17"/>
          <w:szCs w:val="17"/>
          <w:color w:val="auto"/>
        </w:rPr>
        <w:t>Units sold by the underwriters to the public will initially be offered at the offering price set forth on the cover of this prospectus. The underwriters will be entitled to a cash underwriting discount of $500,000. The aggregate amount of the fee paid to the underwriters will remain constant at $500,000, even if the over-allotment option is exercised. B. Riley Securities, Inc. will receive $100,000 from the total underwriting discount for acting as a qualified independent underwriter. Any units sold by the underwriters to securities dealers may be sold at a discount of up to $0.05 per unit from the public offering price. Any of these securities dealers may resell any units purchased from the underwriters to other brokers or dealers at a discount of up to $0.05 per unit from the public offering price. If all of the units are not sold at the initial public offering price, the representative may change the offering price and the other selling terms.</w:t>
      </w:r>
    </w:p>
    <w:p>
      <w:pPr>
        <w:spacing w:after="0" w:line="1" w:lineRule="exact"/>
        <w:rPr>
          <w:sz w:val="20"/>
          <w:szCs w:val="20"/>
          <w:color w:val="auto"/>
        </w:rPr>
      </w:pPr>
    </w:p>
    <w:p>
      <w:pPr>
        <w:jc w:val="both"/>
        <w:ind w:left="1260" w:right="1500"/>
        <w:spacing w:after="0" w:line="255" w:lineRule="auto"/>
        <w:rPr>
          <w:sz w:val="20"/>
          <w:szCs w:val="20"/>
          <w:color w:val="auto"/>
        </w:rPr>
      </w:pPr>
      <w:r>
        <w:rPr>
          <w:rFonts w:ascii="Arial" w:cs="Arial" w:eastAsia="Arial" w:hAnsi="Arial"/>
          <w:sz w:val="18"/>
          <w:szCs w:val="18"/>
          <w:color w:val="auto"/>
        </w:rPr>
        <w:t>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22" w:lineRule="exact"/>
        <w:rPr>
          <w:sz w:val="20"/>
          <w:szCs w:val="20"/>
          <w:color w:val="auto"/>
        </w:rPr>
      </w:pPr>
    </w:p>
    <w:p>
      <w:pPr>
        <w:ind w:left="1260" w:right="1260" w:firstLine="360"/>
        <w:spacing w:after="0" w:line="263"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1,650,000 units.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Without</w:t>
            </w:r>
          </w:p>
        </w:tc>
        <w:tc>
          <w:tcPr>
            <w:tcW w:w="100" w:type="dxa"/>
            <w:vAlign w:val="bottom"/>
          </w:tcPr>
          <w:p>
            <w:pPr>
              <w:spacing w:after="0"/>
              <w:rPr>
                <w:sz w:val="14"/>
                <w:szCs w:val="14"/>
                <w:color w:val="auto"/>
              </w:rPr>
            </w:pPr>
          </w:p>
        </w:tc>
        <w:tc>
          <w:tcPr>
            <w:tcW w:w="216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rPr>
              <w:t>With</w:t>
            </w:r>
          </w:p>
        </w:tc>
      </w:tr>
      <w:tr>
        <w:trPr>
          <w:trHeight w:val="186"/>
        </w:trPr>
        <w:tc>
          <w:tcPr>
            <w:tcW w:w="12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Over-allotment</w:t>
            </w:r>
          </w:p>
        </w:tc>
        <w:tc>
          <w:tcPr>
            <w:tcW w:w="226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95"/>
              </w:rPr>
              <w:t>Over-allotment</w:t>
            </w:r>
          </w:p>
        </w:tc>
      </w:tr>
      <w:tr>
        <w:trPr>
          <w:trHeight w:val="25"/>
        </w:trPr>
        <w:tc>
          <w:tcPr>
            <w:tcW w:w="126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126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$10.00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126,500,000</w:t>
            </w: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Discount and qualified independent underwriter fees</w:t>
            </w:r>
          </w:p>
        </w:tc>
        <w:tc>
          <w:tcPr>
            <w:tcW w:w="740" w:type="dxa"/>
            <w:vAlign w:val="bottom"/>
            <w:gridSpan w:val="2"/>
          </w:tcPr>
          <w:p>
            <w:pPr>
              <w:ind w:left="20"/>
              <w:spacing w:after="0" w:line="243" w:lineRule="exact"/>
              <w:rPr>
                <w:sz w:val="20"/>
                <w:szCs w:val="20"/>
                <w:color w:val="auto"/>
              </w:rPr>
            </w:pPr>
            <w:r>
              <w:rPr>
                <w:rFonts w:ascii="Arial" w:cs="Arial" w:eastAsia="Arial" w:hAnsi="Arial"/>
                <w:sz w:val="18"/>
                <w:szCs w:val="18"/>
                <w:color w:val="auto"/>
                <w:w w:val="91"/>
              </w:rPr>
              <w:t>$0.045</w:t>
            </w:r>
            <w:r>
              <w:rPr>
                <w:rFonts w:ascii="Arial" w:cs="Arial" w:eastAsia="Arial" w:hAnsi="Arial"/>
                <w:sz w:val="26"/>
                <w:szCs w:val="26"/>
                <w:color w:val="auto"/>
                <w:w w:val="91"/>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1260"/>
              <w:spacing w:after="0"/>
              <w:rPr>
                <w:sz w:val="20"/>
                <w:szCs w:val="20"/>
                <w:color w:val="auto"/>
              </w:rPr>
            </w:pPr>
            <w:r>
              <w:rPr>
                <w:rFonts w:ascii="Arial" w:cs="Arial" w:eastAsia="Arial" w:hAnsi="Arial"/>
                <w:sz w:val="18"/>
                <w:szCs w:val="18"/>
                <w:color w:val="auto"/>
              </w:rPr>
              <w:t>500,000</w:t>
            </w:r>
          </w:p>
        </w:tc>
      </w:tr>
      <w:tr>
        <w:trPr>
          <w:trHeight w:val="256"/>
        </w:trPr>
        <w:tc>
          <w:tcPr>
            <w:tcW w:w="1260" w:type="dxa"/>
            <w:vAlign w:val="bottom"/>
          </w:tcPr>
          <w:p>
            <w:pPr>
              <w:spacing w:after="0"/>
              <w:rPr>
                <w:sz w:val="22"/>
                <w:szCs w:val="22"/>
                <w:color w:val="auto"/>
              </w:rPr>
            </w:pPr>
          </w:p>
        </w:tc>
        <w:tc>
          <w:tcPr>
            <w:tcW w:w="5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6"/>
                <w:szCs w:val="26"/>
                <w:color w:val="auto"/>
                <w:vertAlign w:val="superscript"/>
              </w:rPr>
              <w:t>(2)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$9.955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109,500,000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126,000,000</w:t>
            </w:r>
          </w:p>
        </w:tc>
        <w:tc>
          <w:tcPr>
            <w:tcW w:w="1260" w:type="dxa"/>
            <w:vAlign w:val="bottom"/>
          </w:tcPr>
          <w:p>
            <w:pPr>
              <w:spacing w:after="0"/>
              <w:rPr>
                <w:sz w:val="22"/>
                <w:szCs w:val="22"/>
                <w:color w:val="auto"/>
              </w:rPr>
            </w:pPr>
          </w:p>
        </w:tc>
      </w:tr>
      <w:tr>
        <w:trPr>
          <w:trHeight w:val="608"/>
        </w:trPr>
        <w:tc>
          <w:tcPr>
            <w:tcW w:w="1260" w:type="dxa"/>
            <w:vAlign w:val="bottom"/>
          </w:tcPr>
          <w:p>
            <w:pPr>
              <w:spacing w:after="0"/>
              <w:rPr>
                <w:sz w:val="24"/>
                <w:szCs w:val="24"/>
                <w:color w:val="auto"/>
              </w:rPr>
            </w:pPr>
          </w:p>
        </w:tc>
        <w:tc>
          <w:tcPr>
            <w:tcW w:w="5220" w:type="dxa"/>
            <w:vAlign w:val="bottom"/>
          </w:tcPr>
          <w:p>
            <w:pPr>
              <w:jc w:val="right"/>
              <w:ind w:right="910"/>
              <w:spacing w:after="0"/>
              <w:rPr>
                <w:sz w:val="20"/>
                <w:szCs w:val="20"/>
                <w:color w:val="auto"/>
              </w:rPr>
            </w:pPr>
            <w:r>
              <w:rPr>
                <w:rFonts w:ascii="Arial" w:cs="Arial" w:eastAsia="Arial" w:hAnsi="Arial"/>
                <w:sz w:val="18"/>
                <w:szCs w:val="18"/>
                <w:color w:val="auto"/>
              </w:rPr>
              <w:t>152</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-1139190</wp:posOffset>
            </wp:positionV>
            <wp:extent cx="45688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right="419" w:hanging="360"/>
        <w:spacing w:after="0" w:line="308" w:lineRule="auto"/>
        <w:tabs>
          <w:tab w:leader="none" w:pos="1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aggregate amount of the fee paid to the underwriters (including the amount payable to the qualified independent underwriter) remains constant at $500,000, even if the over-allotment option is exercised.</w:t>
      </w:r>
    </w:p>
    <w:p>
      <w:pPr>
        <w:spacing w:after="0" w:line="65" w:lineRule="exact"/>
        <w:rPr>
          <w:rFonts w:ascii="Arial" w:cs="Arial" w:eastAsia="Arial" w:hAnsi="Arial"/>
          <w:sz w:val="17"/>
          <w:szCs w:val="17"/>
          <w:color w:val="auto"/>
        </w:rPr>
      </w:pPr>
    </w:p>
    <w:p>
      <w:pPr>
        <w:ind w:left="1620" w:hanging="360"/>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offering expenses are estimated at $575,000.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Pricing of Securities</w:t>
      </w:r>
    </w:p>
    <w:p>
      <w:pPr>
        <w:spacing w:after="0" w:line="162"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w:t>
      </w:r>
    </w:p>
    <w:p>
      <w:pPr>
        <w:spacing w:after="0" w:line="90"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representative.</w:t>
      </w:r>
    </w:p>
    <w:p>
      <w:pPr>
        <w:ind w:left="1260" w:right="619"/>
        <w:spacing w:after="0" w:line="243" w:lineRule="auto"/>
        <w:rPr>
          <w:sz w:val="20"/>
          <w:szCs w:val="20"/>
          <w:color w:val="auto"/>
        </w:rPr>
      </w:pPr>
      <w:r>
        <w:rPr>
          <w:rFonts w:ascii="Arial" w:cs="Arial" w:eastAsia="Arial" w:hAnsi="Arial"/>
          <w:sz w:val="18"/>
          <w:szCs w:val="18"/>
          <w:color w:val="auto"/>
        </w:rPr>
        <w:t>Factors considered in determining the prices and terms of the units, including the shares of common stock and warrants underlying the units, include:</w:t>
      </w:r>
    </w:p>
    <w:p>
      <w:pPr>
        <w:spacing w:after="0" w:line="78" w:lineRule="exact"/>
        <w:rPr>
          <w:sz w:val="20"/>
          <w:szCs w:val="20"/>
          <w:color w:val="auto"/>
        </w:rPr>
      </w:pPr>
    </w:p>
    <w:p>
      <w:pPr>
        <w:ind w:left="1800" w:right="1239" w:hanging="180"/>
        <w:spacing w:after="0" w:line="277"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ind w:left="1260" w:right="919" w:firstLine="360"/>
        <w:spacing w:after="0" w:line="24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48" w:lineRule="exact"/>
        <w:rPr>
          <w:sz w:val="20"/>
          <w:szCs w:val="20"/>
          <w:color w:val="auto"/>
        </w:rPr>
      </w:pPr>
    </w:p>
    <w:p>
      <w:pPr>
        <w:jc w:val="both"/>
        <w:ind w:left="1260" w:right="599" w:firstLine="360"/>
        <w:spacing w:after="0" w:line="248"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70" w:lineRule="exact"/>
        <w:rPr>
          <w:sz w:val="20"/>
          <w:szCs w:val="20"/>
          <w:color w:val="auto"/>
        </w:rPr>
      </w:pPr>
    </w:p>
    <w:p>
      <w:pPr>
        <w:ind w:left="1800" w:right="659" w:hanging="180"/>
        <w:spacing w:after="0" w:line="289" w:lineRule="auto"/>
        <w:tabs>
          <w:tab w:leader="none" w:pos="180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Stabilizing Transactions</w:t>
      </w:r>
      <w:r>
        <w:rPr>
          <w:rFonts w:ascii="Arial" w:cs="Arial" w:eastAsia="Arial" w:hAnsi="Arial"/>
          <w:sz w:val="17"/>
          <w:szCs w:val="17"/>
          <w:color w:val="auto"/>
        </w:rPr>
        <w:t>. The underwriters may make bids or purchases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preventing or retarding a decline in the price of our units, as long as stabilizing bids do not exceed the offering price of $10.00 and the underwriters comply with all other applicable rules.</w:t>
      </w:r>
    </w:p>
    <w:p>
      <w:pPr>
        <w:spacing w:after="0" w:line="49" w:lineRule="exact"/>
        <w:rPr>
          <w:rFonts w:ascii="Arial" w:cs="Arial" w:eastAsia="Arial" w:hAnsi="Arial"/>
          <w:sz w:val="17"/>
          <w:szCs w:val="17"/>
          <w:color w:val="auto"/>
        </w:rPr>
      </w:pPr>
    </w:p>
    <w:p>
      <w:pPr>
        <w:ind w:left="1800" w:right="419" w:hanging="180"/>
        <w:spacing w:after="0" w:line="268" w:lineRule="auto"/>
        <w:tabs>
          <w:tab w:leader="none" w:pos="180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Over-Allotments and Syndicate Coverage Transactions</w:t>
      </w:r>
      <w:r>
        <w:rPr>
          <w:rFonts w:ascii="Arial" w:cs="Arial" w:eastAsia="Arial" w:hAnsi="Arial"/>
          <w:sz w:val="17"/>
          <w:szCs w:val="17"/>
          <w:color w:val="auto"/>
        </w:rPr>
        <w:t>. The underwriters may create a short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19"/>
        <w:spacing w:after="0" w:line="261" w:lineRule="auto"/>
        <w:rPr>
          <w:sz w:val="20"/>
          <w:szCs w:val="20"/>
          <w:color w:val="auto"/>
        </w:rPr>
      </w:pPr>
      <w:r>
        <w:rPr>
          <w:rFonts w:ascii="Arial" w:cs="Arial" w:eastAsia="Arial" w:hAnsi="Arial"/>
          <w:sz w:val="18"/>
          <w:szCs w:val="18"/>
          <w:color w:val="auto"/>
        </w:rPr>
        <w:t>more than the over-allotment option, the naked short must be covered by purchases in the aftermarket, which could be at prices above the offering price.</w:t>
      </w:r>
    </w:p>
    <w:p>
      <w:pPr>
        <w:spacing w:after="0" w:line="45" w:lineRule="exact"/>
        <w:rPr>
          <w:sz w:val="20"/>
          <w:szCs w:val="20"/>
          <w:color w:val="auto"/>
        </w:rPr>
      </w:pPr>
    </w:p>
    <w:p>
      <w:pPr>
        <w:ind w:left="1800" w:right="419" w:hanging="180"/>
        <w:spacing w:after="0" w:line="266"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Penalty Bids</w:t>
      </w:r>
      <w:r>
        <w:rPr>
          <w:rFonts w:ascii="Arial" w:cs="Arial" w:eastAsia="Arial" w:hAnsi="Arial"/>
          <w:sz w:val="18"/>
          <w:szCs w:val="18"/>
          <w:color w:val="auto"/>
        </w:rPr>
        <w:t>. The representative may reclaim a selling concession from a syndicate member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units originally sold by the syndicate member are purchased in a stabilizing or syndicate covering transaction to cover syndicate short positions.</w:t>
      </w:r>
    </w:p>
    <w:p>
      <w:pPr>
        <w:spacing w:after="0" w:line="112"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14" w:lineRule="exact"/>
        <w:rPr>
          <w:sz w:val="20"/>
          <w:szCs w:val="20"/>
          <w:color w:val="auto"/>
        </w:rPr>
      </w:pPr>
    </w:p>
    <w:p>
      <w:pPr>
        <w:jc w:val="both"/>
        <w:ind w:left="1260" w:right="439" w:firstLine="360"/>
        <w:spacing w:after="0" w:line="261" w:lineRule="auto"/>
        <w:rPr>
          <w:sz w:val="20"/>
          <w:szCs w:val="20"/>
          <w:color w:val="auto"/>
        </w:rPr>
      </w:pPr>
      <w:r>
        <w:rPr>
          <w:rFonts w:ascii="Arial" w:cs="Arial" w:eastAsia="Arial" w:hAnsi="Arial"/>
          <w:sz w:val="18"/>
          <w:szCs w:val="18"/>
          <w:color w:val="auto"/>
        </w:rPr>
        <w:t>We have been advised by the representative of the underwriters that it does not intend to make a market in our public units.</w:t>
      </w:r>
    </w:p>
    <w:p>
      <w:pPr>
        <w:spacing w:after="0" w:line="90"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the Nasdaq, in the over-the-counter market or on any trading market. If any of these transactions are commenced, they may be discontinued without notice at any time.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Chardan NexTech 2 Warrant Holdings LLC, an affiliate of our sponsor, has committed, pursuant to a written agreement, to purchase an aggregate of 4,361,456 (or up to 4,627,858, depending on the extent to which the underwriters’ over-allotment option is exercised) private warrants at a price of approximately $0.93 per warrant ($4,052,000 (or up to $4,299,500 depending on the extent to which the underwriters’ over-allotment option is exercised)) in a private placement that will occur simultaneously with the closing of this offering. The private warrants have terms and provisions that are identical to the public warrants sold in this offering except as described under “</w:t>
      </w:r>
      <w:r>
        <w:rPr>
          <w:rFonts w:ascii="Arial" w:cs="Arial" w:eastAsia="Arial" w:hAnsi="Arial"/>
          <w:sz w:val="17"/>
          <w:szCs w:val="17"/>
          <w:i w:val="1"/>
          <w:iCs w:val="1"/>
          <w:color w:val="auto"/>
        </w:rPr>
        <w:t>Description of Securities — Redeemable Warrants — Private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Warrants </w:t>
      </w:r>
      <w:r>
        <w:rPr>
          <w:rFonts w:ascii="Arial" w:cs="Arial" w:eastAsia="Arial" w:hAnsi="Arial"/>
          <w:sz w:val="17"/>
          <w:szCs w:val="17"/>
          <w:color w:val="auto"/>
        </w:rPr>
        <w:t>.” The private warrants will be considered underwriting compensation in connection with this</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Such private warrants will be subject to lock-up restrictions, as required by FINRA Rule 5110(e)</w:t>
      </w:r>
    </w:p>
    <w:p>
      <w:pPr>
        <w:spacing w:after="0" w:line="6" w:lineRule="exact"/>
        <w:rPr>
          <w:sz w:val="20"/>
          <w:szCs w:val="20"/>
          <w:color w:val="auto"/>
        </w:rPr>
      </w:pPr>
    </w:p>
    <w:p>
      <w:pPr>
        <w:ind w:left="1260" w:right="439"/>
        <w:spacing w:after="0" w:line="236" w:lineRule="auto"/>
        <w:tabs>
          <w:tab w:leader="none" w:pos="152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5110(e)(2). We have granted our sponsor the registration rights as described under the section “</w:t>
      </w:r>
      <w:r>
        <w:rPr>
          <w:rFonts w:ascii="Arial" w:cs="Arial" w:eastAsia="Arial" w:hAnsi="Arial"/>
          <w:sz w:val="18"/>
          <w:szCs w:val="18"/>
          <w:i w:val="1"/>
          <w:iCs w:val="1"/>
          <w:color w:val="auto"/>
        </w:rPr>
        <w:t>Description of our</w:t>
      </w:r>
      <w:r>
        <w:rPr>
          <w:rFonts w:ascii="Arial" w:cs="Arial" w:eastAsia="Arial" w:hAnsi="Arial"/>
          <w:sz w:val="18"/>
          <w:szCs w:val="18"/>
          <w:color w:val="auto"/>
        </w:rPr>
        <w:t xml:space="preserve"> Securities — </w:t>
      </w:r>
      <w:r>
        <w:rPr>
          <w:rFonts w:ascii="Arial" w:cs="Arial" w:eastAsia="Arial" w:hAnsi="Arial"/>
          <w:sz w:val="18"/>
          <w:szCs w:val="18"/>
          <w:i w:val="1"/>
          <w:iCs w:val="1"/>
          <w:color w:val="auto"/>
        </w:rPr>
        <w:t>Registration Rights</w:t>
      </w:r>
      <w:r>
        <w:rPr>
          <w:rFonts w:ascii="Arial" w:cs="Arial" w:eastAsia="Arial" w:hAnsi="Arial"/>
          <w:sz w:val="18"/>
          <w:szCs w:val="18"/>
          <w:color w:val="auto"/>
        </w:rPr>
        <w:t>.” The demand and piggyback registration rights being granted to our sponsor are subject to FINRA Rule 5110(g) and will be in compliance with FINRA Rule 5110.05.</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have engaged Chardan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assist us in obtaining stockholder approval for the business combination and assist us with our press releases and public filings in connection with the business combination.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Our sponsor is an affiliate of Chardan, the representative of the underwriters in this offering, and certain of our officers and directors are affiliated with Chardan. As a result, Chardan is deemed to have a “conflict of interest” within the meaning of FINRA Rule 5121.</w:t>
      </w:r>
    </w:p>
    <w:p>
      <w:pPr>
        <w:spacing w:after="0" w:line="114"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with respect thereto. B. Riley Securities, Inc. has agreed to act as a “qualified independent underwriter” for this offering. B. Riley Securities, Inc. will receive $100,000 from the total underwriting discount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Terms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Resale Restrictions</w:t>
      </w:r>
    </w:p>
    <w:p>
      <w:pPr>
        <w:spacing w:after="0" w:line="162"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44"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76" w:lineRule="exact"/>
        <w:rPr>
          <w:sz w:val="20"/>
          <w:szCs w:val="20"/>
          <w:color w:val="auto"/>
        </w:rPr>
      </w:pPr>
    </w:p>
    <w:p>
      <w:pPr>
        <w:ind w:left="1800" w:right="1039" w:hanging="180"/>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30"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purchaser acknowledges and consents to the provision of specified information concerning its purchase of our securities to the regulatory authority that by law is entitled to collect the information.</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Rights of Action — Ontario Purchasers Only</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58"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Collection of Personal Information</w:t>
      </w:r>
    </w:p>
    <w:p>
      <w:pPr>
        <w:spacing w:after="0" w:line="158"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7"/>
          <w:szCs w:val="17"/>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Suite 1903, Box 5520, Queen Street West, Toronto, Ontario, M5H 3S8, Telephone: (416) 593-8086,</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(416) 593-8252.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Reed Smith LLP, is acting as United States counsel in connection with the registration of the offer and sale of our securities under the Securities Act and will pass on the validity of the securities offered in the prospectus. Greenberg Traurig, LLP, is acting as counsel for the underwriters in this offering.</w:t>
      </w:r>
    </w:p>
    <w:p>
      <w:pPr>
        <w:spacing w:after="0" w:line="16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financial statements of Chardan NexTech Acquisition 2 Corp. as of December 31, 2020, and for the period from June 23,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 xml:space="preserve">http://www.sec.gov </w:t>
      </w:r>
      <w:r>
        <w:rPr>
          <w:rFonts w:ascii="Arial" w:cs="Arial" w:eastAsia="Arial" w:hAnsi="Arial"/>
          <w:sz w:val="17"/>
          <w:szCs w:val="17"/>
          <w:color w:val="auto"/>
        </w:rPr>
        <w:t>which contains the Form S-1 and other reports, proxy and information statements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7460" w:type="dxa"/>
            <w:vAlign w:val="bottom"/>
            <w:gridSpan w:val="8"/>
          </w:tcPr>
          <w:p>
            <w:pPr>
              <w:jc w:val="center"/>
              <w:ind w:left="290"/>
              <w:spacing w:after="0"/>
              <w:rPr>
                <w:sz w:val="20"/>
                <w:szCs w:val="20"/>
                <w:color w:val="auto"/>
              </w:rPr>
            </w:pPr>
            <w:r>
              <w:rPr>
                <w:rFonts w:ascii="Arial" w:cs="Arial" w:eastAsia="Arial" w:hAnsi="Arial"/>
                <w:sz w:val="18"/>
                <w:szCs w:val="18"/>
                <w:b w:val="1"/>
                <w:bCs w:val="1"/>
                <w:color w:val="auto"/>
                <w:w w:val="97"/>
              </w:rPr>
              <w:t>CHARDAN NEXTECH ACQUISITION 2 CORP.</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38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98"/>
              </w:rPr>
              <w:t>INDEX TO FINANCIAL STATEMENTS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5"/>
        </w:trPr>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69"/>
        </w:trPr>
        <w:tc>
          <w:tcPr>
            <w:tcW w:w="4420" w:type="dxa"/>
            <w:vAlign w:val="bottom"/>
            <w:tcBorders>
              <w:bottom w:val="single" w:sz="8" w:color="0000EE"/>
            </w:tcBorders>
            <w:gridSpan w:val="3"/>
            <w:shd w:val="clear" w:color="auto" w:fill="CCEEFF"/>
          </w:tcPr>
          <w:p>
            <w:pPr>
              <w:spacing w:after="0" w:line="162" w:lineRule="exact"/>
              <w:rPr>
                <w:rFonts w:ascii="Arial" w:cs="Arial" w:eastAsia="Arial" w:hAnsi="Arial"/>
                <w:sz w:val="18"/>
                <w:szCs w:val="18"/>
                <w:color w:val="0000EE"/>
                <w:w w:val="95"/>
              </w:rPr>
            </w:pPr>
            <w:hyperlink w:anchor="page161">
              <w:r>
                <w:rPr>
                  <w:rFonts w:ascii="Arial" w:cs="Arial" w:eastAsia="Arial" w:hAnsi="Arial"/>
                  <w:sz w:val="18"/>
                  <w:szCs w:val="18"/>
                  <w:color w:val="0000EE"/>
                  <w:w w:val="95"/>
                </w:rPr>
                <w:t>Report of Independent Registered Public Accounting Firm</w:t>
              </w:r>
            </w:hyperlink>
          </w:p>
        </w:tc>
        <w:tc>
          <w:tcPr>
            <w:tcW w:w="3220" w:type="dxa"/>
            <w:vAlign w:val="bottom"/>
            <w:tcBorders>
              <w:bottom w:val="single" w:sz="8" w:color="CCEEFF"/>
            </w:tcBorders>
            <w:gridSpan w:val="6"/>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0000EE"/>
            </w:tcBorders>
            <w:shd w:val="clear" w:color="auto" w:fill="CCEEFF"/>
          </w:tcPr>
          <w:p>
            <w:pPr>
              <w:spacing w:after="0" w:line="162"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F-2</w:t>
              </w:r>
            </w:hyperlink>
          </w:p>
        </w:tc>
      </w:tr>
      <w:tr>
        <w:trPr>
          <w:trHeight w:val="229"/>
        </w:trPr>
        <w:tc>
          <w:tcPr>
            <w:tcW w:w="7640" w:type="dxa"/>
            <w:vAlign w:val="bottom"/>
            <w:gridSpan w:val="9"/>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Balance Sheets as of March 31, 2021 (unaudited) and December 31, 2020</w:t>
              </w:r>
            </w:hyperlink>
          </w:p>
        </w:tc>
        <w:tc>
          <w:tcPr>
            <w:tcW w:w="560" w:type="dxa"/>
            <w:vAlign w:val="bottom"/>
            <w:gridSpan w:val="2"/>
          </w:tcPr>
          <w:p>
            <w:pPr>
              <w:ind w:left="300"/>
              <w:spacing w:after="0"/>
              <w:rPr>
                <w:rFonts w:ascii="Arial" w:cs="Arial" w:eastAsia="Arial" w:hAnsi="Arial"/>
                <w:sz w:val="18"/>
                <w:szCs w:val="18"/>
                <w:color w:val="0000EE"/>
                <w:w w:val="88"/>
              </w:rPr>
            </w:pPr>
            <w:hyperlink w:anchor="page162">
              <w:r>
                <w:rPr>
                  <w:rFonts w:ascii="Arial" w:cs="Arial" w:eastAsia="Arial" w:hAnsi="Arial"/>
                  <w:sz w:val="18"/>
                  <w:szCs w:val="18"/>
                  <w:color w:val="0000EE"/>
                  <w:w w:val="88"/>
                </w:rPr>
                <w:t>F-3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16"/>
        </w:trPr>
        <w:tc>
          <w:tcPr>
            <w:tcW w:w="758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4"/>
              </w:rPr>
            </w:pPr>
            <w:hyperlink w:anchor="page163">
              <w:r>
                <w:rPr>
                  <w:rFonts w:ascii="Arial" w:cs="Arial" w:eastAsia="Arial" w:hAnsi="Arial"/>
                  <w:sz w:val="18"/>
                  <w:szCs w:val="18"/>
                  <w:color w:val="0000EE"/>
                  <w:w w:val="94"/>
                </w:rPr>
                <w:t>Statements of Operations for the three months ended March 31, 2021 (unaudited) and for the period</w:t>
              </w:r>
            </w:hyperlink>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w:anchor="page163">
              <w:r>
                <w:rPr>
                  <w:rFonts w:ascii="Arial" w:cs="Arial" w:eastAsia="Arial" w:hAnsi="Arial"/>
                  <w:sz w:val="18"/>
                  <w:szCs w:val="18"/>
                  <w:color w:val="0000EE"/>
                  <w:w w:val="94"/>
                </w:rPr>
                <w:t>from June 23, 2020 (inception) through December 31, 2020</w:t>
              </w:r>
            </w:hyperlink>
          </w:p>
        </w:tc>
        <w:tc>
          <w:tcPr>
            <w:tcW w:w="2960" w:type="dxa"/>
            <w:vAlign w:val="bottom"/>
            <w:tcBorders>
              <w:bottom w:val="single" w:sz="8" w:color="CCEEFF"/>
            </w:tcBorders>
            <w:gridSpan w:val="5"/>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F-4</w:t>
              </w:r>
            </w:hyperlink>
          </w:p>
        </w:tc>
      </w:tr>
      <w:tr>
        <w:trPr>
          <w:trHeight w:val="216"/>
        </w:trPr>
        <w:tc>
          <w:tcPr>
            <w:tcW w:w="68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64">
              <w:r>
                <w:rPr>
                  <w:rFonts w:ascii="Arial" w:cs="Arial" w:eastAsia="Arial" w:hAnsi="Arial"/>
                  <w:sz w:val="18"/>
                  <w:szCs w:val="18"/>
                  <w:color w:val="0000EE"/>
                  <w:w w:val="94"/>
                </w:rPr>
                <w:t>Statements of Changes in Stockholder’s Equity for the three months ended March 31, 2021</w:t>
              </w:r>
            </w:hyperlink>
          </w:p>
        </w:tc>
        <w:tc>
          <w:tcPr>
            <w:tcW w:w="7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460" w:type="dxa"/>
            <w:vAlign w:val="bottom"/>
            <w:gridSpan w:val="8"/>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(unaudited) and for the period from June 23, 2020 (inception) through December 31, 2020</w:t>
              </w:r>
            </w:hyperlink>
          </w:p>
        </w:tc>
        <w:tc>
          <w:tcPr>
            <w:tcW w:w="560" w:type="dxa"/>
            <w:vAlign w:val="bottom"/>
            <w:gridSpan w:val="2"/>
          </w:tcPr>
          <w:p>
            <w:pPr>
              <w:ind w:left="300"/>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F-5</w:t>
              </w:r>
            </w:hyperlink>
          </w:p>
        </w:tc>
      </w:tr>
      <w:tr>
        <w:trPr>
          <w:trHeight w:val="34"/>
        </w:trPr>
        <w:tc>
          <w:tcPr>
            <w:tcW w:w="180" w:type="dxa"/>
            <w:vAlign w:val="bottom"/>
          </w:tcPr>
          <w:p>
            <w:pPr>
              <w:spacing w:after="0"/>
              <w:rPr>
                <w:sz w:val="2"/>
                <w:szCs w:val="2"/>
                <w:color w:val="auto"/>
              </w:rPr>
            </w:pPr>
          </w:p>
        </w:tc>
        <w:tc>
          <w:tcPr>
            <w:tcW w:w="2080" w:type="dxa"/>
            <w:vAlign w:val="bottom"/>
            <w:tcBorders>
              <w:top w:val="single" w:sz="8" w:color="0000EE"/>
            </w:tcBorders>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r>
      <w:tr>
        <w:trPr>
          <w:trHeight w:val="216"/>
        </w:trPr>
        <w:tc>
          <w:tcPr>
            <w:tcW w:w="764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4"/>
              </w:rPr>
            </w:pPr>
            <w:hyperlink w:anchor="page165">
              <w:r>
                <w:rPr>
                  <w:rFonts w:ascii="Arial" w:cs="Arial" w:eastAsia="Arial" w:hAnsi="Arial"/>
                  <w:sz w:val="18"/>
                  <w:szCs w:val="18"/>
                  <w:color w:val="0000EE"/>
                  <w:w w:val="94"/>
                </w:rPr>
                <w:t>Statements of Cash Flows for the three months ended March 31, 2021 (unaudited) and for the period</w:t>
              </w:r>
            </w:hyperlink>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w:anchor="page165">
              <w:r>
                <w:rPr>
                  <w:rFonts w:ascii="Arial" w:cs="Arial" w:eastAsia="Arial" w:hAnsi="Arial"/>
                  <w:sz w:val="18"/>
                  <w:szCs w:val="18"/>
                  <w:color w:val="0000EE"/>
                  <w:w w:val="94"/>
                </w:rPr>
                <w:t>from June 23, 2020 (inception) through December 31, 2020</w:t>
              </w:r>
            </w:hyperlink>
          </w:p>
        </w:tc>
        <w:tc>
          <w:tcPr>
            <w:tcW w:w="2960" w:type="dxa"/>
            <w:vAlign w:val="bottom"/>
            <w:tcBorders>
              <w:bottom w:val="single" w:sz="8" w:color="CCEEFF"/>
            </w:tcBorders>
            <w:gridSpan w:val="5"/>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F-6</w:t>
              </w:r>
            </w:hyperlink>
          </w:p>
        </w:tc>
      </w:tr>
      <w:tr>
        <w:trPr>
          <w:trHeight w:val="230"/>
        </w:trPr>
        <w:tc>
          <w:tcPr>
            <w:tcW w:w="2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66">
              <w:r>
                <w:rPr>
                  <w:rFonts w:ascii="Arial" w:cs="Arial" w:eastAsia="Arial" w:hAnsi="Arial"/>
                  <w:sz w:val="18"/>
                  <w:szCs w:val="18"/>
                  <w:color w:val="0000EE"/>
                  <w:w w:val="93"/>
                </w:rPr>
                <w:t>Notes to Financial Statements</w:t>
              </w:r>
            </w:hyperlink>
          </w:p>
        </w:tc>
        <w:tc>
          <w:tcPr>
            <w:tcW w:w="5380" w:type="dxa"/>
            <w:vAlign w:val="bottom"/>
            <w:gridSpan w:val="7"/>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66">
              <w:r>
                <w:rPr>
                  <w:rFonts w:ascii="Arial" w:cs="Arial" w:eastAsia="Arial" w:hAnsi="Arial"/>
                  <w:sz w:val="18"/>
                  <w:szCs w:val="18"/>
                  <w:color w:val="0000EE"/>
                  <w:w w:val="88"/>
                </w:rPr>
                <w:t>F-7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have audited the accompanying balance sheet of Chardan NexTech Acquisition 2 Corp. (the “Company”) as of December 31, 2020, the related statements of operations, changes in stockholder’s equity and cash flows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23, 2020 (inception) through December 31, 2020, in conformity with accounting principles generally accepted in the United States of America.</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45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BALANCE SHEETS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March 31, 2021</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19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5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Current assets – cash</w:t>
            </w:r>
          </w:p>
        </w:tc>
        <w:tc>
          <w:tcPr>
            <w:tcW w:w="460" w:type="dxa"/>
            <w:vAlign w:val="bottom"/>
            <w:gridSpan w:val="3"/>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72,882</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25,000</w:t>
            </w:r>
          </w:p>
        </w:tc>
      </w:tr>
      <w:tr>
        <w:trPr>
          <w:trHeight w:val="263"/>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77,118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7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150,000</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25,000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460" w:type="dxa"/>
            <w:vAlign w:val="bottom"/>
            <w:gridSpan w:val="3"/>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63"/>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Promissory note – related party</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125,000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126,000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r>
      <w:tr>
        <w:trPr>
          <w:trHeight w:val="25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92"/>
        </w:trPr>
        <w:tc>
          <w:tcPr>
            <w:tcW w:w="596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w w:val="95"/>
              </w:rPr>
              <w:t>Common stock, $0.0001 par value; 5,000,000 shares authorized; 3,162,500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94"/>
        </w:trPr>
        <w:tc>
          <w:tcPr>
            <w:tcW w:w="5960" w:type="dxa"/>
            <w:vAlign w:val="bottom"/>
            <w:gridSpan w:val="2"/>
            <w:shd w:val="clear" w:color="auto" w:fill="CCEEFF"/>
          </w:tcPr>
          <w:p>
            <w:pPr>
              <w:ind w:left="360"/>
              <w:spacing w:after="0" w:line="295" w:lineRule="exact"/>
              <w:rPr>
                <w:sz w:val="20"/>
                <w:szCs w:val="20"/>
                <w:color w:val="auto"/>
              </w:rPr>
            </w:pPr>
            <w:r>
              <w:rPr>
                <w:rFonts w:ascii="Arial" w:cs="Arial" w:eastAsia="Arial" w:hAnsi="Arial"/>
                <w:sz w:val="18"/>
                <w:szCs w:val="18"/>
                <w:color w:val="auto"/>
              </w:rPr>
              <w:t>issued and outstanding</w:t>
            </w:r>
            <w:r>
              <w:rPr>
                <w:rFonts w:ascii="Arial" w:cs="Arial" w:eastAsia="Arial" w:hAnsi="Arial"/>
                <w:sz w:val="26"/>
                <w:szCs w:val="26"/>
                <w:color w:val="auto"/>
                <w:vertAlign w:val="superscript"/>
              </w:rPr>
              <w:t>(1)(2)</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r>
      <w:tr>
        <w:trPr>
          <w:trHeight w:val="25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24,683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24,683</w:t>
            </w:r>
          </w:p>
        </w:tc>
      </w:tr>
      <w:tr>
        <w:trPr>
          <w:trHeight w:val="263"/>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77"/>
        </w:trPr>
        <w:tc>
          <w:tcPr>
            <w:tcW w:w="59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24,000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24,000</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304"/>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150,000</w:t>
            </w:r>
          </w:p>
        </w:tc>
        <w:tc>
          <w:tcPr>
            <w:tcW w:w="2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25,000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-299720</wp:posOffset>
            </wp:positionV>
            <wp:extent cx="52120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-3145790</wp:posOffset>
            </wp:positionV>
            <wp:extent cx="46716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101" w:lineRule="exact"/>
        <w:rPr>
          <w:sz w:val="20"/>
          <w:szCs w:val="20"/>
          <w:color w:val="auto"/>
        </w:rPr>
      </w:pPr>
    </w:p>
    <w:p>
      <w:pPr>
        <w:ind w:left="1620" w:right="519" w:hanging="360"/>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up to 412,500 shares of common stock subject to forfeiture if the over-allotment option is not exercised in full or in part by the underwriter (see Note 5).</w:t>
      </w:r>
    </w:p>
    <w:p>
      <w:pPr>
        <w:spacing w:after="0" w:line="35" w:lineRule="exact"/>
        <w:rPr>
          <w:rFonts w:ascii="Arial" w:cs="Arial" w:eastAsia="Arial" w:hAnsi="Arial"/>
          <w:sz w:val="18"/>
          <w:szCs w:val="18"/>
          <w:color w:val="auto"/>
        </w:rPr>
      </w:pPr>
    </w:p>
    <w:p>
      <w:pPr>
        <w:ind w:left="1620" w:right="699" w:hanging="360"/>
        <w:spacing w:after="0" w:line="279" w:lineRule="auto"/>
        <w:tabs>
          <w:tab w:leader="none" w:pos="1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STATEMENTS OF OPERATIONS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w:t>
            </w: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For the three</w:t>
            </w:r>
          </w:p>
        </w:tc>
        <w:tc>
          <w:tcPr>
            <w:tcW w:w="18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Period from</w:t>
            </w: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months ended</w:t>
            </w:r>
          </w:p>
        </w:tc>
        <w:tc>
          <w:tcPr>
            <w:tcW w:w="1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23, 2020</w:t>
            </w: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95"/>
              </w:rPr>
              <w:t>March 31, 2021    (inception) Through</w:t>
            </w:r>
          </w:p>
        </w:tc>
      </w:tr>
      <w:tr>
        <w:trPr>
          <w:trHeight w:val="186"/>
        </w:trPr>
        <w:tc>
          <w:tcPr>
            <w:tcW w:w="19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(unaudited)</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December 31, 2020</w:t>
            </w:r>
          </w:p>
        </w:tc>
      </w:tr>
      <w:tr>
        <w:trPr>
          <w:trHeight w:val="26"/>
        </w:trPr>
        <w:tc>
          <w:tcPr>
            <w:tcW w:w="19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7"/>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r>
      <w:tr>
        <w:trPr>
          <w:trHeight w:val="20"/>
        </w:trPr>
        <w:tc>
          <w:tcPr>
            <w:tcW w:w="194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70"/>
        </w:trPr>
        <w:tc>
          <w:tcPr>
            <w:tcW w:w="55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w:t>
            </w:r>
          </w:p>
        </w:tc>
        <w:tc>
          <w:tcPr>
            <w:tcW w:w="400" w:type="dxa"/>
            <w:vAlign w:val="bottom"/>
            <w:gridSpan w:val="3"/>
          </w:tcPr>
          <w:p>
            <w:pPr>
              <w:ind w:left="3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71"/>
        </w:trPr>
        <w:tc>
          <w:tcPr>
            <w:tcW w:w="5580" w:type="dxa"/>
            <w:vAlign w:val="bottom"/>
            <w:gridSpan w:val="2"/>
            <w:shd w:val="clear" w:color="auto" w:fill="CCEEFF"/>
          </w:tcPr>
          <w:p>
            <w:pPr>
              <w:spacing w:after="0" w:line="251" w:lineRule="exact"/>
              <w:rPr>
                <w:sz w:val="20"/>
                <w:szCs w:val="20"/>
                <w:color w:val="auto"/>
              </w:rPr>
            </w:pPr>
            <w:r>
              <w:rPr>
                <w:rFonts w:ascii="Arial" w:cs="Arial" w:eastAsia="Arial" w:hAnsi="Arial"/>
                <w:sz w:val="18"/>
                <w:szCs w:val="18"/>
                <w:color w:val="auto"/>
                <w:w w:val="98"/>
              </w:rPr>
              <w:t>Weighted average common shares outstanding, basic and diluted</w:t>
            </w:r>
            <w:r>
              <w:rPr>
                <w:rFonts w:ascii="Arial" w:cs="Arial" w:eastAsia="Arial" w:hAnsi="Arial"/>
                <w:sz w:val="26"/>
                <w:szCs w:val="26"/>
                <w:color w:val="auto"/>
                <w:w w:val="98"/>
                <w:vertAlign w:val="superscript"/>
              </w:rPr>
              <w:t>(1)(2)</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2,750,000</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2,750,000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400" w:type="dxa"/>
            <w:vAlign w:val="bottom"/>
            <w:gridSpan w:val="3"/>
          </w:tcPr>
          <w:p>
            <w:pPr>
              <w:ind w:left="30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(0.00)</w:t>
            </w:r>
          </w:p>
        </w:tc>
      </w:tr>
      <w:tr>
        <w:trPr>
          <w:trHeight w:val="21"/>
        </w:trPr>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-864870</wp:posOffset>
            </wp:positionV>
            <wp:extent cx="44316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01" w:lineRule="exact"/>
        <w:rPr>
          <w:sz w:val="20"/>
          <w:szCs w:val="20"/>
          <w:color w:val="auto"/>
        </w:rPr>
      </w:pPr>
    </w:p>
    <w:p>
      <w:pPr>
        <w:ind w:left="1620" w:right="479" w:hanging="360"/>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Excludes up to 412,500 shares of common stock subject to forfeiture if the over-allotment option is not exercised in full or in part by the underwriter (see Note 5).</w:t>
      </w:r>
    </w:p>
    <w:p>
      <w:pPr>
        <w:spacing w:after="0" w:line="35" w:lineRule="exact"/>
        <w:rPr>
          <w:rFonts w:ascii="Arial" w:cs="Arial" w:eastAsia="Arial" w:hAnsi="Arial"/>
          <w:sz w:val="18"/>
          <w:szCs w:val="18"/>
          <w:color w:val="auto"/>
        </w:rPr>
      </w:pPr>
    </w:p>
    <w:p>
      <w:pPr>
        <w:ind w:left="1620" w:right="699" w:hanging="360"/>
        <w:spacing w:after="0" w:line="279" w:lineRule="auto"/>
        <w:tabs>
          <w:tab w:leader="none" w:pos="1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THREE MONTHS ENDED MARCH 31, 2021 (UNAUDITED) AND FOR THE PERIOD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FROM JUNE 23, 2020 (INCEPTION) THROUGH DECEMBER 31, 2020</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2"/>
        </w:trPr>
        <w:tc>
          <w:tcPr>
            <w:tcW w:w="19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8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5"/>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23, 2020 (inception)</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3760" w:type="dxa"/>
            <w:vAlign w:val="bottom"/>
            <w:gridSpan w:val="2"/>
          </w:tcPr>
          <w:p>
            <w:pPr>
              <w:spacing w:after="0" w:line="192" w:lineRule="exact"/>
              <w:rPr>
                <w:sz w:val="20"/>
                <w:szCs w:val="20"/>
                <w:color w:val="auto"/>
              </w:rPr>
            </w:pPr>
            <w:r>
              <w:rPr>
                <w:rFonts w:ascii="Arial" w:cs="Arial" w:eastAsia="Arial" w:hAnsi="Arial"/>
                <w:sz w:val="18"/>
                <w:szCs w:val="18"/>
                <w:color w:val="auto"/>
              </w:rPr>
              <w:t>Issuance of common stock to</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76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Sponsor</w:t>
            </w:r>
            <w:r>
              <w:rPr>
                <w:rFonts w:ascii="Arial" w:cs="Arial" w:eastAsia="Arial" w:hAnsi="Arial"/>
                <w:sz w:val="26"/>
                <w:szCs w:val="26"/>
                <w:color w:val="auto"/>
                <w:vertAlign w:val="superscript"/>
              </w:rPr>
              <w:t>(1)(2)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3,162,500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24,683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2"/>
                <w:szCs w:val="2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3,162,500</w:t>
            </w:r>
          </w:p>
        </w:tc>
        <w:tc>
          <w:tcPr>
            <w:tcW w:w="28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$317</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0"/>
              </w:rPr>
              <w:t>24,683</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(1,000)</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24,000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1"/>
                <w:szCs w:val="2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3,162,500</w:t>
            </w:r>
          </w:p>
        </w:tc>
        <w:tc>
          <w:tcPr>
            <w:tcW w:w="280" w:type="dxa"/>
            <w:vAlign w:val="bottom"/>
            <w:vMerge w:val="restart"/>
          </w:tcPr>
          <w:p>
            <w:pPr>
              <w:spacing w:after="0"/>
              <w:rPr>
                <w:sz w:val="19"/>
                <w:szCs w:val="19"/>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w w:val="84"/>
              </w:rPr>
              <w:t>$317</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24,683</w:t>
            </w:r>
          </w:p>
        </w:tc>
        <w:tc>
          <w:tcPr>
            <w:tcW w:w="220" w:type="dxa"/>
            <w:vAlign w:val="bottom"/>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w w:val="87"/>
              </w:rPr>
              <w:t>(1,000)</w:t>
            </w:r>
          </w:p>
        </w:tc>
        <w:tc>
          <w:tcPr>
            <w:tcW w:w="220" w:type="dxa"/>
            <w:vAlign w:val="bottom"/>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24,000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6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7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-1448435</wp:posOffset>
            </wp:positionV>
            <wp:extent cx="46716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101" w:lineRule="exact"/>
        <w:rPr>
          <w:sz w:val="20"/>
          <w:szCs w:val="20"/>
          <w:color w:val="auto"/>
        </w:rPr>
      </w:pPr>
    </w:p>
    <w:p>
      <w:pPr>
        <w:ind w:left="1620" w:right="519" w:hanging="360"/>
        <w:spacing w:after="0" w:line="277"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up to 412,500 shares of common stock subject to forfeiture if the over-allotment option is not exercised in full or in part by the underwriter (see Note 5).</w:t>
      </w:r>
    </w:p>
    <w:p>
      <w:pPr>
        <w:spacing w:after="0" w:line="35" w:lineRule="exact"/>
        <w:rPr>
          <w:rFonts w:ascii="Arial" w:cs="Arial" w:eastAsia="Arial" w:hAnsi="Arial"/>
          <w:sz w:val="18"/>
          <w:szCs w:val="18"/>
          <w:color w:val="auto"/>
        </w:rPr>
      </w:pPr>
    </w:p>
    <w:p>
      <w:pPr>
        <w:ind w:left="1620" w:right="699" w:hanging="360"/>
        <w:spacing w:after="0" w:line="279"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STATEMENTS OF CASH FLOWS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For the Period</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from June 23,</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For the three</w:t>
            </w: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2020 (inception)</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months ended</w:t>
            </w:r>
          </w:p>
        </w:tc>
        <w:tc>
          <w:tcPr>
            <w:tcW w:w="2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March 31, 2021</w:t>
            </w: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(unaudited)</w:t>
            </w:r>
          </w:p>
        </w:tc>
        <w:tc>
          <w:tcPr>
            <w:tcW w:w="80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(77,118)</w:t>
            </w: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(77,118)</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125,000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issuance of common stock to Sponsor</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125,000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47,882</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340" w:type="dxa"/>
            <w:vAlign w:val="bottom"/>
            <w:gridSpan w:val="2"/>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72,882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$25,000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-753745</wp:posOffset>
            </wp:positionV>
            <wp:extent cx="52120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52120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-2108200</wp:posOffset>
            </wp:positionV>
            <wp:extent cx="45859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Chardan NexTech Acquisition 2 Corp (the “Company”) is a blank check company incorporated in Delaware on June 23, 2020. The Company was formed for the purpose of effectuating a merger, capital stock exchange, asset acquisition, stock purchase, reorganization or other similar business combination with one or more businesses (the “Business Combination”). The Company is an emerging growth company and, as such, the Company is subject to all of the risks associated with emerging growth companies.</w:t>
      </w:r>
    </w:p>
    <w:p>
      <w:pPr>
        <w:spacing w:after="0" w:line="106"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As of March 31, 2021, the Company had not commenced any operations. All activity for the period from June 23, 2020 (inception) through March 31, 2021 relates to the Company’s formation and the proposed initial public offering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Company’s ability to commence operations is contingent upon obtaining adequate financial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resources through a Proposed Public Offering of 11,000,000 units (the “Units” and, with respect to the</w:t>
      </w:r>
    </w:p>
    <w:p>
      <w:pPr>
        <w:ind w:left="1260"/>
        <w:spacing w:after="0" w:line="234" w:lineRule="auto"/>
        <w:rPr>
          <w:sz w:val="20"/>
          <w:szCs w:val="20"/>
          <w:color w:val="auto"/>
        </w:rPr>
      </w:pPr>
      <w:r>
        <w:rPr>
          <w:rFonts w:ascii="Arial" w:cs="Arial" w:eastAsia="Arial" w:hAnsi="Arial"/>
          <w:sz w:val="18"/>
          <w:szCs w:val="18"/>
          <w:color w:val="auto"/>
        </w:rPr>
        <w:t>shares of common stock included in the Units being offered, the “Public Shares”) at $10.00 per Unit (or</w:t>
      </w:r>
    </w:p>
    <w:p>
      <w:pPr>
        <w:ind w:left="1260"/>
        <w:spacing w:after="0" w:line="235" w:lineRule="auto"/>
        <w:rPr>
          <w:sz w:val="20"/>
          <w:szCs w:val="20"/>
          <w:color w:val="auto"/>
        </w:rPr>
      </w:pPr>
      <w:r>
        <w:rPr>
          <w:rFonts w:ascii="Arial" w:cs="Arial" w:eastAsia="Arial" w:hAnsi="Arial"/>
          <w:sz w:val="18"/>
          <w:szCs w:val="18"/>
          <w:color w:val="auto"/>
        </w:rPr>
        <w:t>12,650,000 Units if the underwriters’ over-allotment option is exercised in full), which is discussed in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Note 3, and the sale of 4,361,456 warrants (or 4,627,858 warrants if the underwriters’ over-allotment option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 exercised in full) (the “Private Warrants”), at a price of approximately $0.93 per Private Warrant, in a</w:t>
      </w:r>
    </w:p>
    <w:p>
      <w:pPr>
        <w:ind w:left="1260"/>
        <w:spacing w:after="0" w:line="234" w:lineRule="auto"/>
        <w:rPr>
          <w:sz w:val="20"/>
          <w:szCs w:val="20"/>
          <w:color w:val="auto"/>
        </w:rPr>
      </w:pPr>
      <w:r>
        <w:rPr>
          <w:rFonts w:ascii="Arial" w:cs="Arial" w:eastAsia="Arial" w:hAnsi="Arial"/>
          <w:sz w:val="18"/>
          <w:szCs w:val="18"/>
          <w:color w:val="auto"/>
        </w:rPr>
        <w:t>private placement to Chardan NexTech 2 Warrant Holdings LLC, an affiliate of Chardan NexTech</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Investments 2 LLC (the “Sponsor”), that will close simultaneously with the Proposed Public Offering.</w:t>
      </w:r>
    </w:p>
    <w:p>
      <w:pPr>
        <w:spacing w:after="0" w:line="115"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There is no assurance that the Company will be able to complete a Business Combination successfully. Nasdaq rules provide that the Business Combination must be with one or more target businesses that together have a fair market value equal to at least 80% of the value of the Trust Account (as defined below) (excluding taxes payable on the income earned on the Trust Account) at the time of the signing of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$10.15 per Unit sold in the Proposed Public Offering, including the proceeds from the sale of the Private Warrants, will be held in a trust account (“Trust Account”) and invested in U.S. government securities, within the meaning set forth in Section 2(a)(16) of the Investment Company Act, with a maturity of 185 days or less, or in any open -ended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stockholders, as described below.</w:t>
      </w:r>
    </w:p>
    <w:p>
      <w:pPr>
        <w:spacing w:after="0" w:line="12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$10.15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1259"/>
        <w:spacing w:after="0" w:line="261" w:lineRule="auto"/>
        <w:rPr>
          <w:sz w:val="20"/>
          <w:szCs w:val="20"/>
          <w:color w:val="auto"/>
        </w:rPr>
      </w:pPr>
      <w:r>
        <w:rPr>
          <w:rFonts w:ascii="Arial" w:cs="Arial" w:eastAsia="Arial" w:hAnsi="Arial"/>
          <w:sz w:val="18"/>
          <w:szCs w:val="18"/>
          <w:color w:val="auto"/>
        </w:rPr>
        <w:t xml:space="preserve">Accounting Standards Board’s (“FASB”) Accounting Standards Codification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w:t>
      </w:r>
    </w:p>
    <w:p>
      <w:pPr>
        <w:spacing w:after="0" w:line="9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20"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will have 12 months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07"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479"/>
        <w:spacing w:after="0" w:line="237" w:lineRule="auto"/>
        <w:rPr>
          <w:sz w:val="20"/>
          <w:szCs w:val="20"/>
          <w:color w:val="auto"/>
        </w:rPr>
      </w:pPr>
      <w:r>
        <w:rPr>
          <w:rFonts w:ascii="Arial" w:cs="Arial" w:eastAsia="Arial" w:hAnsi="Arial"/>
          <w:sz w:val="17"/>
          <w:szCs w:val="17"/>
          <w:color w:val="auto"/>
        </w:rPr>
        <w:t>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left="1260" w:right="619" w:firstLine="360"/>
        <w:spacing w:after="0" w:line="235"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07" w:lineRule="exact"/>
        <w:rPr>
          <w:sz w:val="20"/>
          <w:szCs w:val="20"/>
          <w:color w:val="auto"/>
        </w:rPr>
      </w:pPr>
    </w:p>
    <w:p>
      <w:pPr>
        <w:ind w:left="1260" w:right="419" w:firstLine="360"/>
        <w:spacing w:after="0" w:line="225" w:lineRule="auto"/>
        <w:rPr>
          <w:sz w:val="20"/>
          <w:szCs w:val="20"/>
          <w:color w:val="auto"/>
        </w:rPr>
      </w:pPr>
      <w:r>
        <w:rPr>
          <w:rFonts w:ascii="Arial" w:cs="Arial" w:eastAsia="Arial" w:hAnsi="Arial"/>
          <w:sz w:val="18"/>
          <w:szCs w:val="18"/>
          <w:color w:val="auto"/>
        </w:rPr>
        <w:t xml:space="preserve">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w:t>
      </w:r>
      <w:r>
        <w:rPr>
          <w:rFonts w:ascii="Arial" w:cs="Arial" w:eastAsia="Arial" w:hAnsi="Arial"/>
          <w:sz w:val="18"/>
          <w:szCs w:val="18"/>
          <w:i w:val="1"/>
          <w:iCs w:val="1"/>
          <w:color w:val="auto"/>
        </w:rPr>
        <w:t>Disclosures of Uncertainties about an Entity’s Ability to Continue as a Going Concern</w:t>
      </w:r>
      <w:r>
        <w:rPr>
          <w:rFonts w:ascii="Arial" w:cs="Arial" w:eastAsia="Arial" w:hAnsi="Arial"/>
          <w:sz w:val="18"/>
          <w:szCs w:val="18"/>
          <w:color w:val="auto"/>
        </w:rPr>
        <w:t>, management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the Company has access to funds from the Sponsor, and the Sponsor has the financial wherewithal to fund the Company,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w:t>
      </w:r>
    </w:p>
    <w:p>
      <w:pPr>
        <w:spacing w:after="0" w:line="148" w:lineRule="exact"/>
        <w:rPr>
          <w:sz w:val="20"/>
          <w:szCs w:val="20"/>
          <w:color w:val="auto"/>
        </w:rPr>
      </w:pPr>
    </w:p>
    <w:p>
      <w:pPr>
        <w:ind w:left="1260" w:right="439" w:firstLine="360"/>
        <w:spacing w:after="0" w:line="22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7"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w:t>
      </w: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contingent assets and liabilities at the date of the financial statements and the reported amounts of expenses during the reporting periods.</w:t>
      </w:r>
    </w:p>
    <w:p>
      <w:pPr>
        <w:spacing w:after="0" w:line="90"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1260" w:right="719" w:firstLine="360"/>
        <w:spacing w:after="0" w:line="24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Offering Costs</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Deferred offering costs consist of legal, accounting and other expenses incurred through the balance sheet date that are directly related to the Proposed Public Offering. The offering costs directly attributable to the issuance of an equity contract to be classified in equity are recorded as a reduction in equity at the time of the Proposed Public Offering. Offering costs for equity contracts that are classified as assets and liabilities are expensed at the time of the Proposed Public Offering. Should the Proposed Public Offering prove to be unsuccessful, all deferred costs, as well as additional expenses incurred, will be charged to operations. The Company had $77,118 and $0 of deferred offering costs at March 31, 2021 and December 31, 2020, respectively.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Deferred tax assets were deemed to be de minimis as of March 31, 2021 and December 31, 2020.</w:t>
      </w:r>
    </w:p>
    <w:p>
      <w:pPr>
        <w:spacing w:after="0" w:line="12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3"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The provision for income taxes was deemed to be de minimis for the period from June 23, 2020 (inception) through December 31, 2020, and for the three months ended March 31, 2021.</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Loss Per Common Share</w:t>
      </w:r>
    </w:p>
    <w:p>
      <w:pPr>
        <w:spacing w:after="0" w:line="14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412,500 shares of common stock that are subject to forfeiture if the over-allotment option is not exercised by the underwriter (see Note 5). At March 31, 2021 and December 31, 2020, the Company did not have any dilutive securities and other contracts</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that could, potentially, be exercised or converted into common stock and then share in the earnings of the Company. As a result, diluted loss per common share is the same as basic loss per common share for the periods presented.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and Uncertainties</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Corporation coverage limit of $250,000. At March 31, 2021 and December 31, 2020, the Company had not experienced losses on this account and management believes the Company is not exposed to significant risks on such account.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 xml:space="preserve">The fair value of the Company’s assets and liabilities, which qualify as financial instruments under FASB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approximates the carrying amounts represented in the accompanying balance sheet, primarily due to their short-term nature.</w:t>
      </w:r>
    </w:p>
    <w:p>
      <w:pPr>
        <w:spacing w:after="0" w:line="101"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28"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16"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03"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Level 3 — Inputs to the fair value measurement are unobservable inputs, such as estimates, assumptions, and valuation techniques when little or no market data exists for the assets or liabilities.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 Liabilities</w:t>
      </w:r>
    </w:p>
    <w:p>
      <w:pPr>
        <w:spacing w:after="0" w:line="162"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ASC 480,</w:t>
      </w:r>
    </w:p>
    <w:p>
      <w:pPr>
        <w:ind w:left="1260" w:right="479"/>
        <w:spacing w:after="0" w:line="290" w:lineRule="auto"/>
        <w:rPr>
          <w:sz w:val="20"/>
          <w:szCs w:val="20"/>
          <w:color w:val="auto"/>
        </w:rPr>
      </w:pP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(“ASC 480”) and ASC 815,</w:t>
      </w:r>
      <w:r>
        <w:rPr>
          <w:rFonts w:ascii="Arial" w:cs="Arial" w:eastAsia="Arial" w:hAnsi="Arial"/>
          <w:sz w:val="17"/>
          <w:szCs w:val="17"/>
          <w:i w:val="1"/>
          <w:iCs w:val="1"/>
          <w:color w:val="auto"/>
        </w:rPr>
        <w:t xml:space="preserve"> Derivatives and Hedging </w:t>
      </w:r>
      <w:r>
        <w:rPr>
          <w:rFonts w:ascii="Arial" w:cs="Arial" w:eastAsia="Arial" w:hAnsi="Arial"/>
          <w:sz w:val="17"/>
          <w:szCs w:val="17"/>
          <w:color w:val="auto"/>
        </w:rPr>
        <w:t>(“ASC 815”).</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assessment considers whether the warrants are freestanding financial instruments pursuant to ASC 480,</w:t>
      </w:r>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0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2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 xml:space="preserve">The Company will account for the Private Placement Warrants issued concurrently in connection with the Initial Public Offering in accordance with Accounting Standards Codification (“ASC”) 815-40, </w:t>
      </w:r>
      <w:r>
        <w:rPr>
          <w:rFonts w:ascii="Arial" w:cs="Arial" w:eastAsia="Arial" w:hAnsi="Arial"/>
          <w:sz w:val="18"/>
          <w:szCs w:val="18"/>
          <w:i w:val="1"/>
          <w:iCs w:val="1"/>
          <w:color w:val="auto"/>
        </w:rPr>
        <w:t xml:space="preserve">Derivatives and Hedging — Contracts in Entity’s Own Equity </w:t>
      </w:r>
      <w:r>
        <w:rPr>
          <w:rFonts w:ascii="Arial" w:cs="Arial" w:eastAsia="Arial" w:hAnsi="Arial"/>
          <w:sz w:val="18"/>
          <w:szCs w:val="18"/>
          <w:color w:val="auto"/>
        </w:rPr>
        <w:t>(“ASC 815”), under which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Placement Warrants will not meet the criteria for equity classification and must be recorded as liabilities. As the Private Placement Warrants meet the definition of a derivative as contemplated in ASC 815, the Private Placement Warrants will be measured at fair value at inception and at each reporting date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changes in fair value recognized in the statements of operations in the period of change.</w:t>
      </w:r>
    </w:p>
    <w:p>
      <w:pPr>
        <w:spacing w:after="0" w:line="126"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Public Warrants are not precluded from equity classification, and will be accounted for as such on the date of issuance, and each balance sheet date thereafter.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PROPOSED PUBLIC OFFERING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Pursuant to the Proposed Public Offering, the Company will offer for sale up to 11,000,000 Units (or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12,650,000 Units if the underwriters’ over-allotment option is exercised in full) at a purchase price of</w:t>
      </w:r>
    </w:p>
    <w:p>
      <w:pPr>
        <w:ind w:left="1260"/>
        <w:spacing w:after="0"/>
        <w:rPr>
          <w:sz w:val="20"/>
          <w:szCs w:val="20"/>
          <w:color w:val="auto"/>
        </w:rPr>
      </w:pPr>
      <w:r>
        <w:rPr>
          <w:rFonts w:ascii="Arial" w:cs="Arial" w:eastAsia="Arial" w:hAnsi="Arial"/>
          <w:sz w:val="17"/>
          <w:szCs w:val="17"/>
          <w:color w:val="auto"/>
        </w:rPr>
        <w:t>$10.00 per Unit. Each Unit will consist of one share of common stock, $0.0001 par value, and three-quarters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one redeemable warrant (“Public Warrant”). Each whole Public Warrant will entitle the holder to</w:t>
      </w:r>
    </w:p>
    <w:p>
      <w:pPr>
        <w:ind w:left="1260"/>
        <w:spacing w:after="0"/>
        <w:rPr>
          <w:sz w:val="20"/>
          <w:szCs w:val="20"/>
          <w:color w:val="auto"/>
        </w:rPr>
      </w:pPr>
      <w:r>
        <w:rPr>
          <w:rFonts w:ascii="Arial" w:cs="Arial" w:eastAsia="Arial" w:hAnsi="Arial"/>
          <w:sz w:val="18"/>
          <w:szCs w:val="18"/>
          <w:color w:val="auto"/>
        </w:rPr>
        <w:t>purchase one share of common stock at an exercise price of $11.50 per whole share (see Note 7).</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PRIVATE PLACEMENT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Chardan NexTech 2 Warrant Holdings LLC has agreed to purchase an aggregate of 4,361,456 (or up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4,627,858 depending on the extent to which the underwriters’ over-allotment option is exercised) Private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Warrants at a price of approximately $0.93 per Private Warrant, for an aggregate purchase price of</w:t>
      </w:r>
    </w:p>
    <w:p>
      <w:pPr>
        <w:ind w:left="1260"/>
        <w:spacing w:after="0"/>
        <w:rPr>
          <w:sz w:val="20"/>
          <w:szCs w:val="20"/>
          <w:color w:val="auto"/>
        </w:rPr>
      </w:pPr>
      <w:r>
        <w:rPr>
          <w:rFonts w:ascii="Arial" w:cs="Arial" w:eastAsia="Arial" w:hAnsi="Arial"/>
          <w:sz w:val="17"/>
          <w:szCs w:val="17"/>
          <w:color w:val="auto"/>
        </w:rPr>
        <w:t>$4,052,000, (or up to $4,299,500 if the underwrites) in a private placement that will occur simultaneously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the closing of the Proposed Public Offering. Each of the Private Warrants is exercisable to purchase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one share of common stock at a price of $11.50 per share, subject to adjustment (see Note 7). The proceeds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the sale of the Private Warrants will be added to the net proceeds from the Proposed Public Offering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 held in the Trust Account. If the Company does not complete a Business Combination within the</w:t>
      </w:r>
    </w:p>
    <w:p>
      <w:pPr>
        <w:ind w:left="1260"/>
        <w:spacing w:after="0"/>
        <w:rPr>
          <w:sz w:val="20"/>
          <w:szCs w:val="20"/>
          <w:color w:val="auto"/>
        </w:rPr>
      </w:pPr>
      <w:r>
        <w:rPr>
          <w:rFonts w:ascii="Arial" w:cs="Arial" w:eastAsia="Arial" w:hAnsi="Arial"/>
          <w:sz w:val="17"/>
          <w:szCs w:val="17"/>
          <w:color w:val="auto"/>
        </w:rPr>
        <w:t>Combination Period, the proceeds from the sale of the Private Warrants will be used to fund the redemption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the Public Shares (subject to the requirements of applicable law) and the Private Warrants will expire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worthless. The Company classifies the outstanding Private Placement Warrants as warrant liabilities on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Balance Sheet in accordance with the guidance contained in ASC 815-40.</w:t>
      </w:r>
    </w:p>
    <w:p>
      <w:pPr>
        <w:spacing w:after="0" w:line="115"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The warrant liability will be initially measured at fair value upon the closing of the Initial Public Offering and subsequently re-measured at each reporting period using a Monte Carlo Simulation Pricing model.</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RELATED PARTY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On August 10, 2021, the Company effectuated a 1.1 -for-1 stock split, resulting in an aggregate of 3,162,500 shares of Common Stock outstanding (see Note 8) . Shares and the associated amounts have been retroactively restated in these financial statements to reflect the two stock splits. The Founder Shares include an aggregate of up to 412,500 shares of common stock subject to forfeiture by the initial stockholders to the extent that the underwriters’ over-allotment is not exercised in full or in part, so that the initial stockholders will collectively own, on an as- converted basis, 20% of the Company’s issued and outstanding shares after the Proposed Public Offering (assuming the Sponsor does not purchase any Public Shares in the Proposed Public Offering).</w:t>
      </w:r>
    </w:p>
    <w:p>
      <w:pPr>
        <w:spacing w:after="0" w:line="11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6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Promissory Note — Related Party</w:t>
      </w:r>
    </w:p>
    <w:p>
      <w:pPr>
        <w:spacing w:after="0" w:line="14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On July 23, 2020, the Sponsor agreed to loan the Company an aggregate of up to $250,000 to cover expenses related to the Proposed Public Offering pursuant to a promissory note (the “Promissory Note”). The Promissory note is non-interest bearing and payable on the earlier of (i) June 30, 2021 or (ii) the consummation of the Proposed Public Offering. As of March 31, 2021 and December 31, 2020, there were $125,000 and $0 of borrowings outstanding under the Promissory Note, respectively.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Administrative Support Agreement</w:t>
      </w:r>
    </w:p>
    <w:p>
      <w:pPr>
        <w:spacing w:after="0" w:line="162"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Company intends to enter into an agreement to the Sponsor, a total of $10,000 per month for office space, administrative, and shared personnel support services. Upon the completion of an initial Business Combination, the Company will cease paying these monthly fees.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March 31, 2021 and December 31, 2020, the Company had no working capital loans outstanding.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COMMITMENTS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162"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519"/>
        <w:spacing w:after="0" w:line="253" w:lineRule="auto"/>
        <w:rPr>
          <w:sz w:val="20"/>
          <w:szCs w:val="20"/>
          <w:color w:val="auto"/>
        </w:rPr>
      </w:pPr>
      <w:r>
        <w:rPr>
          <w:rFonts w:ascii="Arial" w:cs="Arial" w:eastAsia="Arial" w:hAnsi="Arial"/>
          <w:sz w:val="17"/>
          <w:szCs w:val="17"/>
          <w:color w:val="auto"/>
        </w:rPr>
        <w:t>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Underwriting Agreement</w:t>
      </w:r>
    </w:p>
    <w:p>
      <w:pPr>
        <w:spacing w:after="0" w:line="14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Company will grant the underwriter a 45-day option to purchase up to 1,650,000 additional Units to cover over-allotments at the Proposed Public Offering price, less the underwriting discounts and commissions.</w:t>
      </w:r>
    </w:p>
    <w:p>
      <w:pPr>
        <w:spacing w:after="0" w:line="114"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underwriters will be entitled to a cash underwriting discount and qualified independent underwriter fees in the aggregate of $500,000.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Proposed Public Offering. As a result, Chardan Capital Markets, LLC will not be entitled to such fee unless the Company consummates the initial Business Combination.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WARRANTS</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As of March 31, 2021 and December 31, 2020, there are no warrants outstanding. Each whole Public Warrant will entitle the holder to purchase one share of common stock at an exercise price of $11.50 per whole share. The Sponsor, Chardan NexTech Investments 2 LLC, has agreed to purchase an aggregate of 4,361,456 (or up to 4,627,858 depending on the extent to which the underwriters’ over-allotment option is exercised) Private Warrants at a price of approximately $0.93 per Private Warrant, for an aggregate purchase price of $4,052,000 (or up to $4,299,500 depending on the extent to which the underwriters’ over-allotment option is exercised), in a private placement that will occur simultaneously with the closing of the Proposed Public Offering. Each of the Private Warrants is exercisable to purchase one share of common stock at a price of $11.50 per share, subject to adjustment.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18" w:lineRule="exact"/>
        <w:rPr>
          <w:sz w:val="20"/>
          <w:szCs w:val="20"/>
          <w:color w:val="auto"/>
        </w:rPr>
      </w:pPr>
    </w:p>
    <w:p>
      <w:pPr>
        <w:ind w:left="1260" w:right="1039" w:firstLine="360"/>
        <w:spacing w:after="0" w:line="24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26"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1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1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Company will account for the 4,361,456 (or up to 4,627,858 depending on the extent to which the underwriters’ over-allotment option is exercised) private placement warrants to be issued in connection with the Proposed Public Offering (assuming the underwriters’ over-allotment option is not exercised) in accordance with the guidance contained in ASC 815-40. Such guidance provides that because the private placement warrants do not meet the criteria for equity treatment thereunder, each private placement warrant must be recorded as a liability.</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01"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The accounting treatment of derivative financial instruments requires that the Company record the private placement warrants as derivative liabilities at fair value upon the closing of the Proposed Public Offering. This liability is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STOCKHOLDER’S EQUITY</w:t>
      </w:r>
    </w:p>
    <w:p>
      <w:pPr>
        <w:spacing w:after="0" w:line="16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b w:val="1"/>
          <w:bCs w:val="1"/>
          <w:i w:val="1"/>
          <w:iCs w:val="1"/>
          <w:color w:val="auto"/>
        </w:rPr>
        <w:t xml:space="preserve">Common stock — </w:t>
      </w:r>
      <w:r>
        <w:rPr>
          <w:rFonts w:ascii="Arial" w:cs="Arial" w:eastAsia="Arial" w:hAnsi="Arial"/>
          <w:sz w:val="18"/>
          <w:szCs w:val="18"/>
          <w:color w:val="auto"/>
        </w:rPr>
        <w:t>The Company is authorized to issue 5,000,000 shares of common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On March 31, 2021 and December 31, 2020, there were 3,162,500 shares of common stock issued and outstanding. Of the 3,162,500 shares of common stock outstanding, up to 412,500 shares are subject to forfeiture to the Company by the initial stockholders for no consideration to the extent that the underwriters’ over-allotment option is not exercised in full or in part, so that the initial stockholders will collectively own 20% of the Company’s issued and outstanding common stock after a planned public offering.</w:t>
      </w:r>
    </w:p>
    <w:p>
      <w:pPr>
        <w:spacing w:after="0" w:line="123"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 and 1,000,000 shares of preferred stock with a par value of $0.0001.</w:t>
      </w:r>
    </w:p>
    <w:p>
      <w:pPr>
        <w:spacing w:after="0" w:line="107"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SUBSEQUENT EVENTS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dates up to August 12, 2021, the date that the financial statements were available to be issued. Based on this review, other than as described below, the Company did not identify any subsequent events that would have required adjustment or disclosure in the financial statements.</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On March 4, 2021, the Company effected a 2.875-for-1 stock split, resulting in 2,875,000 shares of common stock outstanding (see Note 5). On August 10, 2021, the Company effectuated a 1.1-for-1 stock split, resulting in an aggregate of 3,162,500 founder shares outstanding (see Note 5). All share and per-share amounts have been retroactively restated to reflect the two stock splits.</w:t>
      </w:r>
    </w:p>
    <w:p>
      <w:pPr>
        <w:spacing w:after="0" w:line="107"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On April 12, 2021, the Staff of the SEC issued a statement with respect to the accounting for warrants issued by special purchase acquisition companies. In light of this statement, the Company has determined that the fair value of the private placement warrants should be classified as a warrant liability on the Company’s balance sheet as of the closing of the Proposed Offering that will be filed on Form 8-K. Subsequent changes to the fair value of the warrants will be recorded in the Company’s statement of operations.</w:t>
      </w:r>
    </w:p>
    <w:p>
      <w:pPr>
        <w:spacing w:after="0" w:line="122" w:lineRule="exact"/>
        <w:rPr>
          <w:sz w:val="20"/>
          <w:szCs w:val="20"/>
          <w:color w:val="auto"/>
        </w:rPr>
      </w:pPr>
    </w:p>
    <w:p>
      <w:pPr>
        <w:jc w:val="both"/>
        <w:ind w:left="1260" w:right="479" w:firstLine="360"/>
        <w:spacing w:after="0" w:line="324" w:lineRule="auto"/>
        <w:rPr>
          <w:sz w:val="20"/>
          <w:szCs w:val="20"/>
          <w:color w:val="auto"/>
        </w:rPr>
      </w:pPr>
      <w:r>
        <w:rPr>
          <w:rFonts w:ascii="Arial" w:cs="Arial" w:eastAsia="Arial" w:hAnsi="Arial"/>
          <w:sz w:val="16"/>
          <w:szCs w:val="16"/>
          <w:color w:val="auto"/>
        </w:rPr>
        <w:t>In May and June 2021, our sponsor transferred 20,000 Founder Shares to each of Messrs. Biele, Boyle, Hardamon, Thakrar and Thomson and Ms. Jardins, for an aggregate of 120,000 Founder Shares transferred.</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Subsequent to December 31, 2020, the Company borrowed $125,000 under the Promissory Note.</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60">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357505</wp:posOffset>
            </wp:positionV>
            <wp:extent cx="52120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60" w:right="539"/>
        <w:spacing w:after="0" w:line="264" w:lineRule="auto"/>
        <w:rPr>
          <w:sz w:val="20"/>
          <w:szCs w:val="20"/>
          <w:color w:val="auto"/>
        </w:rPr>
      </w:pPr>
      <w:r>
        <w:rPr>
          <w:rFonts w:ascii="Arial" w:cs="Arial" w:eastAsia="Arial" w:hAnsi="Arial"/>
          <w:sz w:val="17"/>
          <w:szCs w:val="17"/>
          <w:b w:val="1"/>
          <w:bCs w:val="1"/>
          <w:color w:val="auto"/>
        </w:rPr>
        <w:t>Until September 4, 2021 (25 days after the date of this prospectus), all dealers that buy, sell or trade our shares of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02"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00"/>
        <w:spacing w:after="0"/>
        <w:rPr>
          <w:sz w:val="20"/>
          <w:szCs w:val="20"/>
          <w:color w:val="auto"/>
        </w:rPr>
      </w:pPr>
      <w:r>
        <w:rPr>
          <w:rFonts w:ascii="Arial" w:cs="Arial" w:eastAsia="Arial" w:hAnsi="Arial"/>
          <w:sz w:val="25"/>
          <w:szCs w:val="25"/>
          <w:b w:val="1"/>
          <w:bCs w:val="1"/>
          <w:color w:val="auto"/>
        </w:rPr>
        <w:t>$110,000,000</w:t>
      </w:r>
    </w:p>
    <w:p>
      <w:pPr>
        <w:spacing w:after="0" w:line="200" w:lineRule="exact"/>
        <w:rPr>
          <w:sz w:val="20"/>
          <w:szCs w:val="20"/>
          <w:color w:val="auto"/>
        </w:rPr>
      </w:pPr>
    </w:p>
    <w:p>
      <w:pPr>
        <w:spacing w:after="0" w:line="385" w:lineRule="exact"/>
        <w:rPr>
          <w:sz w:val="20"/>
          <w:szCs w:val="20"/>
          <w:color w:val="auto"/>
        </w:rPr>
      </w:pPr>
    </w:p>
    <w:p>
      <w:pPr>
        <w:ind w:left="2820"/>
        <w:spacing w:after="0"/>
        <w:rPr>
          <w:sz w:val="20"/>
          <w:szCs w:val="20"/>
          <w:color w:val="auto"/>
        </w:rPr>
      </w:pPr>
      <w:r>
        <w:rPr>
          <w:rFonts w:ascii="Arial" w:cs="Arial" w:eastAsia="Arial" w:hAnsi="Arial"/>
          <w:sz w:val="32"/>
          <w:szCs w:val="32"/>
          <w:b w:val="1"/>
          <w:bCs w:val="1"/>
          <w:color w:val="auto"/>
        </w:rPr>
        <w:t>Chardan NexTech Acquisition 2 Corp.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11,000,000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500380</wp:posOffset>
            </wp:positionV>
            <wp:extent cx="12344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188595</wp:posOffset>
            </wp:positionV>
            <wp:extent cx="12344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32"/>
          <w:szCs w:val="32"/>
          <w:b w:val="1"/>
          <w:b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August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1277620</wp:posOffset>
            </wp:positionV>
            <wp:extent cx="52120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1311910</wp:posOffset>
            </wp:positionV>
            <wp:extent cx="521208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1573530</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lowerLetter"/>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1)"/>
      <w:numFmt w:val="lowerRoman"/>
      <w:start w:val="3"/>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upperLetter"/>
      <w:start w:val="9"/>
    </w:lvl>
  </w:abstractNum>
  <w:abstractNum w:abstractNumId="14">
    <w:nsid w:val="70C6A529"/>
    <w:multiLevelType w:val="hybridMultilevel"/>
    <w:lvl w:ilvl="0">
      <w:lvlJc w:val="left"/>
      <w:lvlText w:val="(%1)"/>
      <w:numFmt w:val="lowerRoman"/>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upperLetter"/>
      <w:start w:val="35"/>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1)"/>
      <w:numFmt w:val="lowerRoman"/>
      <w:start w:val="3"/>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1)"/>
      <w:numFmt w:val="lowerLetter"/>
      <w:start w:val="3"/>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1)"/>
      <w:numFmt w:val="decimal"/>
      <w:start w:val="2"/>
    </w:lvl>
  </w:abstractNum>
  <w:abstractNum w:abstractNumId="34">
    <w:nsid w:val="77AE35EB"/>
    <w:multiLevelType w:val="hybridMultilevel"/>
    <w:lvl w:ilvl="0">
      <w:lvlJc w:val="left"/>
      <w:lvlText w:val="%1."/>
      <w:numFmt w:val="upperLetter"/>
      <w:start w:val="22"/>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2"/>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decimal"/>
      <w:start w:val="3"/>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2"/>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lowerRoman"/>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1)"/>
      <w:numFmt w:val="lowerLetter"/>
      <w:start w:val="3"/>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1)"/>
      <w:numFmt w:val="lowerRoman"/>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emdash "/>
      <w:numFmt w:val="bullet"/>
      <w:start w:val="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2021-08-12T16:17:08Z</dcterms:created>
  <dcterms:modified xsi:type="dcterms:W3CDTF">2021-08-12T16:17:08Z</dcterms:modified>
</cp:coreProperties>
</file>