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November 4, 2025</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DRAGONFLY ENERGY HOLDINGS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120" w:type="dxa"/>
            <w:vAlign w:val="bottom"/>
            <w:gridSpan w:val="3"/>
          </w:tcPr>
          <w:p>
            <w:pPr>
              <w:jc w:val="center"/>
              <w:ind w:right="1500"/>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2300" w:type="dxa"/>
            <w:vAlign w:val="bottom"/>
          </w:tcPr>
          <w:p>
            <w:pPr>
              <w:jc w:val="center"/>
              <w:ind w:right="1176"/>
              <w:spacing w:after="0"/>
              <w:rPr>
                <w:sz w:val="20"/>
                <w:szCs w:val="20"/>
                <w:color w:val="auto"/>
              </w:rPr>
            </w:pPr>
            <w:r>
              <w:rPr>
                <w:rFonts w:ascii="Times New Roman" w:cs="Times New Roman" w:eastAsia="Times New Roman" w:hAnsi="Times New Roman"/>
                <w:sz w:val="17"/>
                <w:szCs w:val="17"/>
                <w:b w:val="1"/>
                <w:bCs w:val="1"/>
                <w:color w:val="auto"/>
                <w:w w:val="97"/>
              </w:rPr>
              <w:t>001-40730</w:t>
            </w:r>
          </w:p>
        </w:tc>
        <w:tc>
          <w:tcPr>
            <w:tcW w:w="20" w:type="dxa"/>
            <w:vAlign w:val="bottom"/>
          </w:tcPr>
          <w:p>
            <w:pPr>
              <w:spacing w:after="0"/>
              <w:rPr>
                <w:sz w:val="19"/>
                <w:szCs w:val="19"/>
                <w:color w:val="auto"/>
              </w:rPr>
            </w:pPr>
          </w:p>
        </w:tc>
        <w:tc>
          <w:tcPr>
            <w:tcW w:w="3800" w:type="dxa"/>
            <w:vAlign w:val="bottom"/>
            <w:gridSpan w:val="2"/>
          </w:tcPr>
          <w:p>
            <w:pPr>
              <w:jc w:val="right"/>
              <w:ind w:right="1296"/>
              <w:spacing w:after="0"/>
              <w:rPr>
                <w:sz w:val="20"/>
                <w:szCs w:val="20"/>
                <w:color w:val="auto"/>
              </w:rPr>
            </w:pPr>
            <w:r>
              <w:rPr>
                <w:rFonts w:ascii="Times New Roman" w:cs="Times New Roman" w:eastAsia="Times New Roman" w:hAnsi="Times New Roman"/>
                <w:sz w:val="17"/>
                <w:szCs w:val="17"/>
                <w:b w:val="1"/>
                <w:bCs w:val="1"/>
                <w:color w:val="auto"/>
              </w:rPr>
              <w:t>85-1873463</w:t>
            </w:r>
          </w:p>
        </w:tc>
      </w:tr>
      <w:tr>
        <w:trPr>
          <w:trHeight w:val="178"/>
        </w:trPr>
        <w:tc>
          <w:tcPr>
            <w:tcW w:w="36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(State or other jurisdiction</w:t>
            </w:r>
          </w:p>
        </w:tc>
        <w:tc>
          <w:tcPr>
            <w:tcW w:w="2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jc w:val="center"/>
              <w:ind w:right="1300"/>
              <w:spacing w:after="0" w:line="178" w:lineRule="exact"/>
              <w:rPr>
                <w:sz w:val="20"/>
                <w:szCs w:val="20"/>
                <w:color w:val="auto"/>
              </w:rPr>
            </w:pPr>
            <w:r>
              <w:rPr>
                <w:rFonts w:ascii="Times New Roman" w:cs="Times New Roman" w:eastAsia="Times New Roman" w:hAnsi="Times New Roman"/>
                <w:sz w:val="17"/>
                <w:szCs w:val="17"/>
                <w:color w:val="auto"/>
                <w:w w:val="98"/>
              </w:rPr>
              <w:t>(Commission</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5120" w:type="dxa"/>
            <w:vAlign w:val="bottom"/>
            <w:gridSpan w:val="3"/>
          </w:tcPr>
          <w:p>
            <w:pPr>
              <w:jc w:val="center"/>
              <w:ind w:right="1500"/>
              <w:spacing w:after="0"/>
              <w:rPr>
                <w:sz w:val="20"/>
                <w:szCs w:val="20"/>
                <w:color w:val="auto"/>
              </w:rPr>
            </w:pPr>
            <w:r>
              <w:rPr>
                <w:rFonts w:ascii="Times New Roman" w:cs="Times New Roman" w:eastAsia="Times New Roman" w:hAnsi="Times New Roman"/>
                <w:sz w:val="17"/>
                <w:szCs w:val="17"/>
                <w:color w:val="auto"/>
                <w:w w:val="98"/>
              </w:rPr>
              <w:t>of incorporation)</w:t>
            </w:r>
          </w:p>
        </w:tc>
        <w:tc>
          <w:tcPr>
            <w:tcW w:w="2320" w:type="dxa"/>
            <w:vAlign w:val="bottom"/>
            <w:gridSpan w:val="2"/>
          </w:tcPr>
          <w:p>
            <w:pPr>
              <w:jc w:val="center"/>
              <w:ind w:right="1280"/>
              <w:spacing w:after="0"/>
              <w:rPr>
                <w:sz w:val="20"/>
                <w:szCs w:val="20"/>
                <w:color w:val="auto"/>
              </w:rPr>
            </w:pPr>
            <w:r>
              <w:rPr>
                <w:rFonts w:ascii="Times New Roman" w:cs="Times New Roman" w:eastAsia="Times New Roman" w:hAnsi="Times New Roman"/>
                <w:sz w:val="17"/>
                <w:szCs w:val="17"/>
                <w:color w:val="auto"/>
                <w:w w:val="99"/>
              </w:rPr>
              <w:t>File Number)</w:t>
            </w: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83"/>
        </w:trPr>
        <w:tc>
          <w:tcPr>
            <w:tcW w:w="5120" w:type="dxa"/>
            <w:vAlign w:val="bottom"/>
            <w:gridSpan w:val="3"/>
          </w:tcPr>
          <w:p>
            <w:pPr>
              <w:jc w:val="center"/>
              <w:ind w:left="2216"/>
              <w:spacing w:after="0"/>
              <w:rPr>
                <w:sz w:val="20"/>
                <w:szCs w:val="20"/>
                <w:color w:val="auto"/>
              </w:rPr>
            </w:pPr>
            <w:r>
              <w:rPr>
                <w:rFonts w:ascii="Times New Roman" w:cs="Times New Roman" w:eastAsia="Times New Roman" w:hAnsi="Times New Roman"/>
                <w:sz w:val="17"/>
                <w:szCs w:val="17"/>
                <w:b w:val="1"/>
                <w:bCs w:val="1"/>
                <w:color w:val="auto"/>
                <w:w w:val="97"/>
              </w:rPr>
              <w:t>12915 Old Virginia Road</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2"/>
        </w:trPr>
        <w:tc>
          <w:tcPr>
            <w:tcW w:w="5120" w:type="dxa"/>
            <w:vAlign w:val="bottom"/>
            <w:gridSpan w:val="3"/>
          </w:tcPr>
          <w:p>
            <w:pPr>
              <w:jc w:val="center"/>
              <w:ind w:left="2236"/>
              <w:spacing w:after="0"/>
              <w:rPr>
                <w:sz w:val="20"/>
                <w:szCs w:val="20"/>
                <w:color w:val="auto"/>
              </w:rPr>
            </w:pPr>
            <w:r>
              <w:rPr>
                <w:rFonts w:ascii="Times New Roman" w:cs="Times New Roman" w:eastAsia="Times New Roman" w:hAnsi="Times New Roman"/>
                <w:sz w:val="17"/>
                <w:szCs w:val="17"/>
                <w:b w:val="1"/>
                <w:bCs w:val="1"/>
                <w:color w:val="auto"/>
                <w:w w:val="98"/>
              </w:rPr>
              <w:t>Reno, Nevada</w:t>
            </w: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gridSpan w:val="2"/>
          </w:tcPr>
          <w:p>
            <w:pPr>
              <w:jc w:val="right"/>
              <w:ind w:right="1496"/>
              <w:spacing w:after="0"/>
              <w:rPr>
                <w:sz w:val="20"/>
                <w:szCs w:val="20"/>
                <w:color w:val="auto"/>
              </w:rPr>
            </w:pPr>
            <w:r>
              <w:rPr>
                <w:rFonts w:ascii="Times New Roman" w:cs="Times New Roman" w:eastAsia="Times New Roman" w:hAnsi="Times New Roman"/>
                <w:sz w:val="17"/>
                <w:szCs w:val="17"/>
                <w:b w:val="1"/>
                <w:bCs w:val="1"/>
                <w:color w:val="auto"/>
              </w:rPr>
              <w:t>89521</w:t>
            </w:r>
          </w:p>
        </w:tc>
      </w:tr>
      <w:tr>
        <w:trPr>
          <w:trHeight w:val="211"/>
        </w:trPr>
        <w:tc>
          <w:tcPr>
            <w:tcW w:w="5120" w:type="dxa"/>
            <w:vAlign w:val="bottom"/>
            <w:tcBorders>
              <w:top w:val="single" w:sz="8" w:color="auto"/>
            </w:tcBorders>
            <w:gridSpan w:val="3"/>
          </w:tcPr>
          <w:p>
            <w:pPr>
              <w:jc w:val="center"/>
              <w:ind w:left="2216"/>
              <w:spacing w:after="0"/>
              <w:rPr>
                <w:sz w:val="20"/>
                <w:szCs w:val="20"/>
                <w:color w:val="auto"/>
              </w:rPr>
            </w:pPr>
            <w:r>
              <w:rPr>
                <w:rFonts w:ascii="Times New Roman" w:cs="Times New Roman" w:eastAsia="Times New Roman" w:hAnsi="Times New Roman"/>
                <w:sz w:val="17"/>
                <w:szCs w:val="17"/>
                <w:color w:val="auto"/>
                <w:w w:val="98"/>
              </w:rPr>
              <w:t>(Address of principal executive offices)</w:t>
            </w:r>
          </w:p>
        </w:tc>
        <w:tc>
          <w:tcPr>
            <w:tcW w:w="2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(Zip Code)</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u w:val="single" w:color="auto"/>
          <w:color w:val="auto"/>
        </w:rPr>
        <w:t>(775) 622-3448</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9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right="3420" w:firstLine="1"/>
        <w:spacing w:after="0" w:line="495" w:lineRule="auto"/>
        <w:tabs>
          <w:tab w:leader="none" w:pos="3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2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220" w:type="dxa"/>
            <w:vAlign w:val="bottom"/>
          </w:tcPr>
          <w:p>
            <w:pPr>
              <w:spacing w:after="0"/>
              <w:rPr>
                <w:sz w:val="18"/>
                <w:szCs w:val="18"/>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178"/>
        </w:trPr>
        <w:tc>
          <w:tcPr>
            <w:tcW w:w="45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Common Stock, par value $0.0001 per share</w:t>
            </w:r>
          </w:p>
        </w:tc>
        <w:tc>
          <w:tcPr>
            <w:tcW w:w="220" w:type="dxa"/>
            <w:vAlign w:val="bottom"/>
          </w:tcPr>
          <w:p>
            <w:pPr>
              <w:spacing w:after="0"/>
              <w:rPr>
                <w:sz w:val="15"/>
                <w:szCs w:val="15"/>
                <w:color w:val="auto"/>
              </w:rPr>
            </w:pPr>
          </w:p>
        </w:tc>
        <w:tc>
          <w:tcPr>
            <w:tcW w:w="204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rPr>
              <w:t>DFLI</w:t>
            </w:r>
          </w:p>
        </w:tc>
        <w:tc>
          <w:tcPr>
            <w:tcW w:w="220" w:type="dxa"/>
            <w:vAlign w:val="bottom"/>
          </w:tcPr>
          <w:p>
            <w:pPr>
              <w:spacing w:after="0"/>
              <w:rPr>
                <w:sz w:val="15"/>
                <w:szCs w:val="15"/>
                <w:color w:val="auto"/>
              </w:rPr>
            </w:pPr>
          </w:p>
        </w:tc>
        <w:tc>
          <w:tcPr>
            <w:tcW w:w="426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218"/>
        </w:trPr>
        <w:tc>
          <w:tcPr>
            <w:tcW w:w="4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Redeemable warrants, exercisable for common stock</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DFLIW</w:t>
            </w: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Capital Market</w:t>
            </w:r>
          </w:p>
        </w:tc>
      </w:tr>
    </w:tbl>
    <w:p>
      <w:pPr>
        <w:spacing w:after="0" w:line="18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432435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Definitive Material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Agreement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previously disclosed, Dragonfly Energy Holdings Corp. (the “Company”) entered into an amendment to its Term Loan, Guarantee and Security Agreement with the lenders (the “Lenders”) with respect to the Company’s senior secured term loan facility (the “Term Loan”), whereby the Company and the Lenders agreed to restructure the Company’s outstanding indebtedness. As the final part of the restructuring, on November 4, 2025, the Company and the Lenders entered into an exchange agreement (the “Exchange Agreement”) pursuant to which the Company issued $25 million of shares of newly created Series B Convertible Preferred Stock of the Company (the “Series B Preferred Stock”) in exchange for $25 million outstanding principal amount of the Term Loan. The Series B Preferred Stock is convertible into shares of the Company’s common stock, par value $0.0001 (the “Common Stock”) at the option of the Lenders at a conversion price of $3.15 per share, or an aggregate of 7,936,508 shares of Common Stock, and has such other terms as set forth below under “Series B Preferred Stock”.</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summary of the terms of the Exchange Agreement herein is subject to and qualified in its entirety by the full text of the Exchange Agreement, which is attached as Exhibit 10.1 to this Current Report on Form 8-K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B Preferred Stock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November 4, 2025, the Company filed a Certificate of Designation of the Powers, Preferences and Relative, Participating, Optional and Other Restrictions of Series B Convertible Preferred Stock of the Company (the “Certificate of Designation”) with the Secretary of State of the State of Nevada to establish the rights, privileges, preferences, and restrictions of the Series B Preferred Stock. As set forth in the Certificate of Designation, the Company designated 25,000 shares of preferred stock as Series B Preferred Stock. The following is a summary of the principal terms of the Series B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Each share of Series B Preferred Stock has a stated value of $1,000 per share.</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Ranking</w:t>
      </w:r>
      <w:r>
        <w:rPr>
          <w:rFonts w:ascii="Times New Roman" w:cs="Times New Roman" w:eastAsia="Times New Roman" w:hAnsi="Times New Roman"/>
          <w:sz w:val="17"/>
          <w:szCs w:val="17"/>
          <w:color w:val="auto"/>
        </w:rPr>
        <w:t>. The Series B Preferred Stock, with respect to the payment of dividends, distributions and payments upon the liquidation, dissolution and winding up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ranks senior to all of the Company’s capital stock, unless the Requisite Holders (as defined in the Certificate of Designation) consents to the Company’s creation of other capital stock that is senior or equal in rank to the Series B Preferred Stock.</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holders of Series B Preferred Stock will be entitled to receive dividends, which will accrue at 10% per annum, commencing from the date of issuance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Series B Preferred Stock (the “Initial Issuance Date”), payable (i) 80% in cash (the “Cash Dividends”) and (i) 20% “in kind” and added the Liquidation Preference (as defined below) of such holder’s Series B Preferred Stock (“PIK Dividends”).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Conversion at Option of Holder</w:t>
      </w:r>
      <w:r>
        <w:rPr>
          <w:rFonts w:ascii="Times New Roman" w:cs="Times New Roman" w:eastAsia="Times New Roman" w:hAnsi="Times New Roman"/>
          <w:sz w:val="17"/>
          <w:szCs w:val="17"/>
          <w:color w:val="auto"/>
        </w:rPr>
        <w:t>. At any time from and after six months following the first date of issuance of any shares of Series B Preferred Stock,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Beneficial Ownership Limitation (as defined below), each holder of Series B Preferred Stock may convert all or a portion of the outstanding Series B Preferred Stock, at such holder’s option, into shares of Common Stock at a conversion rate equal to the quotient of (i) the Liquidation Preference (as defined below) divided by (ii) $3.15.</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Each share of Series B Preferred Stock carries a liquidation preference equal to (1) one thousand dollars ($1,000), plus (2) the aggregate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of all PIK Dividends paid since the Initial Issuance Date, plus (3) the aggregate amount of all cash and PIK dividends that have accrued and remain unpaid since the Initial Issuance Date (the “Liquidation Preference”).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both"/>
        <w:spacing w:after="0" w:line="287"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The holders of the Series B Preferred Stock shall have no voting power and no right to vote on any matter at any time, either as a separate series or class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Change of Control Exchange</w:t>
      </w:r>
      <w:r>
        <w:rPr>
          <w:rFonts w:ascii="Times New Roman" w:cs="Times New Roman" w:eastAsia="Times New Roman" w:hAnsi="Times New Roman"/>
          <w:sz w:val="17"/>
          <w:szCs w:val="17"/>
          <w:color w:val="auto"/>
        </w:rPr>
        <w:t>. Upon a change of control of the Company, each holder may require the Company to exchange such holder’s shares of Series B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for consideration equal to the Optional Redemption Price (as defined below).</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Company Optional Redemption</w:t>
      </w:r>
      <w:r>
        <w:rPr>
          <w:rFonts w:ascii="Times New Roman" w:cs="Times New Roman" w:eastAsia="Times New Roman" w:hAnsi="Times New Roman"/>
          <w:sz w:val="17"/>
          <w:szCs w:val="17"/>
          <w:color w:val="auto"/>
        </w:rPr>
        <w:t>. The Company has the right, at any time, to redeem all or part of the then outstanding shares of Series B Preferred Stock (a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Optional Redemption”) by delivering a written notice to each holder of Series B Preferred Stock (such delivery date, the “Company Optional Redemption Notice Date”). The shares of Series B Preferred Stock subject to redemption will be redeemed by the Company in cash at a price equal to the greater of (a) the Liquidation Preference of the Series B Preferred Stock being redeemed as of the Company Optional Redemption Notice Date and (b) the as-converted value of the Series B Preferred Stock (as set forth in the Certificate of Designation) being redeemed as of the Company Optional Redemption Notice Date (the “Optional Redemption Price”).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Company Automatic Redemption</w:t>
      </w:r>
      <w:r>
        <w:rPr>
          <w:rFonts w:ascii="Times New Roman" w:cs="Times New Roman" w:eastAsia="Times New Roman" w:hAnsi="Times New Roman"/>
          <w:sz w:val="17"/>
          <w:szCs w:val="17"/>
          <w:color w:val="auto"/>
        </w:rPr>
        <w:t>. In connection with any future equity offerings, the Company will be required to use 50% of the net proceeds from such offering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redeem outstanding shares of the Series B Preferred Stock at the Optional Redemption Price. In the event the Company has not redeemed the outstanding shares of Series B Preferred Stock by October 7, 2027 or upon the occurrence of a Non-Payment Event (as defined in the Certificate of Designation), the holders will have the right to require the Company to redeem the Series B Preferred Stock at the Optional Redemption Price.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Covenants</w:t>
      </w:r>
      <w:r>
        <w:rPr>
          <w:rFonts w:ascii="Times New Roman" w:cs="Times New Roman" w:eastAsia="Times New Roman" w:hAnsi="Times New Roman"/>
          <w:sz w:val="17"/>
          <w:szCs w:val="17"/>
          <w:color w:val="auto"/>
        </w:rPr>
        <w:t>. The Certificate of Designation contains a variety of obligations on the Company’s part not to engage in specified activities. In particular, the Company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and will cause its subsidiaries to not, redeem, repurchase or declare any dividend or distribution on any of its capital stock (other than as required under the Certificate of Designation) and will not incur any funded indebtedness (other than Permitted Indebtedness, as defined in the Certificate of Designation), enter into any transactions with affiliates, or incur any liens, in each case without the prior written consent of the Requisite Holders and subject to certain exceptions, as applicable. In addition, the Company will not issue any shares of Series B Preferred Stock or issue any other securities that would cause a breach or default under the Certificate of Designation.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Beneficial Ownership Limitation</w:t>
      </w:r>
      <w:r>
        <w:rPr>
          <w:rFonts w:ascii="Times New Roman" w:cs="Times New Roman" w:eastAsia="Times New Roman" w:hAnsi="Times New Roman"/>
          <w:sz w:val="17"/>
          <w:szCs w:val="17"/>
          <w:color w:val="auto"/>
        </w:rPr>
        <w:t>. Each holder of Series B Preferred Stock is restricted from acquiring shares of Common Stock upon conversion thereof that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in the number of shares beneficially owned by such holder and its affiliates exceeding 4.99% of the total number of shares of Common Stock outstanding immediately after giving effect to the conversion (the “Beneficial Ownership Limitation”).</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summary of the terms of the Certificate of Designation is subject to, and qualified in its entirety by, the Certificate of Designation filed as Exhibit 3.1 to this Current Report on Form 8-K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3.02 Unregistered Sales of Equity Securities.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information set forth above in Item 1.01 with respect to the Exchange Agreement and the shares of Series B Preferred Stock is hereby incorporated by reference into this Item 3.02. The issuance of the Series B Preferred Stock and any related shares of Common Stock underlying the Series B Preferred Stock have not been registered under the Securities Act of 1933, as amended (the “Securities Act”), and are instead being offered pursuant to the exemption provided in Section 4(a)(2) of the Securities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5.03 Amendments to Articles of Incorporation or Bylaws; Change in Fiscal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above in Item 1.01 with respect to the Certificate of Designation is hereby incorporated by reference into this Item 5.03.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08" w:lineRule="exact"/>
        <w:rPr>
          <w:sz w:val="20"/>
          <w:szCs w:val="20"/>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Exhibit No.</w:t>
            </w:r>
          </w:p>
        </w:tc>
        <w:tc>
          <w:tcPr>
            <w:tcW w:w="120" w:type="dxa"/>
            <w:vAlign w:val="bottom"/>
          </w:tcPr>
          <w:p>
            <w:pPr>
              <w:spacing w:after="0"/>
              <w:rPr>
                <w:sz w:val="18"/>
                <w:szCs w:val="18"/>
                <w:color w:val="auto"/>
              </w:rPr>
            </w:pPr>
          </w:p>
        </w:tc>
        <w:tc>
          <w:tcPr>
            <w:tcW w:w="10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57"/>
        </w:trPr>
        <w:tc>
          <w:tcPr>
            <w:tcW w:w="900" w:type="dxa"/>
            <w:vAlign w:val="bottom"/>
          </w:tcPr>
          <w:p>
            <w:pPr>
              <w:spacing w:after="0" w:line="15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3"/>
                <w:szCs w:val="13"/>
                <w:color w:val="auto"/>
              </w:rPr>
            </w:pPr>
          </w:p>
        </w:tc>
        <w:tc>
          <w:tcPr>
            <w:tcW w:w="10220" w:type="dxa"/>
            <w:vAlign w:val="bottom"/>
            <w:tcBorders>
              <w:bottom w:val="single" w:sz="8" w:color="0000EE"/>
            </w:tcBorders>
            <w:gridSpan w:val="3"/>
          </w:tcPr>
          <w:p>
            <w:pPr>
              <w:spacing w:after="0" w:line="157" w:lineRule="exact"/>
              <w:rPr>
                <w:sz w:val="20"/>
                <w:szCs w:val="20"/>
                <w:color w:val="auto"/>
              </w:rPr>
            </w:pPr>
            <w:r>
              <w:rPr>
                <w:rFonts w:ascii="Times New Roman" w:cs="Times New Roman" w:eastAsia="Times New Roman" w:hAnsi="Times New Roman"/>
                <w:sz w:val="17"/>
                <w:szCs w:val="17"/>
                <w:color w:val="0000EE"/>
              </w:rPr>
              <w:t>Certificate of Designation of the Powers, Preferences and Relative, Participating, Optional and Other Restrictions of Series B Convertible Preferred</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0000EE"/>
              </w:rPr>
              <w:t>Stock of the Company.</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5"/>
                <w:szCs w:val="15"/>
                <w:color w:val="auto"/>
              </w:rPr>
            </w:pPr>
          </w:p>
        </w:tc>
        <w:tc>
          <w:tcPr>
            <w:tcW w:w="644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8"/>
              </w:rPr>
              <w:t>Exchange Agreement, dated November 4, 2025, by and between the Company and the Lenders.</w:t>
            </w:r>
          </w:p>
        </w:tc>
        <w:tc>
          <w:tcPr>
            <w:tcW w:w="3780" w:type="dxa"/>
            <w:vAlign w:val="bottom"/>
          </w:tcPr>
          <w:p>
            <w:pPr>
              <w:spacing w:after="0"/>
              <w:rPr>
                <w:sz w:val="15"/>
                <w:szCs w:val="15"/>
                <w:color w:val="auto"/>
              </w:rPr>
            </w:pPr>
          </w:p>
        </w:tc>
      </w:tr>
      <w:tr>
        <w:trPr>
          <w:trHeight w:val="21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404"/>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tc>
      </w:tr>
      <w:tr>
        <w:trPr>
          <w:trHeight w:val="404"/>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5,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78"/>
        </w:trPr>
        <w:tc>
          <w:tcPr>
            <w:tcW w:w="3700" w:type="dxa"/>
            <w:vAlign w:val="bottom"/>
          </w:tcPr>
          <w:p>
            <w:pPr>
              <w:spacing w:after="0"/>
              <w:rPr>
                <w:sz w:val="15"/>
                <w:szCs w:val="15"/>
                <w:color w:val="auto"/>
              </w:rPr>
            </w:pPr>
          </w:p>
        </w:tc>
        <w:tc>
          <w:tcPr>
            <w:tcW w:w="2500" w:type="dxa"/>
            <w:vAlign w:val="bottom"/>
          </w:tcPr>
          <w:p>
            <w:pPr>
              <w:ind w:left="194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Interim Chief Financial Officer and President</w:t>
            </w:r>
          </w:p>
        </w:tc>
      </w:tr>
      <w:tr>
        <w:trPr>
          <w:trHeight w:val="404"/>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4" w:name="page5"/>
    <w:bookmarkEnd w:id="4"/>
    <w:p>
      <w:pPr>
        <w:ind w:left="9340"/>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9607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CERTIFICATE OF</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DESIGNATION OF RIGHTS 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PREFERENCES OF</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SERIES B CONVERTIBLE PREFERRED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19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 Denis Phares, hereby certify that I am the President and Chief Executive Officer of Dragonfly Energy Holdings Corp.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 corporation organized and existing under the Nevada Revised Statutes (“</w:t>
      </w:r>
      <w:r>
        <w:rPr>
          <w:rFonts w:ascii="Times New Roman" w:cs="Times New Roman" w:eastAsia="Times New Roman" w:hAnsi="Times New Roman"/>
          <w:sz w:val="17"/>
          <w:szCs w:val="17"/>
          <w:u w:val="single" w:color="auto"/>
          <w:color w:val="auto"/>
        </w:rPr>
        <w:t>NRS</w:t>
      </w:r>
      <w:r>
        <w:rPr>
          <w:rFonts w:ascii="Times New Roman" w:cs="Times New Roman" w:eastAsia="Times New Roman" w:hAnsi="Times New Roman"/>
          <w:sz w:val="17"/>
          <w:szCs w:val="17"/>
          <w:color w:val="auto"/>
        </w:rPr>
        <w:t>”), and further do hereby certify:</w:t>
      </w:r>
    </w:p>
    <w:p>
      <w:pPr>
        <w:spacing w:after="0" w:line="15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That pursuant to the authority expressly conferred upon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by the Company’s Articles of Incorporation, as amended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the Board on November 4, 2025 adopted the following resolution determining it desirable and in the best interests of the Company and its stockholders for the Company to create a series of twenty-five thousand (25,000) shares of preferred stock designated as “Series B Convertible Preferred Stock”, none of which shares have been issued as of the date hereof, to be issued pursuant to the Exchange Agreement (as defined in below), in accordance with the terms of the Exchange Agreement.</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RESOLVED, that pursuant to the authority vested in the Board, in accordance with the provisions of the Certificate of Incorporation, a series of preferred stock, par value $0.0001 per share, of the Company be and hereby is created pursuant to this certificate of designation (this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and that the designation and number of shares established pursuant hereto and the voting and other powers, preferences and relative, participating, optional or other rights of the shares of such series and the qualifications, limitations and restrictions thereof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 OF SERIES B CONVERTIBLE PREFERRED STOCK</w:t>
      </w:r>
    </w:p>
    <w:p>
      <w:pPr>
        <w:spacing w:after="0" w:line="212" w:lineRule="exact"/>
        <w:rPr>
          <w:sz w:val="20"/>
          <w:szCs w:val="20"/>
          <w:color w:val="auto"/>
        </w:rPr>
      </w:pPr>
    </w:p>
    <w:p>
      <w:pPr>
        <w:jc w:val="both"/>
        <w:ind w:left="300" w:hanging="299"/>
        <w:spacing w:after="0" w:line="256"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Number of Shares</w:t>
      </w:r>
      <w:r>
        <w:rPr>
          <w:rFonts w:ascii="Times New Roman" w:cs="Times New Roman" w:eastAsia="Times New Roman" w:hAnsi="Times New Roman"/>
          <w:sz w:val="17"/>
          <w:szCs w:val="17"/>
          <w:color w:val="auto"/>
        </w:rPr>
        <w:t>. There shall hereby be created and established a series of preferred stock of the Company designated as “Series B Convertible Preferred Stock” (the “</w:t>
      </w:r>
      <w:r>
        <w:rPr>
          <w:rFonts w:ascii="Times New Roman" w:cs="Times New Roman" w:eastAsia="Times New Roman" w:hAnsi="Times New Roman"/>
          <w:sz w:val="17"/>
          <w:szCs w:val="17"/>
          <w:u w:val="single" w:color="auto"/>
          <w:color w:val="auto"/>
        </w:rPr>
        <w:t>Series B Convertible Preferred Stock</w:t>
      </w:r>
      <w:r>
        <w:rPr>
          <w:rFonts w:ascii="Times New Roman" w:cs="Times New Roman" w:eastAsia="Times New Roman" w:hAnsi="Times New Roman"/>
          <w:sz w:val="17"/>
          <w:szCs w:val="17"/>
          <w:color w:val="auto"/>
        </w:rPr>
        <w:t>”). The authorized number of shares of Series B Convertible Preferred Stock (the “</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xml:space="preserve">”) shall be twenty-five thousand (25,000) shares. Each Preferred Share shall have a par value of $0.0001 per share. Capitalized terms not defined herein shall have the meaning as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below.</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68" w:lineRule="auto"/>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Ranking</w:t>
      </w:r>
      <w:r>
        <w:rPr>
          <w:rFonts w:ascii="Times New Roman" w:cs="Times New Roman" w:eastAsia="Times New Roman" w:hAnsi="Times New Roman"/>
          <w:sz w:val="16"/>
          <w:szCs w:val="16"/>
          <w:color w:val="auto"/>
        </w:rPr>
        <w:t xml:space="preserve">. Except to the extent that the Requisite Holders expressly consent to the creation of Parity Stock (as defined below) or Senior Preferred Stock (as defined below) in accordance with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all shares of Capital Stock of the Company shall be junior in rank to all Preferred Shares with respect to the preferences as to dividends, distributions and payments upon the liquidation, dissolution and winding up of the Company (such junior stock is referred to herein collectively as “</w:t>
      </w:r>
      <w:r>
        <w:rPr>
          <w:rFonts w:ascii="Times New Roman" w:cs="Times New Roman" w:eastAsia="Times New Roman" w:hAnsi="Times New Roman"/>
          <w:sz w:val="16"/>
          <w:szCs w:val="16"/>
          <w:u w:val="single" w:color="auto"/>
          <w:color w:val="auto"/>
        </w:rPr>
        <w:t>Junior Stock</w:t>
      </w:r>
      <w:r>
        <w:rPr>
          <w:rFonts w:ascii="Times New Roman" w:cs="Times New Roman" w:eastAsia="Times New Roman" w:hAnsi="Times New Roman"/>
          <w:sz w:val="16"/>
          <w:szCs w:val="16"/>
          <w:color w:val="auto"/>
        </w:rPr>
        <w:t>”). For the avoidance of doubt, the Preferred Shares will, with respect to dividend rights and rights on liquidation, winding-up and dissolution, rank</w:t>
      </w:r>
    </w:p>
    <w:p>
      <w:pPr>
        <w:spacing w:after="0" w:line="1" w:lineRule="exact"/>
        <w:rPr>
          <w:rFonts w:ascii="Times New Roman" w:cs="Times New Roman" w:eastAsia="Times New Roman" w:hAnsi="Times New Roman"/>
          <w:sz w:val="16"/>
          <w:szCs w:val="16"/>
          <w:color w:val="auto"/>
        </w:rPr>
      </w:pPr>
    </w:p>
    <w:p>
      <w:pPr>
        <w:jc w:val="both"/>
        <w:ind w:left="30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 junior to the Senior Preferred Stock, (B) on parity with the Parity Stock and (C) senior to the Junior Stock. The rights of all such shares of Capital Stock of the Company shall be subject to the rights, powers, preferences and privileges of the Preferred Shares. Without limiting any other provision of this Certificate of Designation, without the prior express consent of the Requisite Holders, voting separately as a single class, the Company shall not hereafter authorize or issue any additional or other shares of Capital Stock that is (i) of senior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7"/>
          <w:szCs w:val="17"/>
          <w:u w:val="single" w:color="auto"/>
          <w:color w:val="auto"/>
        </w:rPr>
        <w:t>Senior Preferred Stock</w:t>
      </w:r>
      <w:r>
        <w:rPr>
          <w:rFonts w:ascii="Times New Roman" w:cs="Times New Roman" w:eastAsia="Times New Roman" w:hAnsi="Times New Roman"/>
          <w:sz w:val="17"/>
          <w:szCs w:val="17"/>
          <w:color w:val="auto"/>
        </w:rPr>
        <w:t xml:space="preserve">”), (ii) of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7"/>
          <w:szCs w:val="17"/>
          <w:u w:val="single" w:color="auto"/>
          <w:color w:val="auto"/>
        </w:rPr>
        <w:t>Parity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xml:space="preserve">”) or (iii) any Junior Stock having a maturity date or any other date requiring redemption or repayment of such shares of Junior Stock that is prior to the ninety-first calendar day after the date no Preferred Shares remain outstanding. In the event of the merger or consolidation of the Company with or into another corporation, unless the Company redeems the outstanding Preferred Shares in full pursuant to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the Preferred Shares shall maintain their relative rights, powers, designations, privileges and preferences provided for herein and no such merger or consolidation shall result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ind w:left="299" w:hanging="299"/>
        <w:spacing w:after="0"/>
        <w:tabs>
          <w:tab w:leader="none" w:pos="29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53" w:lineRule="auto"/>
        <w:tabs>
          <w:tab w:leader="none" w:pos="89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below, from and after the first date of issuance of any Preferred Shares (the “</w:t>
      </w:r>
      <w:r>
        <w:rPr>
          <w:rFonts w:ascii="Times New Roman" w:cs="Times New Roman" w:eastAsia="Times New Roman" w:hAnsi="Times New Roman"/>
          <w:sz w:val="17"/>
          <w:szCs w:val="17"/>
          <w:u w:val="single" w:color="auto"/>
          <w:color w:val="auto"/>
        </w:rPr>
        <w:t>Initial Issuance Date</w:t>
      </w:r>
      <w:r>
        <w:rPr>
          <w:rFonts w:ascii="Times New Roman" w:cs="Times New Roman" w:eastAsia="Times New Roman" w:hAnsi="Times New Roman"/>
          <w:sz w:val="17"/>
          <w:szCs w:val="17"/>
          <w:color w:val="auto"/>
        </w:rPr>
        <w:t>”), and at all times subject to the restrictions set forth in NRS 78, including but not limited to NRS 78.288, Holder shall be entitled to receive dividends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with respect to each Preferred Share. Dividends shall (i) accrue at the Dividend Rate on a daily basis on the sum of the Liquidation Preference, (ii) be computed on the basis of a 360-day year and the actual number of days elapsed in each month, and (iii) shall be payable in arrears (such amount, the “</w:t>
      </w:r>
      <w:r>
        <w:rPr>
          <w:rFonts w:ascii="Times New Roman" w:cs="Times New Roman" w:eastAsia="Times New Roman" w:hAnsi="Times New Roman"/>
          <w:sz w:val="17"/>
          <w:szCs w:val="17"/>
          <w:u w:val="single" w:color="auto"/>
          <w:color w:val="auto"/>
        </w:rPr>
        <w:t>Quarterly Dividend Amount</w:t>
      </w:r>
      <w:r>
        <w:rPr>
          <w:rFonts w:ascii="Times New Roman" w:cs="Times New Roman" w:eastAsia="Times New Roman" w:hAnsi="Times New Roman"/>
          <w:sz w:val="17"/>
          <w:szCs w:val="17"/>
          <w:color w:val="auto"/>
        </w:rPr>
        <w:t>”) on the first Trading Day of each Fiscal Quarter (each, an “</w:t>
      </w:r>
      <w:r>
        <w:rPr>
          <w:rFonts w:ascii="Times New Roman" w:cs="Times New Roman" w:eastAsia="Times New Roman" w:hAnsi="Times New Roman"/>
          <w:sz w:val="17"/>
          <w:szCs w:val="17"/>
          <w:u w:val="single" w:color="auto"/>
          <w:color w:val="auto"/>
        </w:rPr>
        <w:t>Dividend Date</w:t>
      </w:r>
      <w:r>
        <w:rPr>
          <w:rFonts w:ascii="Times New Roman" w:cs="Times New Roman" w:eastAsia="Times New Roman" w:hAnsi="Times New Roman"/>
          <w:sz w:val="17"/>
          <w:szCs w:val="17"/>
          <w:color w:val="auto"/>
        </w:rPr>
        <w:t>”) with the first Dividend Date being the first Trading Day of the initial Fiscal Quarter commencing after the Initial Issuance Date.</w:t>
      </w:r>
    </w:p>
    <w:p>
      <w:pPr>
        <w:spacing w:after="0" w:line="175" w:lineRule="exact"/>
        <w:rPr>
          <w:rFonts w:ascii="Times New Roman" w:cs="Times New Roman" w:eastAsia="Times New Roman" w:hAnsi="Times New Roman"/>
          <w:sz w:val="17"/>
          <w:szCs w:val="17"/>
          <w:color w:val="auto"/>
        </w:rPr>
      </w:pPr>
    </w:p>
    <w:p>
      <w:pPr>
        <w:jc w:val="both"/>
        <w:ind w:left="899" w:hanging="294"/>
        <w:spacing w:after="0" w:line="252" w:lineRule="auto"/>
        <w:tabs>
          <w:tab w:leader="none" w:pos="89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 of funds legally available for the payment of dividends or as otherwise legally permitted, at all times in accordance with restrictions set forth under Nevada law, including but not limited to NRS 78.288, dividends shall be payable on each Dividend Date, to each record holder of Preferred Shares on the applicable Dividend Date with respect to each Preferred Share. Each Quarterly Dividend Amount shall be payable 80% in cash (“</w:t>
      </w:r>
      <w:r>
        <w:rPr>
          <w:rFonts w:ascii="Times New Roman" w:cs="Times New Roman" w:eastAsia="Times New Roman" w:hAnsi="Times New Roman"/>
          <w:sz w:val="17"/>
          <w:szCs w:val="17"/>
          <w:u w:val="single" w:color="auto"/>
          <w:color w:val="auto"/>
        </w:rPr>
        <w:t>Cash Dividend</w:t>
      </w:r>
      <w:r>
        <w:rPr>
          <w:rFonts w:ascii="Times New Roman" w:cs="Times New Roman" w:eastAsia="Times New Roman" w:hAnsi="Times New Roman"/>
          <w:sz w:val="17"/>
          <w:szCs w:val="17"/>
          <w:color w:val="auto"/>
        </w:rPr>
        <w:t>”), and the remaining 20% of each Quarterly Dividend Amount shall be payable “in kind” and added the Liquidation Preference of such Holder’s Preferred Share (“</w:t>
      </w:r>
      <w:r>
        <w:rPr>
          <w:rFonts w:ascii="Times New Roman" w:cs="Times New Roman" w:eastAsia="Times New Roman" w:hAnsi="Times New Roman"/>
          <w:sz w:val="17"/>
          <w:szCs w:val="17"/>
          <w:u w:val="single" w:color="auto"/>
          <w:color w:val="auto"/>
        </w:rPr>
        <w:t>PIK Dividends</w:t>
      </w:r>
      <w:r>
        <w:rPr>
          <w:rFonts w:ascii="Times New Roman" w:cs="Times New Roman" w:eastAsia="Times New Roman" w:hAnsi="Times New Roman"/>
          <w:sz w:val="17"/>
          <w:szCs w:val="17"/>
          <w:color w:val="auto"/>
        </w:rPr>
        <w:t xml:space="preserve">”) on the applicable Dividend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event any accrued Cash Dividends remain unpaid after the second (2nd) Business Day following the applicable Dividend Date (a “</w:t>
      </w:r>
      <w:r>
        <w:rPr>
          <w:rFonts w:ascii="Times New Roman" w:cs="Times New Roman" w:eastAsia="Times New Roman" w:hAnsi="Times New Roman"/>
          <w:sz w:val="17"/>
          <w:szCs w:val="17"/>
          <w:u w:val="single" w:color="auto"/>
          <w:color w:val="auto"/>
        </w:rPr>
        <w:t>Non-Payment Event</w:t>
      </w:r>
      <w:r>
        <w:rPr>
          <w:rFonts w:ascii="Times New Roman" w:cs="Times New Roman" w:eastAsia="Times New Roman" w:hAnsi="Times New Roman"/>
          <w:sz w:val="17"/>
          <w:szCs w:val="17"/>
          <w:color w:val="auto"/>
        </w:rPr>
        <w:t>”), all amounts so unpaid shall be added to the Liquidation Preference of such Holder’s Preferred Share (“</w:t>
      </w:r>
      <w:r>
        <w:rPr>
          <w:rFonts w:ascii="Times New Roman" w:cs="Times New Roman" w:eastAsia="Times New Roman" w:hAnsi="Times New Roman"/>
          <w:sz w:val="17"/>
          <w:szCs w:val="17"/>
          <w:u w:val="single" w:color="auto"/>
          <w:color w:val="auto"/>
        </w:rPr>
        <w:t>Capitalized Cash Dividends</w:t>
      </w:r>
      <w:r>
        <w:rPr>
          <w:rFonts w:ascii="Times New Roman" w:cs="Times New Roman" w:eastAsia="Times New Roman" w:hAnsi="Times New Roman"/>
          <w:sz w:val="17"/>
          <w:szCs w:val="17"/>
          <w:color w:val="auto"/>
        </w:rPr>
        <w:t>”) immediately following the Non-Payment Event.</w:t>
      </w:r>
    </w:p>
    <w:p>
      <w:pPr>
        <w:spacing w:after="0" w:line="177" w:lineRule="exact"/>
        <w:rPr>
          <w:rFonts w:ascii="Times New Roman" w:cs="Times New Roman" w:eastAsia="Times New Roman" w:hAnsi="Times New Roman"/>
          <w:sz w:val="17"/>
          <w:szCs w:val="17"/>
          <w:color w:val="auto"/>
        </w:rPr>
      </w:pPr>
    </w:p>
    <w:p>
      <w:pPr>
        <w:jc w:val="both"/>
        <w:ind w:left="899" w:hanging="294"/>
        <w:spacing w:after="0" w:line="250" w:lineRule="auto"/>
        <w:tabs>
          <w:tab w:leader="none" w:pos="89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by the Company pursuant to this Certificate of Designation shall be made free and clear of any deduction, withholding, counterclaim or set-off, for taxes or otherwise, except as required by applicable law. If any applicable law (as determined in the good faith discretion of the Company) requires the deduction or withholding of any tax from any payment hereunder by the Company to a record holder, then the Company shall be entitled to make such deduction or withholding and shall timely pay the full amount deducted or withheld to the relevant governmental authority in accordance with applicable law (collectively, the “</w:t>
      </w:r>
      <w:r>
        <w:rPr>
          <w:rFonts w:ascii="Times New Roman" w:cs="Times New Roman" w:eastAsia="Times New Roman" w:hAnsi="Times New Roman"/>
          <w:sz w:val="17"/>
          <w:szCs w:val="17"/>
          <w:u w:val="single" w:color="auto"/>
          <w:color w:val="auto"/>
        </w:rPr>
        <w:t>Withheld Amounts</w:t>
      </w:r>
      <w:r>
        <w:rPr>
          <w:rFonts w:ascii="Times New Roman" w:cs="Times New Roman" w:eastAsia="Times New Roman" w:hAnsi="Times New Roman"/>
          <w:sz w:val="17"/>
          <w:szCs w:val="17"/>
          <w:color w:val="auto"/>
        </w:rPr>
        <w:t>”); provided that, prior to making any withholding or deduction of taxes from a payment to a record holder hereunder, the Company (i) shall use commercially reasonable efforts to provide to such record holder, at least ten (10) days’ prior to making such payment, a written statement setting forth in reasonable detail the basis for such required withholding or deduction and its calculation of the amount to be withheld or deducted and (ii) Company shall consider in good faith any additional documentation or other information that is timely provided by such record holder in writing (including any reasonable comments by such record holder with respect to the statement and calculation described in the preceding clause (i)) in determining the amount of such withholding or deduction required by applicable law.</w:t>
      </w:r>
    </w:p>
    <w:p>
      <w:pPr>
        <w:spacing w:after="0" w:line="182"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following a request by a record holder, the Company shall provide such information requested by such record holder and reasonably available to the Company as is necessary for such record holder (and/or any direct or indirect beneficial owner thereof) to comply with any requirements of law relating to taxes and information reporting applicable to it with respect to its ownership of the Preferred Shares.</w:t>
      </w:r>
    </w:p>
    <w:p>
      <w:pPr>
        <w:spacing w:after="0" w:line="16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7" w:name="page8"/>
    <w:bookmarkEnd w:id="7"/>
    <w:p>
      <w:pPr>
        <w:ind w:left="299" w:hanging="299"/>
        <w:spacing w:after="0" w:line="274" w:lineRule="auto"/>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At any time after the Initial Issuance Date, each Preferred Share shall be convertible into validly issued, fully paid and non-assessable shares of Common Stock (the “</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 xml:space="preserve">”), on the terms and conditions set forth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899" w:hanging="294"/>
        <w:spacing w:after="0" w:line="251" w:lineRule="auto"/>
        <w:tabs>
          <w:tab w:leader="none" w:pos="899"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Conversion Right</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at any time or times on or after the date that is six (6) months following the Initial Issuance Date, each Holder shall be entitled to convert all or a portion of the outstanding Preferred Shares held by such Holder into validly issued, fully paid and non-assessable Conversion Shares in accordance with </w:t>
      </w:r>
      <w:r>
        <w:rPr>
          <w:rFonts w:ascii="Times New Roman" w:cs="Times New Roman" w:eastAsia="Times New Roman" w:hAnsi="Times New Roman"/>
          <w:sz w:val="17"/>
          <w:szCs w:val="17"/>
          <w:u w:val="single" w:color="auto"/>
          <w:color w:val="auto"/>
        </w:rPr>
        <w:t>Section 4(c)</w:t>
      </w:r>
      <w:r>
        <w:rPr>
          <w:rFonts w:ascii="Times New Roman" w:cs="Times New Roman" w:eastAsia="Times New Roman" w:hAnsi="Times New Roman"/>
          <w:sz w:val="17"/>
          <w:szCs w:val="17"/>
          <w:color w:val="auto"/>
        </w:rPr>
        <w:t xml:space="preserve"> at the Conversion Rate (as defined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product of the total number of Preferred Shares elected to be converted by such Holder (or Holders) and the Liquidation Preference in any such conversion is at least $500,000;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if, following such conversion, the Holder would no longer hold any Preferred Shares the requirement of the preceding clause shall not apply.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that may be payable with respect to the issuance and delivery of Common Stock upon conversion of any Preferred Shares.</w:t>
      </w:r>
    </w:p>
    <w:p>
      <w:pPr>
        <w:spacing w:after="0" w:line="177" w:lineRule="exact"/>
        <w:rPr>
          <w:rFonts w:ascii="Times New Roman" w:cs="Times New Roman" w:eastAsia="Times New Roman" w:hAnsi="Times New Roman"/>
          <w:sz w:val="17"/>
          <w:szCs w:val="17"/>
          <w:color w:val="auto"/>
        </w:rPr>
      </w:pPr>
    </w:p>
    <w:p>
      <w:pPr>
        <w:ind w:left="899" w:hanging="294"/>
        <w:spacing w:after="0"/>
        <w:tabs>
          <w:tab w:leader="none" w:pos="899"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Rate</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1519" w:hanging="309"/>
        <w:spacing w:after="0" w:line="307" w:lineRule="auto"/>
        <w:tabs>
          <w:tab w:leader="none" w:pos="1519"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provided herein, the number of Conversion Shares issuable upon conversion of any Preferred Share pursuant to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w:t>
      </w:r>
      <w:r>
        <w:rPr>
          <w:rFonts w:ascii="Times New Roman" w:cs="Times New Roman" w:eastAsia="Times New Roman" w:hAnsi="Times New Roman"/>
          <w:sz w:val="16"/>
          <w:szCs w:val="16"/>
          <w:color w:val="auto"/>
        </w:rPr>
        <w:t xml:space="preserve"> shall be determined by dividing (x) the Liquidation Preference of such Preferred Share by (y) the Conversion Price (the “</w:t>
      </w:r>
      <w:r>
        <w:rPr>
          <w:rFonts w:ascii="Times New Roman" w:cs="Times New Roman" w:eastAsia="Times New Roman" w:hAnsi="Times New Roman"/>
          <w:sz w:val="16"/>
          <w:szCs w:val="16"/>
          <w:u w:val="single" w:color="auto"/>
          <w:color w:val="auto"/>
        </w:rPr>
        <w:t>Conversion Rate</w:t>
      </w:r>
      <w:r>
        <w:rPr>
          <w:rFonts w:ascii="Times New Roman" w:cs="Times New Roman" w:eastAsia="Times New Roman" w:hAnsi="Times New Roman"/>
          <w:sz w:val="16"/>
          <w:szCs w:val="16"/>
          <w:color w:val="auto"/>
        </w:rPr>
        <w:t>”).</w:t>
      </w:r>
    </w:p>
    <w:p>
      <w:pPr>
        <w:spacing w:after="0" w:line="134" w:lineRule="exact"/>
        <w:rPr>
          <w:rFonts w:ascii="Times New Roman" w:cs="Times New Roman" w:eastAsia="Times New Roman" w:hAnsi="Times New Roman"/>
          <w:sz w:val="16"/>
          <w:szCs w:val="16"/>
          <w:color w:val="auto"/>
        </w:rPr>
      </w:pPr>
    </w:p>
    <w:p>
      <w:pPr>
        <w:jc w:val="both"/>
        <w:ind w:left="1519" w:hanging="309"/>
        <w:spacing w:after="0" w:line="253" w:lineRule="auto"/>
        <w:tabs>
          <w:tab w:leader="none" w:pos="1519"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Certificate of Designation, the term “</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xml:space="preserve">” means, with respect to each Preferred Share, as of the applicable date of determination, an amount equal to (1) one thousand dollars ($1,000) (the “Base Amount”),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(2) the aggregate amount of all PIK Dividends paid since the Initial Issuance Date (the “</w:t>
      </w:r>
      <w:r>
        <w:rPr>
          <w:rFonts w:ascii="Times New Roman" w:cs="Times New Roman" w:eastAsia="Times New Roman" w:hAnsi="Times New Roman"/>
          <w:sz w:val="17"/>
          <w:szCs w:val="17"/>
          <w:u w:val="single" w:color="auto"/>
          <w:color w:val="auto"/>
        </w:rPr>
        <w:t>PIK Dividend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(3) the aggregate amount of all Capitalized Cash Dividends that remain unpaid since the Initial Issuance Date (the “</w:t>
      </w:r>
      <w:r>
        <w:rPr>
          <w:rFonts w:ascii="Times New Roman" w:cs="Times New Roman" w:eastAsia="Times New Roman" w:hAnsi="Times New Roman"/>
          <w:sz w:val="17"/>
          <w:szCs w:val="17"/>
          <w:u w:val="single" w:color="auto"/>
          <w:color w:val="auto"/>
        </w:rPr>
        <w:t>Capitalized Cash Dividend Amount</w:t>
      </w:r>
      <w:r>
        <w:rPr>
          <w:rFonts w:ascii="Times New Roman" w:cs="Times New Roman" w:eastAsia="Times New Roman" w:hAnsi="Times New Roman"/>
          <w:sz w:val="17"/>
          <w:szCs w:val="17"/>
          <w:color w:val="auto"/>
        </w:rPr>
        <w:t>”, and the aggregate amount of the Base Amount, the PIK Dividend Amount, and the Capitalized Cash Dividend Amount, the “</w:t>
      </w:r>
      <w:r>
        <w:rPr>
          <w:rFonts w:ascii="Times New Roman" w:cs="Times New Roman" w:eastAsia="Times New Roman" w:hAnsi="Times New Roman"/>
          <w:sz w:val="17"/>
          <w:szCs w:val="17"/>
          <w:u w:val="single" w:color="auto"/>
          <w:color w:val="auto"/>
        </w:rPr>
        <w:t>Applicable Preference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(4) any accrued and unpaid interest on the Applicable Preference Amount.</w:t>
      </w:r>
    </w:p>
    <w:p>
      <w:pPr>
        <w:spacing w:after="0" w:line="175" w:lineRule="exact"/>
        <w:rPr>
          <w:rFonts w:ascii="Times New Roman" w:cs="Times New Roman" w:eastAsia="Times New Roman" w:hAnsi="Times New Roman"/>
          <w:sz w:val="17"/>
          <w:szCs w:val="17"/>
          <w:color w:val="auto"/>
        </w:rPr>
      </w:pPr>
    </w:p>
    <w:p>
      <w:pPr>
        <w:ind w:left="1519" w:hanging="309"/>
        <w:spacing w:after="0"/>
        <w:tabs>
          <w:tab w:leader="none" w:pos="1519"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Certificate of Designation, the term “</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means $3.15, subject to adjustment as provided herein.</w:t>
      </w:r>
    </w:p>
    <w:p>
      <w:pPr>
        <w:spacing w:after="0" w:line="207" w:lineRule="exact"/>
        <w:rPr>
          <w:rFonts w:ascii="Times New Roman" w:cs="Times New Roman" w:eastAsia="Times New Roman" w:hAnsi="Times New Roman"/>
          <w:sz w:val="17"/>
          <w:szCs w:val="17"/>
          <w:color w:val="auto"/>
        </w:rPr>
      </w:pPr>
    </w:p>
    <w:p>
      <w:pPr>
        <w:jc w:val="both"/>
        <w:ind w:left="1519" w:hanging="309"/>
        <w:spacing w:after="0" w:line="256" w:lineRule="auto"/>
        <w:tabs>
          <w:tab w:leader="none" w:pos="1519"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Certificate of Designation, the term “</w:t>
      </w:r>
      <w:r>
        <w:rPr>
          <w:rFonts w:ascii="Times New Roman" w:cs="Times New Roman" w:eastAsia="Times New Roman" w:hAnsi="Times New Roman"/>
          <w:sz w:val="17"/>
          <w:szCs w:val="17"/>
          <w:u w:val="single" w:color="auto"/>
          <w:color w:val="auto"/>
        </w:rPr>
        <w:t>As-Converted Value</w:t>
      </w:r>
      <w:r>
        <w:rPr>
          <w:rFonts w:ascii="Times New Roman" w:cs="Times New Roman" w:eastAsia="Times New Roman" w:hAnsi="Times New Roman"/>
          <w:sz w:val="17"/>
          <w:szCs w:val="17"/>
          <w:color w:val="auto"/>
        </w:rPr>
        <w:t xml:space="preserve">” means, with respect to each Preferred Share, as of the applicable date of determination, an amount equal to the product of (A) the Conversion Rate with respect to the Liquidation Preference of such Preferred Share being redeemed as of the date of determination,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the arithmetic average of the VWAPs of the Common Stock for each of the five (5) Trading Days immediately preceding such date of determination.</w:t>
      </w:r>
    </w:p>
    <w:p>
      <w:pPr>
        <w:spacing w:after="0" w:line="175"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8" w:name="page9"/>
    <w:bookmarkEnd w:id="8"/>
    <w:p>
      <w:pPr>
        <w:ind w:left="294" w:hanging="294"/>
        <w:spacing w:after="0"/>
        <w:tabs>
          <w:tab w:leader="none" w:pos="2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 The conversion of each Preferred Share shall be conducted in the following manner:</w:t>
      </w:r>
    </w:p>
    <w:p>
      <w:pPr>
        <w:spacing w:after="0" w:line="207" w:lineRule="exact"/>
        <w:rPr>
          <w:rFonts w:ascii="Times New Roman" w:cs="Times New Roman" w:eastAsia="Times New Roman" w:hAnsi="Times New Roman"/>
          <w:sz w:val="17"/>
          <w:szCs w:val="17"/>
          <w:color w:val="auto"/>
        </w:rPr>
      </w:pPr>
    </w:p>
    <w:p>
      <w:pPr>
        <w:jc w:val="both"/>
        <w:ind w:left="914" w:hanging="309"/>
        <w:spacing w:after="0" w:line="264" w:lineRule="auto"/>
        <w:tabs>
          <w:tab w:leader="none" w:pos="914"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Optional Conversion</w:t>
      </w:r>
      <w:r>
        <w:rPr>
          <w:rFonts w:ascii="Times New Roman" w:cs="Times New Roman" w:eastAsia="Times New Roman" w:hAnsi="Times New Roman"/>
          <w:sz w:val="16"/>
          <w:szCs w:val="16"/>
          <w:color w:val="auto"/>
        </w:rPr>
        <w:t>. To convert one or more Preferred Shares into Conversion Shares on any date (a “</w:t>
      </w:r>
      <w:r>
        <w:rPr>
          <w:rFonts w:ascii="Times New Roman" w:cs="Times New Roman" w:eastAsia="Times New Roman" w:hAnsi="Times New Roman"/>
          <w:sz w:val="16"/>
          <w:szCs w:val="16"/>
          <w:u w:val="single" w:color="auto"/>
          <w:color w:val="auto"/>
        </w:rPr>
        <w:t>Conversion Date</w:t>
      </w:r>
      <w:r>
        <w:rPr>
          <w:rFonts w:ascii="Times New Roman" w:cs="Times New Roman" w:eastAsia="Times New Roman" w:hAnsi="Times New Roman"/>
          <w:sz w:val="16"/>
          <w:szCs w:val="16"/>
          <w:color w:val="auto"/>
        </w:rPr>
        <w:t xml:space="preserve">”), a Holder shall deliver (whether via electronic mail or otherwise), for receipt on or prior to 11:59 p.m., New York time, on such date, a copy of an executed notice of conversion of the Preferred Share(s) subject to such conversion in the form attached hereto as </w:t>
      </w:r>
      <w:r>
        <w:rPr>
          <w:rFonts w:ascii="Times New Roman" w:cs="Times New Roman" w:eastAsia="Times New Roman" w:hAnsi="Times New Roman"/>
          <w:sz w:val="16"/>
          <w:szCs w:val="16"/>
          <w:u w:val="single" w:color="auto"/>
          <w:color w:val="auto"/>
        </w:rPr>
        <w:t>Exhibit 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Conversion Notice</w:t>
      </w:r>
      <w:r>
        <w:rPr>
          <w:rFonts w:ascii="Times New Roman" w:cs="Times New Roman" w:eastAsia="Times New Roman" w:hAnsi="Times New Roman"/>
          <w:sz w:val="16"/>
          <w:szCs w:val="16"/>
          <w:color w:val="auto"/>
        </w:rPr>
        <w:t xml:space="preserve">”) to the Company. If required by </w:t>
      </w:r>
      <w:r>
        <w:rPr>
          <w:rFonts w:ascii="Times New Roman" w:cs="Times New Roman" w:eastAsia="Times New Roman" w:hAnsi="Times New Roman"/>
          <w:sz w:val="16"/>
          <w:szCs w:val="16"/>
          <w:u w:val="single" w:color="auto"/>
          <w:color w:val="auto"/>
        </w:rPr>
        <w:t>Section 4(c)(ii)</w:t>
      </w:r>
      <w:r>
        <w:rPr>
          <w:rFonts w:ascii="Times New Roman" w:cs="Times New Roman" w:eastAsia="Times New Roman" w:hAnsi="Times New Roman"/>
          <w:sz w:val="16"/>
          <w:szCs w:val="16"/>
          <w:color w:val="auto"/>
        </w:rPr>
        <w:t>, within two (2) Trading Days following a conversion of any such Preferred Shares as aforesaid, such Holder shall surrender to a nationally recognized overnight delivery service for delivery to the Company the original certificates, if any, representing the Preferred Shares (the “</w:t>
      </w:r>
      <w:r>
        <w:rPr>
          <w:rFonts w:ascii="Times New Roman" w:cs="Times New Roman" w:eastAsia="Times New Roman" w:hAnsi="Times New Roman"/>
          <w:sz w:val="16"/>
          <w:szCs w:val="16"/>
          <w:u w:val="single" w:color="auto"/>
          <w:color w:val="auto"/>
        </w:rPr>
        <w:t>Preferred Share Certificates</w:t>
      </w:r>
      <w:r>
        <w:rPr>
          <w:rFonts w:ascii="Times New Roman" w:cs="Times New Roman" w:eastAsia="Times New Roman" w:hAnsi="Times New Roman"/>
          <w:sz w:val="16"/>
          <w:szCs w:val="16"/>
          <w:color w:val="auto"/>
        </w:rPr>
        <w:t xml:space="preserve">”) so converted as aforesaid (or an indemnification undertaking with respect to the Preferred Shares in the case of its loss, theft or destruction as contemplated by </w:t>
      </w:r>
      <w:r>
        <w:rPr>
          <w:rFonts w:ascii="Times New Roman" w:cs="Times New Roman" w:eastAsia="Times New Roman" w:hAnsi="Times New Roman"/>
          <w:sz w:val="16"/>
          <w:szCs w:val="16"/>
          <w:u w:val="single" w:color="auto"/>
          <w:color w:val="auto"/>
        </w:rPr>
        <w:t>Section 18(b)</w:t>
      </w:r>
      <w:r>
        <w:rPr>
          <w:rFonts w:ascii="Times New Roman" w:cs="Times New Roman" w:eastAsia="Times New Roman" w:hAnsi="Times New Roman"/>
          <w:sz w:val="16"/>
          <w:szCs w:val="16"/>
          <w:color w:val="auto"/>
        </w:rPr>
        <w:t xml:space="preserve">). On the first (1st) Trading Day following receipt of a Conversion Notice, provided such Conversion Notice is received by 4:00 p.m. New York time on a Trading Day, otherwise on the second (2nd) Trading Day following receipt of such Conversion Notice, the Company shall transmit by electronic mail to such Holder and the Transfer Agent, (A) an acknowledgment of confirmation of receipt of such Conversion Notice, which confirmation shall constitute an instruction to the Transfer Agent to process such Conversion Notice in accordance with the terms set forth herein, and (B) a representation as to whether such shares of Common Stock may then be resold pursuant to Rule 144 or Section 4(a)(1) of the 1933 Act or an effective and available registration statement, in the form attached hereto as </w:t>
      </w:r>
      <w:r>
        <w:rPr>
          <w:rFonts w:ascii="Times New Roman" w:cs="Times New Roman" w:eastAsia="Times New Roman" w:hAnsi="Times New Roman"/>
          <w:sz w:val="16"/>
          <w:szCs w:val="16"/>
          <w:u w:val="single" w:color="auto"/>
          <w:color w:val="auto"/>
        </w:rPr>
        <w:t>Exhibit II</w:t>
      </w:r>
      <w:r>
        <w:rPr>
          <w:rFonts w:ascii="Times New Roman" w:cs="Times New Roman" w:eastAsia="Times New Roman" w:hAnsi="Times New Roman"/>
          <w:sz w:val="16"/>
          <w:szCs w:val="16"/>
          <w:color w:val="auto"/>
        </w:rPr>
        <w:t>. On or before the First (1st) Trading Day following each date on which the Company has received a Conversion Notice, provided such Conversion Notice is received by 4:00 p.m. New York time on a Trading Day, otherwise on the second (2nd) Trading Day following receipt of such Conversion Notice (the “</w:t>
      </w:r>
      <w:r>
        <w:rPr>
          <w:rFonts w:ascii="Times New Roman" w:cs="Times New Roman" w:eastAsia="Times New Roman" w:hAnsi="Times New Roman"/>
          <w:sz w:val="16"/>
          <w:szCs w:val="16"/>
          <w:u w:val="single" w:color="auto"/>
          <w:color w:val="auto"/>
        </w:rPr>
        <w:t>Share Delivery Deadline</w:t>
      </w:r>
      <w:r>
        <w:rPr>
          <w:rFonts w:ascii="Times New Roman" w:cs="Times New Roman" w:eastAsia="Times New Roman" w:hAnsi="Times New Roman"/>
          <w:sz w:val="16"/>
          <w:szCs w:val="16"/>
          <w:color w:val="auto"/>
        </w:rPr>
        <w:t>”), the Company shall (I) provided that the Transfer Agent is participating in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Fast Automated Securities Transfer Program (“</w:t>
      </w:r>
      <w:r>
        <w:rPr>
          <w:rFonts w:ascii="Times New Roman" w:cs="Times New Roman" w:eastAsia="Times New Roman" w:hAnsi="Times New Roman"/>
          <w:sz w:val="16"/>
          <w:szCs w:val="16"/>
          <w:u w:val="single" w:color="auto"/>
          <w:color w:val="auto"/>
        </w:rPr>
        <w:t>FAST</w:t>
      </w:r>
      <w:r>
        <w:rPr>
          <w:rFonts w:ascii="Times New Roman" w:cs="Times New Roman" w:eastAsia="Times New Roman" w:hAnsi="Times New Roman"/>
          <w:sz w:val="16"/>
          <w:szCs w:val="16"/>
          <w:color w:val="auto"/>
        </w:rPr>
        <w:t>”) and such shares of Common Stock (y) (1) may then be sold by the applicable Holder pursuant to an available and effective registration statement, and (2) such Holder provides such documentation or other information evidencing the sale of the shares of Common Stock as the Company, the Transfer Agent or legal counsel to the Company shall reasonably request (which, for the avoidance of doubt, shall not include the requirement of a medallion guarantee) or (z) may be sold by such Holder pursuant to Rule 144 of the 1933 Act, as applicable, including the requirements under Rule 144(i) or Section 4(a)(1) of the 1933 Act (the “</w:t>
      </w:r>
      <w:r>
        <w:rPr>
          <w:rFonts w:ascii="Times New Roman" w:cs="Times New Roman" w:eastAsia="Times New Roman" w:hAnsi="Times New Roman"/>
          <w:sz w:val="16"/>
          <w:szCs w:val="16"/>
          <w:u w:val="single" w:color="auto"/>
          <w:color w:val="auto"/>
        </w:rPr>
        <w:t>Resale Eligibility Conditions</w:t>
      </w:r>
      <w:r>
        <w:rPr>
          <w:rFonts w:ascii="Times New Roman" w:cs="Times New Roman" w:eastAsia="Times New Roman" w:hAnsi="Times New Roman"/>
          <w:sz w:val="16"/>
          <w:szCs w:val="16"/>
          <w:color w:val="auto"/>
        </w:rPr>
        <w:t xml:space="preserve">”), credit such aggregate number of Conversion Shares to which such Holder shall be entitled pursuant to such conversion to such Holder’s or its designee’s balance account with DTC through its Deposit/Withdrawal at Custodian system, or (II) if the Transfer Agent is not participating in FAST or the Resale Eligibility Conditions are not satisfied, upon the request of such Holder, issue and deliver (via reputable overnight courier) to the address as specified in such Conversion Notice, a certificate, registered in the name of such Holder or its designee, for the number of Conversion Shares to which such Holder shall be entitled. If the number of Preferred Shares represented by the Preferred Share Certificate(s) submitted for conversion pursuant to </w:t>
      </w:r>
      <w:r>
        <w:rPr>
          <w:rFonts w:ascii="Times New Roman" w:cs="Times New Roman" w:eastAsia="Times New Roman" w:hAnsi="Times New Roman"/>
          <w:sz w:val="16"/>
          <w:szCs w:val="16"/>
          <w:u w:val="single" w:color="auto"/>
          <w:color w:val="auto"/>
        </w:rPr>
        <w:t>Section 4(c)(ii)</w:t>
      </w:r>
      <w:r>
        <w:rPr>
          <w:rFonts w:ascii="Times New Roman" w:cs="Times New Roman" w:eastAsia="Times New Roman" w:hAnsi="Times New Roman"/>
          <w:sz w:val="16"/>
          <w:szCs w:val="16"/>
          <w:color w:val="auto"/>
        </w:rPr>
        <w:t xml:space="preserve"> is greater than the number of Preferred Shares being converted, then the Company shall, as soon as practicable and in no event later than two (2) Trading Days after receipt of the Preferred Share Certificate(s) and at its own expense, issue and mail to such Holder (or its designee) by overnight courier service a new Preferred Share Certificate or a new Book-Entry (in either case, in accordance with </w:t>
      </w:r>
      <w:r>
        <w:rPr>
          <w:rFonts w:ascii="Times New Roman" w:cs="Times New Roman" w:eastAsia="Times New Roman" w:hAnsi="Times New Roman"/>
          <w:sz w:val="16"/>
          <w:szCs w:val="16"/>
          <w:u w:val="single" w:color="auto"/>
          <w:color w:val="auto"/>
        </w:rPr>
        <w:t>Section 18(d)</w:t>
      </w:r>
      <w:r>
        <w:rPr>
          <w:rFonts w:ascii="Times New Roman" w:cs="Times New Roman" w:eastAsia="Times New Roman" w:hAnsi="Times New Roman"/>
          <w:sz w:val="16"/>
          <w:szCs w:val="16"/>
          <w:color w:val="auto"/>
        </w:rPr>
        <w:t>) representing the number of Preferred Shares not converted. The Person or Persons entitled to receive the Conversion Shares issuable upon a conversion of Preferred Shares shall be treated for all purposes as the record holder or holders of such Conversion Shares on the Conversion Date; provided, that such Person shall be deemed to have waived any voting rights of any such Conversion Shares that may arise during the period commencing on such Conversion Date, through, and including, such applicable Share Delivery Deadline, as necessary, such that the aggregate voting rights of any Common Stock (including such Conversion Shares) beneficially owned by such Person and/or any of its Attribution Parties, collectively, on any such date of determination shall not exceed the Maximum Percentage (as defined below) as a result of any such conversion of such applicable Preferred Shares with respect thereto.</w:t>
      </w:r>
    </w:p>
    <w:p>
      <w:pPr>
        <w:spacing w:after="0" w:line="200" w:lineRule="exact"/>
        <w:rPr>
          <w:sz w:val="20"/>
          <w:szCs w:val="20"/>
          <w:color w:val="auto"/>
        </w:rPr>
      </w:pPr>
    </w:p>
    <w:p>
      <w:pPr>
        <w:spacing w:after="0" w:line="383" w:lineRule="exact"/>
        <w:rPr>
          <w:sz w:val="20"/>
          <w:szCs w:val="20"/>
          <w:color w:val="auto"/>
        </w:rPr>
      </w:pPr>
    </w:p>
    <w:p>
      <w:pPr>
        <w:ind w:left="4974"/>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9" w:name="page10"/>
    <w:bookmarkEnd w:id="9"/>
    <w:p>
      <w:pPr>
        <w:jc w:val="both"/>
        <w:ind w:left="400" w:hanging="309"/>
        <w:spacing w:after="0" w:line="265" w:lineRule="auto"/>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Book-Entry</w:t>
      </w:r>
      <w:r>
        <w:rPr>
          <w:rFonts w:ascii="Times New Roman" w:cs="Times New Roman" w:eastAsia="Times New Roman" w:hAnsi="Times New Roman"/>
          <w:sz w:val="16"/>
          <w:szCs w:val="16"/>
          <w:color w:val="auto"/>
        </w:rPr>
        <w:t>. At the time of issuance of any Preferred Shares hereunder, the Preferred Shares shall be uncertificated and in Book-Entry form, but the applicable Holder may, by written request (including by electronic mail) to the Company, elect to receive such Preferred Shares in the form of one or more Preferred Share Certificates. The Company (or the Transfer Agent, as custodian for the Preferred Shares) shall maintain a register (the “</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for the recordation of the names and addresses of the Holders of each Preferred Share and the Liquidation Preference of the Preferred Shares and whether the Preferred Shares are held by such Holder in Preferred Share Certificates or in Book-Entry form (the “</w:t>
      </w:r>
      <w:r>
        <w:rPr>
          <w:rFonts w:ascii="Times New Roman" w:cs="Times New Roman" w:eastAsia="Times New Roman" w:hAnsi="Times New Roman"/>
          <w:sz w:val="16"/>
          <w:szCs w:val="16"/>
          <w:u w:val="single" w:color="auto"/>
          <w:color w:val="auto"/>
        </w:rPr>
        <w:t>Registered Preferred Shares</w:t>
      </w:r>
      <w:r>
        <w:rPr>
          <w:rFonts w:ascii="Times New Roman" w:cs="Times New Roman" w:eastAsia="Times New Roman" w:hAnsi="Times New Roman"/>
          <w:sz w:val="16"/>
          <w:szCs w:val="16"/>
          <w:color w:val="auto"/>
        </w:rPr>
        <w:t xml:space="preserve">”). The entries in the Register shall be conclusive and binding for all purposes absent manifest error. The Company and each Holder of the Preferred Shares shall treat each Person whose name is recorded in the Register as the owner of a Preferred Share for all purposes (including, without limitation, the right to receive payments and Dividends hereunder) notwithstanding notice to the contrary. Provided that the Company receives appropriate documentation for an assignment, transfer or sale, a Registered Preferred Share may be assigned, transferred or sold only by registration of such assignment or sale on the Register. Upon its receipt of a written request to assign, transfer or sell one or more Registered Preferred Shares by such Holder thereof, the Company shall record the information contained therein in the Register and issue one or more new Registered Preferred Shares with the same aggregate Liquidation Preference as the Liquidation Preference of the surrendered Registered Preferred Shares to the designated assignee or transferee pursuant to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 xml:space="preserve">, provided that if the Company does not so record an assignment, transfer or sale (as the case may be) of such Registered Preferred Shares within two (2) Business Days of such a request, then the Register shall be automatically deemed updated to reflect such assignment, transfer or sale (as the case may be). Notwithstanding anything to the contrary set forth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following conversion of any Preferred Shares in accordance with the terms hereof, the applicable Holder shall not be required to physically surrender such Preferred Shares held in the form of a Preferred Share Certificate to the Company unless (A) the full or remaining number of Preferred Shares represented by the applicable Preferred Share Certificate are being converted (in which event such certificate(s) shall be delivered to the Company as contemplated by this </w:t>
      </w:r>
      <w:r>
        <w:rPr>
          <w:rFonts w:ascii="Times New Roman" w:cs="Times New Roman" w:eastAsia="Times New Roman" w:hAnsi="Times New Roman"/>
          <w:sz w:val="16"/>
          <w:szCs w:val="16"/>
          <w:u w:val="single" w:color="auto"/>
          <w:color w:val="auto"/>
        </w:rPr>
        <w:t>Section 4(c)(ii)</w:t>
      </w:r>
      <w:r>
        <w:rPr>
          <w:rFonts w:ascii="Times New Roman" w:cs="Times New Roman" w:eastAsia="Times New Roman" w:hAnsi="Times New Roman"/>
          <w:sz w:val="16"/>
          <w:szCs w:val="16"/>
          <w:color w:val="auto"/>
        </w:rPr>
        <w:t>) or (B) such Holder has provided the Company with prior written notice (which notice may be included in a Conversion Notice) requesting reissuance of Preferred Shares upon physical surrender of the applicable Preferred Share Certificate. In the event of any dispute or discrepancy, the records of the Company establishing the number of Preferred Shares to which the record holder is entitled shall be controlling and determinative in the absence of manifest error. A Holder and any transferee or assignee, by acceptance of a certificate, acknowledge and agree that, by reason of the provisions of this paragraph, following conversion of any Preferred Shares, the number of Preferred Shares represented by such certificate may be less than the number of Preferred Shares stated on the face thereof. Each Preferred Share Certificate shall bear the following legend:</w:t>
      </w:r>
    </w:p>
    <w:p>
      <w:pPr>
        <w:spacing w:after="0" w:line="369" w:lineRule="exact"/>
        <w:rPr>
          <w:sz w:val="20"/>
          <w:szCs w:val="20"/>
          <w:color w:val="auto"/>
        </w:rPr>
      </w:pPr>
    </w:p>
    <w:p>
      <w:pPr>
        <w:jc w:val="both"/>
        <w:ind w:left="1300" w:right="600"/>
        <w:spacing w:after="0" w:line="254" w:lineRule="auto"/>
        <w:rPr>
          <w:sz w:val="20"/>
          <w:szCs w:val="20"/>
          <w:color w:val="auto"/>
        </w:rPr>
      </w:pPr>
      <w:r>
        <w:rPr>
          <w:rFonts w:ascii="Times New Roman" w:cs="Times New Roman" w:eastAsia="Times New Roman" w:hAnsi="Times New Roman"/>
          <w:sz w:val="17"/>
          <w:szCs w:val="17"/>
          <w:color w:val="auto"/>
        </w:rPr>
        <w:t xml:space="preserve">ANY TRANSFEREE OR ASSIGNEE OF THIS CERTIFICATE SHOULD CAREFULLY REVIEW THE TERMS OF THE CORPORATION’S CERTIFICATE OF DESIGNATION RELATING TO THE SHARES OF SERIES B CONVERTIBLE PREFERRED STOCK REPRESENTED BY THIS CERTIFICATE, INCLUDING </w:t>
      </w:r>
      <w:r>
        <w:rPr>
          <w:rFonts w:ascii="Times New Roman" w:cs="Times New Roman" w:eastAsia="Times New Roman" w:hAnsi="Times New Roman"/>
          <w:sz w:val="17"/>
          <w:szCs w:val="17"/>
          <w:u w:val="single" w:color="auto"/>
          <w:color w:val="auto"/>
        </w:rPr>
        <w:t>SECTION 4(c)(ii)</w:t>
      </w:r>
    </w:p>
    <w:p>
      <w:pPr>
        <w:spacing w:after="0" w:line="1" w:lineRule="exact"/>
        <w:rPr>
          <w:sz w:val="20"/>
          <w:szCs w:val="20"/>
          <w:color w:val="auto"/>
        </w:rPr>
      </w:pPr>
    </w:p>
    <w:p>
      <w:pPr>
        <w:jc w:val="both"/>
        <w:ind w:left="1300" w:right="600"/>
        <w:spacing w:after="0" w:line="249" w:lineRule="auto"/>
        <w:rPr>
          <w:sz w:val="20"/>
          <w:szCs w:val="20"/>
          <w:color w:val="auto"/>
        </w:rPr>
      </w:pPr>
      <w:r>
        <w:rPr>
          <w:rFonts w:ascii="Times New Roman" w:cs="Times New Roman" w:eastAsia="Times New Roman" w:hAnsi="Times New Roman"/>
          <w:sz w:val="17"/>
          <w:szCs w:val="17"/>
          <w:color w:val="auto"/>
        </w:rPr>
        <w:t xml:space="preserve">THEREOF. THE NUMBER OF SHARES OF SERIES B CONVERTIBLE PREFERRED STOCK REPRESENTED BY THIS CERTIFICATE MAY BE LESS THAN THE NUMBER OF SHARES OF SERIES B CONVERTIBLE PREFERRED STOCK STATED ON THE FACE HEREOF PURSUANT TO </w:t>
      </w:r>
      <w:r>
        <w:rPr>
          <w:rFonts w:ascii="Times New Roman" w:cs="Times New Roman" w:eastAsia="Times New Roman" w:hAnsi="Times New Roman"/>
          <w:sz w:val="17"/>
          <w:szCs w:val="17"/>
          <w:u w:val="single" w:color="auto"/>
          <w:color w:val="auto"/>
        </w:rPr>
        <w:t>SECTION 4(c)(ii)</w:t>
      </w:r>
      <w:r>
        <w:rPr>
          <w:rFonts w:ascii="Times New Roman" w:cs="Times New Roman" w:eastAsia="Times New Roman" w:hAnsi="Times New Roman"/>
          <w:sz w:val="17"/>
          <w:szCs w:val="17"/>
          <w:color w:val="auto"/>
        </w:rPr>
        <w:t xml:space="preserve"> OF THE CERTIFICATE OF DESIGNATION RELATING TO THE SHARES OF SERIES B CONVERTIBLE PREFERRED STOCK REPRESENTED BY THIS CERTIFICATE.</w:t>
      </w:r>
    </w:p>
    <w:p>
      <w:pPr>
        <w:spacing w:after="0" w:line="180" w:lineRule="exact"/>
        <w:rPr>
          <w:sz w:val="20"/>
          <w:szCs w:val="20"/>
          <w:color w:val="auto"/>
        </w:rPr>
      </w:pPr>
    </w:p>
    <w:p>
      <w:pPr>
        <w:jc w:val="both"/>
        <w:ind w:left="400" w:hanging="309"/>
        <w:spacing w:after="0" w:line="250" w:lineRule="auto"/>
        <w:tabs>
          <w:tab w:leader="none" w:pos="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Conversion; Disputes</w:t>
      </w:r>
      <w:r>
        <w:rPr>
          <w:rFonts w:ascii="Times New Roman" w:cs="Times New Roman" w:eastAsia="Times New Roman" w:hAnsi="Times New Roman"/>
          <w:sz w:val="17"/>
          <w:szCs w:val="17"/>
          <w:color w:val="auto"/>
        </w:rPr>
        <w:t xml:space="preserve">. In the event that the Company receives a Conversion Notice from more than one Holder for the same Conversion Date and the Company can convert some, but not all, of such Preferred Shares submitted for conversion, the Company shall use commercially reasonable efforts to convert from each Holder electing to have Preferred Shares converted on such date a pro rata amount of such Holder’s Preferred Shares submitted for conversion on such date based on the number of Preferred Shares submitted for conversion on such date by such Holder relative to the aggregate number of Preferred Shares submitted for conversion on such date. In the event of a dispute as to the number of Conversion Shares issuable to a Holder in connection with a conversion of Preferred Shares, the Company shall issue to such Holder the number of Conversion Shares not in dispute and resolve such dispute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If a Conversion Notice delivered to the Company would result in a breach of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below, and the applicable Holder does not elect in writing to withdraw, in whole, such Conversion Notice, the Company shall hold such Conversion Notice in abeyance until such time as such Conversion Notice may be satisfied without violating Section 4(d) below (with such calculations thereunder made as of the date such Conversion Notice was initially delivered to the Company).</w:t>
      </w:r>
    </w:p>
    <w:p>
      <w:pPr>
        <w:spacing w:after="0" w:line="1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10" w:name="page11"/>
    <w:bookmarkEnd w:id="10"/>
    <w:p>
      <w:pPr>
        <w:jc w:val="both"/>
        <w:ind w:left="294" w:hanging="294"/>
        <w:spacing w:after="0" w:line="264" w:lineRule="auto"/>
        <w:tabs>
          <w:tab w:leader="none" w:pos="29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on Beneficial Ownership</w:t>
      </w:r>
      <w:r>
        <w:rPr>
          <w:rFonts w:ascii="Times New Roman" w:cs="Times New Roman" w:eastAsia="Times New Roman" w:hAnsi="Times New Roman"/>
          <w:sz w:val="16"/>
          <w:szCs w:val="16"/>
          <w:color w:val="auto"/>
        </w:rPr>
        <w:t>. The Company shall not effect the conversion of any of the Preferred Shares held by a Holder, and such Holder shall not have the right to convert any of the Preferred Shares held by such Holder pursuant to the terms and conditions of this Certificate of Designation and any such conversion shall be null and void and treated as if never made, to the extent that after giving effect to such conversion, such Holder together with the other Attribution Parties collectively would beneficially own in excess of 4.99% (the “</w:t>
      </w:r>
      <w:r>
        <w:rPr>
          <w:rFonts w:ascii="Times New Roman" w:cs="Times New Roman" w:eastAsia="Times New Roman" w:hAnsi="Times New Roman"/>
          <w:sz w:val="16"/>
          <w:szCs w:val="16"/>
          <w:u w:val="single" w:color="auto"/>
          <w:color w:val="auto"/>
        </w:rPr>
        <w:t>Maximum Percentage</w:t>
      </w:r>
      <w:r>
        <w:rPr>
          <w:rFonts w:ascii="Times New Roman" w:cs="Times New Roman" w:eastAsia="Times New Roman" w:hAnsi="Times New Roman"/>
          <w:sz w:val="16"/>
          <w:szCs w:val="16"/>
          <w:color w:val="auto"/>
        </w:rPr>
        <w:t xml:space="preserve">”) 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conversion of the Preferred Shares with respect to which the determination of such sentence is being made, but shall exclude shares of Common Stock which would be issuable upon (A) conversion of the remaining, nonconverted Preferred Shares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Preferred Shares) beneficially owned by such Holder or any other Attribution Party subject to a limitation on conversion or exercise analogous to the limitation contained in this </w:t>
      </w:r>
      <w:r>
        <w:rPr>
          <w:rFonts w:ascii="Times New Roman" w:cs="Times New Roman" w:eastAsia="Times New Roman" w:hAnsi="Times New Roman"/>
          <w:sz w:val="16"/>
          <w:szCs w:val="16"/>
          <w:u w:val="single" w:color="auto"/>
          <w:color w:val="auto"/>
        </w:rPr>
        <w:t>Section 4(d)</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4(d)</w:t>
      </w:r>
      <w:r>
        <w:rPr>
          <w:rFonts w:ascii="Times New Roman" w:cs="Times New Roman" w:eastAsia="Times New Roman" w:hAnsi="Times New Roman"/>
          <w:sz w:val="16"/>
          <w:szCs w:val="16"/>
          <w:color w:val="auto"/>
        </w:rPr>
        <w:t>, beneficial ownership shall be calculated in accordance with Section 13(d) of the 1934 Act. For the avoidance of doubt, the calculation of the Maximum Percentage shall take into account the concurrent exercise and/or conversion, as applicable, of the unexercised or unconverted portion of any other securities of the Company beneficially owned by such Holder and/or any other Attribution Party, as applicable. For purposes of determining the number of outstanding shares of Common Stock a Holder may acquire upon the conversion of such Preferred Shares without exceeding the Maximum Percentage, such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6"/>
          <w:szCs w:val="16"/>
          <w:u w:val="single" w:color="auto"/>
          <w:color w:val="auto"/>
        </w:rPr>
        <w:t>Reported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Outstanding Share Number</w:t>
      </w:r>
      <w:r>
        <w:rPr>
          <w:rFonts w:ascii="Times New Roman" w:cs="Times New Roman" w:eastAsia="Times New Roman" w:hAnsi="Times New Roman"/>
          <w:sz w:val="16"/>
          <w:szCs w:val="16"/>
          <w:color w:val="auto"/>
        </w:rPr>
        <w:t>”). If the Company receives a Conversion Notice from a Holder at a time when the actual number of outstanding shares of Common Stock is less than the Reported Outstanding Share Number, the Company shall notify such Holder in writing of the number of shares of Common Stock then outstanding and, to the extent that such Conversion Notice would otherwise cause such Holder’s beneficial ownership, as determined pursuant to this Section 4(d), to exceed the Maximum Percentage, such Holder must notify the Company of a reduced number of shares of Common Stock to be purchased pursuant to such Conversion Notice. For any reason at any time, upon the written or oral request of any Holder, the Company shall within one (1) Business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including such Preferred Shares, by such Holder and any other Attribution Party since the date as of which the Reported Outstanding Share Number was reported. In the event that the issuance of shares of Common Stock to a Holder upon conversion of such Preferred Shares results in such Holder and the other Attribution Parties being deemed to beneficially own, in the aggregate, more than the Maximum Percentage of the number of outstanding shares of Common Stock (as determined under Section 13(d) of the 1934 Act), the number of shares so issued by which such Holder’s and the other Attribution Parties’ aggregate beneficial ownership exceeds the Maximum Percentage (the “</w:t>
      </w:r>
      <w:r>
        <w:rPr>
          <w:rFonts w:ascii="Times New Roman" w:cs="Times New Roman" w:eastAsia="Times New Roman" w:hAnsi="Times New Roman"/>
          <w:sz w:val="16"/>
          <w:szCs w:val="16"/>
          <w:u w:val="single" w:color="auto"/>
          <w:color w:val="auto"/>
        </w:rPr>
        <w:t>Excess Shares</w:t>
      </w:r>
      <w:r>
        <w:rPr>
          <w:rFonts w:ascii="Times New Roman" w:cs="Times New Roman" w:eastAsia="Times New Roman" w:hAnsi="Times New Roman"/>
          <w:sz w:val="16"/>
          <w:szCs w:val="16"/>
          <w:color w:val="auto"/>
        </w:rPr>
        <w:t>”) shall be deemed null and void and shall be cancelled ab initio, and such Holder shall not have the power to vote or to transfer the Excess Shares. Upon delivery of a written notice to the Company, any Holder may from time to time increase (with such increase not effective until the sixty-first (61st) day after delivery of such notice) or decrease the Maximum Percentage of such Holder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such Holder and the other Attribution Parties and not to any other Holder that is not an Attribution Party of such Holder. For purposes of clarity, the shares of Common Stock issuable to a Holder pursuant to the terms of this Certificate of Designation in excess of the Maximum Percentage shall not be deemed to be beneficially owned by such Holder for any purpose including for purposes of Section 13(d) or Rule 16a-1(a)(1) of the 1934 Act. No prior inability to convert such Preferred Shares pursuant to this paragraph shall have any effect on the applicability of the provisions of this paragraph with respect to any subsequent determination of convertibility. The provisions of this paragraph shall not be construed and implemented in a manner otherwise than in strict conformity with the terms of this Section 4(d) to the extent necessary to correct this paragraph (or any portion of this paragraph) which may be defective or inconsistent with the intended beneficial ownership limitation contained in this Section 4(d) or to make changes or supplements necessary or desirable to properly give effect to such limitation. The limitation contained in this paragraph may not be amended, modified or waived and shall apply to a successor holder of such Preferred Shares.</w:t>
      </w:r>
    </w:p>
    <w:p>
      <w:pPr>
        <w:spacing w:after="0" w:line="200" w:lineRule="exact"/>
        <w:rPr>
          <w:sz w:val="20"/>
          <w:szCs w:val="20"/>
          <w:color w:val="auto"/>
        </w:rPr>
      </w:pPr>
    </w:p>
    <w:p>
      <w:pPr>
        <w:spacing w:after="0" w:line="378" w:lineRule="exact"/>
        <w:rPr>
          <w:sz w:val="20"/>
          <w:szCs w:val="20"/>
          <w:color w:val="auto"/>
        </w:rPr>
      </w:pPr>
    </w:p>
    <w:p>
      <w:pPr>
        <w:ind w:left="4974"/>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11" w:name="page12"/>
    <w:bookmarkEnd w:id="11"/>
    <w:p>
      <w:pPr>
        <w:ind w:left="299" w:hanging="299"/>
        <w:spacing w:after="0"/>
        <w:tabs>
          <w:tab w:leader="none" w:pos="29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Fundamental Transactions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48" w:lineRule="auto"/>
        <w:tabs>
          <w:tab w:leader="none" w:pos="89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Assumption</w:t>
      </w:r>
      <w:r>
        <w:rPr>
          <w:rFonts w:ascii="Times New Roman" w:cs="Times New Roman" w:eastAsia="Times New Roman" w:hAnsi="Times New Roman"/>
          <w:sz w:val="17"/>
          <w:szCs w:val="17"/>
          <w:color w:val="auto"/>
        </w:rPr>
        <w:t xml:space="preserve">. Unless the Company redeems the then outstanding Preferred Shares in full pursuant to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the Company shall not consummate a Fundamental Transaction unless the Successor Entity assumes in writing all of the obligations of the Company under this Certificate of Designation and the other Transaction Documents in accordance with the provisions of this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pursuant to written agreements in form and substance reasonably satisfactory to the Requisite Holders, including agreements to deliver to each holder of Preferred Shares in exchange for such Preferred Shares a security of the Successor Entity evidenced by a written instrument substantially similar in form and substance to this Certificate of Designation, including, without limitation, having a liquidation preference and dividend rate equal to the liquidation preference and dividend rate of the Preferred Shares held by the Holders and having similar ranking to the Preferred Shares, and reasonably satisfactory to the Requisite Holders. Upon the occurrence of any Fundamental Transaction, the Successor Entity shall succeed to, and be substituted for (so that from and after the date of such Fundamental Transaction, the provisions of this Certificate of Designation and the other Transaction Documents referring to the “Company” shall refer instead to the Successor Entity), and may exercise every right and power of the Company and shall assume all of the obligations of the Company under this Certificate of Designation and the other Transaction Documents with the same effect as if such Successor Entity had been named as the Company herein and therein. In addition to the foregoing, upon consummation of a Fundamental Transaction, the Successor Entity shall deliver to each Holder confirmation that there shall be issued upon conversion or redemption of the Preferred Shares at any time after the consummation of such Fundamental Transaction, in lieu of the shares of Common Stock (or other securities, cash, assets or other property (except such items still issuable under </w:t>
      </w:r>
      <w:r>
        <w:rPr>
          <w:rFonts w:ascii="Times New Roman" w:cs="Times New Roman" w:eastAsia="Times New Roman" w:hAnsi="Times New Roman"/>
          <w:sz w:val="17"/>
          <w:szCs w:val="17"/>
          <w:u w:val="single" w:color="auto"/>
          <w:color w:val="auto"/>
        </w:rPr>
        <w:t>Sections 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15</w:t>
      </w:r>
      <w:r>
        <w:rPr>
          <w:rFonts w:ascii="Times New Roman" w:cs="Times New Roman" w:eastAsia="Times New Roman" w:hAnsi="Times New Roman"/>
          <w:sz w:val="17"/>
          <w:szCs w:val="17"/>
          <w:color w:val="auto"/>
        </w:rPr>
        <w:t xml:space="preserve">, which shall continue to be receivable thereafter)) issuable upon the conversion or redemption of the Preferred Shares prior to such Fundamental Transaction, such shares of the publicly traded common stock (or their equivalent) of the Successor Entity (including its Parent Entity) which each Holder would have been entitled to receive upon the happening of such Fundamental Transaction had all the Preferred Shares held by each Holder been converted immediately prior to such Fundamental Transaction (without regard to any limitations on the conversion of the Preferred Shares contained in this Certificate of Designation), as adjusted in accordance with the provisions of this Certificate of Designation. Notwithstanding the foregoing, such Holder may elect, at its sole option, by delivery of written notice to the Company to waive this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to permit the Fundamental Transaction without the assumption of the Preferred Shares. The provisions of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apply similarly and equally to successive Fundamental Transactions and shall be applied without regard to any limitations on the conversion or redemption of the Preferred Shares.</w:t>
      </w:r>
    </w:p>
    <w:p>
      <w:pPr>
        <w:spacing w:after="0" w:line="195" w:lineRule="exact"/>
        <w:rPr>
          <w:rFonts w:ascii="Times New Roman" w:cs="Times New Roman" w:eastAsia="Times New Roman" w:hAnsi="Times New Roman"/>
          <w:sz w:val="17"/>
          <w:szCs w:val="17"/>
          <w:color w:val="auto"/>
        </w:rPr>
      </w:pPr>
    </w:p>
    <w:p>
      <w:pPr>
        <w:jc w:val="both"/>
        <w:ind w:left="899" w:hanging="294"/>
        <w:spacing w:after="0" w:line="266" w:lineRule="auto"/>
        <w:tabs>
          <w:tab w:leader="none" w:pos="89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a Change of Control; Change of Control Election Notice</w:t>
      </w:r>
      <w:r>
        <w:rPr>
          <w:rFonts w:ascii="Times New Roman" w:cs="Times New Roman" w:eastAsia="Times New Roman" w:hAnsi="Times New Roman"/>
          <w:sz w:val="16"/>
          <w:szCs w:val="16"/>
          <w:color w:val="auto"/>
        </w:rPr>
        <w:t xml:space="preserve">. Unless the Company redeems the then outstanding Preferred Shares in full pursuant to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no sooner than the earlier of (x) twenty (20) Trading Days prior to the consummation of a Change of Control or (y) the public announcement of the entry into an agreement with respect to a Change of Control (the time of such public announcement, the “</w:t>
      </w:r>
      <w:r>
        <w:rPr>
          <w:rFonts w:ascii="Times New Roman" w:cs="Times New Roman" w:eastAsia="Times New Roman" w:hAnsi="Times New Roman"/>
          <w:sz w:val="16"/>
          <w:szCs w:val="16"/>
          <w:u w:val="single" w:color="auto"/>
          <w:color w:val="auto"/>
        </w:rPr>
        <w:t>Announcement Time</w:t>
      </w:r>
      <w:r>
        <w:rPr>
          <w:rFonts w:ascii="Times New Roman" w:cs="Times New Roman" w:eastAsia="Times New Roman" w:hAnsi="Times New Roman"/>
          <w:sz w:val="16"/>
          <w:szCs w:val="16"/>
          <w:color w:val="auto"/>
        </w:rPr>
        <w:t>”), nor later than ten (10) Trading Days prior to the consummation of a Change of Control (the “</w:t>
      </w:r>
      <w:r>
        <w:rPr>
          <w:rFonts w:ascii="Times New Roman" w:cs="Times New Roman" w:eastAsia="Times New Roman" w:hAnsi="Times New Roman"/>
          <w:sz w:val="16"/>
          <w:szCs w:val="16"/>
          <w:u w:val="single" w:color="auto"/>
          <w:color w:val="auto"/>
        </w:rPr>
        <w:t>Change of Control Date</w:t>
      </w:r>
      <w:r>
        <w:rPr>
          <w:rFonts w:ascii="Times New Roman" w:cs="Times New Roman" w:eastAsia="Times New Roman" w:hAnsi="Times New Roman"/>
          <w:sz w:val="16"/>
          <w:szCs w:val="16"/>
          <w:color w:val="auto"/>
        </w:rPr>
        <w:t>”), the Company shall deliver written notice thereof via electronic mail and overnight courier to each Holder (a “</w:t>
      </w:r>
      <w:r>
        <w:rPr>
          <w:rFonts w:ascii="Times New Roman" w:cs="Times New Roman" w:eastAsia="Times New Roman" w:hAnsi="Times New Roman"/>
          <w:sz w:val="16"/>
          <w:szCs w:val="16"/>
          <w:u w:val="single" w:color="auto"/>
          <w:color w:val="auto"/>
        </w:rPr>
        <w:t>Change of Control Notice</w:t>
      </w:r>
      <w:r>
        <w:rPr>
          <w:rFonts w:ascii="Times New Roman" w:cs="Times New Roman" w:eastAsia="Times New Roman" w:hAnsi="Times New Roman"/>
          <w:sz w:val="16"/>
          <w:szCs w:val="16"/>
          <w:color w:val="auto"/>
        </w:rPr>
        <w:t>”). At any time during the period beginning after a Holder’s receipt of a Change of Control Notice or such Holder becoming aware of a Change of Control if a Change of Control Notice is not delivered to such Holder in accordance with the immediately preceding sentence (as applicable) and ending on twenty (20) Trading Days after the later of</w:t>
      </w:r>
    </w:p>
    <w:p>
      <w:pPr>
        <w:jc w:val="both"/>
        <w:ind w:left="89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date of consummation of such Change of Control or (B) the date of receipt of such Change of Control Notice or (C) the date of the announcement of such Change of Control, such Holder may require, by delivering written notice thereof (“</w:t>
      </w:r>
      <w:r>
        <w:rPr>
          <w:rFonts w:ascii="Times New Roman" w:cs="Times New Roman" w:eastAsia="Times New Roman" w:hAnsi="Times New Roman"/>
          <w:sz w:val="16"/>
          <w:szCs w:val="16"/>
          <w:u w:val="single" w:color="auto"/>
          <w:color w:val="auto"/>
        </w:rPr>
        <w:t>Change of Control Election Notice</w:t>
      </w:r>
      <w:r>
        <w:rPr>
          <w:rFonts w:ascii="Times New Roman" w:cs="Times New Roman" w:eastAsia="Times New Roman" w:hAnsi="Times New Roman"/>
          <w:sz w:val="16"/>
          <w:szCs w:val="16"/>
          <w:color w:val="auto"/>
        </w:rPr>
        <w:t xml:space="preserve">”) to the Company (which Change of Control Election Notice shall indicate the number of Preferred Shares subject to such election), to have the Company exchange, at or immediately after (but not before) the closing of such Change of Control, such Holder’s Preferred Shares designated in such Change of Control Election Notice for consideration equal to the greater of (i) the Liquidation Preference of such Preferred Shares,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any accrued but unpaid interest thereon (determined as of the date of the Change of Control Election Notice), and (ii) the As-Converted Value of such Preferred Shares (determined as of the date of the Change of Control Election Notice),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in each case, any other amounts thereon owed to such Holder, pursuant to this Certificate of Designation or any other Transaction Document that have not otherwise been paid or satisfied, in the case of any Preferred Shares funded following the Announcement Time but prior to the Change of Control Date. In the event of the Company’s repayment or exchange, as applicable, of any of the Preferred Shares under this </w:t>
      </w:r>
      <w:r>
        <w:rPr>
          <w:rFonts w:ascii="Times New Roman" w:cs="Times New Roman" w:eastAsia="Times New Roman" w:hAnsi="Times New Roman"/>
          <w:sz w:val="16"/>
          <w:szCs w:val="16"/>
          <w:u w:val="single" w:color="auto"/>
          <w:color w:val="auto"/>
        </w:rPr>
        <w:t>Section 6(b)</w:t>
      </w:r>
      <w:r>
        <w:rPr>
          <w:rFonts w:ascii="Times New Roman" w:cs="Times New Roman" w:eastAsia="Times New Roman" w:hAnsi="Times New Roman"/>
          <w:sz w:val="16"/>
          <w:szCs w:val="16"/>
          <w:color w:val="auto"/>
        </w:rPr>
        <w:t>, such Holder’s damages would be uncertain and difficult to estimate because of the parties’ inability to predict future interest rates and the uncertainty of the availability of a suitable substitute investment opportunity for a Holder. Notwithstanding anything herein to the contrary, in connection with any redemption hereunder at a time a Holder is entitled to receive a cash payment that has not otherwise been paid or satisfied under any of the other Transaction Documents, at the option of such Holder delivered in writing to the Company, the applicable redemption price hereunder shall be increased by the amount of such cash payment owed to such Holder under such other Transaction Document and, upon payment in full or conversion in accordance herewith, shall satisfy the Company’s payment obligation under such other Transaction Document.</w:t>
      </w:r>
    </w:p>
    <w:p>
      <w:pPr>
        <w:spacing w:after="0" w:line="17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12" w:name="page13"/>
    <w:bookmarkEnd w:id="12"/>
    <w:p>
      <w:pPr>
        <w:ind w:left="299" w:hanging="299"/>
        <w:spacing w:after="0"/>
        <w:tabs>
          <w:tab w:leader="none" w:pos="29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Issuance of Purchase Rights and Other Corporate Events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49" w:lineRule="auto"/>
        <w:tabs>
          <w:tab w:leader="none" w:pos="89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xml:space="preserve">. In addition to any adjustments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each Holder will be entitled to acquire, upon the terms applicable to such Purchase Rights, the aggregate Purchase Rights which such Holder could have acquired if such Holder had held the number of shares of Common Stock acquirable upon complete conversion of all the Preferred Shares (without taking into account any limitations or restrictions on the convertibility of the Preferred Shares) held by such Holder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such Holder’s right to participate in any such Purchase Right would result in such Holder and the other Attribution Parties exceeding the Maximum Percentage, then such Holder shall not be entitled to participate in such Purchase Right to such extent of the Maximum Percentage (and shall not be entitled to beneficial ownership of such shares of Common Stock as a result of such Purchase Right (and beneficial ownership) to such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such Holder until such time or times, if ever, as its right thereto would not result in such Holder and the other Attribution Parties exceeding the Maximum Percentage, at which time or times such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83" w:lineRule="exact"/>
        <w:rPr>
          <w:rFonts w:ascii="Times New Roman" w:cs="Times New Roman" w:eastAsia="Times New Roman" w:hAnsi="Times New Roman"/>
          <w:sz w:val="17"/>
          <w:szCs w:val="17"/>
          <w:color w:val="auto"/>
        </w:rPr>
      </w:pPr>
    </w:p>
    <w:p>
      <w:pPr>
        <w:jc w:val="both"/>
        <w:ind w:left="899" w:hanging="294"/>
        <w:spacing w:after="0" w:line="250" w:lineRule="auto"/>
        <w:tabs>
          <w:tab w:leader="none" w:pos="89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Corporate Events</w:t>
      </w:r>
      <w:r>
        <w:rPr>
          <w:rFonts w:ascii="Times New Roman" w:cs="Times New Roman" w:eastAsia="Times New Roman" w:hAnsi="Times New Roman"/>
          <w:sz w:val="17"/>
          <w:szCs w:val="17"/>
          <w:color w:val="auto"/>
        </w:rPr>
        <w:t xml:space="preserve">. Unless the Company redeems the then outstanding Preferred Shares in full pursuant to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in addition to and not in substitution for any other rights hereunder or under the NRS,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7"/>
          <w:szCs w:val="17"/>
          <w:u w:val="single" w:color="auto"/>
          <w:color w:val="auto"/>
        </w:rPr>
        <w:t>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Event</w:t>
      </w:r>
      <w:r>
        <w:rPr>
          <w:rFonts w:ascii="Times New Roman" w:cs="Times New Roman" w:eastAsia="Times New Roman" w:hAnsi="Times New Roman"/>
          <w:sz w:val="17"/>
          <w:szCs w:val="17"/>
          <w:color w:val="auto"/>
        </w:rPr>
        <w:t xml:space="preserve">”), the Company shall make appropriate provision to ensure that each Holder will thereafter have the right, at such Holder’s option and in addition to any other rights a Holder may have under the NRS, to receive upon a conversion of all the Preferred Shares held by such Holder such securities or other assets to which such Holder would have been entitled with respect to such shares of Common Stock had such shares of Common Stock been held by such Holder upon the consummation of such Corporate Event (without taking into account any limitations or restrictions on the convertibility of the Preferred Shares set forth in this Certificate of Designation). Provision made pursuant the preceding sentence shall be in a form and substance reasonably satisfactory to the Requisite Holders, and in all respects subject to compliance with and subject to limitations set forth in the NRS. The provisions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apply similarly and equally to successive Corporate Events, in compliance at all times with the NRS, and shall be applied without regard to any limitations on the conversion or redemption of the Preferred Shares set forth in this Certificate of Designation.</w:t>
      </w:r>
    </w:p>
    <w:p>
      <w:pPr>
        <w:spacing w:after="0" w:line="18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51" w:lineRule="auto"/>
        <w:tabs>
          <w:tab w:leader="none" w:pos="89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of Conversion Price upon Subdivision or Combination of Common Stock</w:t>
      </w:r>
      <w:r>
        <w:rPr>
          <w:rFonts w:ascii="Times New Roman" w:cs="Times New Roman" w:eastAsia="Times New Roman" w:hAnsi="Times New Roman"/>
          <w:sz w:val="17"/>
          <w:szCs w:val="17"/>
          <w:color w:val="auto"/>
        </w:rPr>
        <w:t xml:space="preserve">. Without limiting any provision of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if the Company at any time on or after the Closing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if the Company at any time on or after the Closing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shall become effective immediately after the effective date of such subdivision or combination. If any event requiring an adjustment under this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occurs during the period that a Conversion Price is calculated hereunder, then the calculation of such Conversion Price shall be adjusted appropriately to reflect such event.</w:t>
      </w:r>
    </w:p>
    <w:p>
      <w:pPr>
        <w:spacing w:after="0" w:line="17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13" w:name="page14"/>
    <w:bookmarkEnd w:id="13"/>
    <w:p>
      <w:pPr>
        <w:jc w:val="both"/>
        <w:ind w:left="899" w:hanging="294"/>
        <w:spacing w:after="0" w:line="261" w:lineRule="auto"/>
        <w:tabs>
          <w:tab w:leader="none" w:pos="89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xml:space="preserve">. All calculations under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69"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Principal Market, the Company may at any time any Preferred Shares remain outstanding, with the prior written consent of the Requisite Holders, reduce the then current Conversion Price to any amount and for any period of time deemed appropriate by the Board.</w:t>
      </w:r>
    </w:p>
    <w:p>
      <w:pPr>
        <w:spacing w:after="0" w:line="169" w:lineRule="exact"/>
        <w:rPr>
          <w:rFonts w:ascii="Times New Roman" w:cs="Times New Roman" w:eastAsia="Times New Roman" w:hAnsi="Times New Roman"/>
          <w:sz w:val="17"/>
          <w:szCs w:val="17"/>
          <w:color w:val="auto"/>
        </w:rPr>
      </w:pPr>
    </w:p>
    <w:p>
      <w:pPr>
        <w:jc w:val="both"/>
        <w:ind w:left="899" w:hanging="294"/>
        <w:spacing w:after="0" w:line="254" w:lineRule="auto"/>
        <w:tabs>
          <w:tab w:leader="none" w:pos="89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75"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1219" w:hanging="311"/>
        <w:spacing w:after="0" w:line="249" w:lineRule="auto"/>
        <w:tabs>
          <w:tab w:leader="none" w:pos="1219"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by the Company</w:t>
      </w:r>
      <w:r>
        <w:rPr>
          <w:rFonts w:ascii="Times New Roman" w:cs="Times New Roman" w:eastAsia="Times New Roman" w:hAnsi="Times New Roman"/>
          <w:sz w:val="17"/>
          <w:szCs w:val="17"/>
          <w:color w:val="auto"/>
        </w:rPr>
        <w:t>. At any time, the Company shall have the right to redeem all or any part of the Preferred Shares then outstanding (the “</w:t>
      </w:r>
      <w:r>
        <w:rPr>
          <w:rFonts w:ascii="Times New Roman" w:cs="Times New Roman" w:eastAsia="Times New Roman" w:hAnsi="Times New Roman"/>
          <w:sz w:val="17"/>
          <w:szCs w:val="17"/>
          <w:u w:val="single" w:color="auto"/>
          <w:color w:val="auto"/>
        </w:rPr>
        <w:t>Company Optional Redemption Amount</w:t>
      </w:r>
      <w:r>
        <w:rPr>
          <w:rFonts w:ascii="Times New Roman" w:cs="Times New Roman" w:eastAsia="Times New Roman" w:hAnsi="Times New Roman"/>
          <w:sz w:val="17"/>
          <w:szCs w:val="17"/>
          <w:color w:val="auto"/>
        </w:rPr>
        <w:t>”) on the Company Optional Redemption Date (as defined below) (a “</w:t>
      </w:r>
      <w:r>
        <w:rPr>
          <w:rFonts w:ascii="Times New Roman" w:cs="Times New Roman" w:eastAsia="Times New Roman" w:hAnsi="Times New Roman"/>
          <w:sz w:val="17"/>
          <w:szCs w:val="17"/>
          <w:u w:val="single" w:color="auto"/>
          <w:color w:val="auto"/>
        </w:rPr>
        <w:t>Company Optional Redemption</w:t>
      </w:r>
      <w:r>
        <w:rPr>
          <w:rFonts w:ascii="Times New Roman" w:cs="Times New Roman" w:eastAsia="Times New Roman" w:hAnsi="Times New Roman"/>
          <w:sz w:val="17"/>
          <w:szCs w:val="17"/>
          <w:color w:val="auto"/>
        </w:rPr>
        <w:t xml:space="preserve">”). The Preferred Shares subject to redemption pursuant to this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shall be redeemed by the Company in cash at a price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Optional Redemption Price</w:t>
      </w:r>
      <w:r>
        <w:rPr>
          <w:rFonts w:ascii="Times New Roman" w:cs="Times New Roman" w:eastAsia="Times New Roman" w:hAnsi="Times New Roman"/>
          <w:sz w:val="17"/>
          <w:szCs w:val="17"/>
          <w:color w:val="auto"/>
        </w:rPr>
        <w:t xml:space="preserve">”) equal to the greater of (a) the Liquidation Preference of the Preferred Shares being redeemed as of the Company Optional Redemption Date and (b) the As-Converted Value of the Preferred Shares being redeemed as of the Company Optional Redemption Notice Date. The Company may exercise its right to require redemption under this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by delivering a written notice thereof by electronic mail and overnight courier to all, but not less than all, of the Holders (the “</w:t>
      </w:r>
      <w:r>
        <w:rPr>
          <w:rFonts w:ascii="Times New Roman" w:cs="Times New Roman" w:eastAsia="Times New Roman" w:hAnsi="Times New Roman"/>
          <w:sz w:val="17"/>
          <w:szCs w:val="17"/>
          <w:u w:val="single" w:color="auto"/>
          <w:color w:val="auto"/>
        </w:rPr>
        <w:t>Company Optional Redemption Notice</w:t>
      </w:r>
      <w:r>
        <w:rPr>
          <w:rFonts w:ascii="Times New Roman" w:cs="Times New Roman" w:eastAsia="Times New Roman" w:hAnsi="Times New Roman"/>
          <w:sz w:val="17"/>
          <w:szCs w:val="17"/>
          <w:color w:val="auto"/>
        </w:rPr>
        <w:t>” and the date all of the Holders received such notice is referred to as the “</w:t>
      </w:r>
      <w:r>
        <w:rPr>
          <w:rFonts w:ascii="Times New Roman" w:cs="Times New Roman" w:eastAsia="Times New Roman" w:hAnsi="Times New Roman"/>
          <w:sz w:val="17"/>
          <w:szCs w:val="17"/>
          <w:u w:val="single" w:color="auto"/>
          <w:color w:val="auto"/>
        </w:rPr>
        <w:t>Company Optional Redemption Notice Date</w:t>
      </w:r>
      <w:r>
        <w:rPr>
          <w:rFonts w:ascii="Times New Roman" w:cs="Times New Roman" w:eastAsia="Times New Roman" w:hAnsi="Times New Roman"/>
          <w:sz w:val="17"/>
          <w:szCs w:val="17"/>
          <w:color w:val="auto"/>
        </w:rPr>
        <w:t xml:space="preserve">”). Such Company Optional Redemption Notice shall be irrevocable;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Optional Redemption Notice may be conditioned upon the consummation of a refinancing transaction, a Change of Control or a Going Private Transaction. The Company Optional Redemption Notice shall (x) state the date on which the Company Optional Redemption shall occur (the “</w:t>
      </w:r>
      <w:r>
        <w:rPr>
          <w:rFonts w:ascii="Times New Roman" w:cs="Times New Roman" w:eastAsia="Times New Roman" w:hAnsi="Times New Roman"/>
          <w:sz w:val="17"/>
          <w:szCs w:val="17"/>
          <w:u w:val="single" w:color="auto"/>
          <w:color w:val="auto"/>
        </w:rPr>
        <w:t>Company Optional Redemption Date</w:t>
      </w:r>
      <w:r>
        <w:rPr>
          <w:rFonts w:ascii="Times New Roman" w:cs="Times New Roman" w:eastAsia="Times New Roman" w:hAnsi="Times New Roman"/>
          <w:sz w:val="17"/>
          <w:szCs w:val="17"/>
          <w:color w:val="auto"/>
        </w:rPr>
        <w:t xml:space="preserve">”) which date shall not be less than ten (10) Trading Days following the Company Optional Redemption Notice Date, and (y) state the aggregate Liquidation Preference (or, if applicable, the As-Converted Value) of the Preferred Shares which are being redeemed in such Company Optional Redemption from such Holder and all of the other Holders of the Preferred Shares pursuant to this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on the Company Optional Redemption Date. The Company shall deliver the applicable Company Optional Redemption Price to each Holder in cash on the applicable Company Optional Redemption Date. Notwithstanding anything herein to the contrary, at any time prior to the date the Company Optional Redemption Price is paid, in full, the Company Optional Redemption Amount may be converted, in whole or in part, by any Holder into shares of Common Stock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All Liquidation Preferences converted by a Holder after the Company Optional Redemption Notice Date shall reduce the Company Optional Redemption Amount of the Preferred Shares of such Holder required to be redeemed on the Company Optional Redemption Date.</w:t>
      </w:r>
    </w:p>
    <w:p>
      <w:pPr>
        <w:spacing w:after="0" w:line="18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14" w:name="page15"/>
    <w:bookmarkEnd w:id="14"/>
    <w:p>
      <w:pPr>
        <w:jc w:val="both"/>
        <w:ind w:left="311" w:hanging="311"/>
        <w:spacing w:after="0" w:line="249" w:lineRule="auto"/>
        <w:tabs>
          <w:tab w:leader="none" w:pos="31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Partial Redemption Upon Future Equity Issuances</w:t>
      </w:r>
      <w:r>
        <w:rPr>
          <w:rFonts w:ascii="Times New Roman" w:cs="Times New Roman" w:eastAsia="Times New Roman" w:hAnsi="Times New Roman"/>
          <w:sz w:val="17"/>
          <w:szCs w:val="17"/>
          <w:color w:val="auto"/>
        </w:rPr>
        <w:t>. If at any time the Company commences a process to, directly or indirectly, offer, issue, sell or grant, or enter into any agreement or contractual obligation (including in connection with any financing transaction) to offer, issue, sell or grant any Capital Stock or equity rights to any Person (any such transaction, an “</w:t>
      </w:r>
      <w:r>
        <w:rPr>
          <w:rFonts w:ascii="Times New Roman" w:cs="Times New Roman" w:eastAsia="Times New Roman" w:hAnsi="Times New Roman"/>
          <w:sz w:val="17"/>
          <w:szCs w:val="17"/>
          <w:u w:val="single" w:color="auto"/>
          <w:color w:val="auto"/>
        </w:rPr>
        <w:t>Equity Issuance</w:t>
      </w:r>
      <w:r>
        <w:rPr>
          <w:rFonts w:ascii="Times New Roman" w:cs="Times New Roman" w:eastAsia="Times New Roman" w:hAnsi="Times New Roman"/>
          <w:sz w:val="17"/>
          <w:szCs w:val="17"/>
          <w:color w:val="auto"/>
        </w:rPr>
        <w:t>”), then (i) if such Equity Issuance occurs prior to the Termination Date (as defined in the Term Loan), fifty percent (50%) of all cash proceeds received by the Company (net of underwriting discounts, accounting, investment banking or broker fees and sales commissions and other reasonable and documented out-of-pocket costs and expenses of the Company associated therewith, in each case, paid to non-Affiliates) as a result of such Equity Issuance (the “</w:t>
      </w:r>
      <w:r>
        <w:rPr>
          <w:rFonts w:ascii="Times New Roman" w:cs="Times New Roman" w:eastAsia="Times New Roman" w:hAnsi="Times New Roman"/>
          <w:sz w:val="17"/>
          <w:szCs w:val="17"/>
          <w:u w:val="single" w:color="auto"/>
          <w:color w:val="auto"/>
        </w:rPr>
        <w:t>Equity Issuance Proceeds</w:t>
      </w:r>
      <w:r>
        <w:rPr>
          <w:rFonts w:ascii="Times New Roman" w:cs="Times New Roman" w:eastAsia="Times New Roman" w:hAnsi="Times New Roman"/>
          <w:sz w:val="17"/>
          <w:szCs w:val="17"/>
          <w:color w:val="auto"/>
        </w:rPr>
        <w:t>”), or (ii) if such Equity Issuance occurs on or following the Termination Date (as defined in the Term Loan), seventy-five percent (75%) of the Equity Proceeds, in each case, shall be used by the Company to redeem (each redemption, an “</w:t>
      </w:r>
      <w:r>
        <w:rPr>
          <w:rFonts w:ascii="Times New Roman" w:cs="Times New Roman" w:eastAsia="Times New Roman" w:hAnsi="Times New Roman"/>
          <w:sz w:val="17"/>
          <w:szCs w:val="17"/>
          <w:u w:val="single" w:color="auto"/>
          <w:color w:val="auto"/>
        </w:rPr>
        <w:t>Equity Issuance Redemption</w:t>
      </w:r>
      <w:r>
        <w:rPr>
          <w:rFonts w:ascii="Times New Roman" w:cs="Times New Roman" w:eastAsia="Times New Roman" w:hAnsi="Times New Roman"/>
          <w:sz w:val="17"/>
          <w:szCs w:val="17"/>
          <w:color w:val="auto"/>
        </w:rPr>
        <w:t xml:space="preserve">”), on the Equity Issuance Redemption Date (as defined below), a number of Preferred Shares,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among all holders of Preferred Shares, equal to the Equity Issuance Proceeds divided by the Equity Issuance Redemption Price (as defined below). The Preferred Shares subject to redemption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9(b)</w:t>
      </w:r>
      <w:r>
        <w:rPr>
          <w:rFonts w:ascii="Times New Roman" w:cs="Times New Roman" w:eastAsia="Times New Roman" w:hAnsi="Times New Roman"/>
          <w:sz w:val="17"/>
          <w:szCs w:val="17"/>
          <w:color w:val="auto"/>
        </w:rPr>
        <w:t xml:space="preserve"> shall be redeemed by the Company in cash at a price (the “</w:t>
      </w:r>
      <w:r>
        <w:rPr>
          <w:rFonts w:ascii="Times New Roman" w:cs="Times New Roman" w:eastAsia="Times New Roman" w:hAnsi="Times New Roman"/>
          <w:sz w:val="17"/>
          <w:szCs w:val="17"/>
          <w:u w:val="single" w:color="auto"/>
          <w:color w:val="auto"/>
        </w:rPr>
        <w:t>Equity Issuance Redemption Price</w:t>
      </w:r>
      <w:r>
        <w:rPr>
          <w:rFonts w:ascii="Times New Roman" w:cs="Times New Roman" w:eastAsia="Times New Roman" w:hAnsi="Times New Roman"/>
          <w:sz w:val="17"/>
          <w:szCs w:val="17"/>
          <w:color w:val="auto"/>
        </w:rPr>
        <w:t>”) equal to the greater of (1) the Liquidation Preference of the Preferred Shares being redeemed as of the date that the Company consummates such Equity Issuance (each date, an “</w:t>
      </w:r>
      <w:r>
        <w:rPr>
          <w:rFonts w:ascii="Times New Roman" w:cs="Times New Roman" w:eastAsia="Times New Roman" w:hAnsi="Times New Roman"/>
          <w:sz w:val="17"/>
          <w:szCs w:val="17"/>
          <w:u w:val="single" w:color="auto"/>
          <w:color w:val="auto"/>
        </w:rPr>
        <w:t>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Issuance Redemption Date</w:t>
      </w:r>
      <w:r>
        <w:rPr>
          <w:rFonts w:ascii="Times New Roman" w:cs="Times New Roman" w:eastAsia="Times New Roman" w:hAnsi="Times New Roman"/>
          <w:sz w:val="17"/>
          <w:szCs w:val="17"/>
          <w:color w:val="auto"/>
        </w:rPr>
        <w:t>”) and (2) the As-Converted Value of the Preferred Shares being redeemed as of the Equity Issuance Redemption Date (the “</w:t>
      </w:r>
      <w:r>
        <w:rPr>
          <w:rFonts w:ascii="Times New Roman" w:cs="Times New Roman" w:eastAsia="Times New Roman" w:hAnsi="Times New Roman"/>
          <w:sz w:val="17"/>
          <w:szCs w:val="17"/>
          <w:u w:val="single" w:color="auto"/>
          <w:color w:val="auto"/>
        </w:rPr>
        <w:t>Equity Issuance Redemption Price</w:t>
      </w:r>
      <w:r>
        <w:rPr>
          <w:rFonts w:ascii="Times New Roman" w:cs="Times New Roman" w:eastAsia="Times New Roman" w:hAnsi="Times New Roman"/>
          <w:sz w:val="17"/>
          <w:szCs w:val="17"/>
          <w:color w:val="auto"/>
        </w:rPr>
        <w:t xml:space="preserve">”). The Company shall deliver the applicable Equity Issuance Redemption Price to each Holder in cash on the applicable Equity Issuance Redemption Date. Notwithstanding the forgoing, each Holder may elect to reject any Equity Issuance Redemption under this </w:t>
      </w:r>
      <w:r>
        <w:rPr>
          <w:rFonts w:ascii="Times New Roman" w:cs="Times New Roman" w:eastAsia="Times New Roman" w:hAnsi="Times New Roman"/>
          <w:sz w:val="17"/>
          <w:szCs w:val="17"/>
          <w:u w:val="single" w:color="auto"/>
          <w:color w:val="auto"/>
        </w:rPr>
        <w:t>Section 9(b)</w:t>
      </w:r>
      <w:r>
        <w:rPr>
          <w:rFonts w:ascii="Times New Roman" w:cs="Times New Roman" w:eastAsia="Times New Roman" w:hAnsi="Times New Roman"/>
          <w:sz w:val="17"/>
          <w:szCs w:val="17"/>
          <w:color w:val="auto"/>
        </w:rPr>
        <w:t xml:space="preserve"> at their sole discretion by written notice delivered to the Company no more than ten (10) Trading Days following the applicable Equity Issuance Redemption Date. Notwithstanding the forgoing, the Company shall not be required to effectuate an Equity Issuance Redemption or use any Equity Issuance Proceeds received in connection with any Equity Issuance of Excluded Securities that does not result in the Company receiving cash proceeds in excess of $250,000.</w:t>
      </w:r>
    </w:p>
    <w:p>
      <w:pPr>
        <w:spacing w:after="0" w:line="181"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by the Requisite Holders; Exit Rights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11" w:hanging="309"/>
        <w:spacing w:after="0" w:line="251" w:lineRule="auto"/>
        <w:tabs>
          <w:tab w:leader="none" w:pos="61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the Company has not redeemed all of the Preferred Shares at any time following October 7, 2027, or (B) there has occurred a Non-Payment Event, then the Requisite Holders shall have the right, exercisable by written notice to the Company (a “</w:t>
      </w:r>
      <w:r>
        <w:rPr>
          <w:rFonts w:ascii="Times New Roman" w:cs="Times New Roman" w:eastAsia="Times New Roman" w:hAnsi="Times New Roman"/>
          <w:sz w:val="17"/>
          <w:szCs w:val="17"/>
          <w:u w:val="single" w:color="auto"/>
          <w:color w:val="auto"/>
        </w:rPr>
        <w:t>Redemption Demand</w:t>
      </w:r>
      <w:r>
        <w:rPr>
          <w:rFonts w:ascii="Times New Roman" w:cs="Times New Roman" w:eastAsia="Times New Roman" w:hAnsi="Times New Roman"/>
          <w:sz w:val="17"/>
          <w:szCs w:val="17"/>
          <w:color w:val="auto"/>
        </w:rPr>
        <w:t>”), to require the Company to commence and to engage in a process (the “</w:t>
      </w:r>
      <w:r>
        <w:rPr>
          <w:rFonts w:ascii="Times New Roman" w:cs="Times New Roman" w:eastAsia="Times New Roman" w:hAnsi="Times New Roman"/>
          <w:sz w:val="17"/>
          <w:szCs w:val="17"/>
          <w:u w:val="single" w:color="auto"/>
          <w:color w:val="auto"/>
        </w:rPr>
        <w:t>Redemption Process</w:t>
      </w:r>
      <w:r>
        <w:rPr>
          <w:rFonts w:ascii="Times New Roman" w:cs="Times New Roman" w:eastAsia="Times New Roman" w:hAnsi="Times New Roman"/>
          <w:sz w:val="17"/>
          <w:szCs w:val="17"/>
          <w:color w:val="auto"/>
        </w:rPr>
        <w:t>”) in good faith to consummate a transaction (the form of which would be determined by the Board, as applicable, in good faith) in which the net proceeds resulting therefrom would be used to redeem (a “</w:t>
      </w:r>
      <w:r>
        <w:rPr>
          <w:rFonts w:ascii="Times New Roman" w:cs="Times New Roman" w:eastAsia="Times New Roman" w:hAnsi="Times New Roman"/>
          <w:sz w:val="17"/>
          <w:szCs w:val="17"/>
          <w:u w:val="single" w:color="auto"/>
          <w:color w:val="auto"/>
        </w:rPr>
        <w:t>Requisite Holder Redemption</w:t>
      </w:r>
      <w:r>
        <w:rPr>
          <w:rFonts w:ascii="Times New Roman" w:cs="Times New Roman" w:eastAsia="Times New Roman" w:hAnsi="Times New Roman"/>
          <w:sz w:val="17"/>
          <w:szCs w:val="17"/>
          <w:color w:val="auto"/>
        </w:rPr>
        <w:t>”) the shares of Series B Convertible Preferred Stock then outstanding in cash at a price equal to the greater of (1) the Liquidation Preference of the Preferred Shares being redeemed as of the date the Company consummates such Requisite Holder Redemption (such date, the “</w:t>
      </w:r>
      <w:r>
        <w:rPr>
          <w:rFonts w:ascii="Times New Roman" w:cs="Times New Roman" w:eastAsia="Times New Roman" w:hAnsi="Times New Roman"/>
          <w:sz w:val="17"/>
          <w:szCs w:val="17"/>
          <w:u w:val="single" w:color="auto"/>
          <w:color w:val="auto"/>
        </w:rPr>
        <w:t>Requisite Holder Redemption Date</w:t>
      </w:r>
      <w:r>
        <w:rPr>
          <w:rFonts w:ascii="Times New Roman" w:cs="Times New Roman" w:eastAsia="Times New Roman" w:hAnsi="Times New Roman"/>
          <w:sz w:val="17"/>
          <w:szCs w:val="17"/>
          <w:color w:val="auto"/>
        </w:rPr>
        <w:t xml:space="preserve">”) and (2) the As-Converted Value of the Preferred Shares being redeemed as of the </w:t>
      </w:r>
      <w:r>
        <w:rPr>
          <w:rFonts w:ascii="Times New Roman" w:cs="Times New Roman" w:eastAsia="Times New Roman" w:hAnsi="Times New Roman"/>
          <w:sz w:val="17"/>
          <w:szCs w:val="17"/>
          <w:u w:val="single" w:color="auto"/>
          <w:color w:val="auto"/>
        </w:rPr>
        <w:t>Requisite Holder Redemption Date</w:t>
      </w:r>
      <w:r>
        <w:rPr>
          <w:rFonts w:ascii="Times New Roman" w:cs="Times New Roman" w:eastAsia="Times New Roman" w:hAnsi="Times New Roman"/>
          <w:sz w:val="17"/>
          <w:szCs w:val="17"/>
          <w:color w:val="auto"/>
        </w:rPr>
        <w:t>, in accordance with the terms hereof, which transaction may include:</w:t>
      </w:r>
    </w:p>
    <w:p>
      <w:pPr>
        <w:spacing w:after="0" w:line="180" w:lineRule="exact"/>
        <w:rPr>
          <w:sz w:val="20"/>
          <w:szCs w:val="20"/>
          <w:color w:val="auto"/>
        </w:rPr>
      </w:pPr>
    </w:p>
    <w:p>
      <w:pPr>
        <w:ind w:left="4631"/>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331"/>
          </w:cols>
          <w:pgMar w:left="1229" w:top="653" w:right="339" w:bottom="1440" w:gutter="0" w:footer="0" w:header="0"/>
        </w:sectPr>
      </w:pPr>
    </w:p>
    <w:bookmarkStart w:id="15" w:name="page16"/>
    <w:bookmarkEnd w:id="15"/>
    <w:p>
      <w:pPr>
        <w:ind w:left="1300" w:hanging="301"/>
        <w:spacing w:after="0" w:line="274"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Equity Issuance or a debt issuance, in each case, to refinance the Series B Convertible Preferred Stock (a “</w:t>
      </w:r>
      <w:r>
        <w:rPr>
          <w:rFonts w:ascii="Times New Roman" w:cs="Times New Roman" w:eastAsia="Times New Roman" w:hAnsi="Times New Roman"/>
          <w:sz w:val="17"/>
          <w:szCs w:val="17"/>
          <w:u w:val="single" w:color="auto"/>
          <w:color w:val="auto"/>
        </w:rPr>
        <w:t>Forced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Refinancing</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1300" w:hanging="301"/>
        <w:spacing w:after="0" w:line="274"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of the Company and/or its Subsidiaries, including a sale of all or substantially all of the assets, or a sale of certain assets, lines of business or divisions, in each case, of the Company and its Subsidiaries (a “</w:t>
      </w:r>
      <w:r>
        <w:rPr>
          <w:rFonts w:ascii="Times New Roman" w:cs="Times New Roman" w:eastAsia="Times New Roman" w:hAnsi="Times New Roman"/>
          <w:sz w:val="17"/>
          <w:szCs w:val="17"/>
          <w:u w:val="single" w:color="auto"/>
          <w:color w:val="auto"/>
        </w:rPr>
        <w:t>Forced Sale</w:t>
      </w:r>
      <w:r>
        <w:rPr>
          <w:rFonts w:ascii="Times New Roman" w:cs="Times New Roman" w:eastAsia="Times New Roman" w:hAnsi="Times New Roman"/>
          <w:sz w:val="17"/>
          <w:szCs w:val="17"/>
          <w:color w:val="auto"/>
        </w:rPr>
        <w:t>”); or</w:t>
      </w:r>
    </w:p>
    <w:p>
      <w:pPr>
        <w:spacing w:after="0" w:line="158" w:lineRule="exact"/>
        <w:rPr>
          <w:rFonts w:ascii="Times New Roman" w:cs="Times New Roman" w:eastAsia="Times New Roman" w:hAnsi="Times New Roman"/>
          <w:sz w:val="17"/>
          <w:szCs w:val="17"/>
          <w:color w:val="auto"/>
        </w:rPr>
      </w:pPr>
    </w:p>
    <w:p>
      <w:pPr>
        <w:ind w:left="1300" w:hanging="301"/>
        <w:spacing w:after="0" w:line="274"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other than a Forced Sale or a combination of the transactions described in the forgoing clauses (A), (B) and (C) (together with a Forced Refinancing and a Forced Sale, each a “</w:t>
      </w:r>
      <w:r>
        <w:rPr>
          <w:rFonts w:ascii="Times New Roman" w:cs="Times New Roman" w:eastAsia="Times New Roman" w:hAnsi="Times New Roman"/>
          <w:sz w:val="17"/>
          <w:szCs w:val="17"/>
          <w:u w:val="single" w:color="auto"/>
          <w:color w:val="auto"/>
        </w:rPr>
        <w:t>Forced Transaction</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left="700"/>
        <w:spacing w:after="0" w:line="249" w:lineRule="auto"/>
        <w:rPr>
          <w:sz w:val="20"/>
          <w:szCs w:val="20"/>
          <w:color w:val="auto"/>
        </w:rPr>
      </w:pPr>
      <w:r>
        <w:rPr>
          <w:rFonts w:ascii="Times New Roman" w:cs="Times New Roman" w:eastAsia="Times New Roman" w:hAnsi="Times New Roman"/>
          <w:sz w:val="17"/>
          <w:szCs w:val="17"/>
          <w:color w:val="auto"/>
        </w:rPr>
        <w:t xml:space="preserve">The Company shall, within 30 days of receipt of the Redemption Demand, use commercially reasonable efforts to commence a comprehensive Redemption Process in good faith and shall thereafter use its commercially reasonable efforts, subject to applicable law, to promptly consummate a Forced Transaction in accordance with this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including (I) engaging a nationally-recognized investment banking firm experienced in similar transactions in the industry in which the Company and its Subsidiaries are engaged to assist the Company with respect to a Forced Transaction (the “</w:t>
      </w:r>
      <w:r>
        <w:rPr>
          <w:rFonts w:ascii="Times New Roman" w:cs="Times New Roman" w:eastAsia="Times New Roman" w:hAnsi="Times New Roman"/>
          <w:sz w:val="17"/>
          <w:szCs w:val="17"/>
          <w:u w:val="single" w:color="auto"/>
          <w:color w:val="auto"/>
        </w:rPr>
        <w:t>Investment Bank</w:t>
      </w:r>
      <w:r>
        <w:rPr>
          <w:rFonts w:ascii="Times New Roman" w:cs="Times New Roman" w:eastAsia="Times New Roman" w:hAnsi="Times New Roman"/>
          <w:sz w:val="17"/>
          <w:szCs w:val="17"/>
          <w:color w:val="auto"/>
        </w:rPr>
        <w:t>”), (II) cooperating with the Investment Bank and the Holders in the evaluation of such Forced Transactions, (III) facilitating a customary due diligence process in respect of any such Forced Transaction, including establishing, populating and maintaining an online “data room,” (IV) executing customary documents consistent with the consummation of any such Forced Transaction, (V) making required governmental filings and using commercially reasonable efforts to obtain required third party consents necessary to consummate any such Forced Transaction, and (VI) providing any financial or other information or audit reasonably required by the proposed acquirer’s equity investors or lender’s financing sources, and shall consult with the Requisite Holders with respect thereto and shall keep the Requisite Holders apprised, on a current basis, on all aspects thereof. The Company shall direct the Investment Bank to establish procedures reasonably acceptable to the Requisite Holders to effect an orderly Forced Transaction with the objective of achieving the highest practicable value for the Company within a reasonable period of time, but in all cases, within 120 days of the delivery of the Redemption Demand. The process undertaken in furtherance of such Redemption Demand shall be conducted under the direction of the Board or a committee of the Board.</w:t>
      </w:r>
    </w:p>
    <w:p>
      <w:pPr>
        <w:spacing w:after="0" w:line="185" w:lineRule="exact"/>
        <w:rPr>
          <w:sz w:val="20"/>
          <w:szCs w:val="20"/>
          <w:color w:val="auto"/>
        </w:rPr>
      </w:pPr>
    </w:p>
    <w:p>
      <w:pPr>
        <w:jc w:val="both"/>
        <w:ind w:left="700"/>
        <w:spacing w:after="0" w:line="285" w:lineRule="auto"/>
        <w:rPr>
          <w:sz w:val="20"/>
          <w:szCs w:val="20"/>
          <w:color w:val="auto"/>
        </w:rPr>
      </w:pPr>
      <w:r>
        <w:rPr>
          <w:rFonts w:ascii="Times New Roman" w:cs="Times New Roman" w:eastAsia="Times New Roman" w:hAnsi="Times New Roman"/>
          <w:sz w:val="16"/>
          <w:szCs w:val="16"/>
          <w:color w:val="auto"/>
        </w:rPr>
        <w:t>Notwithstanding anything to the contrary set forth herein, (y) at any time prior to the consummation of a Forced Transaction, the Requisite Holders may withdraw such Redemption Demand, in their sole discretion, by providing written notice of such withdrawal to the Board (a “</w:t>
      </w:r>
      <w:r>
        <w:rPr>
          <w:rFonts w:ascii="Times New Roman" w:cs="Times New Roman" w:eastAsia="Times New Roman" w:hAnsi="Times New Roman"/>
          <w:sz w:val="16"/>
          <w:szCs w:val="16"/>
          <w:u w:val="single" w:color="auto"/>
          <w:color w:val="auto"/>
        </w:rPr>
        <w:t>Withdrawal Event</w:t>
      </w:r>
      <w:r>
        <w:rPr>
          <w:rFonts w:ascii="Times New Roman" w:cs="Times New Roman" w:eastAsia="Times New Roman" w:hAnsi="Times New Roman"/>
          <w:sz w:val="16"/>
          <w:szCs w:val="16"/>
          <w:color w:val="auto"/>
        </w:rPr>
        <w:t>”), and (z) a Redemption Demand may not be exercised on more than one occasion in any six (6)-month period.</w:t>
      </w:r>
    </w:p>
    <w:p>
      <w:pPr>
        <w:spacing w:after="0" w:line="1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16" w:name="page17"/>
    <w:bookmarkEnd w:id="16"/>
    <w:p>
      <w:pPr>
        <w:jc w:val="both"/>
        <w:ind w:left="400" w:hanging="309"/>
        <w:spacing w:after="0" w:line="267" w:lineRule="auto"/>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9(c)</w:t>
      </w:r>
      <w:r>
        <w:rPr>
          <w:rFonts w:ascii="Times New Roman" w:cs="Times New Roman" w:eastAsia="Times New Roman" w:hAnsi="Times New Roman"/>
          <w:sz w:val="16"/>
          <w:szCs w:val="16"/>
          <w:color w:val="auto"/>
        </w:rPr>
        <w:t xml:space="preserve">, if (A) the Company has breached its obligations set forth in </w:t>
      </w:r>
      <w:r>
        <w:rPr>
          <w:rFonts w:ascii="Times New Roman" w:cs="Times New Roman" w:eastAsia="Times New Roman" w:hAnsi="Times New Roman"/>
          <w:sz w:val="16"/>
          <w:szCs w:val="16"/>
          <w:u w:val="single" w:color="auto"/>
          <w:color w:val="auto"/>
        </w:rPr>
        <w:t>Section 9(c)</w:t>
      </w:r>
      <w:r>
        <w:rPr>
          <w:rFonts w:ascii="Times New Roman" w:cs="Times New Roman" w:eastAsia="Times New Roman" w:hAnsi="Times New Roman"/>
          <w:sz w:val="16"/>
          <w:szCs w:val="16"/>
          <w:color w:val="auto"/>
        </w:rPr>
        <w:t>, and a Forced Transaction that results in the redemption of all of the shares of Series B Convertible Preferred Stock at the then applicable Liquidation Preference is not consummated within six (6) months of the receipt by the Company of any Redemption Demand, or less than all of the shares of Series B Convertible Preferred Stock have been redeemed at the applicable Liquidation Preference within six (6) months of the receipt by the Company of any Redemption Demand (a “</w:t>
      </w:r>
      <w:r>
        <w:rPr>
          <w:rFonts w:ascii="Times New Roman" w:cs="Times New Roman" w:eastAsia="Times New Roman" w:hAnsi="Times New Roman"/>
          <w:sz w:val="16"/>
          <w:szCs w:val="16"/>
          <w:u w:val="single" w:color="auto"/>
          <w:color w:val="auto"/>
        </w:rPr>
        <w:t>Redemption Default</w:t>
      </w:r>
      <w:r>
        <w:rPr>
          <w:rFonts w:ascii="Times New Roman" w:cs="Times New Roman" w:eastAsia="Times New Roman" w:hAnsi="Times New Roman"/>
          <w:sz w:val="16"/>
          <w:szCs w:val="16"/>
          <w:color w:val="auto"/>
        </w:rPr>
        <w:t xml:space="preserve">”), and (B) a Withdrawal Event has not occurred, then, upon the consent or approval of the Requisite Holders, as evidenced by written notice to the Company, the Holders shall have the right, by written notice to the Company, to direct a process in good faith to consummate a Forced Refinancing and/or a Forced Sale;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that, in the case of a Forced Refinancing, such Forced Refinancing shall be on terms reasonably acceptable to the Company. Nothing contained herein shall be constructed to require any Forced Refinancing, Forced Sale, and/or Forced Transaction to the extent that such action would violate any applicable law, rule, or regulation, including, without limitation, any provision of the NRS. The Company and the Board shall (and shall request that the Company’s Affiliates) reasonably cooperate with the Requisite Holders and the Investment Bank in such process and, subject to requirements under applicable law, the Company shall use its commercially reasonable efforts to consummate a Forced Transaction as a result of such process.</w:t>
      </w:r>
    </w:p>
    <w:p>
      <w:pPr>
        <w:spacing w:after="0" w:line="166" w:lineRule="exact"/>
        <w:rPr>
          <w:rFonts w:ascii="Times New Roman" w:cs="Times New Roman" w:eastAsia="Times New Roman" w:hAnsi="Times New Roman"/>
          <w:sz w:val="16"/>
          <w:szCs w:val="16"/>
          <w:color w:val="auto"/>
        </w:rPr>
      </w:pPr>
    </w:p>
    <w:p>
      <w:pPr>
        <w:jc w:val="both"/>
        <w:ind w:left="400" w:hanging="309"/>
        <w:spacing w:after="0" w:line="256" w:lineRule="auto"/>
        <w:tabs>
          <w:tab w:leader="none" w:pos="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of the foregoing, if the NRS or the Nasdaq Stock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or other applicable stock exchange rules require the approval of the holders of the Common Stock or other holders of the Company’s Capital Stock in connection with a Forced Refinancing, Forced Sale, and/or Forced Transaction, such Forced Refinancing, Forced Sale, and/or Forced Transaction shall be subject to, and contingent upon, obtaining such approvals to the extent required therefor.</w:t>
      </w:r>
    </w:p>
    <w:p>
      <w:pPr>
        <w:spacing w:after="0" w:line="174" w:lineRule="exact"/>
        <w:rPr>
          <w:rFonts w:ascii="Times New Roman" w:cs="Times New Roman" w:eastAsia="Times New Roman" w:hAnsi="Times New Roman"/>
          <w:sz w:val="17"/>
          <w:szCs w:val="17"/>
          <w:color w:val="auto"/>
        </w:rPr>
      </w:pPr>
    </w:p>
    <w:p>
      <w:pPr>
        <w:jc w:val="both"/>
        <w:ind w:left="400" w:hanging="309"/>
        <w:spacing w:after="0" w:line="248" w:lineRule="auto"/>
        <w:tabs>
          <w:tab w:leader="none" w:pos="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Redemption Default, the aggregate number of directors constituting the Board shall be increased by two (2) and, in addition to the rights of the Holder provided in this Certificate of Designation, such additional two (2) directors (the “</w:t>
      </w:r>
      <w:r>
        <w:rPr>
          <w:rFonts w:ascii="Times New Roman" w:cs="Times New Roman" w:eastAsia="Times New Roman" w:hAnsi="Times New Roman"/>
          <w:sz w:val="17"/>
          <w:szCs w:val="17"/>
          <w:u w:val="single" w:color="auto"/>
          <w:color w:val="auto"/>
        </w:rPr>
        <w:t>Holder Directors</w:t>
      </w:r>
      <w:r>
        <w:rPr>
          <w:rFonts w:ascii="Times New Roman" w:cs="Times New Roman" w:eastAsia="Times New Roman" w:hAnsi="Times New Roman"/>
          <w:sz w:val="17"/>
          <w:szCs w:val="17"/>
          <w:color w:val="auto"/>
        </w:rPr>
        <w:t xml:space="preserve">”) shall be elected by the Requisite Holders, voting separately as a class to the exclusion of other classes of the Company’s Capital Stock (both immediately and at each subsequent annual or other meeting of the stockholders for the election of the Board). The Holder Director shall serve until the next annual meeting for the election of the Board of Directors, or until his or her successor shall be elected and shall qualify, or until his or her right to hold such offices terminates pursuant to the provisions of this </w:t>
      </w:r>
      <w:r>
        <w:rPr>
          <w:rFonts w:ascii="Times New Roman" w:cs="Times New Roman" w:eastAsia="Times New Roman" w:hAnsi="Times New Roman"/>
          <w:sz w:val="17"/>
          <w:szCs w:val="17"/>
          <w:u w:val="single" w:color="auto"/>
          <w:color w:val="auto"/>
        </w:rPr>
        <w:t>Section 9.4(c)(iv)</w:t>
      </w:r>
      <w:r>
        <w:rPr>
          <w:rFonts w:ascii="Times New Roman" w:cs="Times New Roman" w:eastAsia="Times New Roman" w:hAnsi="Times New Roman"/>
          <w:sz w:val="17"/>
          <w:szCs w:val="17"/>
          <w:color w:val="auto"/>
        </w:rPr>
        <w:t xml:space="preserve">. Until the Redemption Default is cured by the timely payment of the amounts due to the Holders pursuant to the Redemption Process, any Holder Director so elected may be removed at any time, without cause, only by the affirmative vote of the a majority of the Series B Convertible Preferred Stock entitled to vote thereon at a special meeting of such holders of Series B Convertible Preferred Stock called for that purpose, and any vacancy created thereby may be filled by the vote of such Holders. The Company shall (A) reimburse each Holder Director for all reasonable travel and other reasonable and documented out-of-pocket expenses related to such Person’s role or performance of duties contemplated by this Certificate of Designation on the same basis as such reimbursement is made to other members of the Board, (B) enter into an indemnification agreement with each Holder Director on terms no less favorable to such Holder Director than the indemnification agreements then in effect between the Company and any other non-employee member of the Board, and (C) upon election to the Board, cause each such Holder Director to be included in all directors and officers liability insurance policies and endorsements. If and when the Redemption Default ceases to exist, the Holders entitled to elect the Holder Directors hereunder shall be divested of the foregoing special voting rights, subject to revesting in the event of each and every subsequent Redemption Default. Upon the termination of the foregoing special voting rights, the terms of office of all persons who may have been elected as Holder Directors pursuant to said special voting rights shall forthwith terminate and such Holder Directors shall immediately resign as a member of the Board and if such Holder Directors shall not immediately resigned, the Board shall have the right to immediately remove such Holder Directors by a vote of the Board (without the vote of such Holder Directors or the Holders), and the number of directors constituting the Board shall be reduced by two (2). The voting rights granted by this </w:t>
      </w:r>
      <w:r>
        <w:rPr>
          <w:rFonts w:ascii="Times New Roman" w:cs="Times New Roman" w:eastAsia="Times New Roman" w:hAnsi="Times New Roman"/>
          <w:sz w:val="17"/>
          <w:szCs w:val="17"/>
          <w:u w:val="single" w:color="auto"/>
          <w:color w:val="auto"/>
        </w:rPr>
        <w:t>Section 9(c)(iv)</w:t>
      </w:r>
      <w:r>
        <w:rPr>
          <w:rFonts w:ascii="Times New Roman" w:cs="Times New Roman" w:eastAsia="Times New Roman" w:hAnsi="Times New Roman"/>
          <w:sz w:val="17"/>
          <w:szCs w:val="17"/>
          <w:color w:val="auto"/>
        </w:rPr>
        <w:t xml:space="preserve"> shall be in addition to any other voting grants granted to the holders of Series B Convertible Preferred Stock pursuant to this Certificate of Designation. Notwithstanding anything to the contrary in this Certificate of Designation, the rights of the Series B Convertible Preferred Stock under this </w:t>
      </w:r>
      <w:r>
        <w:rPr>
          <w:rFonts w:ascii="Times New Roman" w:cs="Times New Roman" w:eastAsia="Times New Roman" w:hAnsi="Times New Roman"/>
          <w:sz w:val="17"/>
          <w:szCs w:val="17"/>
          <w:u w:val="single" w:color="auto"/>
          <w:color w:val="auto"/>
        </w:rPr>
        <w:t>Section 9(c)(iv)</w:t>
      </w:r>
      <w:r>
        <w:rPr>
          <w:rFonts w:ascii="Times New Roman" w:cs="Times New Roman" w:eastAsia="Times New Roman" w:hAnsi="Times New Roman"/>
          <w:sz w:val="17"/>
          <w:szCs w:val="17"/>
          <w:color w:val="auto"/>
        </w:rPr>
        <w:t xml:space="preserve"> shall be limited as may be necessary to comply with applicable Nasdaq or other applicable stock exchange rules.</w:t>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17" w:name="page18"/>
    <w:bookmarkEnd w:id="17"/>
    <w:p>
      <w:pPr>
        <w:jc w:val="both"/>
        <w:ind w:left="299" w:hanging="299"/>
        <w:spacing w:after="0" w:line="249" w:lineRule="auto"/>
        <w:tabs>
          <w:tab w:leader="none" w:pos="2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Noncircumvention</w:t>
      </w:r>
      <w:r>
        <w:rPr>
          <w:rFonts w:ascii="Times New Roman" w:cs="Times New Roman" w:eastAsia="Times New Roman" w:hAnsi="Times New Roman"/>
          <w:sz w:val="17"/>
          <w:szCs w:val="17"/>
          <w:color w:val="auto"/>
        </w:rPr>
        <w:t xml:space="preserve">.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Certificate of Designation, and will at all times in good faith carry out all the provisions of this Certificate of Designation and take all action as may be required to protect the rights of the Holders hereunder. Without limiting the generality of the foregoing or any other provision of this Certificate of Designation or the other Transaction Documents, the Company (a) shall not increase the par value of any shares of Common Stock receivable upon the conversion of any Preferred Shares above the Conversion Price then in effect, (b) shall take all such actions as may be necessary or appropriate in order that the Company may validly and legally issue fully paid and non-assessable shares of Common Stock upon the conversion of Preferred Shares and (c) shall, so long as any Preferred Shares are outstanding, take all action necessary to reserve and keep available out of its authorized and unissued shares of Common Stock, solely for the purpose of effecting the conversion of the Preferred Shares, the maximum number of shares of Common Stock as shall from time to time be necessary to effect the conversion of the Preferred Shares then outstanding (without regard to any limitations on conversion contained herein). Notwithstanding anything herein to the contrary, if after the one hundred and eighty (180) calendar day anniversary of the Initial Issuance Date, each Holder is not permitted to convert such Holder’s Preferred Shares in full for any reason (other than pursuant to restrictions set forth in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hereof), the Company shall use its reasonable best efforts to promptly remedy such failure, including, without limitation, obtaining such consents or approvals as necessary to effect such conversion into shares of Common Stock.</w:t>
      </w:r>
    </w:p>
    <w:p>
      <w:pPr>
        <w:spacing w:after="0" w:line="186" w:lineRule="exact"/>
        <w:rPr>
          <w:rFonts w:ascii="Times New Roman" w:cs="Times New Roman" w:eastAsia="Times New Roman" w:hAnsi="Times New Roman"/>
          <w:sz w:val="17"/>
          <w:szCs w:val="17"/>
          <w:color w:val="auto"/>
        </w:rPr>
      </w:pPr>
    </w:p>
    <w:p>
      <w:pPr>
        <w:ind w:left="299" w:hanging="299"/>
        <w:spacing w:after="0" w:line="274" w:lineRule="auto"/>
        <w:tabs>
          <w:tab w:leader="none" w:pos="2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 Reservation</w:t>
      </w:r>
      <w:r>
        <w:rPr>
          <w:rFonts w:ascii="Times New Roman" w:cs="Times New Roman" w:eastAsia="Times New Roman" w:hAnsi="Times New Roman"/>
          <w:sz w:val="17"/>
          <w:szCs w:val="17"/>
          <w:color w:val="auto"/>
        </w:rPr>
        <w:t>. So long as any Preferred Shares remain outstanding, the Company shall at all times reserve at least 100% of the number of shares of Common Stock as shall from time to time be necessary to effect the conversion of all the Preferred Shares then outstanding.</w:t>
      </w:r>
    </w:p>
    <w:p>
      <w:pPr>
        <w:spacing w:after="0" w:line="158"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Holders of Preferred Shares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1219" w:hanging="311"/>
        <w:spacing w:after="0" w:line="250" w:lineRule="auto"/>
        <w:tabs>
          <w:tab w:leader="none" w:pos="121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xml:space="preserve">. The holders of the Preferred Shares shall have no voting power and no right to vote on any matter at any time, either as a separate series or class or together with any other series or class of share of Capital Stock, and shall not be entitled to call a meeting of such holders for any purpose nor shall they be entitled to participate in any meeting of the holders of Common Stock, except as provided in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7"/>
          <w:szCs w:val="17"/>
          <w:color w:val="auto"/>
        </w:rPr>
        <w:t xml:space="preserve"> or as otherwise required by the NRS. To the extent that under the NRS the vote of the holders of the Preferred Shares, voting separately as a class or series, as applicable, is required to authorize a given action of the Company, the affirmative vote or consent of the Requisite Holders of the Preferred Shares, voting together in the aggregate and not in separate series unless required under the NRS, represented at a duly held meeting at which a quorum is presented or by written consent of the Requisite Holders (except as otherwise may be required under the NRS), voting together in the aggregate and not in separate series unless required under the NRS, shall constitute the approval of such action by both the class or the series, as applicable. Holders of the Preferred Shares shall be entitled to written notice of all stockholder meetings or written consents (and copies of proxy materials and other information sent to stockholders) with respect to which they would be entitled to vote, which notice would be provided pursuant to the Company’s bylaws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and the NRS.</w:t>
      </w:r>
    </w:p>
    <w:p>
      <w:pPr>
        <w:spacing w:after="0" w:line="180" w:lineRule="exact"/>
        <w:rPr>
          <w:rFonts w:ascii="Times New Roman" w:cs="Times New Roman" w:eastAsia="Times New Roman" w:hAnsi="Times New Roman"/>
          <w:sz w:val="17"/>
          <w:szCs w:val="17"/>
          <w:color w:val="auto"/>
        </w:rPr>
      </w:pPr>
    </w:p>
    <w:p>
      <w:pPr>
        <w:jc w:val="both"/>
        <w:ind w:left="1219" w:hanging="311"/>
        <w:spacing w:after="0" w:line="267" w:lineRule="auto"/>
        <w:tabs>
          <w:tab w:leader="none" w:pos="121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Board Observer</w:t>
      </w:r>
      <w:r>
        <w:rPr>
          <w:rFonts w:ascii="Times New Roman" w:cs="Times New Roman" w:eastAsia="Times New Roman" w:hAnsi="Times New Roman"/>
          <w:sz w:val="16"/>
          <w:szCs w:val="16"/>
          <w:color w:val="auto"/>
        </w:rPr>
        <w:t>. For so long as any shares of Series B Convertible Preferred Stock are held by Beach Point or Energy Impact Partners, each of them shall be entitled to designate one individual as a non-voting observer (an “</w:t>
      </w:r>
      <w:r>
        <w:rPr>
          <w:rFonts w:ascii="Times New Roman" w:cs="Times New Roman" w:eastAsia="Times New Roman" w:hAnsi="Times New Roman"/>
          <w:sz w:val="16"/>
          <w:szCs w:val="16"/>
          <w:u w:val="single" w:color="auto"/>
          <w:color w:val="auto"/>
        </w:rPr>
        <w:t>Observer</w:t>
      </w:r>
      <w:r>
        <w:rPr>
          <w:rFonts w:ascii="Times New Roman" w:cs="Times New Roman" w:eastAsia="Times New Roman" w:hAnsi="Times New Roman"/>
          <w:sz w:val="16"/>
          <w:szCs w:val="16"/>
          <w:color w:val="auto"/>
        </w:rPr>
        <w:t xml:space="preserve">”) who may participate in discussions at meetings of the Board (or meetings of any committee of the Board) and consult with, and make proposals and furnish advice to, the Board without voting;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w:t>
      </w:r>
      <w:r>
        <w:rPr>
          <w:rFonts w:ascii="Times New Roman" w:cs="Times New Roman" w:eastAsia="Times New Roman" w:hAnsi="Times New Roman"/>
          <w:sz w:val="16"/>
          <w:szCs w:val="16"/>
          <w:color w:val="auto"/>
        </w:rPr>
        <w:t xml:space="preserve">, such Observer may be required to leave, or not be allowed to attend, any meetings or portion thereof, and any information or reports may be withheld (or parts thereof redacted), if the members of the applicable Board, by majority vote, reasonably believe (i) a conflict of interest or waiver of a privilege arises or may arise in connection with the issues being discussed at such meetings or contained in such reports, (ii) the failure to withhold such information or exclude such Observer would reasonably be expected to cause the Board to breach its fiduciary duties, or (iii) that withholding such information or such exclusion is reasonably necessary to protect trade secrets. Subject to the foregoing, the Observer shall receive a copy of all notices, minutes, consents and other materials that are provided to the Board at the same time and in the same manner as provided to the members of the Board, and shall have the right to obtain, upon request, such other information relating to the Company and its Subsidiaries as reasonably requested by such Observer. Notwithstanding the foregoing, for so long as Beach Point or Energy Impact Partners has an Observer appointed pursuant to the terms of the Term Loan, then such party shall not have a right to also appoint an Observer pursuant to this </w:t>
      </w:r>
      <w:r>
        <w:rPr>
          <w:rFonts w:ascii="Times New Roman" w:cs="Times New Roman" w:eastAsia="Times New Roman" w:hAnsi="Times New Roman"/>
          <w:sz w:val="16"/>
          <w:szCs w:val="16"/>
          <w:u w:val="single" w:color="auto"/>
          <w:color w:val="auto"/>
        </w:rPr>
        <w:t>Section 12(b)</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18" w:name="page19"/>
    <w:bookmarkEnd w:id="18"/>
    <w:p>
      <w:pPr>
        <w:ind w:left="1219" w:hanging="311"/>
        <w:spacing w:after="0"/>
        <w:tabs>
          <w:tab w:leader="none" w:pos="1219"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Rights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1519" w:hanging="309"/>
        <w:spacing w:after="0" w:line="253" w:lineRule="auto"/>
        <w:tabs>
          <w:tab w:leader="none" w:pos="1519" w:val="left"/>
        </w:tabs>
        <w:numPr>
          <w:ilvl w:val="3"/>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any shares of Series B Convertible Preferred Stock are held by Beach Point or Energy Impact Partners, each Holder shall be entitled to receive, and the Company shall furnish to each Holder, each of the Reports and Notices that the Company is required to furnish to each Lender pursuant to Section 4 of the Term Loan on the same terms and conditions as provided in Section 4 of the Term Loan in effect as of the date hereof (collectively, the “</w:t>
      </w:r>
      <w:r>
        <w:rPr>
          <w:rFonts w:ascii="Times New Roman" w:cs="Times New Roman" w:eastAsia="Times New Roman" w:hAnsi="Times New Roman"/>
          <w:sz w:val="17"/>
          <w:szCs w:val="17"/>
          <w:u w:val="single" w:color="auto"/>
          <w:color w:val="auto"/>
        </w:rPr>
        <w:t>Term Loan Reports and Notices</w:t>
      </w:r>
      <w:r>
        <w:rPr>
          <w:rFonts w:ascii="Times New Roman" w:cs="Times New Roman" w:eastAsia="Times New Roman" w:hAnsi="Times New Roman"/>
          <w:sz w:val="17"/>
          <w:szCs w:val="17"/>
          <w:color w:val="auto"/>
        </w:rPr>
        <w:t>”). For the avoidance of doubt, each Holder shall remain entitled to receive, and the Company shall remain obligated to furnish to each Holder, the Term Loan Reports and Notices following the Termination Date (as defined in the Term Loan).</w:t>
      </w:r>
    </w:p>
    <w:p>
      <w:pPr>
        <w:spacing w:after="0" w:line="175" w:lineRule="exact"/>
        <w:rPr>
          <w:rFonts w:ascii="Times New Roman" w:cs="Times New Roman" w:eastAsia="Times New Roman" w:hAnsi="Times New Roman"/>
          <w:sz w:val="17"/>
          <w:szCs w:val="17"/>
          <w:color w:val="auto"/>
        </w:rPr>
      </w:pPr>
    </w:p>
    <w:p>
      <w:pPr>
        <w:jc w:val="both"/>
        <w:ind w:left="1519" w:hanging="309"/>
        <w:spacing w:after="0" w:line="269" w:lineRule="auto"/>
        <w:tabs>
          <w:tab w:leader="none" w:pos="1519" w:val="left"/>
        </w:tabs>
        <w:numPr>
          <w:ilvl w:val="3"/>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Preferred Default, Event of Default or Material Adverse Effect</w:t>
      </w:r>
      <w:r>
        <w:rPr>
          <w:rFonts w:ascii="Times New Roman" w:cs="Times New Roman" w:eastAsia="Times New Roman" w:hAnsi="Times New Roman"/>
          <w:sz w:val="16"/>
          <w:szCs w:val="16"/>
          <w:color w:val="auto"/>
        </w:rPr>
        <w:t>. Promptly upon any Senior Officer of the Company or any of its Subsidiaries obtaining actual knowledge of (A) any condition or event that constitutes a Preferred Default or that written notice thereof has been given to the Company or any of its Subsidiaries with respect thereto, (B) any condition or event that constitutes an Event of Default (as defined in the Term Loan) or that written notice thereof has been given to the Company or any of its Subsidiaries with respect thereto, or (C) the occurrence of any event or change that has caused or evidences, either in any case or in the aggregate, a Material Adverse Effect, the Company shall deliver to each Preferred Holder a certificate of a Senior Officer specifying the nature and period of existence of such condition, event or change, or specifying the notice given and action taken by any such Person and the nature of such claimed Preferred Default, Event of Default, Material Adverse Effect, event or condition, and what action the Company has taken, is taking, and proposes to take with respect thereto.</w:t>
      </w:r>
    </w:p>
    <w:p>
      <w:pPr>
        <w:spacing w:after="0" w:line="165" w:lineRule="exact"/>
        <w:rPr>
          <w:rFonts w:ascii="Times New Roman" w:cs="Times New Roman" w:eastAsia="Times New Roman" w:hAnsi="Times New Roman"/>
          <w:sz w:val="16"/>
          <w:szCs w:val="16"/>
          <w:color w:val="auto"/>
        </w:rPr>
      </w:pPr>
    </w:p>
    <w:p>
      <w:pPr>
        <w:ind w:left="299" w:hanging="299"/>
        <w:spacing w:after="0"/>
        <w:tabs>
          <w:tab w:leader="none" w:pos="29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For so long as any shares of Series B Convertible Preferred Stock are held by Beach Point or Energy Impact Partners:</w:t>
      </w:r>
    </w:p>
    <w:p>
      <w:pPr>
        <w:spacing w:after="0" w:line="203" w:lineRule="exact"/>
        <w:rPr>
          <w:rFonts w:ascii="Times New Roman" w:cs="Times New Roman" w:eastAsia="Times New Roman" w:hAnsi="Times New Roman"/>
          <w:sz w:val="17"/>
          <w:szCs w:val="17"/>
          <w:color w:val="auto"/>
        </w:rPr>
      </w:pPr>
    </w:p>
    <w:p>
      <w:pPr>
        <w:jc w:val="both"/>
        <w:ind w:left="899" w:hanging="294"/>
        <w:spacing w:after="0" w:line="250" w:lineRule="auto"/>
        <w:tabs>
          <w:tab w:leader="none" w:pos="89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Loan Agreement Covenants</w:t>
      </w:r>
      <w:r>
        <w:rPr>
          <w:rFonts w:ascii="Times New Roman" w:cs="Times New Roman" w:eastAsia="Times New Roman" w:hAnsi="Times New Roman"/>
          <w:sz w:val="17"/>
          <w:szCs w:val="17"/>
          <w:color w:val="auto"/>
        </w:rPr>
        <w:t>. Each of the covenants set forth in Section 3.9 (</w:t>
      </w:r>
      <w:r>
        <w:rPr>
          <w:rFonts w:ascii="Times New Roman" w:cs="Times New Roman" w:eastAsia="Times New Roman" w:hAnsi="Times New Roman"/>
          <w:sz w:val="17"/>
          <w:szCs w:val="17"/>
          <w:i w:val="1"/>
          <w:iCs w:val="1"/>
          <w:color w:val="auto"/>
        </w:rPr>
        <w:t>Taxes; Charges</w:t>
      </w:r>
      <w:r>
        <w:rPr>
          <w:rFonts w:ascii="Times New Roman" w:cs="Times New Roman" w:eastAsia="Times New Roman" w:hAnsi="Times New Roman"/>
          <w:sz w:val="17"/>
          <w:szCs w:val="17"/>
          <w:color w:val="auto"/>
        </w:rPr>
        <w:t>), Section 3.11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Section 3.12 (</w:t>
      </w:r>
      <w:r>
        <w:rPr>
          <w:rFonts w:ascii="Times New Roman" w:cs="Times New Roman" w:eastAsia="Times New Roman" w:hAnsi="Times New Roman"/>
          <w:sz w:val="17"/>
          <w:szCs w:val="17"/>
          <w:i w:val="1"/>
          <w:iCs w:val="1"/>
          <w:color w:val="auto"/>
        </w:rPr>
        <w:t>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Property</w:t>
      </w:r>
      <w:r>
        <w:rPr>
          <w:rFonts w:ascii="Times New Roman" w:cs="Times New Roman" w:eastAsia="Times New Roman" w:hAnsi="Times New Roman"/>
          <w:sz w:val="17"/>
          <w:szCs w:val="17"/>
          <w:color w:val="auto"/>
        </w:rPr>
        <w:t>), Section 3.15 (</w:t>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Section 3.20 (</w:t>
      </w:r>
      <w:r>
        <w:rPr>
          <w:rFonts w:ascii="Times New Roman" w:cs="Times New Roman" w:eastAsia="Times New Roman" w:hAnsi="Times New Roman"/>
          <w:sz w:val="17"/>
          <w:szCs w:val="17"/>
          <w:i w:val="1"/>
          <w:iCs w:val="1"/>
          <w:color w:val="auto"/>
        </w:rPr>
        <w:t>Collateral/Maintenance of Property</w:t>
      </w:r>
      <w:r>
        <w:rPr>
          <w:rFonts w:ascii="Times New Roman" w:cs="Times New Roman" w:eastAsia="Times New Roman" w:hAnsi="Times New Roman"/>
          <w:sz w:val="17"/>
          <w:szCs w:val="17"/>
          <w:color w:val="auto"/>
        </w:rPr>
        <w:t>), Section 3.22 (</w:t>
      </w:r>
      <w:r>
        <w:rPr>
          <w:rFonts w:ascii="Times New Roman" w:cs="Times New Roman" w:eastAsia="Times New Roman" w:hAnsi="Times New Roman"/>
          <w:sz w:val="17"/>
          <w:szCs w:val="17"/>
          <w:i w:val="1"/>
          <w:iCs w:val="1"/>
          <w:color w:val="auto"/>
        </w:rPr>
        <w:t>Maintenance of Corporate Existence</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3.34 (</w:t>
      </w:r>
      <w:r>
        <w:rPr>
          <w:rFonts w:ascii="Times New Roman" w:cs="Times New Roman" w:eastAsia="Times New Roman" w:hAnsi="Times New Roman"/>
          <w:sz w:val="17"/>
          <w:szCs w:val="17"/>
          <w:i w:val="1"/>
          <w:iCs w:val="1"/>
          <w:color w:val="auto"/>
        </w:rPr>
        <w:t>Affiliate Transactions</w:t>
      </w:r>
      <w:r>
        <w:rPr>
          <w:rFonts w:ascii="Times New Roman" w:cs="Times New Roman" w:eastAsia="Times New Roman" w:hAnsi="Times New Roman"/>
          <w:sz w:val="17"/>
          <w:szCs w:val="17"/>
          <w:color w:val="auto"/>
        </w:rPr>
        <w:t>) and Section 5 of the Term Loan as in effect as of the date hereof under the Term Loan (collectively, the “</w:t>
      </w:r>
      <w:r>
        <w:rPr>
          <w:rFonts w:ascii="Times New Roman" w:cs="Times New Roman" w:eastAsia="Times New Roman" w:hAnsi="Times New Roman"/>
          <w:sz w:val="17"/>
          <w:szCs w:val="17"/>
          <w:u w:val="single" w:color="auto"/>
          <w:color w:val="auto"/>
        </w:rPr>
        <w:t>Term Loan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xml:space="preserve">”) shall be incorporated by reference into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as if they were set forth in full in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and shall be binding on the Company pursuant to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and, without the prior written consent of the Requisite Holders, the Company shall not take any of the actions set forth in Section 5 of the Term Loan. For the avoidance of doubt, following the Termination Date (as defined in the Term Loan), the Company shall remain subject to the Term Loan Covenants as set forth in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for so long as any shares of Series B Convertible Preferred Stock are held by Beach Point or Energy Impact Partners;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the Term Loan Covenants shall not include any of the covenants set forth in Section 5 of the Term Loan that are otherwise addressed in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(including, but not limited to, the following Sections of the Term Loan: Section 5.1 (</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 Section 5.2 (</w:t>
      </w:r>
      <w:r>
        <w:rPr>
          <w:rFonts w:ascii="Times New Roman" w:cs="Times New Roman" w:eastAsia="Times New Roman" w:hAnsi="Times New Roman"/>
          <w:sz w:val="17"/>
          <w:szCs w:val="17"/>
          <w:i w:val="1"/>
          <w:iCs w:val="1"/>
          <w:color w:val="auto"/>
        </w:rPr>
        <w:t>Liens</w:t>
      </w:r>
      <w:r>
        <w:rPr>
          <w:rFonts w:ascii="Times New Roman" w:cs="Times New Roman" w:eastAsia="Times New Roman" w:hAnsi="Times New Roman"/>
          <w:sz w:val="17"/>
          <w:szCs w:val="17"/>
          <w:color w:val="auto"/>
        </w:rPr>
        <w:t>); Section 5.3 (</w:t>
      </w:r>
      <w:r>
        <w:rPr>
          <w:rFonts w:ascii="Times New Roman" w:cs="Times New Roman" w:eastAsia="Times New Roman" w:hAnsi="Times New Roman"/>
          <w:sz w:val="17"/>
          <w:szCs w:val="17"/>
          <w:i w:val="1"/>
          <w:iCs w:val="1"/>
          <w:color w:val="auto"/>
        </w:rPr>
        <w:t>Investments; Fundamental Changes</w:t>
      </w:r>
      <w:r>
        <w:rPr>
          <w:rFonts w:ascii="Times New Roman" w:cs="Times New Roman" w:eastAsia="Times New Roman" w:hAnsi="Times New Roman"/>
          <w:sz w:val="17"/>
          <w:szCs w:val="17"/>
          <w:color w:val="auto"/>
        </w:rPr>
        <w:t>); Section 5.4 (</w:t>
      </w:r>
      <w:r>
        <w:rPr>
          <w:rFonts w:ascii="Times New Roman" w:cs="Times New Roman" w:eastAsia="Times New Roman" w:hAnsi="Times New Roman"/>
          <w:sz w:val="17"/>
          <w:szCs w:val="17"/>
          <w:i w:val="1"/>
          <w:iCs w:val="1"/>
          <w:color w:val="auto"/>
        </w:rPr>
        <w:t>Asset Sales</w:t>
      </w:r>
      <w:r>
        <w:rPr>
          <w:rFonts w:ascii="Times New Roman" w:cs="Times New Roman" w:eastAsia="Times New Roman" w:hAnsi="Times New Roman"/>
          <w:sz w:val="17"/>
          <w:szCs w:val="17"/>
          <w:color w:val="auto"/>
        </w:rPr>
        <w:t>); Section 5.5 (</w:t>
      </w:r>
      <w:r>
        <w:rPr>
          <w:rFonts w:ascii="Times New Roman" w:cs="Times New Roman" w:eastAsia="Times New Roman" w:hAnsi="Times New Roman"/>
          <w:sz w:val="17"/>
          <w:szCs w:val="17"/>
          <w:i w:val="1"/>
          <w:iCs w:val="1"/>
          <w:color w:val="auto"/>
        </w:rPr>
        <w:t>Restricted Payments</w:t>
      </w:r>
      <w:r>
        <w:rPr>
          <w:rFonts w:ascii="Times New Roman" w:cs="Times New Roman" w:eastAsia="Times New Roman" w:hAnsi="Times New Roman"/>
          <w:sz w:val="17"/>
          <w:szCs w:val="17"/>
          <w:color w:val="auto"/>
        </w:rPr>
        <w:t>); Section 5.6 (</w:t>
      </w:r>
      <w:r>
        <w:rPr>
          <w:rFonts w:ascii="Times New Roman" w:cs="Times New Roman" w:eastAsia="Times New Roman" w:hAnsi="Times New Roman"/>
          <w:sz w:val="17"/>
          <w:szCs w:val="17"/>
          <w:i w:val="1"/>
          <w:iCs w:val="1"/>
          <w:color w:val="auto"/>
        </w:rPr>
        <w:t>Changes in Nature of Business</w:t>
      </w:r>
      <w:r>
        <w:rPr>
          <w:rFonts w:ascii="Times New Roman" w:cs="Times New Roman" w:eastAsia="Times New Roman" w:hAnsi="Times New Roman"/>
          <w:sz w:val="17"/>
          <w:szCs w:val="17"/>
          <w:color w:val="auto"/>
        </w:rPr>
        <w:t xml:space="preserve">)), and, for the avoidance of doubt, such covenants from the Term Loan shall not be incorporated by reference into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899" w:hanging="294"/>
        <w:spacing w:after="0" w:line="274" w:lineRule="auto"/>
        <w:tabs>
          <w:tab w:leader="none" w:pos="89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Incurrence of Indebtedness</w:t>
      </w:r>
      <w:r>
        <w:rPr>
          <w:rFonts w:ascii="Times New Roman" w:cs="Times New Roman" w:eastAsia="Times New Roman" w:hAnsi="Times New Roman"/>
          <w:sz w:val="17"/>
          <w:szCs w:val="17"/>
          <w:color w:val="auto"/>
        </w:rPr>
        <w:t>. Without the prior written consent of the Requisite Holders, the Company shall not, and the Company shall cause each of its Subsidiaries to not, directly or indirectly, incur or guarantee, assume or suffer to exist any funded Indebtedness (other than Permitted Indebtedness).</w:t>
      </w:r>
    </w:p>
    <w:p>
      <w:pPr>
        <w:spacing w:after="0" w:line="158" w:lineRule="exact"/>
        <w:rPr>
          <w:rFonts w:ascii="Times New Roman" w:cs="Times New Roman" w:eastAsia="Times New Roman" w:hAnsi="Times New Roman"/>
          <w:sz w:val="17"/>
          <w:szCs w:val="17"/>
          <w:color w:val="auto"/>
        </w:rPr>
      </w:pPr>
    </w:p>
    <w:p>
      <w:pPr>
        <w:jc w:val="both"/>
        <w:ind w:left="899" w:hanging="294"/>
        <w:spacing w:after="0" w:line="256" w:lineRule="auto"/>
        <w:tabs>
          <w:tab w:leader="none" w:pos="89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Existence of Liens</w:t>
      </w:r>
      <w:r>
        <w:rPr>
          <w:rFonts w:ascii="Times New Roman" w:cs="Times New Roman" w:eastAsia="Times New Roman" w:hAnsi="Times New Roman"/>
          <w:sz w:val="17"/>
          <w:szCs w:val="17"/>
          <w:color w:val="auto"/>
        </w:rPr>
        <w:t>. Without the prior written consent of the Requisite Holders,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other than Permitted Liens.</w:t>
      </w:r>
    </w:p>
    <w:p>
      <w:pPr>
        <w:spacing w:after="0" w:line="175"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19" w:name="page20"/>
    <w:bookmarkEnd w:id="19"/>
    <w:p>
      <w:pPr>
        <w:jc w:val="both"/>
        <w:ind w:left="294" w:hanging="294"/>
        <w:spacing w:after="0" w:line="254" w:lineRule="auto"/>
        <w:tabs>
          <w:tab w:leader="none" w:pos="2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Payments and Investments</w:t>
      </w:r>
      <w:r>
        <w:rPr>
          <w:rFonts w:ascii="Times New Roman" w:cs="Times New Roman" w:eastAsia="Times New Roman" w:hAnsi="Times New Roman"/>
          <w:sz w:val="17"/>
          <w:szCs w:val="17"/>
          <w:color w:val="auto"/>
        </w:rPr>
        <w:t>. Without the prior written consent of the Requisite Holders,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(i) Existing Term Loan Indebtedness, and (ii) pursuant to this Certificate of Designation) whether by way of payment in respect of principal of (or premium, if any) or interest on, such Indebtedness or make any Investment, as applicable.</w:t>
      </w:r>
    </w:p>
    <w:p>
      <w:pPr>
        <w:spacing w:after="0" w:line="175" w:lineRule="exact"/>
        <w:rPr>
          <w:rFonts w:ascii="Times New Roman" w:cs="Times New Roman" w:eastAsia="Times New Roman" w:hAnsi="Times New Roman"/>
          <w:sz w:val="17"/>
          <w:szCs w:val="17"/>
          <w:color w:val="auto"/>
        </w:rPr>
      </w:pPr>
    </w:p>
    <w:p>
      <w:pPr>
        <w:jc w:val="both"/>
        <w:ind w:left="294" w:hanging="294"/>
        <w:spacing w:after="0" w:line="261" w:lineRule="auto"/>
        <w:tabs>
          <w:tab w:leader="none" w:pos="2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Redemption and Dividends</w:t>
      </w:r>
      <w:r>
        <w:rPr>
          <w:rFonts w:ascii="Times New Roman" w:cs="Times New Roman" w:eastAsia="Times New Roman" w:hAnsi="Times New Roman"/>
          <w:sz w:val="17"/>
          <w:szCs w:val="17"/>
          <w:color w:val="auto"/>
        </w:rPr>
        <w:t>. Without the prior written consent of the Requisite Holders, the Company shall not, and the Company shall cause each of its Subsidiaries to not, directly or indirectly, redeem, repurchase or declare or pay any dividend or distribution on any of its Capital Stock (other than as required or permitted by this Certificate of Designation).</w:t>
      </w:r>
    </w:p>
    <w:p>
      <w:pPr>
        <w:spacing w:after="0" w:line="169"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Nature of Business</w:t>
      </w:r>
      <w:r>
        <w:rPr>
          <w:rFonts w:ascii="Times New Roman" w:cs="Times New Roman" w:eastAsia="Times New Roman" w:hAnsi="Times New Roman"/>
          <w:sz w:val="17"/>
          <w:szCs w:val="17"/>
          <w:color w:val="auto"/>
        </w:rPr>
        <w:t>. Without the prior written consent of the Requisite Holders,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Closing Date or any business substantially related or incidental thereto. The Company shall not, and the Company shall cause each of its Subsidiaries to not, directly or indirectly, modify its or their corporate structure or purpose.</w:t>
      </w:r>
    </w:p>
    <w:p>
      <w:pPr>
        <w:spacing w:after="0" w:line="175" w:lineRule="exact"/>
        <w:rPr>
          <w:rFonts w:ascii="Times New Roman" w:cs="Times New Roman" w:eastAsia="Times New Roman" w:hAnsi="Times New Roman"/>
          <w:sz w:val="17"/>
          <w:szCs w:val="17"/>
          <w:color w:val="auto"/>
        </w:rPr>
      </w:pPr>
    </w:p>
    <w:p>
      <w:pPr>
        <w:jc w:val="both"/>
        <w:ind w:left="294" w:hanging="294"/>
        <w:spacing w:after="0" w:line="261" w:lineRule="auto"/>
        <w:tabs>
          <w:tab w:leader="none" w:pos="2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Issuances</w:t>
      </w:r>
      <w:r>
        <w:rPr>
          <w:rFonts w:ascii="Times New Roman" w:cs="Times New Roman" w:eastAsia="Times New Roman" w:hAnsi="Times New Roman"/>
          <w:sz w:val="17"/>
          <w:szCs w:val="17"/>
          <w:color w:val="auto"/>
        </w:rPr>
        <w:t xml:space="preserve">. Without the prior written consent of the Requisite Holders, the Company shall not, directly or indirectly, (i) issue any Preferred Shares (other than as contemplated by the Exchange Agreement and this Certificate of Designation), or (ii) issue any other securities that would cause a breach or default under this Certificate of Designation (including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hereof).</w:t>
      </w:r>
    </w:p>
    <w:p>
      <w:pPr>
        <w:spacing w:after="0" w:line="169"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PCAOB Registered Auditor</w:t>
      </w:r>
      <w:r>
        <w:rPr>
          <w:rFonts w:ascii="Times New Roman" w:cs="Times New Roman" w:eastAsia="Times New Roman" w:hAnsi="Times New Roman"/>
          <w:sz w:val="17"/>
          <w:szCs w:val="17"/>
          <w:color w:val="auto"/>
        </w:rPr>
        <w:t>. At all times any Preferred Shares remain outstanding, the Company shall have engaged an independent auditor to audit its financial statements that is registered with (and in compliance with the rules and regulations of) the Public Company Accounting Oversight Board.</w:t>
      </w:r>
    </w:p>
    <w:p>
      <w:pPr>
        <w:spacing w:after="0" w:line="158"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Asset Sales</w:t>
      </w:r>
      <w:r>
        <w:rPr>
          <w:rFonts w:ascii="Times New Roman" w:cs="Times New Roman" w:eastAsia="Times New Roman" w:hAnsi="Times New Roman"/>
          <w:sz w:val="17"/>
          <w:szCs w:val="17"/>
          <w:color w:val="auto"/>
        </w:rPr>
        <w:t xml:space="preserve">. Without the prior written consent of the Requisite Holders, the Company shall not, nor shall it permit any of its Subsidiaries to (i) sell, assign, transfer, convey, license, lease or otherwise dispose of any assets or properties of the Company or any of its Subsidiaries (including any intellectual property), except (A) in the ordinary course of business, (B) as required under existing Contracts, or (C) for the sale, abandonment or other disposition of obsolete or unused assets or properties, or (ii) enter into any agreement, or otherwise become obligated, to do any action prohibited by this </w:t>
      </w:r>
      <w:r>
        <w:rPr>
          <w:rFonts w:ascii="Times New Roman" w:cs="Times New Roman" w:eastAsia="Times New Roman" w:hAnsi="Times New Roman"/>
          <w:sz w:val="17"/>
          <w:szCs w:val="17"/>
          <w:u w:val="single" w:color="auto"/>
          <w:color w:val="auto"/>
        </w:rPr>
        <w:t>Section 13(i)</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Acquisition Transactions</w:t>
      </w:r>
      <w:r>
        <w:rPr>
          <w:rFonts w:ascii="Times New Roman" w:cs="Times New Roman" w:eastAsia="Times New Roman" w:hAnsi="Times New Roman"/>
          <w:sz w:val="17"/>
          <w:szCs w:val="17"/>
          <w:color w:val="auto"/>
        </w:rPr>
        <w:t xml:space="preserve">. Without the prior written consent of the Requisite Holders, the Company shall not, nor shall it permit any of its Subsidiaries to (i) acquire by merger or consolidation with, or merge or consolidate with, or purchase all or substantially all of the equity interests or assets of, any corporation, partnership, association, joint venture or other business organization or division thereof, (ii) enter into any agreement, or otherwise become obligated, to do any action prohibited by this </w:t>
      </w:r>
      <w:r>
        <w:rPr>
          <w:rFonts w:ascii="Times New Roman" w:cs="Times New Roman" w:eastAsia="Times New Roman" w:hAnsi="Times New Roman"/>
          <w:sz w:val="17"/>
          <w:szCs w:val="17"/>
          <w:u w:val="single" w:color="auto"/>
          <w:color w:val="auto"/>
        </w:rPr>
        <w:t>Section 13(j)</w:t>
      </w:r>
      <w:r>
        <w:rPr>
          <w:rFonts w:ascii="Times New Roman" w:cs="Times New Roman" w:eastAsia="Times New Roman" w:hAnsi="Times New Roman"/>
          <w:sz w:val="17"/>
          <w:szCs w:val="17"/>
          <w:color w:val="auto"/>
        </w:rPr>
        <w:t>, or (iii) enter into, consummate, or agree to enter into or consummate, any Fundamental Transaction that results in a Change of Control.</w:t>
      </w:r>
    </w:p>
    <w:p>
      <w:pPr>
        <w:spacing w:after="0" w:line="176"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20" w:name="page21"/>
    <w:bookmarkEnd w:id="20"/>
    <w:p>
      <w:pPr>
        <w:jc w:val="both"/>
        <w:ind w:left="899" w:hanging="294"/>
        <w:spacing w:after="0" w:line="261" w:lineRule="auto"/>
        <w:tabs>
          <w:tab w:leader="none" w:pos="89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Delisting of Common Stock</w:t>
      </w:r>
      <w:r>
        <w:rPr>
          <w:rFonts w:ascii="Times New Roman" w:cs="Times New Roman" w:eastAsia="Times New Roman" w:hAnsi="Times New Roman"/>
          <w:sz w:val="17"/>
          <w:szCs w:val="17"/>
          <w:color w:val="auto"/>
        </w:rPr>
        <w:t>. Without the prior written consent of the Requisite Holders, the Company shall not, nor shall it permit any of its Subsidiaries to, suspend from trading or delist the Common Stock on an Eligible Market for a period of five (5) consecutive Trading Days or the delist, remove or withdraw, as applicable, of registration of the Common Stock under the 1934 Act with respect to a going-private transaction.</w:t>
      </w:r>
    </w:p>
    <w:p>
      <w:pPr>
        <w:spacing w:after="0" w:line="169" w:lineRule="exact"/>
        <w:rPr>
          <w:rFonts w:ascii="Times New Roman" w:cs="Times New Roman" w:eastAsia="Times New Roman" w:hAnsi="Times New Roman"/>
          <w:sz w:val="17"/>
          <w:szCs w:val="17"/>
          <w:color w:val="auto"/>
        </w:rPr>
      </w:pPr>
    </w:p>
    <w:p>
      <w:pPr>
        <w:jc w:val="both"/>
        <w:ind w:left="899" w:hanging="294"/>
        <w:spacing w:after="0" w:line="249" w:lineRule="auto"/>
        <w:tabs>
          <w:tab w:leader="none" w:pos="89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Commencing or Consenting to Bankruptcy or Reorganization Proceedings</w:t>
      </w:r>
      <w:r>
        <w:rPr>
          <w:rFonts w:ascii="Times New Roman" w:cs="Times New Roman" w:eastAsia="Times New Roman" w:hAnsi="Times New Roman"/>
          <w:sz w:val="17"/>
          <w:szCs w:val="17"/>
          <w:color w:val="auto"/>
        </w:rPr>
        <w:t>. Without the prior written consent of the Requisite Holders, the Company shall not, nor shall it permit any of its Subsidiaries to, (i) be subject to any bankruptcy, insolvency, reorganization or liquidation proceedings or other proceedings for the relief of debtors instituted by or against the Company or any Subsidiary; provided, that, if instituted against the Company or any Subsidiary by a third party, the Company or such Subsidiary shall take such actions to have such proceeding be dismissed within thirty (30) days of its initiation, (ii) commence a voluntary case or proceeding under any applicable federal, state or foreign bankruptcy, insolvency, reorganization or other similar law or of any other case or proceeding to be adjudicated as bankrupt or insolvent, (iii) consent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(iv) file a petition or answer or consent seeking reorganization or relief under any applicable federal, state or foreign law, (v) consent to the filing of such petition or to the appointment of or taking possession by a custodian, receiver, liquidator, assignee, trustee, sequestrator or other similar official of the Company or any Subsidiary or of any substantial part of its property, (vi) make an assignment for the benefit of creditors, or the execution of a composition of debts, or the occurrence of any other similar federal, state or foreign proceeding, (vii) admit in writing of the Company or any of its Subsidiaries inability to pay its debts generally as they become due, or (vii) take any corporate action by in furtherance of any such action or the taking of any action by any Person to commence a Uniform Commercial Code foreclosure sale or any other similar action under federal, state or foreign law.</w:t>
      </w:r>
    </w:p>
    <w:p>
      <w:pPr>
        <w:spacing w:after="0" w:line="186" w:lineRule="exact"/>
        <w:rPr>
          <w:rFonts w:ascii="Times New Roman" w:cs="Times New Roman" w:eastAsia="Times New Roman" w:hAnsi="Times New Roman"/>
          <w:sz w:val="17"/>
          <w:szCs w:val="17"/>
          <w:color w:val="auto"/>
        </w:rPr>
      </w:pPr>
    </w:p>
    <w:p>
      <w:pPr>
        <w:jc w:val="both"/>
        <w:ind w:left="299" w:hanging="299"/>
        <w:spacing w:after="0" w:line="250" w:lineRule="auto"/>
        <w:tabs>
          <w:tab w:leader="none" w:pos="29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Winding-Up</w:t>
      </w:r>
      <w:r>
        <w:rPr>
          <w:rFonts w:ascii="Times New Roman" w:cs="Times New Roman" w:eastAsia="Times New Roman" w:hAnsi="Times New Roman"/>
          <w:sz w:val="17"/>
          <w:szCs w:val="17"/>
          <w:color w:val="auto"/>
        </w:rPr>
        <w:t>. In the event of a Liquidation Event, the Holders shall be entitled to receive in cash out of the assets of the Company, whether from capital or from earnings available for distribution to its stockholders (the “</w:t>
      </w:r>
      <w:r>
        <w:rPr>
          <w:rFonts w:ascii="Times New Roman" w:cs="Times New Roman" w:eastAsia="Times New Roman" w:hAnsi="Times New Roman"/>
          <w:sz w:val="17"/>
          <w:szCs w:val="17"/>
          <w:u w:val="single" w:color="auto"/>
          <w:color w:val="auto"/>
        </w:rPr>
        <w:t>Liquidation Funds</w:t>
      </w:r>
      <w:r>
        <w:rPr>
          <w:rFonts w:ascii="Times New Roman" w:cs="Times New Roman" w:eastAsia="Times New Roman" w:hAnsi="Times New Roman"/>
          <w:sz w:val="17"/>
          <w:szCs w:val="17"/>
          <w:color w:val="auto"/>
        </w:rPr>
        <w:t xml:space="preserve">”), before any amount shall be paid to the holders of any of shares of Junior Stock, but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any Parity Stock then outstanding, an amount per Preferred Share equal to the greater of (A) the Liquidation Preference of such Preferred Share on the date of such payment and (B) the As-Converted Value of such Preferred Share on the date of such payment, provided that if the Liquidation Funds are insufficient to pay the full amount due to the Holders and holders of shares of Parity Stock, then each Holder and each holder of Parity Stock shall receive a percentage of the Liquidation Funds equal to the full amount of Liquidation Funds payable to such Holder and such holder of Parity Stock as a liquidation preference, in accordance with their respective Certificate of Designation (or equivalent), as a percentage of the full amount of Liquidation Funds payable to all holders of Preferred Shares and all holders of shares of Parity Stock. To the extent necessary, the Company shall cause such actions to be taken by each of its Subsidiaries so as to enable, to the maximum extent permitted by law, the proceeds of a Liquidation Event to be distributed to the Holders in accordance with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All the preferential amounts to be paid to the Holders under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shall be paid or set apart for payment before the payment or setting apart for payment of any amount for, or the distribution of any Liquidation Funds of the Company to the holders of shares of Junior Stock in connection with a Liquidation Event as to which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applies.</w:t>
      </w:r>
    </w:p>
    <w:p>
      <w:pPr>
        <w:spacing w:after="0" w:line="17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1" w:name="page22"/>
    <w:bookmarkEnd w:id="21"/>
    <w:p>
      <w:pPr>
        <w:jc w:val="both"/>
        <w:ind w:left="299" w:hanging="299"/>
        <w:spacing w:after="0" w:line="266" w:lineRule="auto"/>
        <w:tabs>
          <w:tab w:leader="none" w:pos="29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 of Assets</w:t>
      </w:r>
      <w:r>
        <w:rPr>
          <w:rFonts w:ascii="Times New Roman" w:cs="Times New Roman" w:eastAsia="Times New Roman" w:hAnsi="Times New Roman"/>
          <w:sz w:val="16"/>
          <w:szCs w:val="16"/>
          <w:color w:val="auto"/>
        </w:rPr>
        <w:t xml:space="preserve">. In addition to any adjustments pursuant to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6"/>
          <w:szCs w:val="16"/>
          <w:u w:val="single" w:color="auto"/>
          <w:color w:val="auto"/>
        </w:rPr>
        <w:t>Distributions</w:t>
      </w:r>
      <w:r>
        <w:rPr>
          <w:rFonts w:ascii="Times New Roman" w:cs="Times New Roman" w:eastAsia="Times New Roman" w:hAnsi="Times New Roman"/>
          <w:sz w:val="16"/>
          <w:szCs w:val="16"/>
          <w:color w:val="auto"/>
        </w:rPr>
        <w:t>”), then each Holder, as holders of Preferred Shares, will be entitled to such Distributions as if such Holder had held the number of shares of Common Stock acquirable upon complete conversion of the Preferred Shares (without taking into account any limitations or restrictions on the convertibility of the Preferred Shares) immediately prior to the date on which a record is taken for such Distribution or, if no such record is taken, the date as of which the record holders of Common Stock are to be determined for such Distributions (provided, however, that to the extent that such Holder’s right to participate in any such Distribution would result in such Holder and the other Attribution Parties exceeding the Maximum Percentage, then such Holder shall not be entitled to participate in such Distribution to such extent of the Maximum Percentage (and shall not be entitled to beneficial ownership of such shares of Common Stock as a result of such Distribution (and beneficial ownership) to such extent of any such excess) and the portion of such Distribution shall be held in abeyance for the benefit of such Holder until such time or times as its right thereto would not result in such Holder and the other Attribution Parties exceeding the Maximum Percentage, at which time or times, if any, such Holder shall be granted such Distribution (and any Distributions declared or made on such initial Distribution or on any subsequent Distribution held similarly in abeyance) to the same extent as if there had been no such limitation).</w:t>
      </w:r>
    </w:p>
    <w:p>
      <w:pPr>
        <w:spacing w:after="0" w:line="173" w:lineRule="exact"/>
        <w:rPr>
          <w:rFonts w:ascii="Times New Roman" w:cs="Times New Roman" w:eastAsia="Times New Roman" w:hAnsi="Times New Roman"/>
          <w:sz w:val="16"/>
          <w:szCs w:val="16"/>
          <w:color w:val="auto"/>
        </w:rPr>
      </w:pPr>
    </w:p>
    <w:p>
      <w:pPr>
        <w:jc w:val="both"/>
        <w:ind w:left="299" w:hanging="299"/>
        <w:spacing w:after="0" w:line="249" w:lineRule="auto"/>
        <w:tabs>
          <w:tab w:leader="none" w:pos="29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Vote to Change the Terms of or Issue Preferred Shares</w:t>
      </w:r>
      <w:r>
        <w:rPr>
          <w:rFonts w:ascii="Times New Roman" w:cs="Times New Roman" w:eastAsia="Times New Roman" w:hAnsi="Times New Roman"/>
          <w:sz w:val="17"/>
          <w:szCs w:val="17"/>
          <w:color w:val="auto"/>
        </w:rPr>
        <w:t xml:space="preserve">. In addition to any other rights provided by law, except where the vote or written consent of the holders of a greater number of shares is required by law or by another provision of the Certificate of Incorporation, without first obtaining the affirmative vote at a meeting duly called for such purpose or the written consent without a meeting of the Requisite Holders, voting together as a single class, the Company shall not: (a) amend or repeal any provision of, or add any provision to, its Certificate of Incorporation or bylaws, or file any Certificate of Designation or articles of amendment of any series of shares of preferred stock, if such action would adversely alter or change in any respect the preferences, rights, privileges or powers, or restrictions provided for the benefit of the Preferred Shares hereunder, regardless of whether any such action shall be by means of amendment to the Certificate of Incorporation or by merger, consolidation or otherwise; (b) increase or decrease (other than by conversion) the authorized number of shares of Series B Convertible Preferred Stock; (c) without limiting any provision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create or authorize (by reclassification or otherwise) any new class or series of Senior Preferred Stock or Parity Stock; (d) purchase, repurchase or redeem any shares of Junior Stock (other than pursuant to the terms of the Company’s equity incentive plans and options and other equity awards granted under such plans (that have in good faith been approved by the Board)); (e) without limiting any provision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pay dividends or make any other distribution on any shares of any Junior Stock; (f) issue any Preferred Shares other than as contemplated hereby or pursuant to the Exchange Agreement; or (g) without limiting any provision of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whether or not prohibited by the terms of the Preferred Shares, circumvent a right of the Preferred Shares hereunder.</w:t>
      </w:r>
    </w:p>
    <w:p>
      <w:pPr>
        <w:spacing w:after="0" w:line="187"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Preferred Shares</w:t>
      </w:r>
      <w:r>
        <w:rPr>
          <w:rFonts w:ascii="Times New Roman" w:cs="Times New Roman" w:eastAsia="Times New Roman" w:hAnsi="Times New Roman"/>
          <w:sz w:val="17"/>
          <w:szCs w:val="17"/>
          <w:color w:val="auto"/>
        </w:rPr>
        <w:t>. A Holder may offer, sell, assign or transfer some or all of its Preferred Shares without the consent of the Company.</w:t>
      </w:r>
    </w:p>
    <w:p>
      <w:pPr>
        <w:spacing w:after="0" w:line="207"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Reissuance of Preferred Share Certificates and Book Entries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2" w:name="page23"/>
    <w:bookmarkEnd w:id="22"/>
    <w:p>
      <w:pPr>
        <w:jc w:val="both"/>
        <w:ind w:left="294" w:hanging="294"/>
        <w:spacing w:after="0" w:line="250" w:lineRule="auto"/>
        <w:tabs>
          <w:tab w:leader="none" w:pos="2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If any Preferred Shares are to be transferred, the applicable Holder shall surrender the applicable Preferred Share Certificate to the Company (or, if the Preferred Shares are held in Book-Entry form, a written instruction letter to the Company), whereupon the Company will forthwith issue and deliver upon the order of such Holder a new Preferred Share Certificate (in accordance with </w:t>
      </w:r>
      <w:r>
        <w:rPr>
          <w:rFonts w:ascii="Times New Roman" w:cs="Times New Roman" w:eastAsia="Times New Roman" w:hAnsi="Times New Roman"/>
          <w:sz w:val="17"/>
          <w:szCs w:val="17"/>
          <w:u w:val="single" w:color="auto"/>
          <w:color w:val="auto"/>
        </w:rPr>
        <w:t>Section 18(d)</w:t>
      </w:r>
      <w:r>
        <w:rPr>
          <w:rFonts w:ascii="Times New Roman" w:cs="Times New Roman" w:eastAsia="Times New Roman" w:hAnsi="Times New Roman"/>
          <w:sz w:val="17"/>
          <w:szCs w:val="17"/>
          <w:color w:val="auto"/>
        </w:rPr>
        <w:t xml:space="preserve">) (or evidence of the transfer of such Book-Entry), registered as such Holder may request, representing the outstanding number of Preferred Shares being transferred by such Holder and, if less than the entire outstanding number of Preferred Shares is being transferred, a new Preferred Share Certificate (in accordance with </w:t>
      </w:r>
      <w:r>
        <w:rPr>
          <w:rFonts w:ascii="Times New Roman" w:cs="Times New Roman" w:eastAsia="Times New Roman" w:hAnsi="Times New Roman"/>
          <w:sz w:val="17"/>
          <w:szCs w:val="17"/>
          <w:u w:val="single" w:color="auto"/>
          <w:color w:val="auto"/>
        </w:rPr>
        <w:t>Section 18(d)</w:t>
      </w:r>
      <w:r>
        <w:rPr>
          <w:rFonts w:ascii="Times New Roman" w:cs="Times New Roman" w:eastAsia="Times New Roman" w:hAnsi="Times New Roman"/>
          <w:sz w:val="17"/>
          <w:szCs w:val="17"/>
          <w:color w:val="auto"/>
        </w:rPr>
        <w:t xml:space="preserve">) to such Holder representing the outstanding number of Preferred Shares not being transferred (or evidence of such remaining Preferred Shares in a Book-Entry for such Holder). Such Holder and any assignee, by acceptance of the Preferred Share Certificate or evidence of Book-Entry issuance, as applicable, acknowledge and agree that, by reason of the provisions of </w:t>
      </w:r>
      <w:r>
        <w:rPr>
          <w:rFonts w:ascii="Times New Roman" w:cs="Times New Roman" w:eastAsia="Times New Roman" w:hAnsi="Times New Roman"/>
          <w:sz w:val="17"/>
          <w:szCs w:val="17"/>
          <w:u w:val="single" w:color="auto"/>
          <w:color w:val="auto"/>
        </w:rPr>
        <w:t>Section 4(c)(i)</w:t>
      </w:r>
      <w:r>
        <w:rPr>
          <w:rFonts w:ascii="Times New Roman" w:cs="Times New Roman" w:eastAsia="Times New Roman" w:hAnsi="Times New Roman"/>
          <w:sz w:val="17"/>
          <w:szCs w:val="17"/>
          <w:color w:val="auto"/>
        </w:rPr>
        <w:t xml:space="preserve"> following conversion or redemption of any of the Preferred Shares, the outstanding number of Preferred Shares represented by the Preferred Share Certificates or Book-Entry may be less than the number of Preferred Shares stated on the face of the Preferred Share Certificates or Book-Entry.</w:t>
      </w:r>
    </w:p>
    <w:p>
      <w:pPr>
        <w:spacing w:after="0" w:line="182" w:lineRule="exact"/>
        <w:rPr>
          <w:rFonts w:ascii="Times New Roman" w:cs="Times New Roman" w:eastAsia="Times New Roman" w:hAnsi="Times New Roman"/>
          <w:sz w:val="17"/>
          <w:szCs w:val="17"/>
          <w:color w:val="auto"/>
        </w:rPr>
      </w:pPr>
    </w:p>
    <w:p>
      <w:pPr>
        <w:jc w:val="both"/>
        <w:ind w:left="294" w:hanging="294"/>
        <w:spacing w:after="0" w:line="253" w:lineRule="auto"/>
        <w:tabs>
          <w:tab w:leader="none" w:pos="2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Stolen or Mutilated Preferred Share Certificate</w:t>
      </w:r>
      <w:r>
        <w:rPr>
          <w:rFonts w:ascii="Times New Roman" w:cs="Times New Roman" w:eastAsia="Times New Roman" w:hAnsi="Times New Roman"/>
          <w:sz w:val="17"/>
          <w:szCs w:val="17"/>
          <w:color w:val="auto"/>
        </w:rPr>
        <w:t xml:space="preserve">. Upon receipt by the Company of evidence reasonably satisfactory to the Company of the loss, theft, destruction or mutilation of a Preferred Share Certificate (as to which a written certification and the indemnification contemplated below shall suffice as such evidence), and, in the case of loss, theft or destruction, of any indemnification undertaking by the applicable Holder to the Company in customary and reasonable form and, in the case of mutilation, upon surrender and cancellation of such Preferred Share Certificate, the Company shall execute and deliver to such Holder a new Preferred Share Certificate (in accordance with </w:t>
      </w:r>
      <w:r>
        <w:rPr>
          <w:rFonts w:ascii="Times New Roman" w:cs="Times New Roman" w:eastAsia="Times New Roman" w:hAnsi="Times New Roman"/>
          <w:sz w:val="17"/>
          <w:szCs w:val="17"/>
          <w:u w:val="single" w:color="auto"/>
          <w:color w:val="auto"/>
        </w:rPr>
        <w:t>Section 18(d)</w:t>
      </w:r>
      <w:r>
        <w:rPr>
          <w:rFonts w:ascii="Times New Roman" w:cs="Times New Roman" w:eastAsia="Times New Roman" w:hAnsi="Times New Roman"/>
          <w:sz w:val="17"/>
          <w:szCs w:val="17"/>
          <w:color w:val="auto"/>
        </w:rPr>
        <w:t>) representing the applicable outstanding number of Preferred Shares.</w:t>
      </w:r>
    </w:p>
    <w:p>
      <w:pPr>
        <w:spacing w:after="0" w:line="175" w:lineRule="exact"/>
        <w:rPr>
          <w:rFonts w:ascii="Times New Roman" w:cs="Times New Roman" w:eastAsia="Times New Roman" w:hAnsi="Times New Roman"/>
          <w:sz w:val="17"/>
          <w:szCs w:val="17"/>
          <w:color w:val="auto"/>
        </w:rPr>
      </w:pPr>
    </w:p>
    <w:p>
      <w:pPr>
        <w:jc w:val="both"/>
        <w:ind w:left="294" w:hanging="294"/>
        <w:spacing w:after="0" w:line="250" w:lineRule="auto"/>
        <w:tabs>
          <w:tab w:leader="none" w:pos="2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Preferred Share Certificate and Book-Entries Exchangeable for Different Denominations and Forms</w:t>
      </w:r>
      <w:r>
        <w:rPr>
          <w:rFonts w:ascii="Times New Roman" w:cs="Times New Roman" w:eastAsia="Times New Roman" w:hAnsi="Times New Roman"/>
          <w:sz w:val="17"/>
          <w:szCs w:val="17"/>
          <w:color w:val="auto"/>
        </w:rPr>
        <w:t xml:space="preserve">. Each Preferred Share Certificate is exchangeable, upon the surrender hereof by the applicable Holder at the principal office of the Company, for a new Preferred Share Certificate or Preferred Share Certificate(s) or new Book-Entry (in accordance with </w:t>
      </w:r>
      <w:r>
        <w:rPr>
          <w:rFonts w:ascii="Times New Roman" w:cs="Times New Roman" w:eastAsia="Times New Roman" w:hAnsi="Times New Roman"/>
          <w:sz w:val="17"/>
          <w:szCs w:val="17"/>
          <w:u w:val="single" w:color="auto"/>
          <w:color w:val="auto"/>
        </w:rPr>
        <w:t>Section 18(d)</w:t>
      </w:r>
      <w:r>
        <w:rPr>
          <w:rFonts w:ascii="Times New Roman" w:cs="Times New Roman" w:eastAsia="Times New Roman" w:hAnsi="Times New Roman"/>
          <w:sz w:val="17"/>
          <w:szCs w:val="17"/>
          <w:color w:val="auto"/>
        </w:rPr>
        <w:t xml:space="preserve">) representing, in the aggregate, the outstanding number of the Preferred Shares in the original Preferred Share Certificate, and each such new Preferred Share Certificate and/or new Book-Entry, as applicable, will represent such portion of such outstanding number of Preferred Shares from the original Preferred Share Certificate as is designated in writing by such Holder at the time of such surrender. Each Book-Entry may be exchanged into one or more new Preferred Share Certificates or split by the applicable Holder by delivery of a written notice to the Company into two or more new Book-Entries (in accordance with </w:t>
      </w:r>
      <w:r>
        <w:rPr>
          <w:rFonts w:ascii="Times New Roman" w:cs="Times New Roman" w:eastAsia="Times New Roman" w:hAnsi="Times New Roman"/>
          <w:sz w:val="17"/>
          <w:szCs w:val="17"/>
          <w:u w:val="single" w:color="auto"/>
          <w:color w:val="auto"/>
        </w:rPr>
        <w:t>Section 18(d)</w:t>
      </w:r>
      <w:r>
        <w:rPr>
          <w:rFonts w:ascii="Times New Roman" w:cs="Times New Roman" w:eastAsia="Times New Roman" w:hAnsi="Times New Roman"/>
          <w:sz w:val="17"/>
          <w:szCs w:val="17"/>
          <w:color w:val="auto"/>
        </w:rPr>
        <w:t>) representing, in the aggregate, the outstanding number of the Preferred Shares in the original Book-Entry, and each such new Book-Entry and/or new Preferred Share Certificate, as applicable, will represent such portion of such outstanding number of Preferred Shares from the original Book-Entry as is designated in writing by such Holder at the time of such surrender.</w:t>
      </w:r>
    </w:p>
    <w:p>
      <w:pPr>
        <w:spacing w:after="0" w:line="182" w:lineRule="exact"/>
        <w:rPr>
          <w:rFonts w:ascii="Times New Roman" w:cs="Times New Roman" w:eastAsia="Times New Roman" w:hAnsi="Times New Roman"/>
          <w:sz w:val="17"/>
          <w:szCs w:val="17"/>
          <w:color w:val="auto"/>
        </w:rPr>
      </w:pPr>
    </w:p>
    <w:p>
      <w:pPr>
        <w:jc w:val="both"/>
        <w:ind w:left="294" w:hanging="294"/>
        <w:spacing w:after="0" w:line="268" w:lineRule="auto"/>
        <w:tabs>
          <w:tab w:leader="none" w:pos="29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New Preferred Share Certificate or Book-Entry</w:t>
      </w:r>
      <w:r>
        <w:rPr>
          <w:rFonts w:ascii="Times New Roman" w:cs="Times New Roman" w:eastAsia="Times New Roman" w:hAnsi="Times New Roman"/>
          <w:sz w:val="16"/>
          <w:szCs w:val="16"/>
          <w:color w:val="auto"/>
        </w:rPr>
        <w:t xml:space="preserve">. Whenever the Company is required to issue a new Preferred Share Certificate or a new Book-Entry pursuant to the terms of this Certificate of Designation, such new Preferred Share Certificate or new Book-Entry (i) shall represent, as indicated on the face of such Preferred Share Certificate or in such Book-Entry, as applicable, the number of Preferred Shares remaining outstanding (or in the case of a new Preferred Share Certificate or new Book- Entry being issued pursuant to </w:t>
      </w:r>
      <w:r>
        <w:rPr>
          <w:rFonts w:ascii="Times New Roman" w:cs="Times New Roman" w:eastAsia="Times New Roman" w:hAnsi="Times New Roman"/>
          <w:sz w:val="16"/>
          <w:szCs w:val="16"/>
          <w:u w:val="single" w:color="auto"/>
          <w:color w:val="auto"/>
        </w:rPr>
        <w:t>Section 18(a)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18(c)</w:t>
      </w:r>
      <w:r>
        <w:rPr>
          <w:rFonts w:ascii="Times New Roman" w:cs="Times New Roman" w:eastAsia="Times New Roman" w:hAnsi="Times New Roman"/>
          <w:sz w:val="16"/>
          <w:szCs w:val="16"/>
          <w:color w:val="auto"/>
        </w:rPr>
        <w:t>, the number of Preferred Shares designated by such Holder) which, when added to the number of Preferred Shares represented by the other new Preferred Share Certificates or other new Book-Entry, as applicable, issued in connection with such issuance, does not exceed the number of Preferred Shares remaining outstanding under the original Preferred Share Certificate or original Book-Entry, as applicable, immediately prior to such issuance of new Preferred Share Certificate or new Book-Entry, as applicable, and (ii) shall have an issuance date, as indicated on the face of such new Preferred Share Certificate or in such new Book-Entry, as applicable, which is the same as the issuance date of the original Preferred Share Certificate or in such original Book-Entry, as applicable.</w:t>
      </w:r>
    </w:p>
    <w:p>
      <w:pPr>
        <w:spacing w:after="0" w:line="168"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23" w:name="page24"/>
    <w:bookmarkEnd w:id="23"/>
    <w:p>
      <w:pPr>
        <w:jc w:val="both"/>
        <w:ind w:left="299" w:hanging="299"/>
        <w:spacing w:after="0" w:line="249" w:lineRule="auto"/>
        <w:tabs>
          <w:tab w:leader="none" w:pos="29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 Characterizations, Other Obligations, Breaches and Injunctive Relief</w:t>
      </w:r>
      <w:r>
        <w:rPr>
          <w:rFonts w:ascii="Times New Roman" w:cs="Times New Roman" w:eastAsia="Times New Roman" w:hAnsi="Times New Roman"/>
          <w:sz w:val="17"/>
          <w:szCs w:val="17"/>
          <w:color w:val="auto"/>
        </w:rPr>
        <w:t>. The remedies provided in this Certificate of Designation shall be cumulative and in addition to all other remedies available under this Certificate of Designation and any of the other Transaction Documents, at law or in equity (including a decree of specific performance and/or other injunctive relief), and nothing herein shall limit any Holder’s right to pursue actual and consequential damages for any failure by the Company to comply with the terms of this Certificate of Designation.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 Holder at law or equity or under this Certificate of Designation or any of the documents shall not be deemed to be an election of such Holder’s rights or remedies under such documents or at law or equity. The Company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a Holder and shall not, except as expressly provided herein, be subject to any other obligation of the Company (or the performance thereof).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any Holder at law or equity or under Preferred Shares or any of the documents shall not be deemed to be an election of such Holder’s rights or remedies under such documents or at law or equity. The Company acknowledges that a breach by it of its obligations hereunder will cause irreparable harm to the Holders and that the remedy at law for any such breach may be inadequate. The Company therefore agrees that, in the event of any such breach or threatened breach, each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in each case, at all times subject to restrictions set forth in the NRS and Certificate of Incorporation. The Company shall provide all information and documentation to a Holder that is reasonably requested by such Holder to enable such Holder to confirm the Company’s compliance with the terms and conditions of this Certificate of Designation.</w:t>
      </w:r>
    </w:p>
    <w:p>
      <w:pPr>
        <w:spacing w:after="0" w:line="179" w:lineRule="exact"/>
        <w:rPr>
          <w:rFonts w:ascii="Times New Roman" w:cs="Times New Roman" w:eastAsia="Times New Roman" w:hAnsi="Times New Roman"/>
          <w:sz w:val="17"/>
          <w:szCs w:val="17"/>
          <w:color w:val="auto"/>
        </w:rPr>
      </w:pPr>
    </w:p>
    <w:p>
      <w:pPr>
        <w:jc w:val="both"/>
        <w:ind w:left="299" w:hanging="299"/>
        <w:spacing w:after="0" w:line="253" w:lineRule="auto"/>
        <w:tabs>
          <w:tab w:leader="none" w:pos="29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Collection, Enforcement and Other Costs</w:t>
      </w:r>
      <w:r>
        <w:rPr>
          <w:rFonts w:ascii="Times New Roman" w:cs="Times New Roman" w:eastAsia="Times New Roman" w:hAnsi="Times New Roman"/>
          <w:sz w:val="17"/>
          <w:szCs w:val="17"/>
          <w:color w:val="auto"/>
        </w:rPr>
        <w:t>. If (a) any Preferred Shares are placed in the hands of an attorney for collection or enforcement or is collected or enforced through any legal proceeding or a Holder otherwise takes action to collect amounts due under this Certificate of Designation with respect to the Preferred Shares or to enforce the provisions of this Certificate of Designation or (b) there occurs any bankruptcy, reorganization, receivership of the Company or other proceedings affecting Company creditors’ rights and involving a claim under this Certificate of Designation, then the Company shall pay the costs reasonably incurred by such Holder for such collection, enforcement or action or in connection with such bankruptcy, reorganization, receivership or other proceeding, including, without limitation, attorneys’ fees and disbursements.</w:t>
      </w:r>
    </w:p>
    <w:p>
      <w:pPr>
        <w:spacing w:after="0" w:line="17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4" w:name="page25"/>
    <w:bookmarkEnd w:id="24"/>
    <w:p>
      <w:pPr>
        <w:jc w:val="both"/>
        <w:ind w:left="299" w:hanging="299"/>
        <w:spacing w:after="0" w:line="269" w:lineRule="auto"/>
        <w:tabs>
          <w:tab w:leader="none" w:pos="29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Construction; Headings</w:t>
      </w:r>
      <w:r>
        <w:rPr>
          <w:rFonts w:ascii="Times New Roman" w:cs="Times New Roman" w:eastAsia="Times New Roman" w:hAnsi="Times New Roman"/>
          <w:sz w:val="16"/>
          <w:szCs w:val="16"/>
          <w:color w:val="auto"/>
        </w:rPr>
        <w:t>. This Certificate of Designation shall be deemed to be jointly drafted by the Company and the Holders and shall not be construed against any such Person as the drafter hereof. The headings of this Certificate of Designation are for convenience of reference and shall not form part of, or affect the interpretation of, this Certificate of Designation.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Certificate of Designation instead of just the provision in which they are found. Unless expressly indicated otherwise, all section references are to sections of this Certificate of Designation. Terms used in this Certificate of Designation and not otherwise defined herein, but defined in the other Transaction Documents, shall have the meanings ascribed to such terms on the Initial Issuance Date in such other Transaction Documents unless otherwise consented to in writing by the Requisite Holders.</w:t>
      </w:r>
    </w:p>
    <w:p>
      <w:pPr>
        <w:spacing w:after="0" w:line="165" w:lineRule="exact"/>
        <w:rPr>
          <w:rFonts w:ascii="Times New Roman" w:cs="Times New Roman" w:eastAsia="Times New Roman" w:hAnsi="Times New Roman"/>
          <w:sz w:val="16"/>
          <w:szCs w:val="16"/>
          <w:color w:val="auto"/>
        </w:rPr>
      </w:pPr>
    </w:p>
    <w:p>
      <w:pPr>
        <w:jc w:val="both"/>
        <w:ind w:left="299" w:hanging="299"/>
        <w:spacing w:after="0" w:line="256" w:lineRule="auto"/>
        <w:tabs>
          <w:tab w:leader="none" w:pos="29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or Indulgence Not Waiver</w:t>
      </w:r>
      <w:r>
        <w:rPr>
          <w:rFonts w:ascii="Times New Roman" w:cs="Times New Roman" w:eastAsia="Times New Roman" w:hAnsi="Times New Roman"/>
          <w:sz w:val="17"/>
          <w:szCs w:val="17"/>
          <w:color w:val="auto"/>
        </w:rPr>
        <w:t xml:space="preserve">.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permit any waiver of any provision of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Dispute Resolution.</w:t>
      </w:r>
    </w:p>
    <w:p>
      <w:pPr>
        <w:spacing w:after="0" w:line="207" w:lineRule="exact"/>
        <w:rPr>
          <w:rFonts w:ascii="Times New Roman" w:cs="Times New Roman" w:eastAsia="Times New Roman" w:hAnsi="Times New Roman"/>
          <w:sz w:val="17"/>
          <w:szCs w:val="17"/>
          <w:color w:val="auto"/>
        </w:rPr>
      </w:pPr>
    </w:p>
    <w:p>
      <w:pPr>
        <w:ind w:left="89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Submission to Dispute Resolution.</w:t>
      </w:r>
    </w:p>
    <w:p>
      <w:pPr>
        <w:spacing w:after="0" w:line="207" w:lineRule="exact"/>
        <w:rPr>
          <w:rFonts w:ascii="Times New Roman" w:cs="Times New Roman" w:eastAsia="Times New Roman" w:hAnsi="Times New Roman"/>
          <w:sz w:val="17"/>
          <w:szCs w:val="17"/>
          <w:color w:val="auto"/>
        </w:rPr>
      </w:pPr>
    </w:p>
    <w:p>
      <w:pPr>
        <w:jc w:val="both"/>
        <w:ind w:left="1519" w:hanging="309"/>
        <w:spacing w:after="0" w:line="250" w:lineRule="auto"/>
        <w:tabs>
          <w:tab w:leader="none" w:pos="1519"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dispute relating to a Conversion Price, a VWAP or a fair market value or the arithmetic calculation of a Conversion Rate, or the applicable redemption price (as the case may be) (including, without limitation, a dispute relating to the determination of any of the foregoing), the Company or the applicable Holder (as the case may be) shall submit written notice of the dispute to the other party via electronic mail (A) if by the Company, within two (2) Business Days after the Company becoming aware of an occurrence of the circumstances giving rise to such dispute or (B) if by such Holder at any time after such Holder learned of the circumstances giving rise to such dispute. If such Holder and the Company are unable to promptly resolve such dispute relating to such Conversion Price, such VWAP or such fair market value, or the arithmetic calculation of such Conversion Rate or such applicable redemption price (as the case may be), at any time after the second (2nd) Business Day following such initial notice by the Company or such Holder (as the case may be) of such dispute to the Company or such Holder (as the case may be), then such Holder may, with the consent of the Company (not to be unreasonably withheld, conditioned or delayed), select an independent, reputable investment bank to resolve such dispute.</w:t>
      </w:r>
    </w:p>
    <w:p>
      <w:pPr>
        <w:spacing w:after="0" w:line="182" w:lineRule="exact"/>
        <w:rPr>
          <w:rFonts w:ascii="Times New Roman" w:cs="Times New Roman" w:eastAsia="Times New Roman" w:hAnsi="Times New Roman"/>
          <w:sz w:val="17"/>
          <w:szCs w:val="17"/>
          <w:color w:val="auto"/>
        </w:rPr>
      </w:pPr>
    </w:p>
    <w:p>
      <w:pPr>
        <w:jc w:val="both"/>
        <w:ind w:left="1519" w:hanging="309"/>
        <w:spacing w:after="0" w:line="250" w:lineRule="auto"/>
        <w:tabs>
          <w:tab w:leader="none" w:pos="1519"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Holder and the Company shall each deliver to such investment bank (A) a copy of the initial dispute submission so delivered in accordance with the first sentence of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(B) written documentation supporting its position with respect to such dispute, in each case, no later than 5:00 p.m. (New York time) by the fifth (5th) Business Day immediately following the date on which such Holder selected such investment bank (the “</w:t>
      </w:r>
      <w:r>
        <w:rPr>
          <w:rFonts w:ascii="Times New Roman" w:cs="Times New Roman" w:eastAsia="Times New Roman" w:hAnsi="Times New Roman"/>
          <w:sz w:val="17"/>
          <w:szCs w:val="17"/>
          <w:u w:val="single" w:color="auto"/>
          <w:color w:val="auto"/>
        </w:rPr>
        <w:t>Dispute Submission Deadline</w:t>
      </w:r>
      <w:r>
        <w:rPr>
          <w:rFonts w:ascii="Times New Roman" w:cs="Times New Roman" w:eastAsia="Times New Roman" w:hAnsi="Times New Roman"/>
          <w:sz w:val="17"/>
          <w:szCs w:val="17"/>
          <w:color w:val="auto"/>
        </w:rPr>
        <w:t>”) (the documents referred to in the immediately preceding clauses (A) and (B) are collectively referred to herein as the “</w:t>
      </w:r>
      <w:r>
        <w:rPr>
          <w:rFonts w:ascii="Times New Roman" w:cs="Times New Roman" w:eastAsia="Times New Roman" w:hAnsi="Times New Roman"/>
          <w:sz w:val="17"/>
          <w:szCs w:val="17"/>
          <w:u w:val="single" w:color="auto"/>
          <w:color w:val="auto"/>
        </w:rPr>
        <w:t>Required Dispute Documentation</w:t>
      </w:r>
      <w:r>
        <w:rPr>
          <w:rFonts w:ascii="Times New Roman" w:cs="Times New Roman" w:eastAsia="Times New Roman" w:hAnsi="Times New Roman"/>
          <w:sz w:val="17"/>
          <w:szCs w:val="17"/>
          <w:color w:val="auto"/>
        </w:rPr>
        <w:t>”) (it being understood and agreed that if either such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such Holder or otherwise requested by such investment bank, neither the Company nor such Holder shall be entitled to deliver or submit any written documentation or other support to such investment bank in connection with such dispute (other than the Required Dispute Documentation).</w:t>
      </w:r>
    </w:p>
    <w:p>
      <w:pPr>
        <w:spacing w:after="0" w:line="17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5" w:name="page26"/>
    <w:bookmarkEnd w:id="25"/>
    <w:p>
      <w:pPr>
        <w:jc w:val="both"/>
        <w:ind w:left="1519" w:hanging="309"/>
        <w:spacing w:after="0" w:line="251" w:lineRule="auto"/>
        <w:tabs>
          <w:tab w:leader="none" w:pos="1519" w:val="left"/>
        </w:tabs>
        <w:numPr>
          <w:ilvl w:val="3"/>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such Holder shall cause such investment bank to determine the resolution of such dispute and notify the Company and such Holder of such resolution no later than ten (10) Business Days immediately following the Dispute Submission Deadline. The dispute shall be governed by the laws of the state of Nevada, and hearings held by the arbitrator, if any, shall take place in Reno, Nevada or such other location as mutually agreed between the parties. The fees and expenses of such investment bank shall be borne by the party in whose favor the investment bank decides such dispute or, in the event that the investment bank determines that the applicable calculation is in between the amounts submitted by the Company and such Holder, then half of such fees and expenses shall be borne by the Company and half of such fees and expenses shall be borne by the Holder, and such investment bank’s resolution of such dispute shall be final and binding upon all parties, subject to NRS 38.241 and NRS 38.242.</w:t>
      </w:r>
    </w:p>
    <w:p>
      <w:pPr>
        <w:spacing w:after="0" w:line="180" w:lineRule="exact"/>
        <w:rPr>
          <w:rFonts w:ascii="Times New Roman" w:cs="Times New Roman" w:eastAsia="Times New Roman" w:hAnsi="Times New Roman"/>
          <w:sz w:val="17"/>
          <w:szCs w:val="17"/>
          <w:color w:val="auto"/>
        </w:rPr>
      </w:pPr>
    </w:p>
    <w:p>
      <w:pPr>
        <w:jc w:val="both"/>
        <w:ind w:left="1219" w:hanging="311"/>
        <w:spacing w:after="0" w:line="250" w:lineRule="auto"/>
        <w:tabs>
          <w:tab w:leader="none" w:pos="1219"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xml:space="preserve">. The Company expressly acknowledges and agrees that (i)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constitutes an agreement to arbitrate between the Company and each Holder (and constitutes an arbitration agreement) under the rules then in effect under the Nevada Uniform Arbitration Act of 2000, (ii) the terms of this Certificate of Designation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Certificate of Designation and any other applicable Transaction Documents, (iii) the applicable Holder (and only such Holder with respect to disputes solely relating to such Holder), in its sole discretion, shall have the right to submit any dispute described in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to any state or federal court sitting in Reno, Nevada, in lieu of utilizing the procedures set forth in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(iv) nothing in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shall limit such Holder from obtaining any injunctive relief or other equitable remedies (including, without limitation, with respect to any matters described in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The parties hereunder expressly consent to the terms of arbitration set forth herein.</w:t>
      </w:r>
    </w:p>
    <w:p>
      <w:pPr>
        <w:spacing w:after="0" w:line="180"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Currency; Payments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49" w:lineRule="auto"/>
        <w:tabs>
          <w:tab w:leader="none" w:pos="89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notices, consents, waivers or other communications required or permitted to be given under the terms of this Certificate of Designation must be in writing and will be deemed to have been delivered on the earliest of: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 and e-mail address for any such communications to the Company shall be: Dragonfly Energy Holdings Corp., 12915 Old Virginia Road, Reno, Nevada 89521, Attention: Denis Phares, Ph.D., CEO and President, e-mail address: denis@dragonfly.com, or such other mailing address and/or e-mail address as the Company has specified by written notice given to each of the Holders in accordance with this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not later than five (5) days prior to the effectiveness of such change. The mailing address and email address for any such communications to any Holder shall be as set forth on such Holder’s respective signature page to the Exchange Agreement, or such other mailing address and/or e-mail address as such Holder has specified by written notice given to the Company in accordance with this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not later than five (5) days prior to the effectiveness of such change.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185" w:lineRule="exact"/>
        <w:rPr>
          <w:rFonts w:ascii="Times New Roman" w:cs="Times New Roman" w:eastAsia="Times New Roman" w:hAnsi="Times New Roman"/>
          <w:sz w:val="17"/>
          <w:szCs w:val="17"/>
          <w:color w:val="auto"/>
        </w:rPr>
      </w:pPr>
    </w:p>
    <w:p>
      <w:pPr>
        <w:jc w:val="both"/>
        <w:ind w:left="899" w:hanging="294"/>
        <w:spacing w:after="0" w:line="253" w:lineRule="auto"/>
        <w:tabs>
          <w:tab w:leader="none" w:pos="89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each Holder with prompt written notice of all actions taken pursuant to this Certificate of Designation, including in reasonable detail a description of such action. Without limiting the generality of the foregoing, the Company shall give written notice to each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or (B) for determining rights to vote with respect to any Fundamental Transaction, dissolution or liquidation, provided in each case that such information shall be made known to the public prior to or in conjunction with such notice being provided to such Holder.</w:t>
      </w:r>
    </w:p>
    <w:p>
      <w:pPr>
        <w:spacing w:after="0" w:line="175" w:lineRule="exact"/>
        <w:rPr>
          <w:rFonts w:ascii="Times New Roman" w:cs="Times New Roman" w:eastAsia="Times New Roman" w:hAnsi="Times New Roman"/>
          <w:sz w:val="17"/>
          <w:szCs w:val="17"/>
          <w:color w:val="auto"/>
        </w:rPr>
      </w:pPr>
    </w:p>
    <w:p>
      <w:pPr>
        <w:jc w:val="both"/>
        <w:ind w:left="899" w:hanging="294"/>
        <w:spacing w:after="0" w:line="253" w:lineRule="auto"/>
        <w:tabs>
          <w:tab w:leader="none" w:pos="89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Currency</w:t>
      </w:r>
      <w:r>
        <w:rPr>
          <w:rFonts w:ascii="Times New Roman" w:cs="Times New Roman" w:eastAsia="Times New Roman" w:hAnsi="Times New Roman"/>
          <w:sz w:val="17"/>
          <w:szCs w:val="17"/>
          <w:color w:val="auto"/>
        </w:rPr>
        <w:t>. All dollar amounts referred to in this Certificate of Designation are in United States Dollars (“</w:t>
      </w:r>
      <w:r>
        <w:rPr>
          <w:rFonts w:ascii="Times New Roman" w:cs="Times New Roman" w:eastAsia="Times New Roman" w:hAnsi="Times New Roman"/>
          <w:sz w:val="17"/>
          <w:szCs w:val="17"/>
          <w:u w:val="single" w:color="auto"/>
          <w:color w:val="auto"/>
        </w:rPr>
        <w:t>U.S. Dollars</w:t>
      </w:r>
      <w:r>
        <w:rPr>
          <w:rFonts w:ascii="Times New Roman" w:cs="Times New Roman" w:eastAsia="Times New Roman" w:hAnsi="Times New Roman"/>
          <w:sz w:val="17"/>
          <w:szCs w:val="17"/>
          <w:color w:val="auto"/>
        </w:rPr>
        <w:t>”), and all amounts owing under this Certificate of Designation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7"/>
          <w:szCs w:val="17"/>
          <w:u w:val="single" w:color="auto"/>
          <w:color w:val="auto"/>
        </w:rPr>
        <w:t>Exchange Rate</w:t>
      </w:r>
      <w:r>
        <w:rPr>
          <w:rFonts w:ascii="Times New Roman" w:cs="Times New Roman" w:eastAsia="Times New Roman" w:hAnsi="Times New Roman"/>
          <w:sz w:val="17"/>
          <w:szCs w:val="17"/>
          <w:color w:val="auto"/>
        </w:rPr>
        <w:t>” means, in relation to any amount of currency to be converted into U.S. Dollars pursuant to this Certificate of Designation,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75" w:lineRule="exact"/>
        <w:rPr>
          <w:rFonts w:ascii="Times New Roman" w:cs="Times New Roman" w:eastAsia="Times New Roman" w:hAnsi="Times New Roman"/>
          <w:sz w:val="17"/>
          <w:szCs w:val="17"/>
          <w:color w:val="auto"/>
        </w:rPr>
      </w:pPr>
    </w:p>
    <w:p>
      <w:pPr>
        <w:jc w:val="both"/>
        <w:ind w:left="899" w:hanging="294"/>
        <w:spacing w:after="0" w:line="254" w:lineRule="auto"/>
        <w:tabs>
          <w:tab w:leader="none" w:pos="89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Whenever any payment of cash is to be made by the Company to any Person pursuant to this Certificate of Designation, unless otherwise expressly set forth herein, such payment shall be made in lawful money of the United States of America by wire transfer of immediately available funds pursuant to wire transfer instructions that Holder shall provide to the Company in writing from time to time. Whenever any amount expressed to be due by the terms of this Certificate of Designation is due on any day which is not a Business Day, the same shall instead be due on the next succeeding day which is a Business Day.</w:t>
      </w:r>
    </w:p>
    <w:p>
      <w:pPr>
        <w:spacing w:after="0" w:line="175" w:lineRule="exact"/>
        <w:rPr>
          <w:rFonts w:ascii="Times New Roman" w:cs="Times New Roman" w:eastAsia="Times New Roman" w:hAnsi="Times New Roman"/>
          <w:sz w:val="17"/>
          <w:szCs w:val="17"/>
          <w:color w:val="auto"/>
        </w:rPr>
      </w:pPr>
    </w:p>
    <w:p>
      <w:pPr>
        <w:jc w:val="both"/>
        <w:ind w:left="299" w:hanging="299"/>
        <w:spacing w:after="0" w:line="261" w:lineRule="auto"/>
        <w:tabs>
          <w:tab w:leader="none" w:pos="29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 To the extent permitted by law, the Company hereby irrevocably waives demand, presentment, protest and all other demands in connection with the delivery, acceptance, performance, default or enforcement of this Certificate of Designation and the Exchange Agreement. For the avoidance of doubt, without limitation, the foregoing shall not waive a party’s rights to notice of arbitration.</w:t>
      </w:r>
    </w:p>
    <w:p>
      <w:pPr>
        <w:spacing w:after="0" w:line="16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6" w:name="page27"/>
    <w:bookmarkEnd w:id="26"/>
    <w:p>
      <w:pPr>
        <w:jc w:val="both"/>
        <w:ind w:left="299" w:hanging="299"/>
        <w:spacing w:after="0" w:line="264" w:lineRule="auto"/>
        <w:tabs>
          <w:tab w:leader="none" w:pos="29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xml:space="preserve">. This Certificate of Designation shall be construed and enforced in accordance with, and all questions concerning the construction, validity, interpretation and performance of this Certificate of Designation shall be governed by, the internal laws of the State of Nevada, without giving effect to any choice of law or conflict of law provision or rule (whether of the State of Nevada or any other jurisdictions) that would cause the application of the laws of any jurisdictions other than the State of Nevada. Notwithstanding anything to the contrary herein, this Certificate of Designation is meant at all times to be compliant with the non-waivable limitations and restrictions applicable to the Company set forth in the Nevada Revised Statutes, including but not limited to shareholders’ rights with respect to Nevada’s Control Shares Act, and is not intended to take any action which would have required the approval of shareholders of common stock in the Company prior to adoption and filing of the Certificate of Designation. Except as otherwise required by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above, the Company hereby irrevocably submits to the exclusive jurisdiction of the state and federal courts sitting in the City of Reno, County of Washoe, State of Nevada,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to realize on any collateral or any other security for such obligations, or to enforce a judgment or other court ruling in favor of such Holder or (ii) shall limit, or shall be deemed to limit, any provision of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above. </w:t>
      </w:r>
      <w:r>
        <w:rPr>
          <w:rFonts w:ascii="Times New Roman" w:cs="Times New Roman" w:eastAsia="Times New Roman" w:hAnsi="Times New Roman"/>
          <w:sz w:val="16"/>
          <w:szCs w:val="16"/>
          <w:b w:val="1"/>
          <w:bCs w:val="1"/>
          <w:color w:val="auto"/>
        </w:rPr>
        <w:t>THE COMPANY AND EACH HOLDER HEREBY IRREVOCABLY WAIVES ANY RIGHT IT MAY HAVE TO, AND</w:t>
      </w:r>
    </w:p>
    <w:p>
      <w:pPr>
        <w:spacing w:after="0" w:line="6" w:lineRule="exact"/>
        <w:rPr>
          <w:rFonts w:ascii="Times New Roman" w:cs="Times New Roman" w:eastAsia="Times New Roman" w:hAnsi="Times New Roman"/>
          <w:sz w:val="16"/>
          <w:szCs w:val="16"/>
          <w:color w:val="auto"/>
        </w:rPr>
      </w:pPr>
    </w:p>
    <w:p>
      <w:pPr>
        <w:ind w:left="299"/>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AGREES NOT TO REQUEST, A JURY TRIAL FOR THE ADJUDICATION OF ANY DISPUTE HEREUNDER OR IN CONNECTION WITH OR ARISING OUT OF THIS CERTIFICATE OF DESIGNATION OR ANY TRANSACTION CONTEMPLATED HEREBY.</w:t>
      </w:r>
    </w:p>
    <w:p>
      <w:pPr>
        <w:spacing w:after="0" w:line="173" w:lineRule="exact"/>
        <w:rPr>
          <w:rFonts w:ascii="Times New Roman" w:cs="Times New Roman" w:eastAsia="Times New Roman" w:hAnsi="Times New Roman"/>
          <w:sz w:val="16"/>
          <w:szCs w:val="16"/>
          <w:color w:val="auto"/>
        </w:rPr>
      </w:pPr>
    </w:p>
    <w:p>
      <w:pPr>
        <w:ind w:left="299" w:hanging="299"/>
        <w:spacing w:after="0"/>
        <w:tabs>
          <w:tab w:leader="none" w:pos="29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for the purpose of obtaining or enforcing judgment against the Company in any court in any jurisdiction it becomes necessary to convert into any other currency (such other currency being hereinafter in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referred to as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an amount due in U.S. Dollars under this Certificate of Designation, the conversion shall be made at the Exchange Rate prevailing on the Trading Day immediately preceding:</w:t>
      </w:r>
    </w:p>
    <w:p>
      <w:pPr>
        <w:spacing w:after="0" w:line="169" w:lineRule="exact"/>
        <w:rPr>
          <w:rFonts w:ascii="Times New Roman" w:cs="Times New Roman" w:eastAsia="Times New Roman" w:hAnsi="Times New Roman"/>
          <w:sz w:val="17"/>
          <w:szCs w:val="17"/>
          <w:color w:val="auto"/>
        </w:rPr>
      </w:pPr>
    </w:p>
    <w:p>
      <w:pPr>
        <w:ind w:left="1519" w:hanging="309"/>
        <w:spacing w:after="0" w:line="274" w:lineRule="auto"/>
        <w:tabs>
          <w:tab w:leader="none" w:pos="1519"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actual payment of the amount due, in the case of any proceeding in the courts of New York or in the courts of any other jurisdiction that will give effect to such conversion being made on such date: or</w:t>
      </w:r>
    </w:p>
    <w:p>
      <w:pPr>
        <w:spacing w:after="0" w:line="158" w:lineRule="exact"/>
        <w:rPr>
          <w:rFonts w:ascii="Times New Roman" w:cs="Times New Roman" w:eastAsia="Times New Roman" w:hAnsi="Times New Roman"/>
          <w:sz w:val="17"/>
          <w:szCs w:val="17"/>
          <w:color w:val="auto"/>
        </w:rPr>
      </w:pPr>
    </w:p>
    <w:p>
      <w:pPr>
        <w:ind w:left="1519" w:hanging="309"/>
        <w:spacing w:after="0" w:line="274" w:lineRule="auto"/>
        <w:tabs>
          <w:tab w:leader="none" w:pos="1519"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courts of any other jurisdiction (the date as of which such conversion is made pursuant to this </w:t>
      </w:r>
      <w:r>
        <w:rPr>
          <w:rFonts w:ascii="Times New Roman" w:cs="Times New Roman" w:eastAsia="Times New Roman" w:hAnsi="Times New Roman"/>
          <w:sz w:val="17"/>
          <w:szCs w:val="17"/>
          <w:u w:val="single" w:color="auto"/>
          <w:color w:val="auto"/>
        </w:rPr>
        <w:t>Section 27(a)(ii)</w:t>
      </w:r>
      <w:r>
        <w:rPr>
          <w:rFonts w:ascii="Times New Roman" w:cs="Times New Roman" w:eastAsia="Times New Roman" w:hAnsi="Times New Roman"/>
          <w:sz w:val="17"/>
          <w:szCs w:val="17"/>
          <w:color w:val="auto"/>
        </w:rPr>
        <w:t xml:space="preserve"> being hereinafter referred to as the “</w:t>
      </w:r>
      <w:r>
        <w:rPr>
          <w:rFonts w:ascii="Times New Roman" w:cs="Times New Roman" w:eastAsia="Times New Roman" w:hAnsi="Times New Roman"/>
          <w:sz w:val="17"/>
          <w:szCs w:val="17"/>
          <w:u w:val="single" w:color="auto"/>
          <w:color w:val="auto"/>
        </w:rPr>
        <w:t>Judgment Conversion Date</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899" w:hanging="294"/>
        <w:spacing w:after="0" w:line="254" w:lineRule="auto"/>
        <w:tabs>
          <w:tab w:leader="none" w:pos="899"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in the case of any proceeding in the court of any jurisdiction referred to in </w:t>
      </w:r>
      <w:r>
        <w:rPr>
          <w:rFonts w:ascii="Times New Roman" w:cs="Times New Roman" w:eastAsia="Times New Roman" w:hAnsi="Times New Roman"/>
          <w:sz w:val="17"/>
          <w:szCs w:val="17"/>
          <w:u w:val="single" w:color="auto"/>
          <w:color w:val="auto"/>
        </w:rPr>
        <w:t>Section 27(a)(ii)</w:t>
      </w:r>
      <w:r>
        <w:rPr>
          <w:rFonts w:ascii="Times New Roman" w:cs="Times New Roman" w:eastAsia="Times New Roman" w:hAnsi="Times New Roman"/>
          <w:sz w:val="17"/>
          <w:szCs w:val="17"/>
          <w:color w:val="auto"/>
        </w:rPr>
        <w:t xml:space="preserve">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7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7" w:name="page28"/>
    <w:bookmarkEnd w:id="27"/>
    <w:p>
      <w:pPr>
        <w:ind w:left="899" w:hanging="294"/>
        <w:spacing w:after="0" w:line="274" w:lineRule="auto"/>
        <w:tabs>
          <w:tab w:leader="none" w:pos="89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due from the Company under this provision shall be due as a separate debt and shall not be affected by judgment being obtained for any other amounts due under or in respect of this Certificate of Designation.</w:t>
      </w:r>
    </w:p>
    <w:p>
      <w:pPr>
        <w:spacing w:after="0" w:line="158"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299" w:hanging="299"/>
        <w:spacing w:after="0" w:line="251" w:lineRule="auto"/>
        <w:tabs>
          <w:tab w:leader="none" w:pos="2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Certificate of Designation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Certificate of Designation so long as this Certificate of Designation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0" w:lineRule="exact"/>
        <w:rPr>
          <w:rFonts w:ascii="Times New Roman" w:cs="Times New Roman" w:eastAsia="Times New Roman" w:hAnsi="Times New Roman"/>
          <w:sz w:val="17"/>
          <w:szCs w:val="17"/>
          <w:color w:val="auto"/>
        </w:rPr>
      </w:pPr>
    </w:p>
    <w:p>
      <w:pPr>
        <w:jc w:val="both"/>
        <w:ind w:left="299" w:hanging="299"/>
        <w:spacing w:after="0" w:line="285" w:lineRule="auto"/>
        <w:tabs>
          <w:tab w:leader="none" w:pos="29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Maximum Payments</w:t>
      </w:r>
      <w:r>
        <w:rPr>
          <w:rFonts w:ascii="Times New Roman" w:cs="Times New Roman" w:eastAsia="Times New Roman" w:hAnsi="Times New Roman"/>
          <w:sz w:val="16"/>
          <w:szCs w:val="16"/>
          <w:color w:val="auto"/>
        </w:rPr>
        <w: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applicable Holder and thus refunded to the Company.</w:t>
      </w:r>
    </w:p>
    <w:p>
      <w:pPr>
        <w:spacing w:after="0" w:line="151" w:lineRule="exact"/>
        <w:rPr>
          <w:rFonts w:ascii="Times New Roman" w:cs="Times New Roman" w:eastAsia="Times New Roman" w:hAnsi="Times New Roman"/>
          <w:sz w:val="16"/>
          <w:szCs w:val="16"/>
          <w:color w:val="auto"/>
        </w:rPr>
      </w:pPr>
    </w:p>
    <w:p>
      <w:pPr>
        <w:ind w:left="299" w:hanging="299"/>
        <w:spacing w:after="0"/>
        <w:tabs>
          <w:tab w:leader="none" w:pos="2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Matters; Amendment</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54" w:lineRule="auto"/>
        <w:tabs>
          <w:tab w:leader="none" w:pos="899"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Matters</w:t>
      </w:r>
      <w:r>
        <w:rPr>
          <w:rFonts w:ascii="Times New Roman" w:cs="Times New Roman" w:eastAsia="Times New Roman" w:hAnsi="Times New Roman"/>
          <w:sz w:val="17"/>
          <w:szCs w:val="17"/>
          <w:color w:val="auto"/>
        </w:rPr>
        <w:t>. Any stockholder action, approval or consent required, desired or otherwise sought by the Company pursuant to the NRS, the Certificate of Incorporation, this Certificate of Designation or otherwise with respect to the issuance of Preferred Shares may be effected at a duly called meeting of the Company’s stockholders or, with respect to preferred stockholder approval only, by written consent of the Company’s preferred stockholders, all in accordance with the applicable rules and regulations of the NRS. This provision is intended to comply with the applicable sections of the NRS permitting stockholder action, approval and consent affected by written consent in lieu of a meeting.</w:t>
      </w:r>
    </w:p>
    <w:p>
      <w:pPr>
        <w:spacing w:after="0" w:line="175" w:lineRule="exact"/>
        <w:rPr>
          <w:rFonts w:ascii="Times New Roman" w:cs="Times New Roman" w:eastAsia="Times New Roman" w:hAnsi="Times New Roman"/>
          <w:sz w:val="17"/>
          <w:szCs w:val="17"/>
          <w:color w:val="auto"/>
        </w:rPr>
      </w:pPr>
    </w:p>
    <w:p>
      <w:pPr>
        <w:jc w:val="both"/>
        <w:ind w:left="899" w:hanging="294"/>
        <w:spacing w:after="0" w:line="249" w:lineRule="auto"/>
        <w:tabs>
          <w:tab w:leader="none" w:pos="899"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Except for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which may not be amended, modified or waived hereunder, this Certificate of Designation or any provision hereof may be amended by obtaining the affirmative vote at a meeting duly called for such purpose, or, with respect to preferred stockholder approval only, by written consent without a meeting in accordance with the NRS, of the Requisite Holders, voting separately as a single class, and with such other preferred or common stockholder approval, if any, as may then be required pursuant to the NRS, Bylaws, and/or the Certificate of Incorporation; provided, however, and notwithstanding anything this Certificate of Designation or the Transaction Documents to the contrary, no provision of the Preferred Shares or this Certificate of Designation shall be amended, modified or waived, and no consent, approval, objection, determination or selection shall be made by the Requisite Holders thereunder or hereunder, in each case, to the extent any such amendment, modification, waiver, consent, approval, objection, determination or selection would disproportionately and materially adversely affect any rights of any Holder of the Preferred Shares (for the avoidance of doubt, excluding the payment by the Company or any of its Subsidiaries of any legal fees and/or expenses of any Holder in connection therewith), unless any such Holder shall have previously consented in writing to such amendment, modification, waiver, consent, approval, objection, determination or selection. Except (a) to the extent otherwise expressly provided in this Certificate of Designation or the Certificate of Incorporation with respect to voting or approval rights of a particular class or series of Capital Stock or (b) to the extent otherwise provided pursuant to the NRS, the holders of each outstanding class or series of shares of the Company shall not be entitled to vote as a separate voting group on any amendment to the terms of this Certificate of Designation with respect to which such class or series would otherwise be entitled under the NRS to vote as a separate voting group.</w:t>
      </w:r>
    </w:p>
    <w:p>
      <w:pPr>
        <w:spacing w:after="0" w:line="185"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8" w:name="page29"/>
    <w:bookmarkEnd w:id="28"/>
    <w:p>
      <w:pPr>
        <w:ind w:left="299" w:hanging="299"/>
        <w:spacing w:after="0"/>
        <w:tabs>
          <w:tab w:leader="none" w:pos="29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For purposes of this Certificate of Designation, the following terms shall have the following meanings:</w:t>
      </w:r>
    </w:p>
    <w:p>
      <w:pPr>
        <w:spacing w:after="0" w:line="207" w:lineRule="exact"/>
        <w:rPr>
          <w:rFonts w:ascii="Times New Roman" w:cs="Times New Roman" w:eastAsia="Times New Roman" w:hAnsi="Times New Roman"/>
          <w:sz w:val="17"/>
          <w:szCs w:val="17"/>
          <w:color w:val="auto"/>
        </w:rPr>
      </w:pPr>
    </w:p>
    <w:p>
      <w:pPr>
        <w:ind w:left="899" w:hanging="294"/>
        <w:spacing w:after="0"/>
        <w:tabs>
          <w:tab w:leader="none" w:pos="8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1933 Act</w:t>
      </w:r>
      <w:r>
        <w:rPr>
          <w:rFonts w:ascii="Times New Roman" w:cs="Times New Roman" w:eastAsia="Times New Roman" w:hAnsi="Times New Roman"/>
          <w:sz w:val="17"/>
          <w:szCs w:val="17"/>
          <w:color w:val="auto"/>
        </w:rPr>
        <w:t>” means the Securities Act of 1933, as amended, and the rules and regulations thereunder.</w:t>
      </w:r>
    </w:p>
    <w:p>
      <w:pPr>
        <w:spacing w:after="0" w:line="207" w:lineRule="exact"/>
        <w:rPr>
          <w:rFonts w:ascii="Times New Roman" w:cs="Times New Roman" w:eastAsia="Times New Roman" w:hAnsi="Times New Roman"/>
          <w:sz w:val="17"/>
          <w:szCs w:val="17"/>
          <w:color w:val="auto"/>
        </w:rPr>
      </w:pPr>
    </w:p>
    <w:p>
      <w:pPr>
        <w:ind w:left="899" w:hanging="294"/>
        <w:spacing w:after="0"/>
        <w:tabs>
          <w:tab w:leader="none" w:pos="8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1934 Act</w:t>
      </w:r>
      <w:r>
        <w:rPr>
          <w:rFonts w:ascii="Times New Roman" w:cs="Times New Roman" w:eastAsia="Times New Roman" w:hAnsi="Times New Roman"/>
          <w:sz w:val="17"/>
          <w:szCs w:val="17"/>
          <w:color w:val="auto"/>
        </w:rPr>
        <w:t>” means the Securities Exchange Act of 1934, as amended, and the rules and regulations thereunder.</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means any litigation, action, claim (including crossclaim or counterclaim), complaint, audit, disclosed investigation, petition, suit, charge, hearing, inquiry, arbitration, review, application, mediation or other formal proceeding, whether civil or criminal, at law or in equity by or before, or otherwise involving, any arbitral body of competent jurisdiction or any Governmental Authority.</w:t>
      </w:r>
    </w:p>
    <w:p>
      <w:pPr>
        <w:spacing w:after="0" w:line="169" w:lineRule="exact"/>
        <w:rPr>
          <w:rFonts w:ascii="Times New Roman" w:cs="Times New Roman" w:eastAsia="Times New Roman" w:hAnsi="Times New Roman"/>
          <w:sz w:val="17"/>
          <w:szCs w:val="17"/>
          <w:color w:val="auto"/>
        </w:rPr>
      </w:pPr>
    </w:p>
    <w:p>
      <w:pPr>
        <w:ind w:left="899" w:hanging="294"/>
        <w:spacing w:after="0" w:line="274" w:lineRule="auto"/>
        <w:tabs>
          <w:tab w:leader="none" w:pos="8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Affiliated</w:t>
      </w:r>
      <w:r>
        <w:rPr>
          <w:rFonts w:ascii="Times New Roman" w:cs="Times New Roman" w:eastAsia="Times New Roman" w:hAnsi="Times New Roman"/>
          <w:sz w:val="17"/>
          <w:szCs w:val="17"/>
          <w:color w:val="auto"/>
        </w:rPr>
        <w:t>” means, with respect to any Person, any Person that, directly or indirectly through one or more intermediaries, controls or is controlled by or is under common control with a Person, as such terms are used in and construed under Rule 405 under the 1933 Act.</w:t>
      </w:r>
    </w:p>
    <w:p>
      <w:pPr>
        <w:spacing w:after="0" w:line="158"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Stock Plan</w:t>
      </w:r>
      <w:r>
        <w:rPr>
          <w:rFonts w:ascii="Times New Roman" w:cs="Times New Roman" w:eastAsia="Times New Roman" w:hAnsi="Times New Roman"/>
          <w:sz w:val="17"/>
          <w:szCs w:val="17"/>
          <w:color w:val="auto"/>
        </w:rPr>
        <w:t>” means any employee benefit plan or agreement which has been approved by the Board prior to or subsequent to the Closing Date pursuant to which shares of Common Stock and standard options to purchase Common Stock may be issued to any employee, officer, consultant or director for services provided to the Company in their capacity as such.</w:t>
      </w:r>
    </w:p>
    <w:p>
      <w:pPr>
        <w:spacing w:after="0" w:line="169" w:lineRule="exact"/>
        <w:rPr>
          <w:rFonts w:ascii="Times New Roman" w:cs="Times New Roman" w:eastAsia="Times New Roman" w:hAnsi="Times New Roman"/>
          <w:sz w:val="17"/>
          <w:szCs w:val="17"/>
          <w:color w:val="auto"/>
        </w:rPr>
      </w:pPr>
    </w:p>
    <w:p>
      <w:pPr>
        <w:ind w:left="899" w:hanging="294"/>
        <w:spacing w:after="0"/>
        <w:tabs>
          <w:tab w:leader="none" w:pos="8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As-Converted Value</w:t>
      </w:r>
      <w:r>
        <w:rPr>
          <w:rFonts w:ascii="Times New Roman" w:cs="Times New Roman" w:eastAsia="Times New Roman" w:hAnsi="Times New Roman"/>
          <w:sz w:val="17"/>
          <w:szCs w:val="17"/>
          <w:color w:val="auto"/>
        </w:rPr>
        <w:t xml:space="preserve">” has the meaning has the meaning set forth in </w:t>
      </w:r>
      <w:r>
        <w:rPr>
          <w:rFonts w:ascii="Times New Roman" w:cs="Times New Roman" w:eastAsia="Times New Roman" w:hAnsi="Times New Roman"/>
          <w:sz w:val="17"/>
          <w:szCs w:val="17"/>
          <w:u w:val="single" w:color="auto"/>
          <w:color w:val="auto"/>
        </w:rPr>
        <w:t>Section 4(b)(iv)</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53" w:lineRule="auto"/>
        <w:tabs>
          <w:tab w:leader="none" w:pos="8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means, collectively, the following Persons and entities: (i) any investment vehicle, including, any funds, feeder funds or managed accounts, currently, or from time to time after the Initial Issuance Date,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Company’s Common Stock would or could be aggregated with such Holder’s and the other Attribution Parties for purposes of Section 13(d) of the 1934 Act. For clarity, the purpose of the foregoing is to subject collectively such Holder and all other Attribution Parties to the Maximum Percentage.</w:t>
      </w:r>
    </w:p>
    <w:p>
      <w:pPr>
        <w:spacing w:after="0" w:line="17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9" w:name="page30"/>
    <w:bookmarkEnd w:id="29"/>
    <w:p>
      <w:pPr>
        <w:ind w:left="294" w:hanging="294"/>
        <w:spacing w:after="0"/>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Beach Point</w:t>
      </w:r>
      <w:r>
        <w:rPr>
          <w:rFonts w:ascii="Times New Roman" w:cs="Times New Roman" w:eastAsia="Times New Roman" w:hAnsi="Times New Roman"/>
          <w:sz w:val="17"/>
          <w:szCs w:val="17"/>
          <w:color w:val="auto"/>
        </w:rPr>
        <w:t>” means BP Holdings XVII LP, or any other of its Affiliates that may, from time to time, be a Holder.</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means Bloomberg, L.P.</w:t>
      </w:r>
    </w:p>
    <w:p>
      <w:pPr>
        <w:spacing w:after="0" w:line="207"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Book-Entry</w:t>
      </w:r>
      <w:r>
        <w:rPr>
          <w:rFonts w:ascii="Times New Roman" w:cs="Times New Roman" w:eastAsia="Times New Roman" w:hAnsi="Times New Roman"/>
          <w:sz w:val="17"/>
          <w:szCs w:val="17"/>
          <w:color w:val="auto"/>
        </w:rPr>
        <w:t>” means each entry on the Register evidencing one or more Preferred Shares held by a Holder in lieu of a Preferred Share Certificate issuable hereunder.</w:t>
      </w:r>
    </w:p>
    <w:p>
      <w:pPr>
        <w:spacing w:after="0" w:line="158"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Subsidiary</w:t>
      </w:r>
      <w:r>
        <w:rPr>
          <w:rFonts w:ascii="Times New Roman" w:cs="Times New Roman" w:eastAsia="Times New Roman" w:hAnsi="Times New Roman"/>
          <w:sz w:val="17"/>
          <w:szCs w:val="17"/>
          <w:color w:val="auto"/>
        </w:rPr>
        <w:t>” means Dragonfly Energy Corp., a Subsidiary of the Company and the “Borrower” under the Term Loan.</w:t>
      </w:r>
    </w:p>
    <w:p>
      <w:pPr>
        <w:spacing w:after="0" w:line="207"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5" w:lineRule="exact"/>
        <w:rPr>
          <w:rFonts w:ascii="Times New Roman" w:cs="Times New Roman" w:eastAsia="Times New Roman" w:hAnsi="Times New Roman"/>
          <w:sz w:val="17"/>
          <w:szCs w:val="17"/>
          <w:color w:val="auto"/>
        </w:rPr>
      </w:pPr>
    </w:p>
    <w:p>
      <w:pPr>
        <w:jc w:val="both"/>
        <w:ind w:left="294" w:hanging="294"/>
        <w:spacing w:after="0" w:line="261" w:lineRule="auto"/>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Stock</w:t>
      </w:r>
      <w:r>
        <w:rPr>
          <w:rFonts w:ascii="Times New Roman" w:cs="Times New Roman" w:eastAsia="Times New Roman" w:hAnsi="Times New Roman"/>
          <w:sz w:val="17"/>
          <w:szCs w:val="17"/>
          <w:color w:val="auto"/>
        </w:rPr>
        <w:t>” means (i) with respect to any Person that is a corporation or company, any and all shares, interests, participations or other equivalents (however designated) of capital or capital stock of such Person, and (ii) with respect to any Person that is not a corporation or company, any and all partnership or other equity interests of such Person.</w:t>
      </w:r>
    </w:p>
    <w:p>
      <w:pPr>
        <w:spacing w:after="0" w:line="169" w:lineRule="exact"/>
        <w:rPr>
          <w:rFonts w:ascii="Times New Roman" w:cs="Times New Roman" w:eastAsia="Times New Roman" w:hAnsi="Times New Roman"/>
          <w:sz w:val="17"/>
          <w:szCs w:val="17"/>
          <w:color w:val="auto"/>
        </w:rPr>
      </w:pPr>
    </w:p>
    <w:p>
      <w:pPr>
        <w:jc w:val="both"/>
        <w:ind w:left="294" w:hanging="294"/>
        <w:spacing w:after="0" w:line="252" w:lineRule="auto"/>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77"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shall have the meaning set forth in the Exchange Agreement, which date is the date the Company initially issued the Preferred Shares pursuant to the terms of the Exchange Agreement.</w:t>
      </w:r>
    </w:p>
    <w:p>
      <w:pPr>
        <w:spacing w:after="0" w:line="158"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59"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30" w:name="page31"/>
    <w:bookmarkEnd w:id="30"/>
    <w:p>
      <w:pPr>
        <w:jc w:val="both"/>
        <w:ind w:left="294" w:hanging="294"/>
        <w:spacing w:after="0" w:line="256" w:lineRule="auto"/>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Contingent Obligation</w:t>
      </w:r>
      <w:r>
        <w:rPr>
          <w:rFonts w:ascii="Times New Roman" w:cs="Times New Roman" w:eastAsia="Times New Roman" w:hAnsi="Times New Roman"/>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74"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 means any written or oral legally binding contracts, agreements, subcontracts, leases, subleases, licenses, sublicenses, arrangements, commitments or understandings.</w:t>
      </w:r>
    </w:p>
    <w:p>
      <w:pPr>
        <w:spacing w:after="0" w:line="158"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xml:space="preserve">” has the meaning has the meaning set forth in </w:t>
      </w:r>
      <w:r>
        <w:rPr>
          <w:rFonts w:ascii="Times New Roman" w:cs="Times New Roman" w:eastAsia="Times New Roman" w:hAnsi="Times New Roman"/>
          <w:sz w:val="17"/>
          <w:szCs w:val="17"/>
          <w:u w:val="single" w:color="auto"/>
          <w:color w:val="auto"/>
        </w:rPr>
        <w:t>Section 4(b)(iii)</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Rate</w:t>
      </w:r>
      <w:r>
        <w:rPr>
          <w:rFonts w:ascii="Times New Roman" w:cs="Times New Roman" w:eastAsia="Times New Roman" w:hAnsi="Times New Roman"/>
          <w:sz w:val="17"/>
          <w:szCs w:val="17"/>
          <w:color w:val="auto"/>
        </w:rPr>
        <w:t xml:space="preserve">” has the meaning has the meaning set forth in </w:t>
      </w:r>
      <w:r>
        <w:rPr>
          <w:rFonts w:ascii="Times New Roman" w:cs="Times New Roman" w:eastAsia="Times New Roman" w:hAnsi="Times New Roman"/>
          <w:sz w:val="17"/>
          <w:szCs w:val="17"/>
          <w:u w:val="single" w:color="auto"/>
          <w:color w:val="auto"/>
        </w:rPr>
        <w:t>Section 4(b)(i)</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294" w:hanging="294"/>
        <w:spacing w:after="0" w:line="307" w:lineRule="auto"/>
        <w:tabs>
          <w:tab w:leader="none" w:pos="29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Securities</w:t>
      </w:r>
      <w:r>
        <w:rPr>
          <w:rFonts w:ascii="Times New Roman" w:cs="Times New Roman" w:eastAsia="Times New Roman" w:hAnsi="Times New Roman"/>
          <w:sz w:val="16"/>
          <w:szCs w:val="16"/>
          <w:color w:val="auto"/>
        </w:rPr>
        <w:t>” means any stock or other security (other than Options) of the Company that is at any time and under any circumstances, directly or indirectly, convertible into, exercisable or exchangeable for, or which otherwise entitles the holder thereof to acquire, any shares of Common Stock.</w:t>
      </w:r>
    </w:p>
    <w:p>
      <w:pPr>
        <w:spacing w:after="0" w:line="134" w:lineRule="exact"/>
        <w:rPr>
          <w:rFonts w:ascii="Times New Roman" w:cs="Times New Roman" w:eastAsia="Times New Roman" w:hAnsi="Times New Roman"/>
          <w:sz w:val="16"/>
          <w:szCs w:val="16"/>
          <w:color w:val="auto"/>
        </w:rPr>
      </w:pPr>
    </w:p>
    <w:p>
      <w:pPr>
        <w:ind w:left="294" w:hanging="294"/>
        <w:spacing w:after="0"/>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Parties</w:t>
      </w:r>
      <w:r>
        <w:rPr>
          <w:rFonts w:ascii="Times New Roman" w:cs="Times New Roman" w:eastAsia="Times New Roman" w:hAnsi="Times New Roman"/>
          <w:sz w:val="17"/>
          <w:szCs w:val="17"/>
          <w:color w:val="auto"/>
        </w:rPr>
        <w:t>” has the meaning set forth in the Exchange Agreement.</w:t>
      </w:r>
    </w:p>
    <w:p>
      <w:pPr>
        <w:spacing w:after="0" w:line="203" w:lineRule="exact"/>
        <w:rPr>
          <w:rFonts w:ascii="Times New Roman" w:cs="Times New Roman" w:eastAsia="Times New Roman" w:hAnsi="Times New Roman"/>
          <w:sz w:val="17"/>
          <w:szCs w:val="17"/>
          <w:color w:val="auto"/>
        </w:rPr>
      </w:pPr>
    </w:p>
    <w:p>
      <w:pPr>
        <w:jc w:val="both"/>
        <w:ind w:left="294" w:hanging="294"/>
        <w:spacing w:after="0" w:line="252" w:lineRule="auto"/>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Dividend Rate</w:t>
      </w:r>
      <w:r>
        <w:rPr>
          <w:rFonts w:ascii="Times New Roman" w:cs="Times New Roman" w:eastAsia="Times New Roman" w:hAnsi="Times New Roman"/>
          <w:sz w:val="17"/>
          <w:szCs w:val="17"/>
          <w:color w:val="auto"/>
        </w:rPr>
        <w:t xml:space="preserve">” means, as of any date of determination, ten percent (10%) per annum;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that, subject to the restrictions set forth in NRS 78, including but not limited to NRS 78.288, the Dividend Rate shall increase automatically by (i) 5.00% per annum effective immediately upon the occurrence of, and during the continuance of, a Preferred Default or a Non-Payment Event, and (ii) 5.00% per annum effective immediately upon the 120th calendar day following a Redemption Demand (such date, the “</w:t>
      </w:r>
      <w:r>
        <w:rPr>
          <w:rFonts w:ascii="Times New Roman" w:cs="Times New Roman" w:eastAsia="Times New Roman" w:hAnsi="Times New Roman"/>
          <w:sz w:val="17"/>
          <w:szCs w:val="17"/>
          <w:u w:val="single" w:color="auto"/>
          <w:color w:val="auto"/>
        </w:rPr>
        <w:t>Approval Deadline</w:t>
      </w:r>
      <w:r>
        <w:rPr>
          <w:rFonts w:ascii="Times New Roman" w:cs="Times New Roman" w:eastAsia="Times New Roman" w:hAnsi="Times New Roman"/>
          <w:sz w:val="17"/>
          <w:szCs w:val="17"/>
          <w:color w:val="auto"/>
        </w:rPr>
        <w:t>”) if any Board or stockholder approval required to be obtained under the NRS, the Company’s Certificate of Incorporation, or otherwise, to approve such Forced Transaction shall not have been obtained on or prior to such Approval Deadline (the “</w:t>
      </w:r>
      <w:r>
        <w:rPr>
          <w:rFonts w:ascii="Times New Roman" w:cs="Times New Roman" w:eastAsia="Times New Roman" w:hAnsi="Times New Roman"/>
          <w:sz w:val="17"/>
          <w:szCs w:val="17"/>
          <w:u w:val="single" w:color="auto"/>
          <w:color w:val="auto"/>
        </w:rPr>
        <w:t>Required Director and Stockholder Approval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provided further</w:t>
      </w:r>
      <w:r>
        <w:rPr>
          <w:rFonts w:ascii="Times New Roman" w:cs="Times New Roman" w:eastAsia="Times New Roman" w:hAnsi="Times New Roman"/>
          <w:sz w:val="17"/>
          <w:szCs w:val="17"/>
          <w:color w:val="auto"/>
        </w:rPr>
        <w:t>, that, subject to the restrictions set forth in NRS 78, including but not limited to NRS 78.288, the Dividend Rate shall increase automatically by an additional 5.00% per annum on the 30th calendar day following the Approval Deadline if the Required Director and Stockholder Approval has not been obtained.</w:t>
      </w:r>
    </w:p>
    <w:p>
      <w:pPr>
        <w:spacing w:after="0" w:line="177"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Market</w:t>
      </w:r>
      <w:r>
        <w:rPr>
          <w:rFonts w:ascii="Times New Roman" w:cs="Times New Roman" w:eastAsia="Times New Roman" w:hAnsi="Times New Roman"/>
          <w:sz w:val="17"/>
          <w:szCs w:val="17"/>
          <w:color w:val="auto"/>
        </w:rPr>
        <w:t>” means The New York Stock Exchange, the NYSE American, the Nasdaq Global Select Market, the Nasdaq Global Market, the Nasdaq Capital Market.</w:t>
      </w:r>
    </w:p>
    <w:p>
      <w:pPr>
        <w:spacing w:after="0" w:line="158"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Energy Impact Partners</w:t>
      </w:r>
      <w:r>
        <w:rPr>
          <w:rFonts w:ascii="Times New Roman" w:cs="Times New Roman" w:eastAsia="Times New Roman" w:hAnsi="Times New Roman"/>
          <w:sz w:val="17"/>
          <w:szCs w:val="17"/>
          <w:color w:val="auto"/>
        </w:rPr>
        <w:t>” means, collectively (i) Energy Impact Partners Credit Fund I, LP, and (ii) Energy Impact Partners Credit Fund II, or any other of its or their respective Affiliates that may, from time to time, be a Holder.</w:t>
      </w:r>
    </w:p>
    <w:p>
      <w:pPr>
        <w:spacing w:after="0" w:line="158"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Agreement</w:t>
      </w:r>
      <w:r>
        <w:rPr>
          <w:rFonts w:ascii="Times New Roman" w:cs="Times New Roman" w:eastAsia="Times New Roman" w:hAnsi="Times New Roman"/>
          <w:sz w:val="17"/>
          <w:szCs w:val="17"/>
          <w:color w:val="auto"/>
        </w:rPr>
        <w:t>” means that certain Exchange Agreement by and among the Company and each Holder, dated as of the Closing Date, as may be amended from time to time in accordance with the terms thereof.</w:t>
      </w:r>
    </w:p>
    <w:p>
      <w:pPr>
        <w:spacing w:after="0" w:line="159" w:lineRule="exact"/>
        <w:rPr>
          <w:sz w:val="20"/>
          <w:szCs w:val="20"/>
          <w:color w:val="auto"/>
        </w:rPr>
      </w:pPr>
    </w:p>
    <w:p>
      <w:pPr>
        <w:ind w:left="4934" w:right="1880" w:hanging="4934"/>
        <w:spacing w:after="0" w:line="522" w:lineRule="auto"/>
        <w:tabs>
          <w:tab w:leader="none" w:pos="2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Term Loan Indebtedness</w:t>
      </w:r>
      <w:r>
        <w:rPr>
          <w:rFonts w:ascii="Times New Roman" w:cs="Times New Roman" w:eastAsia="Times New Roman" w:hAnsi="Times New Roman"/>
          <w:sz w:val="17"/>
          <w:szCs w:val="17"/>
          <w:color w:val="auto"/>
        </w:rPr>
        <w:t xml:space="preserve">” has the meaning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the definition of “Permitted Indebtedness”.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-144780</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31" w:name="page32"/>
    <w:bookmarkEnd w:id="31"/>
    <w:p>
      <w:pPr>
        <w:jc w:val="both"/>
        <w:ind w:left="294" w:hanging="294"/>
        <w:spacing w:after="0" w:line="249" w:lineRule="auto"/>
        <w:tabs>
          <w:tab w:leader="none" w:pos="29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Securities</w:t>
      </w:r>
      <w:r>
        <w:rPr>
          <w:rFonts w:ascii="Times New Roman" w:cs="Times New Roman" w:eastAsia="Times New Roman" w:hAnsi="Times New Roman"/>
          <w:sz w:val="17"/>
          <w:szCs w:val="17"/>
          <w:color w:val="auto"/>
        </w:rPr>
        <w:t>” means (i) shares of Common Stock or standard options to purchase Common Stock or other equity awards issued to directors, officers, employees or consultants of the Company for services rendered to the Company in their capacity as such pursuant to an Approved Stock Plan (as defined above) or otherwise, , (ii) shares of Common Stock issued upon the conversion or exercise, as applicable, of Convertible Securities or Options, (iii) the Preferred Shares, the shares of Common Stock issuable upon conversion of the Preferred Shares, or the Preferred Shares otherwise issuable pursuant to the terms of this Certificate of Designation; provided, that the terms of this Certificate of Designation are not amended, modified or changed on or after the Closing Date (other than antidilution adjustments pursuant to the terms thereof in effect as of the Closing Date), (iv) any securities or warrants issued to the Term Loan Lenders in connection with the Term Loan, (v) securities issued pursuant to customer, vendor, supplier, landlord or equipment lessor arrangements, (vi) securities issued in connection with any research, collaboration, technology license, development, marketing or other similar agreements or strategic partnerships, in each case as approved in advance, in writing, by the Requisite Holders; (vii) securities issued pursuant to any joint venture arrangement, strategic arrangements, real property lease, financing transaction or other similar transaction in which equity financing is not the purpose of the transaction, in each case as approved in advance, in writing, by the Requisite Holders, (viii) securities issued pursuant to, or in connection with, mergers, acquisitions, strategic transactions, and technology or asset acquisitions, in each case (A) as approved by the, in each case as approved in advance, in writing, by the Requisite Holders, and (B) that, in the aggregate, do not raise cash proceeds in excess of $250,000.</w:t>
      </w:r>
    </w:p>
    <w:p>
      <w:pPr>
        <w:spacing w:after="0" w:line="186" w:lineRule="exact"/>
        <w:rPr>
          <w:rFonts w:ascii="Times New Roman" w:cs="Times New Roman" w:eastAsia="Times New Roman" w:hAnsi="Times New Roman"/>
          <w:sz w:val="17"/>
          <w:szCs w:val="17"/>
          <w:color w:val="auto"/>
        </w:rPr>
      </w:pPr>
    </w:p>
    <w:p>
      <w:pPr>
        <w:jc w:val="both"/>
        <w:ind w:left="294" w:hanging="294"/>
        <w:spacing w:after="0" w:line="248" w:lineRule="auto"/>
        <w:tabs>
          <w:tab w:leader="none" w:pos="29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means (i) that the Company shall, directly or indirectly, including through subsidiaries, Affiliates or otherwise, in one or more related transactions, (A) consolidate or merge with or into (whether or not the Company is the surviving corporation) another Subject Entity, or (B) sell, assign, transfer, convey or otherwise dispose of all or substantially all of the properties or assets of the Company or any of its “significant subsidiaries” (as defined in Rule 1-02 of Regulation S-X) to one or more Subject Entities, or (C) make, or allow one or more Subject Entities to make, or allow the Company to be subject to or have its Common Stock be subject to or party to one or more Subject Entities making, a purchase, tender or exchange offer that is accepted by the holders of at least either (I) 50% of the outstanding shares of Common Stock, (II) 50% of the outstanding shares of Common Stock calculated as if any shares of Common Stock held by all Subject Entities making or party to, or Affiliated with any Subject Entities making or party to, such purchase, tender or exchange offer were not outstanding, or (III)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(D)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(I) at least 50% of the outstanding shares of Common Stock, (II)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(III) such number of shares of Common Stock such that the Subject Entities become collectively the beneficial owners (as defined in Rule 13d-3 under the 1934 Act) of at least 50% of the outstanding shares of Common Stock, or (E) reorganize, recapitalize or reclassify its Common Stock, (ii)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(A) at least 50% of the aggregate ordinary voting power represented by issued and outstanding Common Stock, (B) at least 50% of the aggregate ordinary voting power represented by issued and outstanding Common Stock not held by all such Subject Entities as of the date of this Certificate of Designation calculated as if any shares of Common Stock held by all such Subject Entities were not outstanding, or (C)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(iii)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93"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32" w:name="page33"/>
    <w:bookmarkEnd w:id="32"/>
    <w:p>
      <w:pPr>
        <w:ind w:left="300" w:hanging="294"/>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United States generally accepted accounting principles, consistently applied.</w:t>
      </w:r>
    </w:p>
    <w:p>
      <w:pPr>
        <w:spacing w:after="0" w:line="207" w:lineRule="exact"/>
        <w:rPr>
          <w:rFonts w:ascii="Times New Roman" w:cs="Times New Roman" w:eastAsia="Times New Roman" w:hAnsi="Times New Roman"/>
          <w:sz w:val="17"/>
          <w:szCs w:val="17"/>
          <w:color w:val="auto"/>
        </w:rPr>
      </w:pPr>
    </w:p>
    <w:p>
      <w:pPr>
        <w:jc w:val="both"/>
        <w:ind w:left="300" w:hanging="294"/>
        <w:spacing w:after="0" w:line="261"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Going Private Transaction</w:t>
      </w:r>
      <w:r>
        <w:rPr>
          <w:rFonts w:ascii="Times New Roman" w:cs="Times New Roman" w:eastAsia="Times New Roman" w:hAnsi="Times New Roman"/>
          <w:sz w:val="17"/>
          <w:szCs w:val="17"/>
          <w:color w:val="auto"/>
        </w:rPr>
        <w:t>” means any Change of Control (i) pursuant to which, the Company (and the Successor Entity, if applicable) ceases to have any securities registered under the 1934 Act, or (ii) that results in the purchase and/or cancellation of all of the Common Stock of the Company solely for cash (and not in whole, or in part, for any other securities of any Person).</w:t>
      </w:r>
    </w:p>
    <w:p>
      <w:pPr>
        <w:spacing w:after="0" w:line="169"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means a “group” as that term is used in Section 13(d) of the 1934 Act and as defined in Rule 13d-5 thereunder.</w:t>
      </w:r>
    </w:p>
    <w:p>
      <w:pPr>
        <w:spacing w:after="0" w:line="207" w:lineRule="exact"/>
        <w:rPr>
          <w:rFonts w:ascii="Times New Roman" w:cs="Times New Roman" w:eastAsia="Times New Roman" w:hAnsi="Times New Roman"/>
          <w:sz w:val="17"/>
          <w:szCs w:val="17"/>
          <w:color w:val="auto"/>
        </w:rPr>
      </w:pPr>
    </w:p>
    <w:p>
      <w:pPr>
        <w:jc w:val="both"/>
        <w:ind w:left="300" w:hanging="294"/>
        <w:spacing w:after="0" w:line="285" w:lineRule="auto"/>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federal, foreign, state, county, municipal, provincial, or local governmental authority, court, judicial body, arbitration tribunal, government or self-regulatory organization, commission, tribunal or organization, or any regulatory, administrative, or other agency, or any political or other subdivision, department, commission, board, bureau, branch, division, ministry, or instrumentality of any of the foregoing.</w:t>
      </w:r>
    </w:p>
    <w:p>
      <w:pPr>
        <w:spacing w:after="0" w:line="151" w:lineRule="exact"/>
        <w:rPr>
          <w:rFonts w:ascii="Times New Roman" w:cs="Times New Roman" w:eastAsia="Times New Roman" w:hAnsi="Times New Roman"/>
          <w:sz w:val="16"/>
          <w:szCs w:val="16"/>
          <w:color w:val="auto"/>
        </w:rPr>
      </w:pPr>
    </w:p>
    <w:p>
      <w:pPr>
        <w:ind w:left="300" w:hanging="294"/>
        <w:spacing w:after="0" w:line="274"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means, as of the relevant date, any Person that is the holder of record of at least one share of Series B Convertible Preferred Stock, as of such date.</w:t>
      </w:r>
    </w:p>
    <w:p>
      <w:pPr>
        <w:spacing w:after="0" w:line="158" w:lineRule="exact"/>
        <w:rPr>
          <w:rFonts w:ascii="Times New Roman" w:cs="Times New Roman" w:eastAsia="Times New Roman" w:hAnsi="Times New Roman"/>
          <w:sz w:val="17"/>
          <w:szCs w:val="17"/>
          <w:color w:val="auto"/>
        </w:rPr>
      </w:pPr>
    </w:p>
    <w:p>
      <w:pPr>
        <w:jc w:val="both"/>
        <w:ind w:left="300" w:hanging="294"/>
        <w:spacing w:after="0" w:line="264" w:lineRule="auto"/>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xml:space="preserve">” means of any Person means, without duplication (i) all indebtedness for borrowed money, (ii) all obligations issued, undertaken or assumed as the deferred purchase price of property or services, including, without limitation, “capital leases” in accordance with United States generally accepted accounting principles consistently applied for the periods covered thereby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United States generally accepted accounting principles, consistently applied for the periods covered thereby, is classified as a capital lease, (vii) all indebtedness referred to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(vi)</w:t>
      </w:r>
      <w:r>
        <w:rPr>
          <w:rFonts w:ascii="Times New Roman" w:cs="Times New Roman" w:eastAsia="Times New Roman" w:hAnsi="Times New Roman"/>
          <w:sz w:val="16"/>
          <w:szCs w:val="16"/>
          <w:color w:val="auto"/>
        </w:rPr>
        <w:t xml:space="preserve">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(viii) all Contingent Obligations in respect of indebtedness or obligations of others of the kinds referred to in </w:t>
      </w:r>
      <w:r>
        <w:rPr>
          <w:rFonts w:ascii="Times New Roman" w:cs="Times New Roman" w:eastAsia="Times New Roman" w:hAnsi="Times New Roman"/>
          <w:sz w:val="16"/>
          <w:szCs w:val="16"/>
          <w:u w:val="single" w:color="auto"/>
          <w:color w:val="auto"/>
        </w:rPr>
        <w:t>clauses</w:t>
      </w:r>
    </w:p>
    <w:p>
      <w:pPr>
        <w:spacing w:after="0" w:line="6"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above.</w:t>
      </w:r>
    </w:p>
    <w:p>
      <w:pPr>
        <w:spacing w:after="0" w:line="191" w:lineRule="exact"/>
        <w:rPr>
          <w:rFonts w:ascii="Times New Roman" w:cs="Times New Roman" w:eastAsia="Times New Roman" w:hAnsi="Times New Roman"/>
          <w:sz w:val="16"/>
          <w:szCs w:val="16"/>
          <w:color w:val="auto"/>
        </w:rPr>
      </w:pPr>
    </w:p>
    <w:p>
      <w:pPr>
        <w:jc w:val="both"/>
        <w:ind w:left="300" w:hanging="294"/>
        <w:spacing w:after="0" w:line="261"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with respect to the Company and its Subsidiaries, all of their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w:t>
      </w:r>
    </w:p>
    <w:p>
      <w:pPr>
        <w:spacing w:after="0" w:line="169" w:lineRule="exact"/>
        <w:rPr>
          <w:rFonts w:ascii="Times New Roman" w:cs="Times New Roman" w:eastAsia="Times New Roman" w:hAnsi="Times New Roman"/>
          <w:sz w:val="17"/>
          <w:szCs w:val="17"/>
          <w:color w:val="auto"/>
        </w:rPr>
      </w:pPr>
    </w:p>
    <w:p>
      <w:pPr>
        <w:jc w:val="both"/>
        <w:ind w:left="300" w:hanging="294"/>
        <w:spacing w:after="0" w:line="261"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169" w:lineRule="exact"/>
        <w:rPr>
          <w:rFonts w:ascii="Times New Roman" w:cs="Times New Roman" w:eastAsia="Times New Roman" w:hAnsi="Times New Roman"/>
          <w:sz w:val="17"/>
          <w:szCs w:val="17"/>
          <w:color w:val="auto"/>
        </w:rPr>
      </w:pPr>
    </w:p>
    <w:p>
      <w:pPr>
        <w:jc w:val="both"/>
        <w:ind w:left="300" w:hanging="294"/>
        <w:spacing w:after="0" w:line="261"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 Event</w:t>
      </w:r>
      <w:r>
        <w:rPr>
          <w:rFonts w:ascii="Times New Roman" w:cs="Times New Roman" w:eastAsia="Times New Roman" w:hAnsi="Times New Roman"/>
          <w:sz w:val="17"/>
          <w:szCs w:val="17"/>
          <w:color w:val="auto"/>
        </w:rPr>
        <w:t>” means, whether in a single transaction or series of transactions, the voluntary or involuntary liquidation, dissolution or winding up of the Company or such Subsidiaries the assets of which constitute all or substantially all of the assets of the business of the Company and its Subsidiaries, taken as a whole.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mm.“</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xml:space="preserve">” has the meaning has the meaning set forth in </w:t>
      </w:r>
      <w:r>
        <w:rPr>
          <w:rFonts w:ascii="Times New Roman" w:cs="Times New Roman" w:eastAsia="Times New Roman" w:hAnsi="Times New Roman"/>
          <w:sz w:val="17"/>
          <w:szCs w:val="17"/>
          <w:u w:val="single" w:color="auto"/>
          <w:color w:val="auto"/>
        </w:rPr>
        <w:t>Section 4(b)(ii)</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left="300" w:hanging="294"/>
        <w:spacing w:after="0" w:line="256" w:lineRule="auto"/>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any material adverse effect on the business, properties, assets, liabilities, operations, results of operations, condition (financial or otherwise) or prospects of the Company and its Subsidiaries, if any, individually or taken as a whole, or on the transactions contemplated hereby or on the other Transaction Documents (as defined below), or by the agreements and instruments to be entered into in connection therewith or on the authority or ability of the Company to perform its obligations under the Transaction Documents.</w:t>
      </w:r>
    </w:p>
    <w:p>
      <w:pPr>
        <w:spacing w:after="0" w:line="174"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means any rights, warrants or options to subscribe for or purchase shares of Common Stock or Convertible Securities.</w:t>
      </w:r>
    </w:p>
    <w:p>
      <w:pPr>
        <w:spacing w:after="0" w:line="207" w:lineRule="exact"/>
        <w:rPr>
          <w:rFonts w:ascii="Times New Roman" w:cs="Times New Roman" w:eastAsia="Times New Roman" w:hAnsi="Times New Roman"/>
          <w:sz w:val="17"/>
          <w:szCs w:val="17"/>
          <w:color w:val="auto"/>
        </w:rPr>
      </w:pPr>
    </w:p>
    <w:p>
      <w:pPr>
        <w:jc w:val="both"/>
        <w:ind w:left="300" w:hanging="294"/>
        <w:spacing w:after="0" w:line="261" w:lineRule="auto"/>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Entity</w:t>
      </w:r>
      <w:r>
        <w:rPr>
          <w:rFonts w:ascii="Times New Roman" w:cs="Times New Roman" w:eastAsia="Times New Roman" w:hAnsi="Times New Roman"/>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3" w:right="339" w:bottom="1440" w:gutter="0" w:footer="0" w:header="0"/>
        </w:sectPr>
      </w:pPr>
    </w:p>
    <w:bookmarkStart w:id="33" w:name="page34"/>
    <w:bookmarkEnd w:id="33"/>
    <w:p>
      <w:pPr>
        <w:jc w:val="both"/>
        <w:ind w:left="294" w:hanging="294"/>
        <w:spacing w:after="0" w:line="252" w:lineRule="auto"/>
        <w:tabs>
          <w:tab w:leader="none" w:pos="2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Indebtedness</w:t>
      </w:r>
      <w:r>
        <w:rPr>
          <w:rFonts w:ascii="Times New Roman" w:cs="Times New Roman" w:eastAsia="Times New Roman" w:hAnsi="Times New Roman"/>
          <w:sz w:val="17"/>
          <w:szCs w:val="17"/>
          <w:color w:val="auto"/>
        </w:rPr>
        <w:t xml:space="preserve">” means (i) Indebtedness secured by Permitted Liens or unsecured but as described in </w:t>
      </w:r>
      <w:r>
        <w:rPr>
          <w:rFonts w:ascii="Times New Roman" w:cs="Times New Roman" w:eastAsia="Times New Roman" w:hAnsi="Times New Roman"/>
          <w:sz w:val="17"/>
          <w:szCs w:val="17"/>
          <w:u w:val="single" w:color="auto"/>
          <w:color w:val="auto"/>
        </w:rPr>
        <w:t>clauses (iv)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of the definition of Permitted Liens, (ii) up to the outstanding principal amount of Indebtedness issued pursuant to the Company’s senior secured term loan facility, dated as of October 7, 2022 (as amended, the “</w:t>
      </w:r>
      <w:r>
        <w:rPr>
          <w:rFonts w:ascii="Times New Roman" w:cs="Times New Roman" w:eastAsia="Times New Roman" w:hAnsi="Times New Roman"/>
          <w:sz w:val="17"/>
          <w:szCs w:val="17"/>
          <w:u w:val="single" w:color="auto"/>
          <w:color w:val="auto"/>
        </w:rPr>
        <w:t>Term Loan</w:t>
      </w:r>
      <w:r>
        <w:rPr>
          <w:rFonts w:ascii="Times New Roman" w:cs="Times New Roman" w:eastAsia="Times New Roman" w:hAnsi="Times New Roman"/>
          <w:sz w:val="17"/>
          <w:szCs w:val="17"/>
          <w:color w:val="auto"/>
        </w:rPr>
        <w:t>”), with Alter Domus (US) LLC, as agent, and each of Energy Impact Partners Credit Fund I, LP, Energy Impact Partners Credit Fund II, LP and BP Holdings XVII (collectively with any other lenders from time to time party thereto, the “</w:t>
      </w:r>
      <w:r>
        <w:rPr>
          <w:rFonts w:ascii="Times New Roman" w:cs="Times New Roman" w:eastAsia="Times New Roman" w:hAnsi="Times New Roman"/>
          <w:sz w:val="17"/>
          <w:szCs w:val="17"/>
          <w:u w:val="single" w:color="auto"/>
          <w:color w:val="auto"/>
        </w:rPr>
        <w:t>Term Loan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xml:space="preserve">”), as of immediately following the consummation of the Exchange Agreement,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all interest accruing thereon (including interest payable in kind and capitalized to principal) (the “</w:t>
      </w:r>
      <w:r>
        <w:rPr>
          <w:rFonts w:ascii="Times New Roman" w:cs="Times New Roman" w:eastAsia="Times New Roman" w:hAnsi="Times New Roman"/>
          <w:sz w:val="17"/>
          <w:szCs w:val="17"/>
          <w:u w:val="single" w:color="auto"/>
          <w:color w:val="auto"/>
        </w:rPr>
        <w:t>Existing Term Loan Indebtedness</w:t>
      </w:r>
      <w:r>
        <w:rPr>
          <w:rFonts w:ascii="Times New Roman" w:cs="Times New Roman" w:eastAsia="Times New Roman" w:hAnsi="Times New Roman"/>
          <w:sz w:val="17"/>
          <w:szCs w:val="17"/>
          <w:color w:val="auto"/>
        </w:rPr>
        <w:t>”), and (iii) the Series B Convertible Preferred Stock outstanding as of the date hereof.</w:t>
      </w:r>
    </w:p>
    <w:p>
      <w:pPr>
        <w:spacing w:after="0" w:line="177" w:lineRule="exact"/>
        <w:rPr>
          <w:rFonts w:ascii="Times New Roman" w:cs="Times New Roman" w:eastAsia="Times New Roman" w:hAnsi="Times New Roman"/>
          <w:sz w:val="17"/>
          <w:szCs w:val="17"/>
          <w:color w:val="auto"/>
        </w:rPr>
      </w:pPr>
    </w:p>
    <w:p>
      <w:pPr>
        <w:jc w:val="both"/>
        <w:ind w:left="294" w:hanging="294"/>
        <w:spacing w:after="0" w:line="249" w:lineRule="auto"/>
        <w:tabs>
          <w:tab w:leader="none" w:pos="2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xml:space="preserve">”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$500,000, (v) Liens incurred in connection with the extension, renewal or refinancing of the Indebtedness secured by Liens of the type described in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Liens arising from judgments, decrees or attachments, and (vii) Liens securing the Existing Term Loan Indebtedness.</w:t>
      </w:r>
    </w:p>
    <w:p>
      <w:pPr>
        <w:spacing w:after="0" w:line="187" w:lineRule="exact"/>
        <w:rPr>
          <w:rFonts w:ascii="Times New Roman" w:cs="Times New Roman" w:eastAsia="Times New Roman" w:hAnsi="Times New Roman"/>
          <w:sz w:val="17"/>
          <w:szCs w:val="17"/>
          <w:color w:val="auto"/>
        </w:rPr>
      </w:pPr>
    </w:p>
    <w:p>
      <w:pPr>
        <w:jc w:val="both"/>
        <w:ind w:left="294" w:hanging="294"/>
        <w:spacing w:after="0" w:line="256" w:lineRule="auto"/>
        <w:tabs>
          <w:tab w:leader="none" w:pos="2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sole proprietorship, partnership, limited liability partnership, joint venture, trust, unincorporated organization, association, corporation, limited liability company, institution, public benefit corporation, entity or government (whether Federal, state, county, city, municipal or otherwise, including any instrumentality, division, agency, body or department thereof), and shall include such Person’s successors and assigns.</w:t>
      </w:r>
    </w:p>
    <w:p>
      <w:pPr>
        <w:spacing w:after="0" w:line="174"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Default</w:t>
      </w:r>
      <w:r>
        <w:rPr>
          <w:rFonts w:ascii="Times New Roman" w:cs="Times New Roman" w:eastAsia="Times New Roman" w:hAnsi="Times New Roman"/>
          <w:sz w:val="17"/>
          <w:szCs w:val="17"/>
          <w:color w:val="auto"/>
        </w:rPr>
        <w:t xml:space="preserve">” means (i) the Company’s failure to observe, breach of or default under any provision of this Certificate of Designation (including, without limitation,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hereof) or any other Transaction Document (including, without limitation, the Exchange Agreement) and such failure, breach or default shall not have been remedied or waived within ten (10) days after the earlier of (A) the Company becoming aware of such failure, breach, of default, or (B) receipt by the Company of notice from any Holder of such failure, breach or default, or (ii) the occurrence of any Event of Default (as defined in the Term Loan).</w:t>
      </w:r>
    </w:p>
    <w:p>
      <w:pPr>
        <w:spacing w:after="0" w:line="175"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Principal Market</w:t>
      </w:r>
      <w:r>
        <w:rPr>
          <w:rFonts w:ascii="Times New Roman" w:cs="Times New Roman" w:eastAsia="Times New Roman" w:hAnsi="Times New Roman"/>
          <w:sz w:val="17"/>
          <w:szCs w:val="17"/>
          <w:color w:val="auto"/>
        </w:rPr>
        <w:t>” means, as of any time of determination, the principal trading market, if any, in which the shares of Common Stock then trade.</w:t>
      </w:r>
    </w:p>
    <w:p>
      <w:pPr>
        <w:spacing w:after="0" w:line="207" w:lineRule="exact"/>
        <w:rPr>
          <w:rFonts w:ascii="Times New Roman" w:cs="Times New Roman" w:eastAsia="Times New Roman" w:hAnsi="Times New Roman"/>
          <w:sz w:val="17"/>
          <w:szCs w:val="17"/>
          <w:color w:val="auto"/>
        </w:rPr>
      </w:pPr>
    </w:p>
    <w:p>
      <w:pPr>
        <w:jc w:val="both"/>
        <w:ind w:left="294" w:hanging="294"/>
        <w:spacing w:after="0" w:line="261" w:lineRule="auto"/>
        <w:tabs>
          <w:tab w:leader="none" w:pos="2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Requisite Holders</w:t>
      </w:r>
      <w:r>
        <w:rPr>
          <w:rFonts w:ascii="Times New Roman" w:cs="Times New Roman" w:eastAsia="Times New Roman" w:hAnsi="Times New Roman"/>
          <w:sz w:val="17"/>
          <w:szCs w:val="17"/>
          <w:color w:val="auto"/>
        </w:rPr>
        <w:t>” means the Holders of a majority of the outstanding shares of Series B Convertible Preferred Stock as of such time; provided, that at any time when there are two (2) or more non-Affiliated Holders of Series B Convertible Preferred Stock, Requisite Holders shall include at least two (2) non-Affiliated Holders.</w:t>
      </w:r>
    </w:p>
    <w:p>
      <w:pPr>
        <w:spacing w:after="0" w:line="169"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34" w:name="page35"/>
    <w:bookmarkEnd w:id="34"/>
    <w:p>
      <w:pPr>
        <w:ind w:left="300" w:hanging="294"/>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United States Securities and Exchange Commission or the successor thereto.</w:t>
      </w:r>
    </w:p>
    <w:p>
      <w:pPr>
        <w:spacing w:after="0" w:line="207" w:lineRule="exact"/>
        <w:rPr>
          <w:rFonts w:ascii="Times New Roman" w:cs="Times New Roman" w:eastAsia="Times New Roman" w:hAnsi="Times New Roman"/>
          <w:sz w:val="17"/>
          <w:szCs w:val="17"/>
          <w:color w:val="auto"/>
        </w:rPr>
      </w:pPr>
    </w:p>
    <w:p>
      <w:pPr>
        <w:ind w:left="300" w:hanging="294"/>
        <w:spacing w:after="0" w:line="274" w:lineRule="auto"/>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Officer</w:t>
      </w:r>
      <w:r>
        <w:rPr>
          <w:rFonts w:ascii="Times New Roman" w:cs="Times New Roman" w:eastAsia="Times New Roman" w:hAnsi="Times New Roman"/>
          <w:sz w:val="17"/>
          <w:szCs w:val="17"/>
          <w:color w:val="auto"/>
        </w:rPr>
        <w:t>” means, with respect to any Person other than a natural person, the President, Chief Executive Officer, Chief Financial Officer or Chief Operating Officer of such Person.</w:t>
      </w:r>
    </w:p>
    <w:p>
      <w:pPr>
        <w:spacing w:after="0" w:line="158"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Subject Entity</w:t>
      </w:r>
      <w:r>
        <w:rPr>
          <w:rFonts w:ascii="Times New Roman" w:cs="Times New Roman" w:eastAsia="Times New Roman" w:hAnsi="Times New Roman"/>
          <w:sz w:val="17"/>
          <w:szCs w:val="17"/>
          <w:color w:val="auto"/>
        </w:rPr>
        <w:t>” means any Person, Persons or Group or any Affiliate or associate of any such Person, Persons or Group.</w:t>
      </w:r>
    </w:p>
    <w:p>
      <w:pPr>
        <w:spacing w:after="0" w:line="207" w:lineRule="exact"/>
        <w:rPr>
          <w:rFonts w:ascii="Times New Roman" w:cs="Times New Roman" w:eastAsia="Times New Roman" w:hAnsi="Times New Roman"/>
          <w:sz w:val="17"/>
          <w:szCs w:val="17"/>
          <w:color w:val="auto"/>
        </w:rPr>
      </w:pPr>
    </w:p>
    <w:p>
      <w:pPr>
        <w:jc w:val="both"/>
        <w:ind w:left="300" w:hanging="294"/>
        <w:spacing w:after="0" w:line="251" w:lineRule="auto"/>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(i) any corporation of which an aggregate of more than fifty percent (50%) of the outstanding Capital Stock having ordinary voting power to elect a majority of the board of directors of such corporation (irrespective of whether, at the time, Capital Stock of any other class or classes of such corporation shall have or might have voting power by reason of the happening of any contingency) is at the time, directly or indirectly, owned legally or beneficially by such Person and/or one or more Subsidiaries of such Person, or with respect to which any such Person has the right to vote or designate the vote of more than fifty percent (50%) of such Capital Stock whether by proxy, agreement, operation of law or otherwise, and (ii) any partnership or limited liability company in which such Person or one or more Subsidiaries of such Person has an equity interest (whether in the form of voting or participation in profits or capital contribution) of more than fifty percent (50%) or of which any such Person is a general partner or manager or may exercise the powers of a general partner or manager.</w:t>
      </w:r>
    </w:p>
    <w:p>
      <w:pPr>
        <w:spacing w:after="0" w:line="180" w:lineRule="exact"/>
        <w:rPr>
          <w:sz w:val="20"/>
          <w:szCs w:val="20"/>
          <w:color w:val="auto"/>
        </w:rPr>
      </w:pPr>
    </w:p>
    <w:p>
      <w:pPr>
        <w:jc w:val="both"/>
        <w:ind w:left="300" w:hanging="294"/>
        <w:spacing w:after="0" w:line="261" w:lineRule="auto"/>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means the Person (or, if so elected by the Requisite Holders, the Parent Entity) formed by, resulting from or surviving any Fundamental Transaction or the Person (or, if so elected by the Requisite Holders, the Parent Entity) with which such Fundamental Transaction shall have been entered into.</w:t>
      </w:r>
    </w:p>
    <w:p>
      <w:pPr>
        <w:spacing w:after="0" w:line="169" w:lineRule="exact"/>
        <w:rPr>
          <w:sz w:val="20"/>
          <w:szCs w:val="20"/>
          <w:color w:val="auto"/>
        </w:rPr>
      </w:pPr>
    </w:p>
    <w:p>
      <w:pPr>
        <w:jc w:val="both"/>
        <w:ind w:left="300" w:hanging="302"/>
        <w:spacing w:after="0" w:line="251" w:lineRule="auto"/>
        <w:rPr>
          <w:sz w:val="20"/>
          <w:szCs w:val="20"/>
          <w:color w:val="auto"/>
        </w:rPr>
      </w:pPr>
      <w:r>
        <w:rPr>
          <w:rFonts w:ascii="Times New Roman" w:cs="Times New Roman" w:eastAsia="Times New Roman" w:hAnsi="Times New Roman"/>
          <w:sz w:val="17"/>
          <w:szCs w:val="17"/>
          <w:color w:val="auto"/>
        </w:rPr>
        <w:t>bbb.“</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as applicable, (i)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applicable Holder, or (ii) with respect to all determinations other than price determinations relating to the Common Stock, any day on which The New York Stock Exchange (or any successor thereto) is open for trading of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ccc.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has the meaning set forth in the Exchange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ddd.“</w:t>
      </w:r>
      <w:r>
        <w:rPr>
          <w:rFonts w:ascii="Times New Roman" w:cs="Times New Roman" w:eastAsia="Times New Roman" w:hAnsi="Times New Roman"/>
          <w:sz w:val="17"/>
          <w:szCs w:val="17"/>
          <w:u w:val="single" w:color="auto"/>
          <w:color w:val="auto"/>
        </w:rPr>
        <w:t>Term Loan</w:t>
      </w:r>
      <w:r>
        <w:rPr>
          <w:rFonts w:ascii="Times New Roman" w:cs="Times New Roman" w:eastAsia="Times New Roman" w:hAnsi="Times New Roman"/>
          <w:sz w:val="17"/>
          <w:szCs w:val="17"/>
          <w:color w:val="auto"/>
        </w:rPr>
        <w:t xml:space="preserve">” has the meaning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the definition of “Permitted Indebtedness”.</w:t>
      </w:r>
    </w:p>
    <w:p>
      <w:pPr>
        <w:spacing w:after="0" w:line="208" w:lineRule="exact"/>
        <w:rPr>
          <w:sz w:val="20"/>
          <w:szCs w:val="20"/>
          <w:color w:val="auto"/>
        </w:rPr>
      </w:pPr>
    </w:p>
    <w:p>
      <w:pPr>
        <w:ind w:left="300" w:hanging="294"/>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Lenders</w:t>
      </w:r>
      <w:r>
        <w:rPr>
          <w:rFonts w:ascii="Times New Roman" w:cs="Times New Roman" w:eastAsia="Times New Roman" w:hAnsi="Times New Roman"/>
          <w:sz w:val="17"/>
          <w:szCs w:val="17"/>
          <w:color w:val="auto"/>
        </w:rPr>
        <w:t xml:space="preserve">” has the meaning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the definition of “Permitted Indebtedness”.</w:t>
      </w:r>
    </w:p>
    <w:p>
      <w:pPr>
        <w:spacing w:after="0" w:line="207" w:lineRule="exact"/>
        <w:rPr>
          <w:rFonts w:ascii="Times New Roman" w:cs="Times New Roman" w:eastAsia="Times New Roman" w:hAnsi="Times New Roman"/>
          <w:sz w:val="17"/>
          <w:szCs w:val="17"/>
          <w:color w:val="auto"/>
        </w:rPr>
      </w:pPr>
    </w:p>
    <w:p>
      <w:pPr>
        <w:jc w:val="both"/>
        <w:ind w:left="300" w:hanging="294"/>
        <w:spacing w:after="0" w:line="261"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the Exchange Agreement, this Certificate of Designation and each of the other agreements and instruments entered into or delivered by the Company or any of the Holders in connection with the transactions contemplated by the Exchange Agreement, all as may be amended from time to time in accordance with the terms thereof.</w:t>
      </w:r>
    </w:p>
    <w:p>
      <w:pPr>
        <w:spacing w:after="0" w:line="169" w:lineRule="exact"/>
        <w:rPr>
          <w:sz w:val="20"/>
          <w:szCs w:val="20"/>
          <w:color w:val="auto"/>
        </w:rPr>
      </w:pPr>
    </w:p>
    <w:p>
      <w:pPr>
        <w:jc w:val="both"/>
        <w:ind w:left="300" w:hanging="302"/>
        <w:spacing w:after="0" w:line="250" w:lineRule="auto"/>
        <w:rPr>
          <w:sz w:val="20"/>
          <w:szCs w:val="20"/>
          <w:color w:val="auto"/>
        </w:rPr>
      </w:pPr>
      <w:r>
        <w:rPr>
          <w:rFonts w:ascii="Times New Roman" w:cs="Times New Roman" w:eastAsia="Times New Roman" w:hAnsi="Times New Roman"/>
          <w:sz w:val="17"/>
          <w:szCs w:val="17"/>
          <w:color w:val="auto"/>
        </w:rPr>
        <w:t>ggg.“</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Requisite Holders. If the Company and the Requisite Holders are unable to agree upon the fair market value of such security, then such dispute shall be resolved in accordance with the procedures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All such determinations shall be appropriately adjusted for any stock dividend, stock split, stock combination, recapitalization or other similar transaction during such period.</w:t>
      </w:r>
    </w:p>
    <w:p>
      <w:pPr>
        <w:spacing w:after="0" w:line="17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[The remainder of the page is intentionally left blank]</w:t>
      </w: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3" w:right="339" w:bottom="1440" w:gutter="0" w:footer="0" w:header="0"/>
        </w:sectPr>
      </w:pPr>
    </w:p>
    <w:bookmarkStart w:id="35" w:name="page36"/>
    <w:bookmarkEnd w:id="35"/>
    <w:p>
      <w:pPr>
        <w:ind w:firstLine="605"/>
        <w:spacing w:after="0" w:line="274" w:lineRule="auto"/>
        <w:rPr>
          <w:sz w:val="20"/>
          <w:szCs w:val="20"/>
          <w:color w:val="auto"/>
        </w:rPr>
      </w:pPr>
      <w:r>
        <w:rPr>
          <w:rFonts w:ascii="Times New Roman" w:cs="Times New Roman" w:eastAsia="Times New Roman" w:hAnsi="Times New Roman"/>
          <w:sz w:val="17"/>
          <w:szCs w:val="17"/>
          <w:color w:val="auto"/>
        </w:rPr>
        <w:t>IN WITNESS WHEREOF, the Company has caused this Certificate of Designation of Dragonfly Energy Holdings Corp. to be signed by its President and Chief Executive Officer on this 4th day of November, 2025.</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85"/>
        </w:trPr>
        <w:tc>
          <w:tcPr>
            <w:tcW w:w="6200" w:type="dxa"/>
            <w:vAlign w:val="bottom"/>
          </w:tcPr>
          <w:p>
            <w:pPr>
              <w:ind w:left="564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2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CONVERSION NOTICE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Reference is made to the Certificate of Designation of the Certificate of Incorporation of Dragonfly Energy Holdings Corp.,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establishing the terms, preferences and rights of the Series B Convertible Preferred Stock, $0.0001 par value (the “</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of the Company (the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In accordance with and pursuant to the Certificate of Designation, the undersigned hereby elects to convert the number of Preferred Shares indicated below into shares of common stock, $0.0001 value per share (the “Common Stock”), of the Company, as of the date specified below.</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14605</wp:posOffset>
            </wp:positionV>
            <wp:extent cx="52520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2085" cy="8255"/>
                    </a:xfrm>
                    <a:prstGeom prst="rect">
                      <a:avLst/>
                    </a:prstGeom>
                    <a:noFill/>
                  </pic:spPr>
                </pic:pic>
              </a:graphicData>
            </a:graphic>
          </wp:anchor>
        </w:drawing>
      </w:r>
    </w:p>
    <w:p>
      <w:pPr>
        <w:spacing w:after="0" w:line="2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Aggregate number of Preferred</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4445</wp:posOffset>
            </wp:positionV>
            <wp:extent cx="39389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38905" cy="8255"/>
                    </a:xfrm>
                    <a:prstGeom prst="rect">
                      <a:avLst/>
                    </a:prstGeom>
                    <a:noFill/>
                  </pic:spPr>
                </pic:pic>
              </a:graphicData>
            </a:graphic>
          </wp:anchor>
        </w:drawing>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Aggregate Liquidation Preference of  such</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4445</wp:posOffset>
            </wp:positionV>
            <wp:extent cx="3938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38905" cy="8255"/>
                    </a:xfrm>
                    <a:prstGeom prst="rect">
                      <a:avLst/>
                    </a:prstGeom>
                    <a:noFill/>
                  </pic:spPr>
                </pic:pic>
              </a:graphicData>
            </a:graphic>
          </wp:anchor>
        </w:drawing>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Aggregate accrued and unpaid Dividends with</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respect to such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4445</wp:posOffset>
            </wp:positionV>
            <wp:extent cx="39389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38905" cy="8255"/>
                    </a:xfrm>
                    <a:prstGeom prst="rect">
                      <a:avLst/>
                    </a:prstGeom>
                    <a:noFill/>
                  </pic:spPr>
                </pic:pic>
              </a:graphicData>
            </a:graphic>
          </wp:anchor>
        </w:drawing>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AGGREGATE CONVERSION AMOUNT TO BE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4445</wp:posOffset>
            </wp:positionV>
            <wp:extent cx="4267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672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confirm the following information: Conversion Price: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14605</wp:posOffset>
            </wp:positionV>
            <wp:extent cx="5252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52085" cy="8255"/>
                    </a:xfrm>
                    <a:prstGeom prst="rect">
                      <a:avLst/>
                    </a:prstGeom>
                    <a:noFill/>
                  </pic:spPr>
                </pic:pic>
              </a:graphicData>
            </a:graphic>
          </wp:anchor>
        </w:drawing>
      </w:r>
    </w:p>
    <w:p>
      <w:pPr>
        <w:spacing w:after="0" w:line="2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14605</wp:posOffset>
            </wp:positionV>
            <wp:extent cx="3938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3890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issue the Common Stock into which the applicable Preferred Shares are being converted to Holder, or for its benefit, as follows:</w:t>
      </w:r>
    </w:p>
    <w:p>
      <w:pPr>
        <w:spacing w:after="0" w:line="208" w:lineRule="exact"/>
        <w:rPr>
          <w:sz w:val="20"/>
          <w:szCs w:val="20"/>
          <w:color w:val="auto"/>
        </w:rPr>
      </w:pPr>
    </w:p>
    <w:p>
      <w:pPr>
        <w:ind w:left="600" w:right="3680" w:firstLine="6"/>
        <w:spacing w:after="0" w:line="522" w:lineRule="auto"/>
        <w:tabs>
          <w:tab w:leader="none" w:pos="793" w:val="left"/>
        </w:tabs>
        <w:numPr>
          <w:ilvl w:val="0"/>
          <w:numId w:val="4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requesting delivery as a certificate to the following name and to the following address: 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127000</wp:posOffset>
            </wp:positionV>
            <wp:extent cx="52520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52085" cy="825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-8255</wp:posOffset>
            </wp:positionV>
            <wp:extent cx="5252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52085" cy="825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-144780</wp:posOffset>
            </wp:positionV>
            <wp:extent cx="5252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52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407035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ind w:right="3839" w:firstLine="6"/>
        <w:spacing w:after="0" w:line="503" w:lineRule="auto"/>
        <w:tabs>
          <w:tab w:leader="none" w:pos="193" w:val="left"/>
        </w:tabs>
        <w:numPr>
          <w:ilvl w:val="0"/>
          <w:numId w:val="4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requesting delivery by Deposit/Withdrawal at Custodian as follows: DTC Participant:</w:t>
      </w:r>
    </w:p>
    <w:p>
      <w:pPr>
        <w:ind w:right="8319"/>
        <w:spacing w:after="0" w:line="542" w:lineRule="auto"/>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DTC Number: Account Number:</w:t>
      </w:r>
    </w:p>
    <w:p>
      <w:pPr>
        <w:spacing w:after="0" w:line="1"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Date: _____________, ____,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-248920</wp:posOffset>
            </wp:positionV>
            <wp:extent cx="5252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52085"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-513080</wp:posOffset>
            </wp:positionV>
            <wp:extent cx="5252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52085"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-777240</wp:posOffset>
            </wp:positionV>
            <wp:extent cx="52520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5208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Registered 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ID: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286385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9"/>
          </w:cols>
          <w:pgMar w:left="920" w:top="653"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II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The Company hereby acknowledges this Conversion Notice, (a) certifies that the above indicated number of shares of Common Stock [are][are not] eligible to be resold by the applicable Holder either (i) pursuant to Rule 144 or Section 4(a)(1) of the 1933 Act (subject to such Holder’s execution and delivery to the Company of a customary 144 or Section 4(a)(1) representation letter) or (ii) an effective and available registration statement and (b) hereby directs ________________</w:t>
      </w:r>
    </w:p>
    <w:p>
      <w:pPr>
        <w:spacing w:after="0"/>
        <w:rPr>
          <w:sz w:val="20"/>
          <w:szCs w:val="20"/>
          <w:color w:val="auto"/>
        </w:rPr>
      </w:pPr>
      <w:r>
        <w:rPr>
          <w:rFonts w:ascii="Times New Roman" w:cs="Times New Roman" w:eastAsia="Times New Roman" w:hAnsi="Times New Roman"/>
          <w:sz w:val="17"/>
          <w:szCs w:val="17"/>
          <w:color w:val="auto"/>
        </w:rPr>
        <w:t>to issue the above indicated number of shares of Common Stock in accordance with the Transfer Agent Instructions dated____________, 20____ from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acknowledged and agreed to by_______________________.</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284480</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CONTRIBUTION AND EXCHANGE AGREEMENT</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This CONTRIBUTION AND EXCHANGE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effective as of November 4, 2025, and entered into by and between Dragonfly Energy Holdings Corp., a Nevada corporation ( “</w:t>
      </w:r>
      <w:r>
        <w:rPr>
          <w:rFonts w:ascii="Times New Roman" w:cs="Times New Roman" w:eastAsia="Times New Roman" w:hAnsi="Times New Roman"/>
          <w:sz w:val="16"/>
          <w:szCs w:val="16"/>
          <w:u w:val="single" w:color="auto"/>
          <w:color w:val="auto"/>
        </w:rPr>
        <w:t>Holdings</w:t>
      </w:r>
      <w:r>
        <w:rPr>
          <w:rFonts w:ascii="Times New Roman" w:cs="Times New Roman" w:eastAsia="Times New Roman" w:hAnsi="Times New Roman"/>
          <w:sz w:val="16"/>
          <w:szCs w:val="16"/>
          <w:color w:val="auto"/>
        </w:rPr>
        <w:t>”), Dragonfly Energy Corp., a Nevada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and together with Holdings, each a “</w:t>
      </w:r>
      <w:r>
        <w:rPr>
          <w:rFonts w:ascii="Times New Roman" w:cs="Times New Roman" w:eastAsia="Times New Roman" w:hAnsi="Times New Roman"/>
          <w:sz w:val="16"/>
          <w:szCs w:val="16"/>
          <w:u w:val="single" w:color="auto"/>
          <w:color w:val="auto"/>
        </w:rPr>
        <w:t>Company Party</w:t>
      </w:r>
      <w:r>
        <w:rPr>
          <w:rFonts w:ascii="Times New Roman" w:cs="Times New Roman" w:eastAsia="Times New Roman" w:hAnsi="Times New Roman"/>
          <w:sz w:val="16"/>
          <w:szCs w:val="16"/>
          <w:color w:val="auto"/>
        </w:rPr>
        <w:t>”), and each of the entities (each, a “</w:t>
      </w:r>
      <w:r>
        <w:rPr>
          <w:rFonts w:ascii="Times New Roman" w:cs="Times New Roman" w:eastAsia="Times New Roman" w:hAnsi="Times New Roman"/>
          <w:sz w:val="16"/>
          <w:szCs w:val="16"/>
          <w:u w:val="single" w:color="auto"/>
          <w:color w:val="auto"/>
        </w:rPr>
        <w:t>Lender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Lenders</w:t>
      </w:r>
      <w:r>
        <w:rPr>
          <w:rFonts w:ascii="Times New Roman" w:cs="Times New Roman" w:eastAsia="Times New Roman" w:hAnsi="Times New Roman"/>
          <w:sz w:val="16"/>
          <w:szCs w:val="16"/>
          <w:color w:val="auto"/>
        </w:rPr>
        <w:t xml:space="preserve">”; and, the accounts, if any, on behalf of which any Lender or its affiliates may be acting, as specified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for whom the Lender holds contractual and/or investment authority, are referred to herein as the “</w:t>
      </w:r>
      <w:r>
        <w:rPr>
          <w:rFonts w:ascii="Times New Roman" w:cs="Times New Roman" w:eastAsia="Times New Roman" w:hAnsi="Times New Roman"/>
          <w:sz w:val="16"/>
          <w:szCs w:val="16"/>
          <w:u w:val="single" w:color="auto"/>
          <w:color w:val="auto"/>
        </w:rPr>
        <w:t>Represented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Accounts</w:t>
      </w:r>
      <w:r>
        <w:rPr>
          <w:rFonts w:ascii="Times New Roman" w:cs="Times New Roman" w:eastAsia="Times New Roman" w:hAnsi="Times New Roman"/>
          <w:sz w:val="16"/>
          <w:szCs w:val="16"/>
          <w:color w:val="auto"/>
        </w:rPr>
        <w:t xml:space="preserve">”)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attached hereto. Holdings, the Borrower and the Lenders are sometimes collectively referred to in this Agreement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and individually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All terms used but not otherwise defined herein have the meanings assigned to them in the Loan Agreement (as defined below).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RECITALS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1210"/>
        <w:spacing w:after="0" w:line="251" w:lineRule="auto"/>
        <w:rPr>
          <w:sz w:val="20"/>
          <w:szCs w:val="20"/>
          <w:color w:val="auto"/>
        </w:rPr>
      </w:pPr>
      <w:r>
        <w:rPr>
          <w:rFonts w:ascii="Times New Roman" w:cs="Times New Roman" w:eastAsia="Times New Roman" w:hAnsi="Times New Roman"/>
          <w:sz w:val="17"/>
          <w:szCs w:val="17"/>
          <w:color w:val="auto"/>
        </w:rPr>
        <w:t>WHEREAS, pursuant to that certain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that certain Limited Waiver and Third Amendment to Term Loan, Guarantee and Security Agreement, dated as of September 30, 2024, that certain Limited Waiver and Fourth Amendment to Term Loan, Guarantee and Security Agreement and Temporary, Limited Suspension and Waiver of Warrant Terms, dated as of December 31, 2024, that certain Fifth Amendment to Term Loan, Guarantee and Security Agreement Limited Waiver and Amendment of Warrant Terms, dated as of February 26, 2025, and that certain Sixth Amendment to Term Loan, Guarantee and Security Agreement, dated as of October 20, 2025), among Holdings, the Borrower, each Lender, and the other parties thereto (as may be further amended, modified, extended, restated, replaced, and/or supplemented from time to time, collectively, the “</w:t>
      </w:r>
      <w:r>
        <w:rPr>
          <w:rFonts w:ascii="Times New Roman" w:cs="Times New Roman" w:eastAsia="Times New Roman" w:hAnsi="Times New Roman"/>
          <w:sz w:val="17"/>
          <w:szCs w:val="17"/>
          <w:u w:val="single" w:color="auto"/>
          <w:color w:val="auto"/>
        </w:rPr>
        <w:t>Loan Agreement</w:t>
      </w:r>
      <w:r>
        <w:rPr>
          <w:rFonts w:ascii="Times New Roman" w:cs="Times New Roman" w:eastAsia="Times New Roman" w:hAnsi="Times New Roman"/>
          <w:sz w:val="17"/>
          <w:szCs w:val="17"/>
          <w:color w:val="auto"/>
        </w:rPr>
        <w:t>”), the Borrower currently owes to the Lenders certain Term Loans in an aggregate principal amount equal to $44,425,014.55 (the “</w:t>
      </w:r>
      <w:r>
        <w:rPr>
          <w:rFonts w:ascii="Times New Roman" w:cs="Times New Roman" w:eastAsia="Times New Roman" w:hAnsi="Times New Roman"/>
          <w:sz w:val="17"/>
          <w:szCs w:val="17"/>
          <w:u w:val="single" w:color="auto"/>
          <w:color w:val="auto"/>
        </w:rPr>
        <w:t>Term Loan</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1210"/>
        <w:spacing w:after="0" w:line="268" w:lineRule="auto"/>
        <w:rPr>
          <w:sz w:val="20"/>
          <w:szCs w:val="20"/>
          <w:color w:val="auto"/>
        </w:rPr>
      </w:pPr>
      <w:r>
        <w:rPr>
          <w:rFonts w:ascii="Times New Roman" w:cs="Times New Roman" w:eastAsia="Times New Roman" w:hAnsi="Times New Roman"/>
          <w:sz w:val="16"/>
          <w:szCs w:val="16"/>
          <w:color w:val="auto"/>
        </w:rPr>
        <w:t>WHEREAS, Holdings has authorized a new series of convertible preferred stock of Holdings designated as Series B Convertible Preferred Stock, $0.0001 par value, the terms of which are set forth in the certificate of designation for such series of preferred stock (the “</w:t>
      </w:r>
      <w:r>
        <w:rPr>
          <w:rFonts w:ascii="Times New Roman" w:cs="Times New Roman" w:eastAsia="Times New Roman" w:hAnsi="Times New Roman"/>
          <w:sz w:val="16"/>
          <w:szCs w:val="16"/>
          <w:u w:val="single" w:color="auto"/>
          <w:color w:val="auto"/>
        </w:rPr>
        <w:t>Certificate of Designation</w:t>
      </w:r>
      <w:r>
        <w:rPr>
          <w:rFonts w:ascii="Times New Roman" w:cs="Times New Roman" w:eastAsia="Times New Roman" w:hAnsi="Times New Roman"/>
          <w:sz w:val="16"/>
          <w:szCs w:val="16"/>
          <w:color w:val="auto"/>
        </w:rPr>
        <w:t xml:space="preserve">”) in the form attached hereto as </w:t>
      </w:r>
      <w:r>
        <w:rPr>
          <w:rFonts w:ascii="Times New Roman" w:cs="Times New Roman" w:eastAsia="Times New Roman" w:hAnsi="Times New Roman"/>
          <w:sz w:val="16"/>
          <w:szCs w:val="16"/>
          <w:u w:val="single" w:color="auto"/>
          <w:color w:val="auto"/>
        </w:rPr>
        <w:t>Exhibit I</w:t>
      </w:r>
      <w:r>
        <w:rPr>
          <w:rFonts w:ascii="Times New Roman" w:cs="Times New Roman" w:eastAsia="Times New Roman" w:hAnsi="Times New Roman"/>
          <w:sz w:val="16"/>
          <w:szCs w:val="16"/>
          <w:color w:val="auto"/>
        </w:rPr>
        <w:t xml:space="preserve"> (together with any convertible preferred shares issued in replacement thereof in accordance with the terms thereof, the “</w:t>
      </w:r>
      <w:r>
        <w:rPr>
          <w:rFonts w:ascii="Times New Roman" w:cs="Times New Roman" w:eastAsia="Times New Roman" w:hAnsi="Times New Roman"/>
          <w:sz w:val="16"/>
          <w:szCs w:val="16"/>
          <w:u w:val="single" w:color="auto"/>
          <w:color w:val="auto"/>
        </w:rPr>
        <w:t>Series B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w:t>
      </w:r>
      <w:r>
        <w:rPr>
          <w:rFonts w:ascii="Times New Roman" w:cs="Times New Roman" w:eastAsia="Times New Roman" w:hAnsi="Times New Roman"/>
          <w:sz w:val="16"/>
          <w:szCs w:val="16"/>
          <w:color w:val="auto"/>
        </w:rPr>
        <w:t>”), which Series B Preferred Stock shall be convertible into shares of Common Stock (as defined below) (such shares of Common Stock issuable pursuant to the terms of the Certificate of Designation, including, without limitation, upon conversion or otherwise, collectively, the “</w:t>
      </w:r>
      <w:r>
        <w:rPr>
          <w:rFonts w:ascii="Times New Roman" w:cs="Times New Roman" w:eastAsia="Times New Roman" w:hAnsi="Times New Roman"/>
          <w:sz w:val="16"/>
          <w:szCs w:val="16"/>
          <w:u w:val="single" w:color="auto"/>
          <w:color w:val="auto"/>
        </w:rPr>
        <w:t>Conversion Shares</w:t>
      </w:r>
      <w:r>
        <w:rPr>
          <w:rFonts w:ascii="Times New Roman" w:cs="Times New Roman" w:eastAsia="Times New Roman" w:hAnsi="Times New Roman"/>
          <w:sz w:val="16"/>
          <w:szCs w:val="16"/>
          <w:color w:val="auto"/>
        </w:rPr>
        <w:t>”), in accordance with the terms of the Certificate of Designation.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(i) Holdings’ shares of common stock, $0.0001 par value per share, and (ii) any Capital Stock into which such common stock shall have been changed or any share capital resulting from a reclassification of such common stock, and “</w:t>
      </w:r>
      <w:r>
        <w:rPr>
          <w:rFonts w:ascii="Times New Roman" w:cs="Times New Roman" w:eastAsia="Times New Roman" w:hAnsi="Times New Roman"/>
          <w:sz w:val="16"/>
          <w:szCs w:val="16"/>
          <w:u w:val="single" w:color="auto"/>
          <w:color w:val="auto"/>
        </w:rPr>
        <w:t>Capital Stock</w:t>
      </w:r>
      <w:r>
        <w:rPr>
          <w:rFonts w:ascii="Times New Roman" w:cs="Times New Roman" w:eastAsia="Times New Roman" w:hAnsi="Times New Roman"/>
          <w:sz w:val="16"/>
          <w:szCs w:val="16"/>
          <w:color w:val="auto"/>
        </w:rPr>
        <w:t>” means (i) with respect to any Person that is a corporation or company, any and all shares, interests, participations or other equivalents (however designated) of capital or capital stock of such Person, and (ii) with respect to any Person that is not a corporation or company, any and all partnership or other equity interests of such Person;</w:t>
      </w:r>
    </w:p>
    <w:p>
      <w:pPr>
        <w:spacing w:after="0" w:line="168" w:lineRule="exact"/>
        <w:rPr>
          <w:sz w:val="20"/>
          <w:szCs w:val="20"/>
          <w:color w:val="auto"/>
        </w:rPr>
      </w:pPr>
    </w:p>
    <w:p>
      <w:pPr>
        <w:jc w:val="both"/>
        <w:ind w:firstLine="1210"/>
        <w:spacing w:after="0" w:line="253" w:lineRule="auto"/>
        <w:rPr>
          <w:sz w:val="20"/>
          <w:szCs w:val="20"/>
          <w:color w:val="auto"/>
        </w:rPr>
      </w:pPr>
      <w:r>
        <w:rPr>
          <w:rFonts w:ascii="Times New Roman" w:cs="Times New Roman" w:eastAsia="Times New Roman" w:hAnsi="Times New Roman"/>
          <w:sz w:val="17"/>
          <w:szCs w:val="17"/>
          <w:color w:val="auto"/>
        </w:rPr>
        <w:t xml:space="preserve">WHEREAS, on the date hereof and pursuant to the terms and conditions set forth herein, the Lenders wish to contribute, assign and deliver all of their respective rights, title and interest in and to a portion of the Term Loan equal to an aggregate principal amount equal to $25,000,000 and as set forth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u w:val="single" w:color="auto"/>
          <w:color w:val="auto"/>
        </w:rPr>
        <w:t>Exchanged Term Loan</w:t>
      </w:r>
      <w:r>
        <w:rPr>
          <w:rFonts w:ascii="Times New Roman" w:cs="Times New Roman" w:eastAsia="Times New Roman" w:hAnsi="Times New Roman"/>
          <w:sz w:val="17"/>
          <w:szCs w:val="17"/>
          <w:color w:val="auto"/>
        </w:rPr>
        <w:t>”), to Holdings, and Holdings wishes to accept from the Lenders, the Lender’s rights, title and interest in and to the Exchanged Term Loan in exchange for the issuance by Holdings to each Lender, the number of shares Series B Preferred Stock of Holdings (collectively, the “</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and together with the Conversion Shares, collectively,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set forth across from each Lender’s name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(such contribution and exchange, the “</w:t>
      </w:r>
      <w:r>
        <w:rPr>
          <w:rFonts w:ascii="Times New Roman" w:cs="Times New Roman" w:eastAsia="Times New Roman" w:hAnsi="Times New Roman"/>
          <w:sz w:val="17"/>
          <w:szCs w:val="17"/>
          <w:u w:val="single" w:color="auto"/>
          <w:color w:val="auto"/>
        </w:rPr>
        <w:t>Contribution and Exchange</w:t>
      </w:r>
      <w:r>
        <w:rPr>
          <w:rFonts w:ascii="Times New Roman" w:cs="Times New Roman" w:eastAsia="Times New Roman" w:hAnsi="Times New Roman"/>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266065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0" w:name="page41"/>
    <w:bookmarkEnd w:id="40"/>
    <w:p>
      <w:pPr>
        <w:jc w:val="both"/>
        <w:ind w:firstLine="1210"/>
        <w:spacing w:after="0" w:line="261" w:lineRule="auto"/>
        <w:rPr>
          <w:sz w:val="20"/>
          <w:szCs w:val="20"/>
          <w:color w:val="auto"/>
        </w:rPr>
      </w:pPr>
      <w:r>
        <w:rPr>
          <w:rFonts w:ascii="Times New Roman" w:cs="Times New Roman" w:eastAsia="Times New Roman" w:hAnsi="Times New Roman"/>
          <w:sz w:val="17"/>
          <w:szCs w:val="17"/>
          <w:color w:val="auto"/>
        </w:rPr>
        <w:t>WHEREAS, Holdings and each Lender are executing and delivering this Agreement in reliance upon the exemption from securities registration afforded by Section 4(a)(2) of the 1933 Act) and Rule 506(b) of Regulation D (“</w:t>
      </w:r>
      <w:r>
        <w:rPr>
          <w:rFonts w:ascii="Times New Roman" w:cs="Times New Roman" w:eastAsia="Times New Roman" w:hAnsi="Times New Roman"/>
          <w:sz w:val="17"/>
          <w:szCs w:val="17"/>
          <w:u w:val="single" w:color="auto"/>
          <w:color w:val="auto"/>
        </w:rPr>
        <w:t>Regulation D</w:t>
      </w:r>
      <w:r>
        <w:rPr>
          <w:rFonts w:ascii="Times New Roman" w:cs="Times New Roman" w:eastAsia="Times New Roman" w:hAnsi="Times New Roman"/>
          <w:sz w:val="17"/>
          <w:szCs w:val="17"/>
          <w:color w:val="auto"/>
        </w:rPr>
        <w:t>”) as promulgated by the United States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under the 1933 Act.</w:t>
      </w:r>
    </w:p>
    <w:p>
      <w:pPr>
        <w:spacing w:after="0" w:line="1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NOW, THEREFORE, in consideration of the mutual covenants, agreements and understandings herein contained, the Parties agree as follows: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CLOSING; CONTRIBUTION AND EXCHANGE</w:t>
      </w:r>
    </w:p>
    <w:p>
      <w:pPr>
        <w:spacing w:after="0" w:line="208" w:lineRule="exact"/>
        <w:rPr>
          <w:sz w:val="20"/>
          <w:szCs w:val="20"/>
          <w:color w:val="auto"/>
        </w:rPr>
      </w:pPr>
    </w:p>
    <w:p>
      <w:pPr>
        <w:jc w:val="both"/>
        <w:ind w:firstLine="1210"/>
        <w:spacing w:after="0" w:line="274"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Subject to the terms and conditions of this Agreement, Holdings, the Borrower, and the Lenders agree that closing of the transactions contemplated by this Agreement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occur as soon as reasonably practicable following the date hereof (the “Closing”).</w:t>
      </w:r>
    </w:p>
    <w:p>
      <w:pPr>
        <w:spacing w:after="0" w:line="15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Contribution and Exchange</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1211"/>
        <w:spacing w:after="0" w:line="254" w:lineRule="auto"/>
        <w:tabs>
          <w:tab w:leader="none" w:pos="146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Closing, each Lender hereby assigns, transfers and conveys, as a contribution to Holdings, such Lender’s right, title and interest in and to its pro rata portion of the Exchanged Term Loan in the amount set forth next to its name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together with all rights, privileges, restrictions, obligations and instruments related to such Exchanged Term Loan, in exchange for the issuance of the Preferred Shares in the amount set forth next to its name on (collectively, the “</w:t>
      </w:r>
      <w:r>
        <w:rPr>
          <w:rFonts w:ascii="Times New Roman" w:cs="Times New Roman" w:eastAsia="Times New Roman" w:hAnsi="Times New Roman"/>
          <w:sz w:val="17"/>
          <w:szCs w:val="17"/>
          <w:u w:val="single" w:color="auto"/>
          <w:color w:val="auto"/>
        </w:rPr>
        <w:t>Holdings Contribution</w:t>
      </w:r>
      <w:r>
        <w:rPr>
          <w:rFonts w:ascii="Times New Roman" w:cs="Times New Roman" w:eastAsia="Times New Roman" w:hAnsi="Times New Roman"/>
          <w:sz w:val="17"/>
          <w:szCs w:val="17"/>
          <w:color w:val="auto"/>
        </w:rPr>
        <w:t xml:space="preserve">”). Holdings hereby (i) as of the Closing, accepts the assignment, transfer and conveyance of the Exchanged Term Loan, and (ii) on the date of Closing, will issue the Preferred Shares to each Lender in the amounts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w:t>
      </w:r>
    </w:p>
    <w:p>
      <w:pPr>
        <w:spacing w:after="0" w:line="175" w:lineRule="exact"/>
        <w:rPr>
          <w:rFonts w:ascii="Times New Roman" w:cs="Times New Roman" w:eastAsia="Times New Roman" w:hAnsi="Times New Roman"/>
          <w:sz w:val="17"/>
          <w:szCs w:val="17"/>
          <w:color w:val="auto"/>
        </w:rPr>
      </w:pPr>
    </w:p>
    <w:p>
      <w:pPr>
        <w:jc w:val="both"/>
        <w:ind w:firstLine="1211"/>
        <w:spacing w:after="0" w:line="256" w:lineRule="auto"/>
        <w:tabs>
          <w:tab w:leader="none" w:pos="147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date of Closing, immediately following the Holdings Contribution, Holdings hereby assigns, transfers and conveys, as a contribution to Borrower, 100% of Holdings’ right, title and interest in and to the Exchanged Term Loans, together with all rights, privileges, restrictions, obligations and instruments related to such Exchanged Term Loans (the “</w:t>
      </w:r>
      <w:r>
        <w:rPr>
          <w:rFonts w:ascii="Times New Roman" w:cs="Times New Roman" w:eastAsia="Times New Roman" w:hAnsi="Times New Roman"/>
          <w:sz w:val="17"/>
          <w:szCs w:val="17"/>
          <w:u w:val="single" w:color="auto"/>
          <w:color w:val="auto"/>
        </w:rPr>
        <w:t>Borrower Contribution</w:t>
      </w:r>
      <w:r>
        <w:rPr>
          <w:rFonts w:ascii="Times New Roman" w:cs="Times New Roman" w:eastAsia="Times New Roman" w:hAnsi="Times New Roman"/>
          <w:sz w:val="17"/>
          <w:szCs w:val="17"/>
          <w:color w:val="auto"/>
        </w:rPr>
        <w:t>”). The Borrower hereby accepts the assignment, transfer and conveyance of the Exchanged Term Loans pursuant to the Borrower Contribution.</w:t>
      </w:r>
    </w:p>
    <w:p>
      <w:pPr>
        <w:spacing w:after="0" w:line="1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Covenants and Conditions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1211"/>
        <w:spacing w:after="0" w:line="261" w:lineRule="auto"/>
        <w:tabs>
          <w:tab w:leader="none" w:pos="146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the Borrower and each Lender shall take such actions as are necessary and legally required to consummate the Contribution and Exchange, including, for the avoidance of doubt, Holdings taking all actions to effect the issuance and delivery of the Preferred Shares to each Lender, free and clear of any liens, together with all rights and benefits attached thereto, and to reflect such issuance and delivery on the books and records of Holdings.</w:t>
      </w:r>
    </w:p>
    <w:p>
      <w:pPr>
        <w:spacing w:after="0" w:line="169" w:lineRule="exact"/>
        <w:rPr>
          <w:rFonts w:ascii="Times New Roman" w:cs="Times New Roman" w:eastAsia="Times New Roman" w:hAnsi="Times New Roman"/>
          <w:sz w:val="17"/>
          <w:szCs w:val="17"/>
          <w:color w:val="auto"/>
        </w:rPr>
      </w:pPr>
    </w:p>
    <w:p>
      <w:pPr>
        <w:jc w:val="both"/>
        <w:ind w:firstLine="1211"/>
        <w:spacing w:after="0" w:line="261" w:lineRule="auto"/>
        <w:tabs>
          <w:tab w:leader="none" w:pos="14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shall cause its counsel, at its expense, to issue a legal opinion to the Lenders which will include assurances that Preferred Shares have been duly authorized by all requisite corporate action on the part of Holdings and, upon their issuance, delivery and payment therefor in the manner contemplated by the terms of this Exchange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1" w:name="page42"/>
    <w:bookmarkEnd w:id="41"/>
    <w:p>
      <w:pPr>
        <w:ind w:firstLine="1211"/>
        <w:spacing w:after="0" w:line="274" w:lineRule="auto"/>
        <w:tabs>
          <w:tab w:leader="none" w:pos="14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the Company Parties shall pay, or cause to be paid, the Lenders for all reasonable and documented fees and expenses of counsel for each Lender incurred in connection with the transactions anticipated by this Agreement that have not previously been reimbursed prior to Closing.</w:t>
      </w:r>
    </w:p>
    <w:p>
      <w:pPr>
        <w:spacing w:after="0" w:line="158" w:lineRule="exact"/>
        <w:rPr>
          <w:rFonts w:ascii="Times New Roman" w:cs="Times New Roman" w:eastAsia="Times New Roman" w:hAnsi="Times New Roman"/>
          <w:sz w:val="17"/>
          <w:szCs w:val="17"/>
          <w:color w:val="auto"/>
        </w:rPr>
      </w:pPr>
    </w:p>
    <w:p>
      <w:pPr>
        <w:ind w:firstLine="1211"/>
        <w:spacing w:after="0" w:line="274" w:lineRule="auto"/>
        <w:tabs>
          <w:tab w:leader="none" w:pos="145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Holdings shall have submitted a Listing of Additional Shares Notification with the Nasdaq Capital Market (the “</w:t>
      </w:r>
      <w:r>
        <w:rPr>
          <w:rFonts w:ascii="Times New Roman" w:cs="Times New Roman" w:eastAsia="Times New Roman" w:hAnsi="Times New Roman"/>
          <w:sz w:val="17"/>
          <w:szCs w:val="17"/>
          <w:u w:val="single" w:color="auto"/>
          <w:color w:val="auto"/>
        </w:rPr>
        <w:t>Principal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Market</w:t>
      </w:r>
      <w:r>
        <w:rPr>
          <w:rFonts w:ascii="Times New Roman" w:cs="Times New Roman" w:eastAsia="Times New Roman" w:hAnsi="Times New Roman"/>
          <w:sz w:val="17"/>
          <w:szCs w:val="17"/>
          <w:color w:val="auto"/>
        </w:rPr>
        <w:t>”) with respect to the Conversion Shares.</w:t>
      </w:r>
    </w:p>
    <w:p>
      <w:pPr>
        <w:spacing w:after="0" w:line="158" w:lineRule="exact"/>
        <w:rPr>
          <w:rFonts w:ascii="Times New Roman" w:cs="Times New Roman" w:eastAsia="Times New Roman" w:hAnsi="Times New Roman"/>
          <w:sz w:val="17"/>
          <w:szCs w:val="17"/>
          <w:color w:val="auto"/>
        </w:rPr>
      </w:pPr>
    </w:p>
    <w:p>
      <w:pPr>
        <w:jc w:val="both"/>
        <w:ind w:firstLine="1211"/>
        <w:spacing w:after="0" w:line="249" w:lineRule="auto"/>
        <w:tabs>
          <w:tab w:leader="none" w:pos="144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 view to making available to the Lenders the benefits of Rule 144, Holdings agrees to use its commercially reasonable efforts to: (i) make and keep public information available, as those terms are understood and defined in Rule 144; (ii) file with the SEC in a timely manner all reports and other documents required of Holdings under the 1933 Act and the 1934 Act so long as Holdings remains subject to such requirements (it being understood and agreed that nothing herein shall limit any obligations of Holdings under this Agreement) and the filing of such reports and other documents is required for the applicable provisions of Rule 144; and (iii) furnish to each Lender so long as such Lender owns Registrable Securities, promptly upon request, (A) a written statement by Holdings, if true, that it has complied with the reporting, submission and posting requirements of Rule 144, the 1933 Act and the 1934 Act, (B) a copy of the most recent annual or quarterly report of Holdings and such other reports and documents so filed by Holdings with the SEC if such reports are not publicly available via EDGAR, and (C) such other information as may be reasonably requested to permit the Lenders to sell such securities pursuant to Rule 144 without registration. “</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means (I) the Conversion Shares, and (II) any capital stock of Holdings issued or issuable with respect to the Conversion Shares and the Preferred Shares, including, without limitation, (y) as a result of any stock split, stock dividend, recapitalization, exchange or similar event or otherwise and (z) shares of capital stock of Holdings into which the shares of Common Stock are converted or exchanged and shares of capital stock of a Successor Entity (as defined in the Certificate of Designation) into which the shares of Common Stock are converted or exchanged, in each case, without regard to any limitations on conversion of the Preferred Shares; provided, that, any securities described in (I) and (II) above shall no longer be deemed to be Registrable Securities when such securities may be resold by such Lender without restriction (including, without limitation, volume limitations) pursuant to Rule 144 (taking account of any position of the staff of the SEC with respect to “affiliate” status).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LENDER REPRESENTATIONS AND WARANTIES</w:t>
      </w:r>
    </w:p>
    <w:p>
      <w:pPr>
        <w:spacing w:after="0" w:line="2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SECTION 2.01. Each Lender, severally and not jointly, represents and warrants to each Company Party, with respect to only itself that, as of the date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hereof:</w:t>
      </w:r>
    </w:p>
    <w:p>
      <w:pPr>
        <w:spacing w:after="0" w:line="192" w:lineRule="exact"/>
        <w:rPr>
          <w:sz w:val="20"/>
          <w:szCs w:val="20"/>
          <w:color w:val="auto"/>
        </w:rPr>
      </w:pPr>
    </w:p>
    <w:p>
      <w:pPr>
        <w:jc w:val="both"/>
        <w:ind w:firstLine="1211"/>
        <w:spacing w:after="0" w:line="261" w:lineRule="auto"/>
        <w:tabs>
          <w:tab w:leader="none" w:pos="143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Authority</w:t>
      </w:r>
      <w:r>
        <w:rPr>
          <w:rFonts w:ascii="Times New Roman" w:cs="Times New Roman" w:eastAsia="Times New Roman" w:hAnsi="Times New Roman"/>
          <w:sz w:val="17"/>
          <w:szCs w:val="17"/>
          <w:color w:val="auto"/>
        </w:rPr>
        <w:t>. Such Lender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2" w:name="page43"/>
    <w:bookmarkEnd w:id="42"/>
    <w:p>
      <w:pPr>
        <w:jc w:val="both"/>
        <w:ind w:left="-1120" w:firstLine="1211"/>
        <w:spacing w:after="0" w:line="251" w:lineRule="auto"/>
        <w:tabs>
          <w:tab w:leader="none" w:pos="32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Public Sale or Distribution</w:t>
      </w:r>
      <w:r>
        <w:rPr>
          <w:rFonts w:ascii="Times New Roman" w:cs="Times New Roman" w:eastAsia="Times New Roman" w:hAnsi="Times New Roman"/>
          <w:sz w:val="17"/>
          <w:szCs w:val="17"/>
          <w:color w:val="auto"/>
        </w:rPr>
        <w:t>. Such Lender is acquiring its Preferred Shares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Lender does not agree, or make any representation or warranty, to hold any of the Preferred Shares for any minimum or other specific term, except as restricted in the Certificate of Designation, and reserves the right to dispose of the Preferred Shares at any time in accordance with or pursuant to a registration statement or an exemption from registration under the 1933 Act. Such Lender does not presently have any agreement or understanding, directly or indirectly, with any Person to distribute any of the Preferred Shares in violation of applicable securities laws. For purposes of this Agreement, “Person” means an individual, a limited liability company, a partnership, a joint venture, a corporation, a trust, an unincorporated organization, any other entity and any governmental entity or any department or agency thereof.</w:t>
      </w:r>
    </w:p>
    <w:p>
      <w:pPr>
        <w:spacing w:after="0" w:line="180" w:lineRule="exact"/>
        <w:rPr>
          <w:rFonts w:ascii="Times New Roman" w:cs="Times New Roman" w:eastAsia="Times New Roman" w:hAnsi="Times New Roman"/>
          <w:sz w:val="17"/>
          <w:szCs w:val="17"/>
          <w:color w:val="auto"/>
        </w:rPr>
      </w:pPr>
    </w:p>
    <w:p>
      <w:pPr>
        <w:jc w:val="both"/>
        <w:ind w:left="-1120" w:firstLine="1211"/>
        <w:spacing w:after="0" w:line="252" w:lineRule="auto"/>
        <w:tabs>
          <w:tab w:leader="none" w:pos="31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 Status; No Disqualifying Events</w:t>
      </w:r>
      <w:r>
        <w:rPr>
          <w:rFonts w:ascii="Times New Roman" w:cs="Times New Roman" w:eastAsia="Times New Roman" w:hAnsi="Times New Roman"/>
          <w:sz w:val="17"/>
          <w:szCs w:val="17"/>
          <w:color w:val="auto"/>
        </w:rPr>
        <w:t>. Such Lender is, as of the date hereof and on each date on which it converts any Preferred Shares will be, an “accredited investor” as that term is defined in Rule 501(a) of Regulation D. To the extent such Lender is a beneficial owner of 10% or more of Common Stock of Holdings as of the date hereof, none of (i) such Lender, (ii) any of such Lender’s directors, executive officers, other officers that may serve as a director or officer of any company in which it invests, general partners or managing members, or (iii) any beneficial owner of Holdings’ voting equity securities (in accordance with Rule 506(d) of the 1933 Act) held by such Lender is subject to any of the “Bad Actor” disqualifications described in Rule 506(d)(1)(i) to (viii) under the 1933 Act (a “</w:t>
      </w:r>
      <w:r>
        <w:rPr>
          <w:rFonts w:ascii="Times New Roman" w:cs="Times New Roman" w:eastAsia="Times New Roman" w:hAnsi="Times New Roman"/>
          <w:sz w:val="17"/>
          <w:szCs w:val="17"/>
          <w:u w:val="single" w:color="auto"/>
          <w:color w:val="auto"/>
        </w:rPr>
        <w:t>Disqualification Event</w:t>
      </w:r>
      <w:r>
        <w:rPr>
          <w:rFonts w:ascii="Times New Roman" w:cs="Times New Roman" w:eastAsia="Times New Roman" w:hAnsi="Times New Roman"/>
          <w:sz w:val="17"/>
          <w:szCs w:val="17"/>
          <w:color w:val="auto"/>
        </w:rPr>
        <w:t>”), except for a Disqualification Event covered by Rule 506(d)(2) or (d)(3) except for Disqualification Events covered by Rule 506(d)(2) or (d)(3) under the 1933 Act and disclosed reasonably in advance of the date hereof in writing in reasonable detail to Holdings.</w:t>
      </w:r>
    </w:p>
    <w:p>
      <w:pPr>
        <w:spacing w:after="0" w:line="177" w:lineRule="exact"/>
        <w:rPr>
          <w:rFonts w:ascii="Times New Roman" w:cs="Times New Roman" w:eastAsia="Times New Roman" w:hAnsi="Times New Roman"/>
          <w:sz w:val="17"/>
          <w:szCs w:val="17"/>
          <w:color w:val="auto"/>
        </w:rPr>
      </w:pPr>
    </w:p>
    <w:p>
      <w:pPr>
        <w:jc w:val="both"/>
        <w:ind w:left="-1120" w:firstLine="1211"/>
        <w:spacing w:after="0" w:line="252" w:lineRule="auto"/>
        <w:tabs>
          <w:tab w:leader="none" w:pos="32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on Exemptions</w:t>
      </w:r>
      <w:r>
        <w:rPr>
          <w:rFonts w:ascii="Times New Roman" w:cs="Times New Roman" w:eastAsia="Times New Roman" w:hAnsi="Times New Roman"/>
          <w:sz w:val="17"/>
          <w:szCs w:val="17"/>
          <w:color w:val="auto"/>
        </w:rPr>
        <w:t>. Such Lender understands that the Securities are “restricted securities” and are being offered and sold to it in reliance on specific exemptions from the registration requirements of United States federal and state securities laws and that Holdings is relying in part upon the truth and accuracy of, and such Lender’s compliance with, the representations, warranties, agreements, acknowledgments and understandings of such Lender set forth herein in order to determine the availability of such exemptions and the eligibility of such Lender to acquire the Securities. Such Lender is not purchasing the Securities as a result of any “general solicitation” or “general advertising” (as such terms are defined in Regulation D under the 1933 Act), including, without limitation, any advertisement, article, notice or other communication regarding the Securities published in any newspaper, magazine or similar media or the internet or broadcast over television or radio or the internet or any seminar or meeting whose attendees have been invited by general solicitation or general advertising.</w:t>
      </w:r>
    </w:p>
    <w:p>
      <w:pPr>
        <w:spacing w:after="0" w:line="177" w:lineRule="exact"/>
        <w:rPr>
          <w:rFonts w:ascii="Times New Roman" w:cs="Times New Roman" w:eastAsia="Times New Roman" w:hAnsi="Times New Roman"/>
          <w:sz w:val="17"/>
          <w:szCs w:val="17"/>
          <w:color w:val="auto"/>
        </w:rPr>
      </w:pPr>
    </w:p>
    <w:p>
      <w:pPr>
        <w:jc w:val="both"/>
        <w:ind w:left="-1120" w:firstLine="1211"/>
        <w:spacing w:after="0" w:line="250" w:lineRule="auto"/>
        <w:tabs>
          <w:tab w:leader="none" w:pos="33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Such Lender and its advisors, if any, have been furnished with all materials relating to the business, finances and operations of Holdings and materials relating to the offer and sale of the Securities that have been requested by such Lender. Such Lender and its advisors, if any, have been afforded the opportunity to ask questions of Holdings. Neither such inquiries nor any other due diligence investigations conducted by such Lender or its advisors, if any, or its representatives shall modify, amend or affect such Lender ‘s right to rely on Holdings’ representations and warranties contained herein. Such Lender understands that its investment in the Securities involves a high degree of risk. Such Lender has sought such accounting, legal and tax advice as it has considered necessary to make an informed investment decision with respect to its acquisition of the Securities. Such Lender has determined based on its own independent review and such professional advice as it deems appropriate that its purchase of the Securities and participation in the transactions contemplated by this Agreement (i) are fully consistent with its financial needs, objectives and condition, (ii) comply and are fully consistent with all investment policies, guidelines and other restrictions applicable to it, (iii) have been duly authorized and approved by all necessary action, (iv) do not and will not violate or constitute a default under its charter, by-laws or other constituent document or under any law, rule, regulation, agreement or other obligation by which it is bound and (v) are a fit, proper and suitable investment for such Lender, notwithstanding the substantial risks inherent in investing in or holding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269240</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43" w:name="page44"/>
    <w:bookmarkEnd w:id="43"/>
    <w:p>
      <w:pPr>
        <w:jc w:val="both"/>
        <w:ind w:left="-1" w:firstLine="1211"/>
        <w:spacing w:after="0" w:line="261" w:lineRule="auto"/>
        <w:tabs>
          <w:tab w:leader="none" w:pos="143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Governmental Review</w:t>
      </w:r>
      <w:r>
        <w:rPr>
          <w:rFonts w:ascii="Times New Roman" w:cs="Times New Roman" w:eastAsia="Times New Roman" w:hAnsi="Times New Roman"/>
          <w:sz w:val="17"/>
          <w:szCs w:val="17"/>
          <w:color w:val="auto"/>
        </w:rPr>
        <w:t>. Such Lender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69" w:lineRule="exact"/>
        <w:rPr>
          <w:rFonts w:ascii="Times New Roman" w:cs="Times New Roman" w:eastAsia="Times New Roman" w:hAnsi="Times New Roman"/>
          <w:sz w:val="17"/>
          <w:szCs w:val="17"/>
          <w:color w:val="auto"/>
        </w:rPr>
      </w:pPr>
    </w:p>
    <w:p>
      <w:pPr>
        <w:jc w:val="both"/>
        <w:ind w:left="-1" w:firstLine="1211"/>
        <w:spacing w:after="0" w:line="256" w:lineRule="auto"/>
        <w:tabs>
          <w:tab w:leader="none" w:pos="147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Validity; Enforcement</w:t>
      </w:r>
      <w:r>
        <w:rPr>
          <w:rFonts w:ascii="Times New Roman" w:cs="Times New Roman" w:eastAsia="Times New Roman" w:hAnsi="Times New Roman"/>
          <w:sz w:val="17"/>
          <w:szCs w:val="17"/>
          <w:color w:val="auto"/>
        </w:rPr>
        <w:t>. This Agreement has been duly and validly authorized, executed and delivered on behalf of such Lender and shall constitute the legal, valid and binding obligations of such Lender enforceable against such Lender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74" w:lineRule="exact"/>
        <w:rPr>
          <w:rFonts w:ascii="Times New Roman" w:cs="Times New Roman" w:eastAsia="Times New Roman" w:hAnsi="Times New Roman"/>
          <w:sz w:val="17"/>
          <w:szCs w:val="17"/>
          <w:color w:val="auto"/>
        </w:rPr>
      </w:pPr>
    </w:p>
    <w:p>
      <w:pPr>
        <w:jc w:val="both"/>
        <w:ind w:left="-1" w:firstLine="1211"/>
        <w:spacing w:after="0" w:line="252" w:lineRule="auto"/>
        <w:tabs>
          <w:tab w:leader="none" w:pos="147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such Lender of this Agreement and the consummation by such Lender of the transactions contemplated hereby and thereby will not (i) result in a violation of the organizational documents of such Lender, or (ii) conflict with, or constitute a default (or an event which with notice or lapse of time or both would become a default) under, or give to others any rights of termination, amendment, acceleration or cancellation of, any agreement, indenture or instrument to which such Lender is a party, or (iii) result in a violation of any law, rule, regulation, order, judgment or decree (including federal and state securities laws) applicable to such Lender, except in the case of clauses (ii) and (iii) above, for such conflicts, defaults, rights or violations which could not, individually or in the aggregate, reasonably be expected to have a material adverse effect on the ability of such Lender to perform its obligations hereunder.</w:t>
      </w:r>
    </w:p>
    <w:p>
      <w:pPr>
        <w:spacing w:after="0" w:line="177" w:lineRule="exact"/>
        <w:rPr>
          <w:rFonts w:ascii="Times New Roman" w:cs="Times New Roman" w:eastAsia="Times New Roman" w:hAnsi="Times New Roman"/>
          <w:sz w:val="17"/>
          <w:szCs w:val="17"/>
          <w:color w:val="auto"/>
        </w:rPr>
      </w:pPr>
    </w:p>
    <w:p>
      <w:pPr>
        <w:jc w:val="both"/>
        <w:ind w:left="-1" w:firstLine="1211"/>
        <w:spacing w:after="0" w:line="265" w:lineRule="auto"/>
        <w:tabs>
          <w:tab w:leader="none" w:pos="141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or Resale</w:t>
      </w:r>
      <w:r>
        <w:rPr>
          <w:rFonts w:ascii="Times New Roman" w:cs="Times New Roman" w:eastAsia="Times New Roman" w:hAnsi="Times New Roman"/>
          <w:sz w:val="16"/>
          <w:szCs w:val="16"/>
          <w:color w:val="auto"/>
        </w:rPr>
        <w:t>. Such Lender understands that: (i) the Securities have not been and are not being registered under the 1933 Act or any state securities laws, and may not be offered for sale, sold, assigned or transferred unless (A) subsequently registered thereunder, (B) such Lender shall have delivered to Holdings (if requested by Holdings) an opinion of counsel, in a form reasonably acceptable to Holdings, to the effect that such Securities to be sold, assigned or transferred may be sold, assigned or transferred pursuant to an exemption from such registration, or (C) such Lender provides Holdings with reasonable assurance that such Securities can be sold, assigned or transferred pursuant to Rule 144 promulgated under the 1933 Act (or a successor rule thereto) (collectively, “Rule 144”);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w:t>
      </w:r>
    </w:p>
    <w:p>
      <w:pPr>
        <w:spacing w:after="0" w:line="4" w:lineRule="exact"/>
        <w:rPr>
          <w:rFonts w:ascii="Times New Roman" w:cs="Times New Roman" w:eastAsia="Times New Roman" w:hAnsi="Times New Roman"/>
          <w:sz w:val="16"/>
          <w:szCs w:val="16"/>
          <w:color w:val="auto"/>
        </w:rPr>
      </w:pPr>
    </w:p>
    <w:p>
      <w:pPr>
        <w:jc w:val="both"/>
        <w:ind w:left="-1" w:firstLine="1"/>
        <w:spacing w:after="0" w:line="251" w:lineRule="auto"/>
        <w:tabs>
          <w:tab w:leader="none" w:pos="29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Holdings nor any other Person is under any obligation to register the Securities under the 1933 Act or any state securities laws or to comply with the terms and conditions of any exemption thereunder. The Securities may not be pledged in connection with any loan or financing arrangement without the prior written consent of Holdings.</w:t>
      </w:r>
    </w:p>
    <w:p>
      <w:pPr>
        <w:spacing w:after="0" w:line="177" w:lineRule="exact"/>
        <w:rPr>
          <w:rFonts w:ascii="Times New Roman" w:cs="Times New Roman" w:eastAsia="Times New Roman" w:hAnsi="Times New Roman"/>
          <w:sz w:val="17"/>
          <w:szCs w:val="17"/>
          <w:color w:val="auto"/>
        </w:rPr>
      </w:pPr>
    </w:p>
    <w:p>
      <w:pPr>
        <w:jc w:val="both"/>
        <w:ind w:left="-1" w:firstLine="1211"/>
        <w:spacing w:after="0" w:line="252" w:lineRule="auto"/>
        <w:tabs>
          <w:tab w:leader="none" w:pos="14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Person</w:t>
      </w:r>
      <w:r>
        <w:rPr>
          <w:rFonts w:ascii="Times New Roman" w:cs="Times New Roman" w:eastAsia="Times New Roman" w:hAnsi="Times New Roman"/>
          <w:sz w:val="17"/>
          <w:szCs w:val="17"/>
          <w:color w:val="auto"/>
        </w:rPr>
        <w:t>. If such Lender is not a United States person (as defined by Section 7701(a)(30) of the Code), such Lender hereby represents that it has satisfied itself as to the full observance of the laws of its jurisdiction in connection with any invitation to subscribe for the Securities or any use of this Agreement, including (i) the legal requirements within its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Such Lender’s subscription and payment for and continued beneficial ownership of the Securities will not violate any applicable securities or other laws of such Lender’s jurisdiction. For the avoidance of doubt, nothing in this Agreement shall be construed to require such Lender to make its investment decision in any particular jurisdiction, including its 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44" w:name="page45"/>
    <w:bookmarkEnd w:id="44"/>
    <w:p>
      <w:pPr>
        <w:jc w:val="both"/>
        <w:ind w:firstLine="1211"/>
        <w:spacing w:after="0" w:line="254" w:lineRule="auto"/>
        <w:tabs>
          <w:tab w:leader="none" w:pos="146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Other than consummating the transactions contemplated hereunder, such Lender has not, directly or indirectly executed any purchases or sales, including Short Sales, of the securities of Holdings during the period commencing as of the time that such Lender first received a term sheet (written or oral) from Holdings or any other Person representing Holdings setting forth the material terms of the transactions contemplated hereunder and ending immediately prior to the execution hereof. For purposes of this Agreement, “Short Sales” means all “short sales” as defined in Rule 200 of Regulation SHO under the 1934 Act (but shall not be deemed to include locating and/or borrowing shares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HOLDINGS AND BORROWER REPRESENTATIONS AND WARANTIES</w:t>
      </w:r>
    </w:p>
    <w:p>
      <w:pPr>
        <w:spacing w:after="0" w:line="2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SECTION 3.01. Holdings and Borrower, severally and not jointly, represents and warrants to each Lender, with respect to only itself that, as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hereof:</w:t>
      </w:r>
    </w:p>
    <w:p>
      <w:pPr>
        <w:spacing w:after="0" w:line="192" w:lineRule="exact"/>
        <w:rPr>
          <w:sz w:val="20"/>
          <w:szCs w:val="20"/>
          <w:color w:val="auto"/>
        </w:rPr>
      </w:pPr>
    </w:p>
    <w:p>
      <w:pPr>
        <w:jc w:val="both"/>
        <w:ind w:firstLine="1211"/>
        <w:spacing w:after="0" w:line="251" w:lineRule="auto"/>
        <w:tabs>
          <w:tab w:leader="none" w:pos="145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Existence; Compliance with Law</w:t>
      </w:r>
      <w:r>
        <w:rPr>
          <w:rFonts w:ascii="Times New Roman" w:cs="Times New Roman" w:eastAsia="Times New Roman" w:hAnsi="Times New Roman"/>
          <w:sz w:val="17"/>
          <w:szCs w:val="17"/>
          <w:color w:val="auto"/>
        </w:rPr>
        <w:t>. Each Company Party: (i) (A) is (I) a corporation, duly organized, and validly existing and (II) in good standing under the laws of the jurisdiction of its incorporation or organization, (B) duly qualified to do business and in good standing in each other jurisdiction where its ownership or lease of property or the conduct of its business requires such qualification, except where the failure to be so qualified could not reasonably be expected to have a Material Adverse Effect, and (C) in compliance with all Requirements of Law and Contractual Obligations, except to the extent failure to comply therewith could not, individually or in the aggregate, reasonably be expected to have a Material Adverse Effect; and (ii) has and will continue to have (A) the requisite corporate power and authority and the legal right to execute, deliver and perform its obligations under the Transaction Documents and to own, pledge, mortgage or otherwise encumber and operate its properties, and (B) except as could not, individually, or in the aggregate, reasonably be expected to have a Material Adverse Effect, all licenses, permits, franchises, rights, powers, consents or approvals from or by all Persons or Governmental Entity (as defined below) having jurisdiction over such Company Party that are necessary or appropriate for the conduct of its business.</w:t>
      </w:r>
    </w:p>
    <w:p>
      <w:pPr>
        <w:spacing w:after="0" w:line="177" w:lineRule="exact"/>
        <w:rPr>
          <w:rFonts w:ascii="Times New Roman" w:cs="Times New Roman" w:eastAsia="Times New Roman" w:hAnsi="Times New Roman"/>
          <w:sz w:val="17"/>
          <w:szCs w:val="17"/>
          <w:color w:val="auto"/>
        </w:rPr>
      </w:pPr>
    </w:p>
    <w:p>
      <w:pPr>
        <w:jc w:val="both"/>
        <w:ind w:firstLine="1211"/>
        <w:spacing w:after="0" w:line="249" w:lineRule="auto"/>
        <w:tabs>
          <w:tab w:leader="none" w:pos="14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Enforcement; Validity</w:t>
      </w:r>
      <w:r>
        <w:rPr>
          <w:rFonts w:ascii="Times New Roman" w:cs="Times New Roman" w:eastAsia="Times New Roman" w:hAnsi="Times New Roman"/>
          <w:sz w:val="17"/>
          <w:szCs w:val="17"/>
          <w:color w:val="auto"/>
        </w:rPr>
        <w:t xml:space="preserve">. Each Company Party has the requisite power and authority to enter into and perform its obligations under this Agreement and Holdings has the requisite power and authority to issue the Securities in accordance with the terms hereof. The execution and delivery of this Agreement by each Company Party, and the consummation by each Company Party of the transactions contemplated hereby (including, without limitation, the issuance of the Preferred Shares and the reservation for issuance and issuance of the Conversion Shares issuable upon conversion of the Preferred Shares) have been duly authorized by each Company Party’s board of directors or other governing body, as applicable, and (other than the filing with the SEC of a Form D and any other filings as may be required by any state securities agencies) no further filing, consent or authorization is required by any Company Party, its Subsidiaries, their respective boards of directors or their stockholders or other governing body. This Agreement has been duly executed and delivered by each Company Party, and each constitutes the legal, valid and binding obligations of each Company Party, enforceable against such Company Party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The Certificate of Designations in the form attached hereto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will be filed with the Secretary of State of the State of Nevada and will be in full force and effect, enforceable against Holdings in accordance with its terms and has not have been amended. “Transaction Documents” means, collectively, this Agreement, the Preferred Shares, the Certificate of Designations, and each of the other agreements and instruments entered into or delivered by any of the parties hereto in connection with the transactions contemplated hereby and thereby, as may be amended from time to time.</w:t>
      </w:r>
    </w:p>
    <w:p>
      <w:pPr>
        <w:spacing w:after="0" w:line="186" w:lineRule="exact"/>
        <w:rPr>
          <w:rFonts w:ascii="Times New Roman" w:cs="Times New Roman" w:eastAsia="Times New Roman" w:hAnsi="Times New Roman"/>
          <w:sz w:val="17"/>
          <w:szCs w:val="17"/>
          <w:color w:val="auto"/>
        </w:rPr>
      </w:pPr>
    </w:p>
    <w:p>
      <w:pPr>
        <w:jc w:val="both"/>
        <w:ind w:firstLine="1211"/>
        <w:spacing w:after="0" w:line="250" w:lineRule="auto"/>
        <w:tabs>
          <w:tab w:leader="none" w:pos="14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Securities</w:t>
      </w:r>
      <w:r>
        <w:rPr>
          <w:rFonts w:ascii="Times New Roman" w:cs="Times New Roman" w:eastAsia="Times New Roman" w:hAnsi="Times New Roman"/>
          <w:sz w:val="17"/>
          <w:szCs w:val="17"/>
          <w:color w:val="auto"/>
        </w:rPr>
        <w:t>. The issuance of the Preferred Shares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other than those under the 1933 Act (collectively “</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with respect to the issuance thereof. As of the closing of the transactions contemplated by this Agreement, Holdings shall have reserved from its duly authorized capital stock not less than 100% of the sum of (i) the maximum number of Conversion Shares issuable upon conversion of the Preferred Shares (assuming for purposes hereof that (x) the Preferred Shares are convertible at the Conversion Rate (as defined in the Certificate of Designation) then in effect as of the date hereof and (y) any such conversion shall not take into account any limitations on the conversion of the Series B Convertible Preferred Stock set forth in the Certificate of Designation). Upon issuance or conversion in accordance with the Certificate of Designation, the Conversion Shares, when issued, will be validly issued, fully paid and nonassessable and free from all preemptive or similar rights or Liens with respect to the issue thereof, with the holders being entitled to all rights accorded to a holder of Common Stock of Holdings.</w:t>
      </w:r>
    </w:p>
    <w:p>
      <w:pPr>
        <w:spacing w:after="0" w:line="182" w:lineRule="exact"/>
        <w:rPr>
          <w:rFonts w:ascii="Times New Roman" w:cs="Times New Roman" w:eastAsia="Times New Roman" w:hAnsi="Times New Roman"/>
          <w:sz w:val="17"/>
          <w:szCs w:val="17"/>
          <w:color w:val="auto"/>
        </w:rPr>
      </w:pPr>
    </w:p>
    <w:p>
      <w:pPr>
        <w:jc w:val="both"/>
        <w:ind w:firstLine="1211"/>
        <w:spacing w:after="0" w:line="249" w:lineRule="auto"/>
        <w:tabs>
          <w:tab w:leader="none" w:pos="146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of this Agreement by each Company Party and the consummation by each Company Party of the transactions contemplated hereby and thereby (including, without limitation, the issuance by Holdings of the Preferred Shares and the reservation for issuance of the Conversion Shares) will not (i) result in a violation of any Organizational Document, or any capital stock or other securities of such Company Party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such Company Party or any of its Subsidiaries is a party, or (iii) result in a violation of any law, rule, regulation, order, judgment or decree (including, without limitation, foreign, federal and state securities laws and regulations and the rules and regulations of the Principal Market and including all applicable foreign, federal and state laws, rules and regulations) applicable to such Company Party or any of its Subsidiaries or by which any property or asset of such Company Party or any of its Subsidiaries is bound or affected, except in the case of clauses (ii) and (iii) above, for such conflicts, defaults, rights or violations which could not, individually or in the aggregate, reasonably be expected to have a material adverse effect on the ability of such Company Party to perform its obligations hereunder. “</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means the articles of incorporation, certificate of incorporation, charter, by-laws, articles of formation, articles of organization, certificate of formation, operating agreement, certificate of limited partnership, limited liability company agreement, or partnership agreement and all other similar documents, instruments or certificates executed, adopted or filed in connection with the creation, formation or organization of a Person, including any amendments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273685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5" w:name="page46"/>
    <w:bookmarkEnd w:id="45"/>
    <w:p>
      <w:pPr>
        <w:jc w:val="both"/>
        <w:ind w:firstLine="1211"/>
        <w:spacing w:after="0" w:line="249" w:lineRule="auto"/>
        <w:tabs>
          <w:tab w:leader="none" w:pos="1451"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Neither Company Party nor any Subsidiary is required to obtain any consent from, authorization or order of, or make any filing or registration with (other than the filing with the SEC of a Form D and any other filings as may be required by any state securities agencies),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such Company Party or any Subsidiary is required to obtain pursuant to the preceding sentence have been or will be obtained or effected on or prior to the date hereof, and neither Company Party nor any of its Subsidiaries are aware of any facts or circumstances which might prevent such Company Party or any of its Subsidiaries from obtaining or effecting any of the registration, application or filings contemplated by the Transaction Documents. Except as disclosed in the filings of Holdings with the SEC under the 1934 Act, Holdings is not in violation of the requirements of the Principal Market and has no knowledge of any facts or circumstances which could reasonably lead to delisting or suspension of the Common Stock of Holdings in the foreseeable future. “</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86" w:lineRule="exact"/>
        <w:rPr>
          <w:rFonts w:ascii="Times New Roman" w:cs="Times New Roman" w:eastAsia="Times New Roman" w:hAnsi="Times New Roman"/>
          <w:sz w:val="17"/>
          <w:szCs w:val="17"/>
          <w:color w:val="auto"/>
        </w:rPr>
      </w:pPr>
    </w:p>
    <w:p>
      <w:pPr>
        <w:jc w:val="both"/>
        <w:ind w:firstLine="1211"/>
        <w:spacing w:after="0" w:line="267" w:lineRule="auto"/>
        <w:tabs>
          <w:tab w:leader="none" w:pos="142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following representations and warranties of each Company Party set forth in the Loan Agreement are incorporated herein by reference and shall apply to this Agreement,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Section 3.4(a) (</w:t>
      </w: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Section 3.5 (</w:t>
      </w:r>
      <w:r>
        <w:rPr>
          <w:rFonts w:ascii="Times New Roman" w:cs="Times New Roman" w:eastAsia="Times New Roman" w:hAnsi="Times New Roman"/>
          <w:sz w:val="16"/>
          <w:szCs w:val="16"/>
          <w:i w:val="1"/>
          <w:iCs w:val="1"/>
          <w:color w:val="auto"/>
        </w:rPr>
        <w:t>Material Adverse Change</w:t>
      </w:r>
      <w:r>
        <w:rPr>
          <w:rFonts w:ascii="Times New Roman" w:cs="Times New Roman" w:eastAsia="Times New Roman" w:hAnsi="Times New Roman"/>
          <w:sz w:val="16"/>
          <w:szCs w:val="16"/>
          <w:color w:val="auto"/>
        </w:rPr>
        <w:t>); Section 3.7 (</w:t>
      </w:r>
      <w:r>
        <w:rPr>
          <w:rFonts w:ascii="Times New Roman" w:cs="Times New Roman" w:eastAsia="Times New Roman" w:hAnsi="Times New Roman"/>
          <w:sz w:val="16"/>
          <w:szCs w:val="16"/>
          <w:i w:val="1"/>
          <w:iCs w:val="1"/>
          <w:color w:val="auto"/>
        </w:rPr>
        <w:t>Subsidiaries</w:t>
      </w:r>
      <w:r>
        <w:rPr>
          <w:rFonts w:ascii="Times New Roman" w:cs="Times New Roman" w:eastAsia="Times New Roman" w:hAnsi="Times New Roman"/>
          <w:sz w:val="16"/>
          <w:szCs w:val="16"/>
          <w:color w:val="auto"/>
        </w:rPr>
        <w:t>); Section 3.8 (</w:t>
      </w:r>
      <w:r>
        <w:rPr>
          <w:rFonts w:ascii="Times New Roman" w:cs="Times New Roman" w:eastAsia="Times New Roman" w:hAnsi="Times New Roman"/>
          <w:sz w:val="16"/>
          <w:szCs w:val="16"/>
          <w:i w:val="1"/>
          <w:iCs w:val="1"/>
          <w:color w:val="auto"/>
        </w:rPr>
        <w:t>Government Regulation; Margin Regulations</w:t>
      </w:r>
      <w:r>
        <w:rPr>
          <w:rFonts w:ascii="Times New Roman" w:cs="Times New Roman" w:eastAsia="Times New Roman" w:hAnsi="Times New Roman"/>
          <w:sz w:val="16"/>
          <w:szCs w:val="16"/>
          <w:color w:val="auto"/>
        </w:rPr>
        <w:t>); Section 3.9 (</w:t>
      </w:r>
      <w:r>
        <w:rPr>
          <w:rFonts w:ascii="Times New Roman" w:cs="Times New Roman" w:eastAsia="Times New Roman" w:hAnsi="Times New Roman"/>
          <w:sz w:val="16"/>
          <w:szCs w:val="16"/>
          <w:i w:val="1"/>
          <w:iCs w:val="1"/>
          <w:color w:val="auto"/>
        </w:rPr>
        <w:t>Taxes; Charges</w:t>
      </w:r>
      <w:r>
        <w:rPr>
          <w:rFonts w:ascii="Times New Roman" w:cs="Times New Roman" w:eastAsia="Times New Roman" w:hAnsi="Times New Roman"/>
          <w:sz w:val="16"/>
          <w:szCs w:val="16"/>
          <w:color w:val="auto"/>
        </w:rPr>
        <w:t>); Section 3.10(a) (</w:t>
      </w:r>
      <w:r>
        <w:rPr>
          <w:rFonts w:ascii="Times New Roman" w:cs="Times New Roman" w:eastAsia="Times New Roman" w:hAnsi="Times New Roman"/>
          <w:sz w:val="16"/>
          <w:szCs w:val="16"/>
          <w:i w:val="1"/>
          <w:iCs w:val="1"/>
          <w:color w:val="auto"/>
        </w:rPr>
        <w:t>ERISA</w:t>
      </w:r>
      <w:r>
        <w:rPr>
          <w:rFonts w:ascii="Times New Roman" w:cs="Times New Roman" w:eastAsia="Times New Roman" w:hAnsi="Times New Roman"/>
          <w:sz w:val="16"/>
          <w:szCs w:val="16"/>
          <w:color w:val="auto"/>
        </w:rPr>
        <w:t>); Section 3.11 (</w:t>
      </w:r>
      <w:r>
        <w:rPr>
          <w:rFonts w:ascii="Times New Roman" w:cs="Times New Roman" w:eastAsia="Times New Roman" w:hAnsi="Times New Roman"/>
          <w:sz w:val="16"/>
          <w:szCs w:val="16"/>
          <w:i w:val="1"/>
          <w:iCs w:val="1"/>
          <w:color w:val="auto"/>
        </w:rPr>
        <w:t>Litigation</w:t>
      </w:r>
      <w:r>
        <w:rPr>
          <w:rFonts w:ascii="Times New Roman" w:cs="Times New Roman" w:eastAsia="Times New Roman" w:hAnsi="Times New Roman"/>
          <w:sz w:val="16"/>
          <w:szCs w:val="16"/>
          <w:color w:val="auto"/>
        </w:rPr>
        <w:t>); Section 3.12 (</w:t>
      </w:r>
      <w:r>
        <w:rPr>
          <w:rFonts w:ascii="Times New Roman" w:cs="Times New Roman" w:eastAsia="Times New Roman" w:hAnsi="Times New Roman"/>
          <w:sz w:val="16"/>
          <w:szCs w:val="16"/>
          <w:i w:val="1"/>
          <w:iCs w:val="1"/>
          <w:color w:val="auto"/>
        </w:rPr>
        <w:t>Intellectual Property</w:t>
      </w:r>
      <w:r>
        <w:rPr>
          <w:rFonts w:ascii="Times New Roman" w:cs="Times New Roman" w:eastAsia="Times New Roman" w:hAnsi="Times New Roman"/>
          <w:sz w:val="16"/>
          <w:szCs w:val="16"/>
          <w:color w:val="auto"/>
        </w:rPr>
        <w:t>); Section 3.14 (</w:t>
      </w:r>
      <w:r>
        <w:rPr>
          <w:rFonts w:ascii="Times New Roman" w:cs="Times New Roman" w:eastAsia="Times New Roman" w:hAnsi="Times New Roman"/>
          <w:sz w:val="16"/>
          <w:szCs w:val="16"/>
          <w:i w:val="1"/>
          <w:iCs w:val="1"/>
          <w:color w:val="auto"/>
        </w:rPr>
        <w:t>Environmental Liabilities</w:t>
      </w:r>
      <w:r>
        <w:rPr>
          <w:rFonts w:ascii="Times New Roman" w:cs="Times New Roman" w:eastAsia="Times New Roman" w:hAnsi="Times New Roman"/>
          <w:sz w:val="16"/>
          <w:szCs w:val="16"/>
          <w:color w:val="auto"/>
        </w:rPr>
        <w:t>); Section 3.16 (</w:t>
      </w:r>
      <w:r>
        <w:rPr>
          <w:rFonts w:ascii="Times New Roman" w:cs="Times New Roman" w:eastAsia="Times New Roman" w:hAnsi="Times New Roman"/>
          <w:sz w:val="16"/>
          <w:szCs w:val="16"/>
          <w:i w:val="1"/>
          <w:iCs w:val="1"/>
          <w:color w:val="auto"/>
        </w:rPr>
        <w:t>Solvency</w:t>
      </w:r>
      <w:r>
        <w:rPr>
          <w:rFonts w:ascii="Times New Roman" w:cs="Times New Roman" w:eastAsia="Times New Roman" w:hAnsi="Times New Roman"/>
          <w:sz w:val="16"/>
          <w:szCs w:val="16"/>
          <w:color w:val="auto"/>
        </w:rPr>
        <w:t>); Section 3.18 (</w:t>
      </w:r>
      <w:r>
        <w:rPr>
          <w:rFonts w:ascii="Times New Roman" w:cs="Times New Roman" w:eastAsia="Times New Roman" w:hAnsi="Times New Roman"/>
          <w:sz w:val="16"/>
          <w:szCs w:val="16"/>
          <w:i w:val="1"/>
          <w:iCs w:val="1"/>
          <w:color w:val="auto"/>
        </w:rPr>
        <w:t>Conduct of Business</w:t>
      </w:r>
      <w:r>
        <w:rPr>
          <w:rFonts w:ascii="Times New Roman" w:cs="Times New Roman" w:eastAsia="Times New Roman" w:hAnsi="Times New Roman"/>
          <w:sz w:val="16"/>
          <w:szCs w:val="16"/>
          <w:color w:val="auto"/>
        </w:rPr>
        <w:t>); Section 3.20(a) (</w:t>
      </w:r>
      <w:r>
        <w:rPr>
          <w:rFonts w:ascii="Times New Roman" w:cs="Times New Roman" w:eastAsia="Times New Roman" w:hAnsi="Times New Roman"/>
          <w:sz w:val="16"/>
          <w:szCs w:val="16"/>
          <w:i w:val="1"/>
          <w:iCs w:val="1"/>
          <w:color w:val="auto"/>
        </w:rPr>
        <w:t>Collateral/Maintenance of Property</w:t>
      </w:r>
      <w:r>
        <w:rPr>
          <w:rFonts w:ascii="Times New Roman" w:cs="Times New Roman" w:eastAsia="Times New Roman" w:hAnsi="Times New Roman"/>
          <w:sz w:val="16"/>
          <w:szCs w:val="16"/>
          <w:color w:val="auto"/>
        </w:rPr>
        <w:t>); Section 3.20(d) (</w:t>
      </w:r>
      <w:r>
        <w:rPr>
          <w:rFonts w:ascii="Times New Roman" w:cs="Times New Roman" w:eastAsia="Times New Roman" w:hAnsi="Times New Roman"/>
          <w:sz w:val="16"/>
          <w:szCs w:val="16"/>
          <w:i w:val="1"/>
          <w:iCs w:val="1"/>
          <w:color w:val="auto"/>
        </w:rPr>
        <w:t>Collateral/Maintenance of Property</w:t>
      </w:r>
      <w:r>
        <w:rPr>
          <w:rFonts w:ascii="Times New Roman" w:cs="Times New Roman" w:eastAsia="Times New Roman" w:hAnsi="Times New Roman"/>
          <w:sz w:val="16"/>
          <w:szCs w:val="16"/>
          <w:color w:val="auto"/>
        </w:rPr>
        <w:t>); Section 3.21 (</w:t>
      </w:r>
      <w:r>
        <w:rPr>
          <w:rFonts w:ascii="Times New Roman" w:cs="Times New Roman" w:eastAsia="Times New Roman" w:hAnsi="Times New Roman"/>
          <w:sz w:val="16"/>
          <w:szCs w:val="16"/>
          <w:i w:val="1"/>
          <w:iCs w:val="1"/>
          <w:color w:val="auto"/>
        </w:rPr>
        <w:t>Anti-Terrorism and Anti-Money Laundering Compliance</w:t>
      </w:r>
      <w:r>
        <w:rPr>
          <w:rFonts w:ascii="Times New Roman" w:cs="Times New Roman" w:eastAsia="Times New Roman" w:hAnsi="Times New Roman"/>
          <w:sz w:val="16"/>
          <w:szCs w:val="16"/>
          <w:color w:val="auto"/>
        </w:rPr>
        <w:t>); Section 3.26 (</w:t>
      </w:r>
      <w:r>
        <w:rPr>
          <w:rFonts w:ascii="Times New Roman" w:cs="Times New Roman" w:eastAsia="Times New Roman" w:hAnsi="Times New Roman"/>
          <w:sz w:val="16"/>
          <w:szCs w:val="16"/>
          <w:i w:val="1"/>
          <w:iCs w:val="1"/>
          <w:color w:val="auto"/>
        </w:rPr>
        <w:t>Assets of Holdings</w:t>
      </w:r>
      <w:r>
        <w:rPr>
          <w:rFonts w:ascii="Times New Roman" w:cs="Times New Roman" w:eastAsia="Times New Roman" w:hAnsi="Times New Roman"/>
          <w:sz w:val="16"/>
          <w:szCs w:val="16"/>
          <w:color w:val="auto"/>
        </w:rPr>
        <w:t>); Section</w:t>
      </w:r>
    </w:p>
    <w:p>
      <w:pPr>
        <w:spacing w:after="0" w:line="1" w:lineRule="exact"/>
        <w:rPr>
          <w:rFonts w:ascii="Times New Roman" w:cs="Times New Roman" w:eastAsia="Times New Roman" w:hAnsi="Times New Roman"/>
          <w:sz w:val="16"/>
          <w:szCs w:val="16"/>
          <w:color w:val="auto"/>
        </w:rPr>
      </w:pPr>
    </w:p>
    <w:p>
      <w:pPr>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3.28(a) (</w:t>
      </w:r>
      <w:r>
        <w:rPr>
          <w:rFonts w:ascii="Times New Roman" w:cs="Times New Roman" w:eastAsia="Times New Roman" w:hAnsi="Times New Roman"/>
          <w:sz w:val="17"/>
          <w:szCs w:val="17"/>
          <w:i w:val="1"/>
          <w:iCs w:val="1"/>
          <w:color w:val="auto"/>
        </w:rPr>
        <w:t>Equity Interests and Subsidiaries</w:t>
      </w:r>
      <w:r>
        <w:rPr>
          <w:rFonts w:ascii="Times New Roman" w:cs="Times New Roman" w:eastAsia="Times New Roman" w:hAnsi="Times New Roman"/>
          <w:sz w:val="17"/>
          <w:szCs w:val="17"/>
          <w:color w:val="auto"/>
        </w:rPr>
        <w:t>); Section 3.28(c) (</w:t>
      </w:r>
      <w:r>
        <w:rPr>
          <w:rFonts w:ascii="Times New Roman" w:cs="Times New Roman" w:eastAsia="Times New Roman" w:hAnsi="Times New Roman"/>
          <w:sz w:val="17"/>
          <w:szCs w:val="17"/>
          <w:i w:val="1"/>
          <w:iCs w:val="1"/>
          <w:color w:val="auto"/>
        </w:rPr>
        <w:t>Equity Interests and Subsidiaries</w:t>
      </w:r>
      <w:r>
        <w:rPr>
          <w:rFonts w:ascii="Times New Roman" w:cs="Times New Roman" w:eastAsia="Times New Roman" w:hAnsi="Times New Roman"/>
          <w:sz w:val="17"/>
          <w:szCs w:val="17"/>
          <w:color w:val="auto"/>
        </w:rPr>
        <w:t>); Section 3.31 (</w:t>
      </w:r>
      <w:r>
        <w:rPr>
          <w:rFonts w:ascii="Times New Roman" w:cs="Times New Roman" w:eastAsia="Times New Roman" w:hAnsi="Times New Roman"/>
          <w:sz w:val="17"/>
          <w:szCs w:val="17"/>
          <w:i w:val="1"/>
          <w:iCs w:val="1"/>
          <w:color w:val="auto"/>
        </w:rPr>
        <w:t>Government Contracts</w:t>
      </w:r>
      <w:r>
        <w:rPr>
          <w:rFonts w:ascii="Times New Roman" w:cs="Times New Roman" w:eastAsia="Times New Roman" w:hAnsi="Times New Roman"/>
          <w:sz w:val="17"/>
          <w:szCs w:val="17"/>
          <w:color w:val="auto"/>
        </w:rPr>
        <w:t>); Section 3.32 (</w:t>
      </w:r>
      <w:r>
        <w:rPr>
          <w:rFonts w:ascii="Times New Roman" w:cs="Times New Roman" w:eastAsia="Times New Roman" w:hAnsi="Times New Roman"/>
          <w:sz w:val="17"/>
          <w:szCs w:val="17"/>
          <w:i w:val="1"/>
          <w:iCs w:val="1"/>
          <w:color w:val="auto"/>
        </w:rPr>
        <w:t>Customer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Trade Relations</w:t>
      </w:r>
      <w:r>
        <w:rPr>
          <w:rFonts w:ascii="Times New Roman" w:cs="Times New Roman" w:eastAsia="Times New Roman" w:hAnsi="Times New Roman"/>
          <w:sz w:val="17"/>
          <w:szCs w:val="17"/>
          <w:color w:val="auto"/>
        </w:rPr>
        <w:t>); Section 3.33 (</w:t>
      </w:r>
      <w:r>
        <w:rPr>
          <w:rFonts w:ascii="Times New Roman" w:cs="Times New Roman" w:eastAsia="Times New Roman" w:hAnsi="Times New Roman"/>
          <w:sz w:val="17"/>
          <w:szCs w:val="17"/>
          <w:i w:val="1"/>
          <w:iCs w:val="1"/>
          <w:color w:val="auto"/>
        </w:rPr>
        <w:t>Bonding; Licenses</w:t>
      </w:r>
      <w:r>
        <w:rPr>
          <w:rFonts w:ascii="Times New Roman" w:cs="Times New Roman" w:eastAsia="Times New Roman" w:hAnsi="Times New Roman"/>
          <w:sz w:val="17"/>
          <w:szCs w:val="17"/>
          <w:color w:val="auto"/>
        </w:rPr>
        <w:t>); Section 3.34 (</w:t>
      </w:r>
      <w:r>
        <w:rPr>
          <w:rFonts w:ascii="Times New Roman" w:cs="Times New Roman" w:eastAsia="Times New Roman" w:hAnsi="Times New Roman"/>
          <w:sz w:val="17"/>
          <w:szCs w:val="17"/>
          <w:i w:val="1"/>
          <w:iCs w:val="1"/>
          <w:color w:val="auto"/>
        </w:rPr>
        <w:t>Affiliate Transactions</w:t>
      </w:r>
      <w:r>
        <w:rPr>
          <w:rFonts w:ascii="Times New Roman" w:cs="Times New Roman" w:eastAsia="Times New Roman" w:hAnsi="Times New Roman"/>
          <w:sz w:val="17"/>
          <w:szCs w:val="17"/>
          <w:color w:val="auto"/>
        </w:rPr>
        <w:t>); and Section 3.36 (</w:t>
      </w:r>
      <w:r>
        <w:rPr>
          <w:rFonts w:ascii="Times New Roman" w:cs="Times New Roman" w:eastAsia="Times New Roman" w:hAnsi="Times New Roman"/>
          <w:sz w:val="17"/>
          <w:szCs w:val="17"/>
          <w:i w:val="1"/>
          <w:iCs w:val="1"/>
          <w:color w:val="auto"/>
        </w:rPr>
        <w:t>Investment Company Act</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MISCELLANEOUS</w:t>
      </w:r>
    </w:p>
    <w:p>
      <w:pPr>
        <w:spacing w:after="0" w:line="2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1211"/>
        <w:spacing w:after="0" w:line="252" w:lineRule="auto"/>
        <w:tabs>
          <w:tab w:leader="none" w:pos="144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 result of the consummation of the transactions contemplated by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for U.S. federal and applicable state and local income tax purposes, the Contribution and Exchange is intended to be treated as a taxable exchange and/or repayment of the Exchanged Term Loan for Preferred Shares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and the “issue price” of the Preferred Shares (for purposes of Section 305(c) of the Code and Section 1.305-5(b) of the Treasury Regulations) is intended to equal the “Liquidation Preference” of the Preferred Shares on the date hereof as set forth in the Certificate of Designation. Each Party agrees that neither it nor any of its affiliates shall file any U.S. federal, state or local income tax return in a manner that is inconsistent with the Intended Tax Treatment or take any position contrary thereto in any audit, examination or other proceeding with respect to U.S. federal, state or local income taxes, except as otherwise required upon a contrary final determination by an applicable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jc w:val="both"/>
        <w:ind w:firstLine="1211"/>
        <w:spacing w:after="0" w:line="249" w:lineRule="auto"/>
        <w:tabs>
          <w:tab w:leader="none" w:pos="147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Closing and at all times when any Preferred Shares remain outstanding, Holdings shall reimburse each Lender (which, for purposes of this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shall include any of its affiliates that is a successor or assignee of the Lender’s Preferred Shares) that is subject to Withheld Amounts (as defined in the Certificate of Designation) in respect of its Preferred Shares for the full amount of such Withheld Amounts, together with any deductions and withholdings applicable to additional amounts payable under this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(which additional amounts, for the avoidance of doubt, shall be treated as payments subject to any applicable deductions and withholdings as provided in the Certificate of Designation). Without duplication of the foregoing, Holdings further agrees to reimburse each Lender, within ten (10) days after written demand therefor, for the full amount of any withholding taxes (including withholding taxes imposed or asserted on or attributable to amounts payable under this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(which amounts, for the avoidance of doubt, shall be treated as payments subject to any applicable deductions and withholdings as provided in the Certificate of Designation)) payable or paid by, or required to be withheld or deducted from a payment to such Lender (or any direct or indirect beneficial owner thereof) arising from such Lender’s ownership of the Preferred Shares. A certificate as to the amount of such payment or liability delivered by such Lender (or a direct or indirect beneficial owner thereof) to Holdings shall be conclusive absent manifest error. Notwithstanding anything to the contrary in this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in no event shall the aggregate amounts required to be paid by Holdings under this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(together, with any deductions or withholdings by Holdings with respect to such amounts) exceed $100,000 in any calendar year (the “</w:t>
      </w:r>
      <w:r>
        <w:rPr>
          <w:rFonts w:ascii="Times New Roman" w:cs="Times New Roman" w:eastAsia="Times New Roman" w:hAnsi="Times New Roman"/>
          <w:sz w:val="17"/>
          <w:szCs w:val="17"/>
          <w:u w:val="single" w:color="auto"/>
          <w:color w:val="auto"/>
        </w:rPr>
        <w:t>Maximum Payment Amount</w:t>
      </w:r>
      <w:r>
        <w:rPr>
          <w:rFonts w:ascii="Times New Roman" w:cs="Times New Roman" w:eastAsia="Times New Roman" w:hAnsi="Times New Roman"/>
          <w:sz w:val="17"/>
          <w:szCs w:val="17"/>
          <w:color w:val="auto"/>
        </w:rPr>
        <w:t xml:space="preserve">”); provided that, (i) if the combined liability of the Lenders (or their direct or indirect owners) for withholding taxes with respect to the Preferred Shares exceeds the Maximum Payment Amount in any calendar year, the aggregate amount payable by Holdings pursuant to this Section with respect to such calendar year shall to the extent reasonably practicable be allocated among the Lenders in proportion to the relative liability of such Lenders (or their direct or indirect owners) for such taxes during such calendar year, (ii) if Holdings shall have redeemed any Preferred Shares pursuant to the Certificate of Designation, the Maximum Payment Amount shall be reduced pro rata by the number of Preferred Shares redeemed as compared to the number of Preferred Shares then outstanding, and (iii) any payment amount under this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for the period from issuance of the Preferred Shares through December 31, 2025 shall be limited to $12,500 in the aggregate. Any such allocation shall be made in the good faith discretion of Holdings and shall not obligate Holdings to seek any reimbursement with respect to prior amounts paid to a Lender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4.01(b)</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firstLine="1210"/>
        <w:spacing w:after="0" w:line="274"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All of the covenants and agreements contained herein shall survive the execution and delivery of this Agreement and the consummation of the transactions contemplated hereby.</w:t>
      </w:r>
    </w:p>
    <w:p>
      <w:pPr>
        <w:spacing w:after="0" w:line="15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firstLine="1211"/>
        <w:spacing w:after="0" w:line="274" w:lineRule="auto"/>
        <w:tabs>
          <w:tab w:leader="none" w:pos="145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 of this Agreement may be amended or waived if, but only if, such amendment or waiver is in writing and, in the case of an amendment, signed by each of the Parties.</w:t>
      </w:r>
    </w:p>
    <w:p>
      <w:pPr>
        <w:spacing w:after="0" w:line="158" w:lineRule="exact"/>
        <w:rPr>
          <w:rFonts w:ascii="Times New Roman" w:cs="Times New Roman" w:eastAsia="Times New Roman" w:hAnsi="Times New Roman"/>
          <w:sz w:val="17"/>
          <w:szCs w:val="17"/>
          <w:color w:val="auto"/>
        </w:rPr>
      </w:pPr>
    </w:p>
    <w:p>
      <w:pPr>
        <w:ind w:firstLine="1211"/>
        <w:spacing w:after="0" w:line="274" w:lineRule="auto"/>
        <w:tabs>
          <w:tab w:leader="none" w:pos="14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59" w:lineRule="exact"/>
        <w:rPr>
          <w:sz w:val="20"/>
          <w:szCs w:val="20"/>
          <w:color w:val="auto"/>
        </w:rPr>
      </w:pPr>
    </w:p>
    <w:p>
      <w:pPr>
        <w:jc w:val="both"/>
        <w:ind w:firstLine="1210"/>
        <w:spacing w:after="0" w:line="261"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provisions of this Agreement shall be binding upon and inure to the benefit of the Parties and their respective successors and permitted assigns. No Party shall assign this Agreement or any of its rights, interests or obligations hereunder (other than by operation of law) without the prior written consent of each of the Parties.</w:t>
      </w:r>
    </w:p>
    <w:p>
      <w:pPr>
        <w:spacing w:after="0" w:line="169" w:lineRule="exact"/>
        <w:rPr>
          <w:sz w:val="20"/>
          <w:szCs w:val="20"/>
          <w:color w:val="auto"/>
        </w:rPr>
      </w:pPr>
    </w:p>
    <w:p>
      <w:pPr>
        <w:jc w:val="both"/>
        <w:ind w:firstLine="1210"/>
        <w:spacing w:after="0" w:line="261"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7" w:name="page48"/>
    <w:bookmarkEnd w:id="47"/>
    <w:p>
      <w:pPr>
        <w:jc w:val="both"/>
        <w:ind w:firstLine="1210"/>
        <w:spacing w:after="0" w:line="251"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Each of the Parties to this Agreement hereby irrevocably submits to the exclusive jurisdiction of the state and federal courts sitting in the City of New York, Borough of Manhattan, for the adjudication of any dispute hereunder or in connection herewith or under any of the other this Agreement or with any transaction contemplated hereby, and each of the Parties to this Agreement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of the Parties to this Agreement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to this Agreement hereby agrees that a final judgment in any such action or proceeding shall be conclusive and may be enforced in other jurisdictions by suit on the judgment or in any other manner provided by law.</w:t>
      </w:r>
    </w:p>
    <w:p>
      <w:pPr>
        <w:spacing w:after="0" w:line="177" w:lineRule="exact"/>
        <w:rPr>
          <w:sz w:val="20"/>
          <w:szCs w:val="20"/>
          <w:color w:val="auto"/>
        </w:rPr>
      </w:pPr>
    </w:p>
    <w:p>
      <w:pPr>
        <w:jc w:val="both"/>
        <w:ind w:firstLine="1210"/>
        <w:spacing w:after="0" w:line="250"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EACH PARTY TO THIS AGREEMENT ACKNOWLEDGES AND AGREES THAT ANY CONTROVERSY WHICH MAY ARISE UNDER OR IN CONNECTION WITH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OTHER AGREEMENTS DELIVERED IN CONNECTION WITH THIS AGREEMENT OR THE TRANSACTIONS CONTEMPLATED HEREBY OR THEREBY. EACH PARTY TO THIS AGREEMENT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(IV) IT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firstLine="1210"/>
        <w:spacing w:after="0" w:line="256" w:lineRule="auto"/>
        <w:rPr>
          <w:sz w:val="20"/>
          <w:szCs w:val="20"/>
          <w:color w:val="auto"/>
        </w:rPr>
      </w:pPr>
      <w:r>
        <w:rPr>
          <w:rFonts w:ascii="Times New Roman" w:cs="Times New Roman" w:eastAsia="Times New Roman" w:hAnsi="Times New Roman"/>
          <w:sz w:val="17"/>
          <w:szCs w:val="17"/>
          <w:color w:val="auto"/>
        </w:rPr>
        <w:t xml:space="preserve">SECTION 4.08. </w:t>
      </w:r>
      <w:r>
        <w:rPr>
          <w:rFonts w:ascii="Times New Roman" w:cs="Times New Roman" w:eastAsia="Times New Roman" w:hAnsi="Times New Roman"/>
          <w:sz w:val="17"/>
          <w:szCs w:val="17"/>
          <w:u w:val="single" w:color="auto"/>
          <w:color w:val="auto"/>
        </w:rPr>
        <w:t>Counterparts; Third Party Beneficiaries</w:t>
      </w:r>
      <w:r>
        <w:rPr>
          <w:rFonts w:ascii="Times New Roman" w:cs="Times New Roman" w:eastAsia="Times New Roman" w:hAnsi="Times New Roman"/>
          <w:sz w:val="17"/>
          <w:szCs w:val="17"/>
          <w:color w:val="auto"/>
        </w:rPr>
        <w:t>. This Agreement may be executed in any number of counterparts, each of which shall be an original, with the same effect as if the signatures thereto and hereto were upon the same instrument. Counterpart signature pages to this Agreement may be delivered by electronic delivery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by email of a PDF signature page or DocuSign) and each such counterpart signature page will constitute an original for all purposes. No provision of this Agreement shall confer upon any person other than the Parties any rights or remedies hereunder.</w:t>
      </w:r>
    </w:p>
    <w:p>
      <w:pPr>
        <w:spacing w:after="0" w:line="175" w:lineRule="exact"/>
        <w:rPr>
          <w:sz w:val="20"/>
          <w:szCs w:val="20"/>
          <w:color w:val="auto"/>
        </w:rPr>
      </w:pPr>
    </w:p>
    <w:p>
      <w:pPr>
        <w:jc w:val="both"/>
        <w:ind w:firstLine="1210"/>
        <w:spacing w:after="0" w:line="274" w:lineRule="auto"/>
        <w:rPr>
          <w:sz w:val="20"/>
          <w:szCs w:val="20"/>
          <w:color w:val="auto"/>
        </w:rPr>
      </w:pPr>
      <w:r>
        <w:rPr>
          <w:rFonts w:ascii="Times New Roman" w:cs="Times New Roman" w:eastAsia="Times New Roman" w:hAnsi="Times New Roman"/>
          <w:sz w:val="17"/>
          <w:szCs w:val="17"/>
          <w:color w:val="auto"/>
        </w:rPr>
        <w:t xml:space="preserve">SECTION 4.09.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constitutes the entire agreement among the Parties with respect to the subject matter hereof and supersedes all prior agreements and understandings, both oral and written, among the Parties with respect to the subject matter hereof.</w:t>
      </w:r>
    </w:p>
    <w:p>
      <w:pPr>
        <w:spacing w:after="0" w:line="159" w:lineRule="exact"/>
        <w:rPr>
          <w:sz w:val="20"/>
          <w:szCs w:val="20"/>
          <w:color w:val="auto"/>
        </w:rPr>
      </w:pPr>
    </w:p>
    <w:p>
      <w:pPr>
        <w:jc w:val="both"/>
        <w:ind w:firstLine="1210"/>
        <w:spacing w:after="0" w:line="261" w:lineRule="auto"/>
        <w:rPr>
          <w:sz w:val="20"/>
          <w:szCs w:val="20"/>
          <w:color w:val="auto"/>
        </w:rPr>
      </w:pPr>
      <w:r>
        <w:rPr>
          <w:rFonts w:ascii="Times New Roman" w:cs="Times New Roman" w:eastAsia="Times New Roman" w:hAnsi="Times New Roman"/>
          <w:sz w:val="17"/>
          <w:szCs w:val="17"/>
          <w:color w:val="auto"/>
        </w:rPr>
        <w:t xml:space="preserve">SECTION 4.010.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one or more provisions of this Agreement are finally held to be unenforceable under applicable law, such provision shall be deemed to be excluded from this Agreement and the balance of this Agreement shall be interpreted as if such provision were so excluded and shall be enforced in accordance with its terms to the maximum extent permitted by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of the Parties duly executed and delivered this Agreement as of the day and year first above written.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tc>
      </w:tr>
      <w:tr>
        <w:trPr>
          <w:trHeight w:val="403"/>
        </w:trPr>
        <w:tc>
          <w:tcPr>
            <w:tcW w:w="348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78"/>
        </w:trPr>
        <w:tc>
          <w:tcPr>
            <w:tcW w:w="3480" w:type="dxa"/>
            <w:vAlign w:val="bottom"/>
          </w:tcPr>
          <w:p>
            <w:pPr>
              <w:spacing w:after="0"/>
              <w:rPr>
                <w:sz w:val="15"/>
                <w:szCs w:val="15"/>
                <w:color w:val="auto"/>
              </w:rPr>
            </w:pPr>
          </w:p>
        </w:tc>
        <w:tc>
          <w:tcPr>
            <w:tcW w:w="2720" w:type="dxa"/>
            <w:vAlign w:val="bottom"/>
          </w:tcPr>
          <w:p>
            <w:pPr>
              <w:ind w:left="21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3480" w:type="dxa"/>
            <w:vAlign w:val="bottom"/>
          </w:tcPr>
          <w:p>
            <w:pPr>
              <w:spacing w:after="0"/>
              <w:rPr>
                <w:sz w:val="18"/>
                <w:szCs w:val="18"/>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03"/>
        </w:trPr>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7"/>
                <w:szCs w:val="17"/>
                <w:b w:val="1"/>
                <w:bCs w:val="1"/>
                <w:color w:val="auto"/>
              </w:rPr>
              <w:t>DRAGONFLY ENERGY CORP.</w:t>
            </w:r>
          </w:p>
        </w:tc>
      </w:tr>
      <w:tr>
        <w:trPr>
          <w:trHeight w:val="403"/>
        </w:trPr>
        <w:tc>
          <w:tcPr>
            <w:tcW w:w="348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78"/>
        </w:trPr>
        <w:tc>
          <w:tcPr>
            <w:tcW w:w="3480" w:type="dxa"/>
            <w:vAlign w:val="bottom"/>
          </w:tcPr>
          <w:p>
            <w:pPr>
              <w:spacing w:after="0"/>
              <w:rPr>
                <w:sz w:val="15"/>
                <w:szCs w:val="15"/>
                <w:color w:val="auto"/>
              </w:rPr>
            </w:pPr>
          </w:p>
        </w:tc>
        <w:tc>
          <w:tcPr>
            <w:tcW w:w="2720" w:type="dxa"/>
            <w:vAlign w:val="bottom"/>
          </w:tcPr>
          <w:p>
            <w:pPr>
              <w:ind w:left="21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3480" w:type="dxa"/>
            <w:vAlign w:val="bottom"/>
          </w:tcPr>
          <w:p>
            <w:pPr>
              <w:spacing w:after="0"/>
              <w:rPr>
                <w:sz w:val="18"/>
                <w:szCs w:val="18"/>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Contribution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spacing w:after="0"/>
        <w:tabs>
          <w:tab w:leader="none" w:pos="5620" w:val="left"/>
        </w:tabs>
        <w:rPr>
          <w:sz w:val="20"/>
          <w:szCs w:val="20"/>
          <w:color w:val="auto"/>
        </w:rPr>
      </w:pP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ENERGY IMPACT CREDIT FUND I LP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 Energy Impact Credit Fund I GP LLC, its general partner</w:t>
      </w:r>
    </w:p>
    <w:p>
      <w:pPr>
        <w:spacing w:after="0" w:line="21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color w:val="auto"/>
        </w:rPr>
        <w:t>Title:</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ENERGY IMPACT CREDIT FUND II LP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 Energy Impact Credit Fund I GP LLC, its general partner</w:t>
      </w:r>
    </w:p>
    <w:p>
      <w:pPr>
        <w:spacing w:after="0" w:line="21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color w:val="auto"/>
        </w:rPr>
        <w:t>Title:</w:t>
      </w:r>
    </w:p>
    <w:p>
      <w:pPr>
        <w:spacing w:after="0" w:line="18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i w:val="1"/>
          <w:iCs w:val="1"/>
          <w:color w:val="auto"/>
        </w:rPr>
        <w:t>[Signature Page to Contribution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74" w:right="1440" w:bottom="1440" w:gutter="0" w:footer="0" w:header="0"/>
        </w:sectPr>
      </w:pPr>
    </w:p>
    <w:bookmarkStart w:id="50" w:name="page51"/>
    <w:bookmarkEnd w:id="50"/>
    <w:p>
      <w:pPr>
        <w:spacing w:after="0"/>
        <w:tabs>
          <w:tab w:leader="none" w:pos="5620" w:val="left"/>
        </w:tabs>
        <w:rPr>
          <w:sz w:val="20"/>
          <w:szCs w:val="20"/>
          <w:color w:val="auto"/>
        </w:rPr>
      </w:pP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BP HOLDINGS XVII LP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 BPC AS Cayman LLC, its General Partner</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BPC AS LLC, its Manager</w:t>
      </w:r>
    </w:p>
    <w:p>
      <w:pPr>
        <w:spacing w:after="0" w:line="18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color w:val="auto"/>
        </w:rPr>
        <w:t>Title:</w:t>
      </w:r>
    </w:p>
    <w:p>
      <w:pPr>
        <w:spacing w:after="0" w:line="18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i w:val="1"/>
          <w:iCs w:val="1"/>
          <w:color w:val="auto"/>
        </w:rPr>
        <w:t>[Signature Page to Contribution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49"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296545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I</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Certificate of Designation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See attached.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288925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9019"/>
      </w:cols>
      <w:pgMar w:left="14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lowerLetter"/>
      <w:start w:val="4"/>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3"/>
    </w:lvl>
    <w:lvl w:ilvl="1">
      <w:lvlJc w:val="left"/>
      <w:lvlText w:val="%2."/>
      <w:numFmt w:val="lowerLetter"/>
      <w:start w:val="1"/>
    </w:lvl>
  </w:abstractNum>
  <w:abstractNum w:abstractNumId="4">
    <w:nsid w:val="737B8D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
    <w:nsid w:val="6CEAF087"/>
    <w:multiLevelType w:val="hybridMultilevel"/>
    <w:lvl w:ilvl="0">
      <w:lvlJc w:val="left"/>
      <w:lvlText w:val="%1."/>
      <w:numFmt w:val="lowerLetter"/>
      <w:start w:val="3"/>
    </w:lvl>
    <w:lvl w:ilvl="1">
      <w:lvlJc w:val="left"/>
      <w:lvlText w:val="%2."/>
      <w:numFmt w:val="lowerRoman"/>
      <w:start w:val="1"/>
    </w:lvl>
  </w:abstractNum>
  <w:abstractNum w:abstractNumId="6">
    <w:nsid w:val="22221A70"/>
    <w:multiLevelType w:val="hybridMultilevel"/>
    <w:lvl w:ilvl="0">
      <w:lvlJc w:val="left"/>
      <w:lvlText w:val="%1."/>
      <w:numFmt w:val="lowerRoman"/>
      <w:start w:val="2"/>
    </w:lvl>
  </w:abstractNum>
  <w:abstractNum w:abstractNumId="7">
    <w:nsid w:val="4516DDE9"/>
    <w:multiLevelType w:val="hybridMultilevel"/>
    <w:lvl w:ilvl="0">
      <w:lvlJc w:val="left"/>
      <w:lvlText w:val="%1."/>
      <w:numFmt w:val="lowerRoman"/>
      <w:start w:val="3"/>
    </w:lvl>
  </w:abstractNum>
  <w:abstractNum w:abstractNumId="8">
    <w:nsid w:val="3006C83E"/>
    <w:multiLevelType w:val="hybridMultilevel"/>
    <w:lvl w:ilvl="0">
      <w:lvlJc w:val="left"/>
      <w:lvlText w:val="%1."/>
      <w:numFmt w:val="lowerLetter"/>
      <w:start w:val="4"/>
    </w:lvl>
  </w:abstractNum>
  <w:abstractNum w:abstractNumId="9">
    <w:nsid w:val="614FD4A1"/>
    <w:multiLevelType w:val="hybridMultilevel"/>
    <w:lvl w:ilvl="0">
      <w:lvlJc w:val="left"/>
      <w:lvlText w:val="%1."/>
      <w:numFmt w:val="decimal"/>
      <w:start w:val="5"/>
    </w:lvl>
    <w:lvl w:ilvl="1">
      <w:lvlJc w:val="left"/>
      <w:lvlText w:val="%2."/>
      <w:numFmt w:val="lowerLetter"/>
      <w:start w:val="1"/>
    </w:lvl>
  </w:abstractNum>
  <w:abstractNum w:abstractNumId="10">
    <w:nsid w:val="419AC241"/>
    <w:multiLevelType w:val="hybridMultilevel"/>
    <w:lvl w:ilvl="0">
      <w:lvlJc w:val="left"/>
      <w:lvlText w:val="%1."/>
      <w:numFmt w:val="decimal"/>
      <w:start w:val="7"/>
    </w:lvl>
    <w:lvl w:ilvl="1">
      <w:lvlJc w:val="left"/>
      <w:lvlText w:val="%2."/>
      <w:numFmt w:val="lowerLetter"/>
      <w:start w:val="1"/>
    </w:lvl>
  </w:abstractNum>
  <w:abstractNum w:abstractNumId="11">
    <w:nsid w:val="5577F8E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
    <w:nsid w:val="440BADF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3">
    <w:nsid w:val="5072367"/>
    <w:multiLevelType w:val="hybridMultilevel"/>
    <w:lvl w:ilvl="0">
      <w:lvlJc w:val="left"/>
      <w:lvlText w:val="%1."/>
      <w:numFmt w:val="lowerLetter"/>
      <w:start w:val="2"/>
    </w:lvl>
    <w:lvl w:ilvl="1">
      <w:lvlJc w:val="left"/>
      <w:lvlText w:val="%2."/>
      <w:numFmt w:val="lowerRoman"/>
      <w:start w:val="1"/>
    </w:lvl>
  </w:abstractNum>
  <w:abstractNum w:abstractNumId="14">
    <w:nsid w:val="3804823E"/>
    <w:multiLevelType w:val="hybridMultilevel"/>
    <w:lvl w:ilvl="0">
      <w:lvlJc w:val="left"/>
      <w:lvlText w:val="%1."/>
      <w:numFmt w:val="upperLetter"/>
      <w:start w:val="1"/>
    </w:lvl>
  </w:abstractNum>
  <w:abstractNum w:abstractNumId="15">
    <w:nsid w:val="77465F01"/>
    <w:multiLevelType w:val="hybridMultilevel"/>
    <w:lvl w:ilvl="0">
      <w:lvlJc w:val="left"/>
      <w:lvlText w:val="%1."/>
      <w:numFmt w:val="lowerRoman"/>
      <w:start w:val="2"/>
    </w:lvl>
  </w:abstractNum>
  <w:abstractNum w:abstractNumId="16">
    <w:nsid w:val="7724C67E"/>
    <w:multiLevelType w:val="hybridMultilevel"/>
    <w:lvl w:ilvl="0">
      <w:lvlJc w:val="left"/>
      <w:lvlText w:val="%1."/>
      <w:numFmt w:val="decimal"/>
      <w:start w:val="10"/>
    </w:lvl>
    <w:lvl w:ilvl="1">
      <w:lvlJc w:val="left"/>
      <w:lvlText w:val="%2."/>
      <w:numFmt w:val="lowerLetter"/>
      <w:start w:val="1"/>
    </w:lvl>
  </w:abstractNum>
  <w:abstractNum w:abstractNumId="17">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18">
    <w:nsid w:val="2463B9EA"/>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9">
    <w:nsid w:val="5E884ADC"/>
    <w:multiLevelType w:val="hybridMultilevel"/>
    <w:lvl w:ilvl="0">
      <w:lvlJc w:val="left"/>
      <w:lvlText w:val="%1."/>
      <w:numFmt w:val="lowerLetter"/>
      <w:start w:val="4"/>
    </w:lvl>
  </w:abstractNum>
  <w:abstractNum w:abstractNumId="20">
    <w:nsid w:val="51EAD36B"/>
    <w:multiLevelType w:val="hybridMultilevel"/>
    <w:lvl w:ilvl="0">
      <w:lvlJc w:val="left"/>
      <w:lvlText w:val="%1"/>
      <w:numFmt w:val="decimal"/>
      <w:start w:val="1"/>
    </w:lvl>
    <w:lvl w:ilvl="1">
      <w:lvlJc w:val="left"/>
      <w:lvlText w:val="%2."/>
      <w:numFmt w:val="lowerLetter"/>
      <w:start w:val="11"/>
    </w:lvl>
  </w:abstractNum>
  <w:abstractNum w:abstractNumId="21">
    <w:nsid w:val="2D517796"/>
    <w:multiLevelType w:val="hybridMultilevel"/>
    <w:lvl w:ilvl="0">
      <w:lvlJc w:val="left"/>
      <w:lvlText w:val="%1."/>
      <w:numFmt w:val="decimal"/>
      <w:start w:val="14"/>
    </w:lvl>
    <w:lvl w:ilvl="1">
      <w:lvlJc w:val="left"/>
      <w:lvlText w:val="%2"/>
      <w:numFmt w:val="lowerLetter"/>
      <w:start w:val="1"/>
    </w:lvl>
  </w:abstractNum>
  <w:abstractNum w:abstractNumId="22">
    <w:nsid w:val="580BD78F"/>
    <w:multiLevelType w:val="hybridMultilevel"/>
    <w:lvl w:ilvl="0">
      <w:lvlJc w:val="left"/>
      <w:lvlText w:val="%1."/>
      <w:numFmt w:val="decimal"/>
      <w:start w:val="15"/>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decimal"/>
      <w:start w:val="19"/>
    </w:lvl>
  </w:abstractNum>
  <w:abstractNum w:abstractNumId="25">
    <w:nsid w:val="70A64E2A"/>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26">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27">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8">
    <w:nsid w:val="1D4ED43B"/>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9">
    <w:nsid w:val="725A06FB"/>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30">
    <w:nsid w:val="2CD89A32"/>
    <w:multiLevelType w:val="hybridMultilevel"/>
    <w:lvl w:ilvl="0">
      <w:lvlJc w:val="left"/>
      <w:lvlText w:val="%1"/>
      <w:numFmt w:val="decimal"/>
      <w:start w:val="1"/>
    </w:lvl>
    <w:lvl w:ilvl="1">
      <w:lvlJc w:val="left"/>
      <w:lvlText w:val="%2."/>
      <w:numFmt w:val="lowerLetter"/>
      <w:start w:val="3"/>
    </w:lvl>
  </w:abstractNum>
  <w:abstractNum w:abstractNumId="31">
    <w:nsid w:val="57E4CCAF"/>
    <w:multiLevelType w:val="hybridMultilevel"/>
    <w:lvl w:ilvl="0">
      <w:lvlJc w:val="left"/>
      <w:lvlText w:val="%1."/>
      <w:numFmt w:val="decimal"/>
      <w:start w:val="28"/>
    </w:lvl>
    <w:lvl w:ilvl="1">
      <w:lvlJc w:val="left"/>
      <w:lvlText w:val="%2."/>
      <w:numFmt w:val="lowerLetter"/>
      <w:start w:val="1"/>
    </w:lvl>
  </w:abstractNum>
  <w:abstractNum w:abstractNumId="32">
    <w:nsid w:val="7A6D8D3C"/>
    <w:multiLevelType w:val="hybridMultilevel"/>
    <w:lvl w:ilvl="0">
      <w:lvlJc w:val="left"/>
      <w:lvlText w:val="%1."/>
      <w:numFmt w:val="decimal"/>
      <w:start w:val="32"/>
    </w:lvl>
    <w:lvl w:ilvl="1">
      <w:lvlJc w:val="left"/>
      <w:lvlText w:val="%2."/>
      <w:numFmt w:val="lowerLetter"/>
      <w:start w:val="1"/>
    </w:lvl>
  </w:abstractNum>
  <w:abstractNum w:abstractNumId="33">
    <w:nsid w:val="4B588F54"/>
    <w:multiLevelType w:val="hybridMultilevel"/>
    <w:lvl w:ilvl="0">
      <w:lvlJc w:val="left"/>
      <w:lvlText w:val="%1."/>
      <w:numFmt w:val="lowerLetter"/>
      <w:start w:val="8"/>
    </w:lvl>
  </w:abstractNum>
  <w:abstractNum w:abstractNumId="34">
    <w:nsid w:val="542289EC"/>
    <w:multiLevelType w:val="hybridMultilevel"/>
    <w:lvl w:ilvl="0">
      <w:lvlJc w:val="left"/>
      <w:lvlText w:val="%1."/>
      <w:numFmt w:val="lowerLetter"/>
      <w:start w:val="17"/>
    </w:lvl>
  </w:abstractNum>
  <w:abstractNum w:abstractNumId="35">
    <w:nsid w:val="6DE91B18"/>
    <w:multiLevelType w:val="hybridMultilevel"/>
    <w:lvl w:ilvl="0">
      <w:lvlJc w:val="left"/>
      <w:lvlText w:val="%1."/>
      <w:numFmt w:val="lowerLetter"/>
      <w:start w:val="27"/>
    </w:lvl>
  </w:abstractNum>
  <w:abstractNum w:abstractNumId="36">
    <w:nsid w:val="38437FDB"/>
    <w:multiLevelType w:val="hybridMultilevel"/>
    <w:lvl w:ilvl="0">
      <w:lvlJc w:val="left"/>
      <w:lvlText w:val="%1."/>
      <w:numFmt w:val="lowerLetter"/>
      <w:start w:val="28"/>
    </w:lvl>
  </w:abstractNum>
  <w:abstractNum w:abstractNumId="37">
    <w:nsid w:val="7644A45C"/>
    <w:multiLevelType w:val="hybridMultilevel"/>
    <w:lvl w:ilvl="0">
      <w:lvlJc w:val="left"/>
      <w:lvlText w:val="%1."/>
      <w:numFmt w:val="lowerLetter"/>
      <w:start w:val="30"/>
    </w:lvl>
  </w:abstractNum>
  <w:abstractNum w:abstractNumId="38">
    <w:nsid w:val="32FFF902"/>
    <w:multiLevelType w:val="hybridMultilevel"/>
    <w:lvl w:ilvl="0">
      <w:lvlJc w:val="left"/>
      <w:lvlText w:val="%1."/>
      <w:numFmt w:val="lowerLetter"/>
      <w:start w:val="40"/>
    </w:lvl>
  </w:abstractNum>
  <w:abstractNum w:abstractNumId="39">
    <w:nsid w:val="684A481A"/>
    <w:multiLevelType w:val="hybridMultilevel"/>
    <w:lvl w:ilvl="0">
      <w:lvlJc w:val="left"/>
      <w:lvlText w:val="%1."/>
      <w:numFmt w:val="lowerLetter"/>
      <w:start w:val="43"/>
    </w:lvl>
  </w:abstractNum>
  <w:abstractNum w:abstractNumId="40">
    <w:nsid w:val="579478FE"/>
    <w:multiLevelType w:val="hybridMultilevel"/>
    <w:lvl w:ilvl="0">
      <w:lvlJc w:val="left"/>
      <w:lvlText w:val="%1."/>
      <w:numFmt w:val="lowerLetter"/>
      <w:start w:val="49"/>
    </w:lvl>
  </w:abstractNum>
  <w:abstractNum w:abstractNumId="41">
    <w:nsid w:val="749ABB43"/>
    <w:multiLevelType w:val="hybridMultilevel"/>
    <w:lvl w:ilvl="0">
      <w:lvlJc w:val="left"/>
      <w:lvlText w:val="%1."/>
      <w:numFmt w:val="lowerLetter"/>
      <w:start w:val="53"/>
    </w:lvl>
  </w:abstractNum>
  <w:abstractNum w:abstractNumId="42">
    <w:nsid w:val="3DC240FB"/>
    <w:multiLevelType w:val="hybridMultilevel"/>
    <w:lvl w:ilvl="0">
      <w:lvlJc w:val="left"/>
      <w:lvlText w:val="%1."/>
      <w:numFmt w:val="lowerLetter"/>
      <w:start w:val="57"/>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3"/>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2"/>
    </w:lvl>
  </w:abstractNum>
  <w:abstractNum w:abstractNumId="50">
    <w:nsid w:val="4F4EF005"/>
    <w:multiLevelType w:val="hybridMultilevel"/>
    <w:lvl w:ilvl="0">
      <w:lvlJc w:val="left"/>
      <w:lvlText w:val="%1"/>
      <w:numFmt w:val="lowerLetter"/>
      <w:start w:val="1"/>
    </w:lvl>
    <w:lvl w:ilvl="1">
      <w:lvlJc w:val="left"/>
      <w:lvlText w:val="(%2)"/>
      <w:numFmt w:val="lowerLetter"/>
      <w:start w:val="6"/>
    </w:lvl>
  </w:abstractNum>
  <w:abstractNum w:abstractNumId="51">
    <w:nsid w:val="23F9C13C"/>
    <w:multiLevelType w:val="hybridMultilevel"/>
    <w:lvl w:ilvl="0">
      <w:lvlJc w:val="left"/>
      <w:lvlText w:val="(%1)"/>
      <w:numFmt w:val="lowerLetter"/>
      <w:start w:val="61"/>
    </w:lvl>
    <w:lvl w:ilvl="1">
      <w:lvlJc w:val="left"/>
      <w:lvlText w:val="(%2)"/>
      <w:numFmt w:val="lowerLetter"/>
      <w:start w:val="10"/>
    </w:lvl>
  </w:abstractNum>
  <w:abstractNum w:abstractNumId="52">
    <w:nsid w:val="649BB77C"/>
    <w:multiLevelType w:val="hybridMultilevel"/>
    <w:lvl w:ilvl="0">
      <w:lvlJc w:val="left"/>
      <w:lvlText w:val="(%1)"/>
      <w:numFmt w:val="lowerLetter"/>
      <w:start w:val="1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5"/>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2"/>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2025-11-05T16:31:38Z</dcterms:created>
  <dcterms:modified xsi:type="dcterms:W3CDTF">2025-11-05T16:31:38Z</dcterms:modified>
</cp:coreProperties>
</file>