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Chardan NexTech Acquisition 2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17 State Street, 21st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July 13,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Deanna Virginio</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8, 2021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4,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333-254010</w:t>
      </w:r>
    </w:p>
    <w:p>
      <w:pPr>
        <w:spacing w:after="0" w:line="200" w:lineRule="exact"/>
        <w:rPr>
          <w:sz w:val="24"/>
          <w:szCs w:val="24"/>
          <w:color w:val="auto"/>
        </w:rPr>
      </w:pPr>
    </w:p>
    <w:p>
      <w:pPr>
        <w:sectPr>
          <w:pgSz w:w="11900" w:h="16838" w:orient="portrait"/>
          <w:cols w:equalWidth="0" w:num="2">
            <w:col w:w="920" w:space="380"/>
            <w:col w:w="9940"/>
          </w:cols>
          <w:pgMar w:left="320" w:top="445"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Virginio:</w:t>
      </w:r>
    </w:p>
    <w:p>
      <w:pPr>
        <w:spacing w:after="0" w:line="22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hereby transmits the Company’s response to the comment letter received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dated June 17, 2021, regarding the Company’s Registration Statement on Form S-1 submitted to the Commission on March 8, 2021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Amendment No. 3 to Registration Statement on Form S-1 submitted to the Commission on June 4, 2021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For the Staff’s convenience, we have repeated below the Staff’s comment in bold, and have followed the comment with the Company’s response. Concurrently with the transmission of this letter, we are publicly filing the Company’s Amendment No. 2 to Registration Statement on Form S-1 with the Commission through EDGAR.</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3 to Registration Statement on Form S-1 filed June 4,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Initial Business Combination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 page 8</w:t>
      </w:r>
    </w:p>
    <w:p>
      <w:pPr>
        <w:spacing w:after="0" w:line="207" w:lineRule="exact"/>
        <w:rPr>
          <w:sz w:val="24"/>
          <w:szCs w:val="24"/>
          <w:color w:val="auto"/>
        </w:rPr>
      </w:pPr>
    </w:p>
    <w:p>
      <w:pPr>
        <w:ind w:left="660" w:right="180" w:hanging="328"/>
        <w:spacing w:after="0" w:line="281"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clarify here and in the risk factors section that the public stockholders will not be entitled to vote or redeem their shares in connection with an extension from 18 months to up to 24 months to complete the business combination, as referenced on page 23. Please also describe the loans from insiders or their affiliates in the event of an extension under Certain Relationships and Related Party Transactions. Alternatively, please explain to us why such disclosure is not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U.S. Securities &amp;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Deanna Virginio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Chardan NexTech Acquisition 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0" w:lineRule="exact"/>
        <w:rPr>
          <w:sz w:val="20"/>
          <w:szCs w:val="20"/>
          <w:color w:val="auto"/>
        </w:rPr>
      </w:pPr>
    </w:p>
    <w:p>
      <w:pPr>
        <w:spacing w:after="0" w:line="227" w:lineRule="exact"/>
        <w:rPr>
          <w:sz w:val="20"/>
          <w:szCs w:val="20"/>
          <w:color w:val="auto"/>
        </w:rPr>
      </w:pPr>
    </w:p>
    <w:p>
      <w:pPr>
        <w:ind w:left="660" w:right="340"/>
        <w:spacing w:after="0" w:line="286" w:lineRule="auto"/>
        <w:rPr>
          <w:sz w:val="20"/>
          <w:szCs w:val="20"/>
          <w:color w:val="auto"/>
        </w:rPr>
      </w:pPr>
      <w:r>
        <w:rPr>
          <w:rFonts w:ascii="Arial" w:cs="Arial" w:eastAsia="Arial" w:hAnsi="Arial"/>
          <w:sz w:val="17"/>
          <w:szCs w:val="17"/>
          <w:color w:val="auto"/>
        </w:rPr>
        <w:t>In response to the Staff’s comment, we have revised in the Initial Business Combination and Risk Factors sections to clarify that the public stockholders will not be entitled to vote or redeem their shares in connection with such extensions. We have revised to describe the loans from insiders or their affiliates in the event of an extension under Certain Relationships and Related Party Transactions.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thank the Staff for its review of the foregoing and the Amended Registration Statement. If you have further comments, please feel free to contact to our counsel, Ari Edelman, at aedelman@reedsmith.com or by telephone at (212) 521-4234.</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Chardan NexTech Acquisition 2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Ari Edelman,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2021-09-08T23:09:33Z</dcterms:created>
  <dcterms:modified xsi:type="dcterms:W3CDTF">2021-09-08T23:09:33Z</dcterms:modified>
</cp:coreProperties>
</file>